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CCA281" w14:textId="063A75A1" w:rsidR="004B33A7" w:rsidRPr="004B33A7" w:rsidRDefault="004B33A7" w:rsidP="004B33A7">
      <w:pPr>
        <w:jc w:val="center"/>
        <w:rPr>
          <w:rFonts w:asciiTheme="minorBidi" w:hAnsiTheme="minorBidi"/>
          <w:sz w:val="36"/>
          <w:szCs w:val="36"/>
        </w:rPr>
      </w:pPr>
      <w:r w:rsidRPr="004B33A7">
        <w:rPr>
          <w:rFonts w:asciiTheme="minorBidi" w:hAnsiTheme="minorBidi"/>
          <w:noProof/>
          <w:sz w:val="36"/>
          <w:szCs w:val="36"/>
        </w:rPr>
        <w:drawing>
          <wp:inline distT="0" distB="0" distL="0" distR="0" wp14:anchorId="61CDE6CA" wp14:editId="59EEC665">
            <wp:extent cx="3546986" cy="1409700"/>
            <wp:effectExtent l="0" t="0" r="0" b="0"/>
            <wp:docPr id="747771418" name="Picture 2"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771418" name="Picture 2" descr="A close-up of black text&#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580709" cy="1423103"/>
                    </a:xfrm>
                    <a:prstGeom prst="rect">
                      <a:avLst/>
                    </a:prstGeom>
                    <a:noFill/>
                    <a:ln>
                      <a:noFill/>
                    </a:ln>
                  </pic:spPr>
                </pic:pic>
              </a:graphicData>
            </a:graphic>
          </wp:inline>
        </w:drawing>
      </w:r>
    </w:p>
    <w:p w14:paraId="462E3946" w14:textId="77777777" w:rsidR="004B33A7" w:rsidRDefault="004B33A7" w:rsidP="004B33A7">
      <w:pPr>
        <w:rPr>
          <w:rFonts w:asciiTheme="minorBidi" w:hAnsiTheme="minorBidi"/>
          <w:b/>
          <w:bCs/>
          <w:sz w:val="36"/>
          <w:szCs w:val="36"/>
        </w:rPr>
      </w:pPr>
    </w:p>
    <w:p w14:paraId="2A2C2CA1" w14:textId="77777777" w:rsidR="004B33A7" w:rsidRPr="004B33A7" w:rsidRDefault="004B33A7" w:rsidP="004B33A7">
      <w:pPr>
        <w:rPr>
          <w:rFonts w:asciiTheme="minorBidi" w:hAnsiTheme="minorBidi"/>
          <w:b/>
          <w:bCs/>
          <w:sz w:val="48"/>
          <w:szCs w:val="48"/>
        </w:rPr>
      </w:pPr>
    </w:p>
    <w:p w14:paraId="0F83051C" w14:textId="11C1DB97" w:rsidR="004B33A7" w:rsidRPr="000D348B" w:rsidRDefault="004B33A7" w:rsidP="1D29E44A">
      <w:pPr>
        <w:rPr>
          <w:rFonts w:asciiTheme="minorBidi" w:hAnsiTheme="minorBidi"/>
          <w:b/>
          <w:bCs/>
          <w:sz w:val="48"/>
          <w:szCs w:val="48"/>
        </w:rPr>
      </w:pPr>
      <w:r w:rsidRPr="1D29E44A">
        <w:rPr>
          <w:rFonts w:asciiTheme="minorBidi" w:hAnsiTheme="minorBidi"/>
          <w:b/>
          <w:bCs/>
          <w:sz w:val="48"/>
          <w:szCs w:val="48"/>
        </w:rPr>
        <w:t xml:space="preserve">MODULE CODE: </w:t>
      </w:r>
      <w:r w:rsidR="00BD079C" w:rsidRPr="1D29E44A">
        <w:rPr>
          <w:rFonts w:asciiTheme="minorBidi" w:hAnsiTheme="minorBidi"/>
          <w:b/>
          <w:bCs/>
          <w:sz w:val="48"/>
          <w:szCs w:val="48"/>
        </w:rPr>
        <w:t>ECPT</w:t>
      </w:r>
      <w:r w:rsidR="00867828" w:rsidRPr="1D29E44A">
        <w:rPr>
          <w:rFonts w:asciiTheme="minorBidi" w:hAnsiTheme="minorBidi"/>
          <w:b/>
          <w:bCs/>
          <w:sz w:val="48"/>
          <w:szCs w:val="48"/>
        </w:rPr>
        <w:t>7</w:t>
      </w:r>
      <w:r w:rsidR="00BD079C" w:rsidRPr="1D29E44A">
        <w:rPr>
          <w:rFonts w:asciiTheme="minorBidi" w:hAnsiTheme="minorBidi"/>
          <w:b/>
          <w:bCs/>
          <w:sz w:val="48"/>
          <w:szCs w:val="48"/>
        </w:rPr>
        <w:t>00</w:t>
      </w:r>
      <w:r w:rsidR="005467F7" w:rsidRPr="1D29E44A">
        <w:rPr>
          <w:rFonts w:asciiTheme="minorBidi" w:hAnsiTheme="minorBidi"/>
          <w:b/>
          <w:bCs/>
          <w:sz w:val="48"/>
          <w:szCs w:val="48"/>
        </w:rPr>
        <w:t>6</w:t>
      </w:r>
    </w:p>
    <w:p w14:paraId="3067B945" w14:textId="77777777" w:rsidR="004B33A7" w:rsidRPr="00703E2E" w:rsidRDefault="004B33A7" w:rsidP="1D29E44A">
      <w:pPr>
        <w:rPr>
          <w:rFonts w:asciiTheme="minorBidi" w:hAnsiTheme="minorBidi"/>
          <w:b/>
          <w:bCs/>
          <w:sz w:val="48"/>
          <w:szCs w:val="48"/>
        </w:rPr>
      </w:pPr>
      <w:r w:rsidRPr="1D29E44A">
        <w:rPr>
          <w:rFonts w:asciiTheme="minorBidi" w:hAnsiTheme="minorBidi"/>
          <w:b/>
          <w:bCs/>
          <w:sz w:val="48"/>
          <w:szCs w:val="48"/>
        </w:rPr>
        <w:t> </w:t>
      </w:r>
    </w:p>
    <w:p w14:paraId="163B6B74" w14:textId="6B3D839C" w:rsidR="004B33A7" w:rsidRPr="004B33A7" w:rsidRDefault="004B33A7" w:rsidP="1D29E44A">
      <w:pPr>
        <w:rPr>
          <w:rFonts w:asciiTheme="minorBidi" w:hAnsiTheme="minorBidi"/>
          <w:b/>
          <w:bCs/>
          <w:sz w:val="48"/>
          <w:szCs w:val="48"/>
        </w:rPr>
      </w:pPr>
      <w:r w:rsidRPr="1D29E44A">
        <w:rPr>
          <w:rFonts w:asciiTheme="minorBidi" w:hAnsiTheme="minorBidi"/>
          <w:b/>
          <w:bCs/>
          <w:sz w:val="48"/>
          <w:szCs w:val="48"/>
        </w:rPr>
        <w:t xml:space="preserve">ASSESSMENT COMPONENT: </w:t>
      </w:r>
      <w:r w:rsidR="00703E2E" w:rsidRPr="1D29E44A">
        <w:rPr>
          <w:rFonts w:asciiTheme="minorBidi" w:hAnsiTheme="minorBidi"/>
          <w:b/>
          <w:bCs/>
          <w:sz w:val="48"/>
          <w:szCs w:val="48"/>
        </w:rPr>
        <w:t>One</w:t>
      </w:r>
    </w:p>
    <w:p w14:paraId="0095FD63" w14:textId="77777777" w:rsidR="004B33A7" w:rsidRPr="004B33A7" w:rsidRDefault="004B33A7" w:rsidP="1D29E44A">
      <w:pPr>
        <w:rPr>
          <w:rFonts w:asciiTheme="minorBidi" w:hAnsiTheme="minorBidi"/>
          <w:b/>
          <w:bCs/>
          <w:sz w:val="48"/>
          <w:szCs w:val="48"/>
        </w:rPr>
      </w:pPr>
      <w:r w:rsidRPr="1D29E44A">
        <w:rPr>
          <w:rFonts w:asciiTheme="minorBidi" w:hAnsiTheme="minorBidi"/>
          <w:b/>
          <w:bCs/>
          <w:sz w:val="48"/>
          <w:szCs w:val="48"/>
        </w:rPr>
        <w:t> </w:t>
      </w:r>
    </w:p>
    <w:p w14:paraId="152673F1" w14:textId="74371061" w:rsidR="004B33A7" w:rsidRPr="004B33A7" w:rsidRDefault="004B33A7" w:rsidP="1D29E44A">
      <w:pPr>
        <w:rPr>
          <w:rFonts w:asciiTheme="minorBidi" w:hAnsiTheme="minorBidi"/>
          <w:b/>
          <w:bCs/>
          <w:sz w:val="48"/>
          <w:szCs w:val="48"/>
        </w:rPr>
      </w:pPr>
      <w:r w:rsidRPr="1D29E44A">
        <w:rPr>
          <w:rFonts w:asciiTheme="minorBidi" w:hAnsiTheme="minorBidi"/>
          <w:b/>
          <w:bCs/>
          <w:sz w:val="48"/>
          <w:szCs w:val="48"/>
        </w:rPr>
        <w:t>STUDENT NAME: </w:t>
      </w:r>
      <w:r w:rsidR="000D348B" w:rsidRPr="1D29E44A">
        <w:rPr>
          <w:rFonts w:asciiTheme="minorBidi" w:hAnsiTheme="minorBidi"/>
          <w:b/>
          <w:bCs/>
          <w:sz w:val="48"/>
          <w:szCs w:val="48"/>
        </w:rPr>
        <w:t>Daniel Ashby</w:t>
      </w:r>
    </w:p>
    <w:p w14:paraId="7F3AA822" w14:textId="77777777" w:rsidR="004B33A7" w:rsidRPr="004B33A7" w:rsidRDefault="004B33A7" w:rsidP="1D29E44A">
      <w:pPr>
        <w:rPr>
          <w:rFonts w:asciiTheme="minorBidi" w:hAnsiTheme="minorBidi"/>
          <w:b/>
          <w:bCs/>
          <w:sz w:val="48"/>
          <w:szCs w:val="48"/>
        </w:rPr>
      </w:pPr>
      <w:r w:rsidRPr="1D29E44A">
        <w:rPr>
          <w:rFonts w:asciiTheme="minorBidi" w:hAnsiTheme="minorBidi"/>
          <w:b/>
          <w:bCs/>
          <w:sz w:val="48"/>
          <w:szCs w:val="48"/>
        </w:rPr>
        <w:t> </w:t>
      </w:r>
    </w:p>
    <w:p w14:paraId="2C284020" w14:textId="03FF2638" w:rsidR="004B33A7" w:rsidRDefault="004B33A7" w:rsidP="1D29E44A">
      <w:pPr>
        <w:rPr>
          <w:rFonts w:asciiTheme="minorBidi" w:hAnsiTheme="minorBidi"/>
          <w:b/>
          <w:bCs/>
          <w:sz w:val="48"/>
          <w:szCs w:val="48"/>
        </w:rPr>
      </w:pPr>
      <w:r w:rsidRPr="1D29E44A">
        <w:rPr>
          <w:rFonts w:asciiTheme="minorBidi" w:hAnsiTheme="minorBidi"/>
          <w:b/>
          <w:bCs/>
          <w:sz w:val="48"/>
          <w:szCs w:val="48"/>
        </w:rPr>
        <w:t>STUDENT NUMBER: </w:t>
      </w:r>
      <w:r w:rsidR="000D348B" w:rsidRPr="1D29E44A">
        <w:rPr>
          <w:rFonts w:asciiTheme="minorBidi" w:hAnsiTheme="minorBidi"/>
          <w:b/>
          <w:bCs/>
          <w:sz w:val="48"/>
          <w:szCs w:val="48"/>
        </w:rPr>
        <w:t>2114240</w:t>
      </w:r>
    </w:p>
    <w:p w14:paraId="193D0A55" w14:textId="77777777" w:rsidR="007D4DC3" w:rsidRDefault="007D4DC3" w:rsidP="1D29E44A">
      <w:pPr>
        <w:rPr>
          <w:rFonts w:asciiTheme="minorBidi" w:hAnsiTheme="minorBidi"/>
          <w:b/>
          <w:bCs/>
          <w:sz w:val="48"/>
          <w:szCs w:val="48"/>
        </w:rPr>
      </w:pPr>
    </w:p>
    <w:p w14:paraId="15351178" w14:textId="77777777" w:rsidR="007D4DC3" w:rsidRDefault="007D4DC3" w:rsidP="1D29E44A">
      <w:pPr>
        <w:rPr>
          <w:rFonts w:asciiTheme="minorBidi" w:hAnsiTheme="minorBidi"/>
          <w:b/>
          <w:bCs/>
          <w:sz w:val="48"/>
          <w:szCs w:val="48"/>
        </w:rPr>
      </w:pPr>
    </w:p>
    <w:p w14:paraId="08A55659" w14:textId="77777777" w:rsidR="007D4DC3" w:rsidRDefault="007D4DC3" w:rsidP="1D29E44A">
      <w:pPr>
        <w:rPr>
          <w:rFonts w:asciiTheme="minorBidi" w:hAnsiTheme="minorBidi"/>
          <w:b/>
          <w:bCs/>
          <w:sz w:val="48"/>
          <w:szCs w:val="48"/>
        </w:rPr>
      </w:pPr>
    </w:p>
    <w:p w14:paraId="582B4081" w14:textId="77777777" w:rsidR="007D4DC3" w:rsidRDefault="007D4DC3" w:rsidP="1D29E44A">
      <w:pPr>
        <w:rPr>
          <w:rFonts w:asciiTheme="minorBidi" w:hAnsiTheme="minorBidi"/>
          <w:b/>
          <w:bCs/>
          <w:sz w:val="48"/>
          <w:szCs w:val="48"/>
        </w:rPr>
      </w:pPr>
    </w:p>
    <w:p w14:paraId="26742EF5" w14:textId="597D270F" w:rsidR="007D4DC3" w:rsidRPr="004B33A7" w:rsidRDefault="007D4DC3" w:rsidP="1D29E44A">
      <w:pPr>
        <w:rPr>
          <w:rFonts w:asciiTheme="minorBidi" w:hAnsiTheme="minorBidi"/>
          <w:b/>
          <w:bCs/>
          <w:sz w:val="48"/>
          <w:szCs w:val="48"/>
        </w:rPr>
      </w:pPr>
      <w:r>
        <w:rPr>
          <w:rFonts w:asciiTheme="minorBidi" w:hAnsiTheme="minorBidi"/>
          <w:b/>
          <w:bCs/>
          <w:sz w:val="48"/>
          <w:szCs w:val="48"/>
        </w:rPr>
        <w:t>WORD COUNT: 4387</w:t>
      </w:r>
    </w:p>
    <w:p w14:paraId="35756ACA" w14:textId="77777777" w:rsidR="004B33A7" w:rsidRDefault="004B33A7" w:rsidP="1D29E44A">
      <w:pPr>
        <w:rPr>
          <w:rFonts w:asciiTheme="minorBidi" w:hAnsiTheme="minorBidi"/>
          <w:b/>
          <w:bCs/>
          <w:sz w:val="48"/>
          <w:szCs w:val="48"/>
        </w:rPr>
      </w:pPr>
    </w:p>
    <w:p w14:paraId="1EBD9108" w14:textId="77777777" w:rsidR="004B33A7" w:rsidRDefault="004B33A7" w:rsidP="004B33A7">
      <w:pPr>
        <w:rPr>
          <w:rFonts w:asciiTheme="minorBidi" w:hAnsiTheme="minorBidi"/>
          <w:b/>
          <w:bCs/>
          <w:sz w:val="28"/>
          <w:szCs w:val="28"/>
        </w:rPr>
      </w:pPr>
    </w:p>
    <w:p w14:paraId="46D95522" w14:textId="77777777" w:rsidR="004B33A7" w:rsidRDefault="004B33A7" w:rsidP="004B33A7">
      <w:pPr>
        <w:rPr>
          <w:rFonts w:asciiTheme="minorBidi" w:hAnsiTheme="minorBidi"/>
          <w:b/>
          <w:bCs/>
          <w:sz w:val="28"/>
          <w:szCs w:val="28"/>
        </w:rPr>
      </w:pPr>
    </w:p>
    <w:p w14:paraId="1A6E0A87" w14:textId="77777777" w:rsidR="004B33A7" w:rsidRDefault="004B33A7" w:rsidP="004B33A7">
      <w:pPr>
        <w:rPr>
          <w:rFonts w:asciiTheme="minorBidi" w:hAnsiTheme="minorBidi"/>
          <w:b/>
          <w:bCs/>
          <w:sz w:val="28"/>
          <w:szCs w:val="28"/>
        </w:rPr>
      </w:pPr>
    </w:p>
    <w:p w14:paraId="4D780CE2" w14:textId="77777777" w:rsidR="004B33A7" w:rsidRDefault="004B33A7" w:rsidP="004B33A7">
      <w:pPr>
        <w:rPr>
          <w:rFonts w:asciiTheme="minorBidi" w:hAnsiTheme="minorBidi"/>
          <w:b/>
          <w:bCs/>
          <w:sz w:val="28"/>
          <w:szCs w:val="28"/>
        </w:rPr>
      </w:pPr>
    </w:p>
    <w:p w14:paraId="54CC7B10" w14:textId="77777777" w:rsidR="004B33A7" w:rsidRDefault="004B33A7" w:rsidP="004B33A7">
      <w:pPr>
        <w:rPr>
          <w:rFonts w:asciiTheme="minorBidi" w:hAnsiTheme="minorBidi"/>
          <w:b/>
          <w:bCs/>
          <w:sz w:val="28"/>
          <w:szCs w:val="28"/>
        </w:rPr>
      </w:pPr>
    </w:p>
    <w:p w14:paraId="05DDB1E4" w14:textId="77777777" w:rsidR="004B33A7" w:rsidRDefault="004B33A7" w:rsidP="004B33A7">
      <w:pPr>
        <w:rPr>
          <w:rFonts w:asciiTheme="minorBidi" w:hAnsiTheme="minorBidi"/>
          <w:b/>
          <w:bCs/>
          <w:sz w:val="28"/>
          <w:szCs w:val="28"/>
        </w:rPr>
      </w:pPr>
    </w:p>
    <w:p w14:paraId="47DB4978" w14:textId="77777777" w:rsidR="004B33A7" w:rsidRDefault="004B33A7" w:rsidP="004B33A7">
      <w:pPr>
        <w:rPr>
          <w:rFonts w:asciiTheme="minorBidi" w:hAnsiTheme="minorBidi"/>
          <w:b/>
          <w:bCs/>
          <w:sz w:val="28"/>
          <w:szCs w:val="28"/>
        </w:rPr>
      </w:pPr>
    </w:p>
    <w:p w14:paraId="52840907" w14:textId="77777777" w:rsidR="004B33A7" w:rsidRDefault="004B33A7" w:rsidP="004B33A7">
      <w:pPr>
        <w:rPr>
          <w:rFonts w:asciiTheme="minorBidi" w:hAnsiTheme="minorBidi"/>
          <w:b/>
          <w:bCs/>
          <w:sz w:val="28"/>
          <w:szCs w:val="28"/>
        </w:rPr>
      </w:pPr>
    </w:p>
    <w:p w14:paraId="4ECB4AAE" w14:textId="77777777" w:rsidR="00C64DBA" w:rsidRDefault="00C64DBA" w:rsidP="004B33A7">
      <w:pPr>
        <w:rPr>
          <w:rFonts w:asciiTheme="minorBidi" w:hAnsiTheme="minorBidi"/>
          <w:b/>
          <w:bCs/>
          <w:sz w:val="28"/>
          <w:szCs w:val="28"/>
        </w:rPr>
      </w:pPr>
    </w:p>
    <w:p w14:paraId="6A0A2719" w14:textId="77777777" w:rsidR="00C64DBA" w:rsidRDefault="00C64DBA" w:rsidP="004B33A7">
      <w:pPr>
        <w:rPr>
          <w:rFonts w:asciiTheme="minorBidi" w:hAnsiTheme="minorBidi"/>
          <w:b/>
          <w:bCs/>
          <w:sz w:val="28"/>
          <w:szCs w:val="28"/>
        </w:rPr>
      </w:pPr>
    </w:p>
    <w:p w14:paraId="2BF866ED" w14:textId="77777777" w:rsidR="00C64DBA" w:rsidRDefault="00C64DBA" w:rsidP="004B33A7">
      <w:pPr>
        <w:rPr>
          <w:rFonts w:asciiTheme="minorBidi" w:hAnsiTheme="minorBidi"/>
          <w:b/>
          <w:bCs/>
          <w:sz w:val="28"/>
          <w:szCs w:val="28"/>
        </w:rPr>
      </w:pPr>
    </w:p>
    <w:p w14:paraId="7A2EE52F" w14:textId="77777777" w:rsidR="004B33A7" w:rsidRDefault="004B33A7" w:rsidP="004B33A7">
      <w:pPr>
        <w:rPr>
          <w:rFonts w:asciiTheme="minorBidi" w:hAnsiTheme="minorBidi"/>
          <w:b/>
          <w:bCs/>
          <w:sz w:val="28"/>
          <w:szCs w:val="28"/>
        </w:rPr>
      </w:pPr>
    </w:p>
    <w:p w14:paraId="2F75D3B5" w14:textId="1A3B980F" w:rsidR="004B33A7" w:rsidRPr="004B33A7" w:rsidRDefault="004B33A7" w:rsidP="004B33A7">
      <w:pPr>
        <w:rPr>
          <w:rFonts w:asciiTheme="minorBidi" w:hAnsiTheme="minorBidi"/>
          <w:sz w:val="28"/>
          <w:szCs w:val="28"/>
        </w:rPr>
      </w:pPr>
      <w:r w:rsidRPr="004B33A7">
        <w:rPr>
          <w:rFonts w:asciiTheme="minorBidi" w:hAnsiTheme="minorBidi"/>
          <w:b/>
          <w:bCs/>
          <w:sz w:val="28"/>
          <w:szCs w:val="28"/>
        </w:rPr>
        <w:t>Use of Generative AI in Assessment</w:t>
      </w:r>
      <w:r w:rsidRPr="004B33A7">
        <w:rPr>
          <w:rFonts w:asciiTheme="minorBidi" w:hAnsiTheme="minorBidi"/>
          <w:sz w:val="28"/>
          <w:szCs w:val="28"/>
        </w:rPr>
        <w:t>  </w:t>
      </w:r>
    </w:p>
    <w:p w14:paraId="5647A3D0" w14:textId="77777777" w:rsidR="004B33A7" w:rsidRPr="00536FF1" w:rsidRDefault="004B33A7" w:rsidP="004B33A7">
      <w:r w:rsidRPr="00536FF1">
        <w:t> </w:t>
      </w: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05"/>
        <w:gridCol w:w="4890"/>
        <w:gridCol w:w="1305"/>
      </w:tblGrid>
      <w:tr w:rsidR="004B33A7" w:rsidRPr="004B33A7" w14:paraId="40187EB3" w14:textId="77777777" w:rsidTr="00F10E82">
        <w:trPr>
          <w:trHeight w:val="1112"/>
        </w:trPr>
        <w:tc>
          <w:tcPr>
            <w:tcW w:w="2205" w:type="dxa"/>
            <w:tcBorders>
              <w:top w:val="single" w:sz="6" w:space="0" w:color="auto"/>
              <w:left w:val="single" w:sz="6" w:space="0" w:color="auto"/>
              <w:bottom w:val="single" w:sz="6" w:space="0" w:color="000000"/>
              <w:right w:val="single" w:sz="6" w:space="0" w:color="000000"/>
            </w:tcBorders>
            <w:hideMark/>
          </w:tcPr>
          <w:p w14:paraId="15645355" w14:textId="77777777" w:rsidR="004B33A7" w:rsidRPr="004B33A7" w:rsidRDefault="004B33A7" w:rsidP="00F10E82">
            <w:pPr>
              <w:rPr>
                <w:rFonts w:asciiTheme="minorBidi" w:hAnsiTheme="minorBidi"/>
              </w:rPr>
            </w:pPr>
            <w:r w:rsidRPr="004B33A7">
              <w:rPr>
                <w:rFonts w:asciiTheme="minorBidi" w:hAnsiTheme="minorBidi"/>
              </w:rPr>
              <w:t>RESEARCH  </w:t>
            </w:r>
          </w:p>
        </w:tc>
        <w:tc>
          <w:tcPr>
            <w:tcW w:w="4890" w:type="dxa"/>
            <w:tcBorders>
              <w:top w:val="single" w:sz="6" w:space="0" w:color="auto"/>
              <w:left w:val="single" w:sz="6" w:space="0" w:color="000000"/>
              <w:bottom w:val="single" w:sz="6" w:space="0" w:color="000000"/>
              <w:right w:val="single" w:sz="6" w:space="0" w:color="000000"/>
            </w:tcBorders>
            <w:hideMark/>
          </w:tcPr>
          <w:p w14:paraId="44DDA584" w14:textId="77777777" w:rsidR="004B33A7" w:rsidRPr="004B33A7" w:rsidRDefault="004B33A7" w:rsidP="00F10E82">
            <w:pPr>
              <w:rPr>
                <w:rFonts w:asciiTheme="minorBidi" w:hAnsiTheme="minorBidi"/>
              </w:rPr>
            </w:pPr>
            <w:r w:rsidRPr="004B33A7">
              <w:rPr>
                <w:rFonts w:asciiTheme="minorBidi" w:hAnsiTheme="minorBidi"/>
              </w:rPr>
              <w:t>For this assessment, you can use Generative AI to support you in research and data analysis. </w:t>
            </w:r>
          </w:p>
        </w:tc>
        <w:tc>
          <w:tcPr>
            <w:tcW w:w="1305" w:type="dxa"/>
            <w:tcBorders>
              <w:top w:val="single" w:sz="6" w:space="0" w:color="auto"/>
              <w:left w:val="single" w:sz="6" w:space="0" w:color="000000"/>
              <w:bottom w:val="single" w:sz="6" w:space="0" w:color="000000"/>
              <w:right w:val="single" w:sz="6" w:space="0" w:color="auto"/>
            </w:tcBorders>
            <w:hideMark/>
          </w:tcPr>
          <w:p w14:paraId="0623974B" w14:textId="1EBC262D" w:rsidR="004B33A7" w:rsidRPr="004B33A7" w:rsidRDefault="004B33A7" w:rsidP="00F10E82">
            <w:pPr>
              <w:rPr>
                <w:rFonts w:asciiTheme="minorBidi" w:hAnsiTheme="minorBidi"/>
              </w:rPr>
            </w:pPr>
            <w:r w:rsidRPr="004B33A7">
              <w:rPr>
                <w:rFonts w:asciiTheme="minorBidi" w:hAnsiTheme="minorBidi"/>
              </w:rPr>
              <w:t>Yes X</w:t>
            </w:r>
          </w:p>
          <w:p w14:paraId="1E6FBFA9" w14:textId="77777777" w:rsidR="004B33A7" w:rsidRPr="004B33A7" w:rsidRDefault="004B33A7" w:rsidP="00F10E82">
            <w:pPr>
              <w:rPr>
                <w:rFonts w:asciiTheme="minorBidi" w:hAnsiTheme="minorBidi"/>
              </w:rPr>
            </w:pPr>
            <w:r w:rsidRPr="004B33A7">
              <w:rPr>
                <w:rFonts w:asciiTheme="minorBidi" w:hAnsiTheme="minorBidi"/>
              </w:rPr>
              <w:t>No   ​</w:t>
            </w:r>
            <w:r w:rsidRPr="004B33A7">
              <w:rPr>
                <w:rFonts w:ascii="Segoe UI Symbol" w:hAnsi="Segoe UI Symbol" w:cs="Segoe UI Symbol"/>
              </w:rPr>
              <w:t>☐</w:t>
            </w:r>
            <w:r w:rsidRPr="004B33A7">
              <w:rPr>
                <w:rFonts w:asciiTheme="minorBidi" w:hAnsiTheme="minorBidi"/>
              </w:rPr>
              <w:t>​ </w:t>
            </w:r>
          </w:p>
        </w:tc>
      </w:tr>
      <w:tr w:rsidR="004B33A7" w:rsidRPr="004B33A7" w14:paraId="55546485" w14:textId="77777777" w:rsidTr="00F10E82">
        <w:trPr>
          <w:trHeight w:val="300"/>
        </w:trPr>
        <w:tc>
          <w:tcPr>
            <w:tcW w:w="2205" w:type="dxa"/>
            <w:tcBorders>
              <w:top w:val="single" w:sz="6" w:space="0" w:color="000000"/>
              <w:left w:val="single" w:sz="6" w:space="0" w:color="auto"/>
              <w:bottom w:val="single" w:sz="6" w:space="0" w:color="000000"/>
              <w:right w:val="single" w:sz="6" w:space="0" w:color="000000"/>
            </w:tcBorders>
            <w:hideMark/>
          </w:tcPr>
          <w:p w14:paraId="06C17DBC" w14:textId="77777777" w:rsidR="004B33A7" w:rsidRPr="004B33A7" w:rsidRDefault="004B33A7" w:rsidP="00F10E82">
            <w:pPr>
              <w:rPr>
                <w:rFonts w:asciiTheme="minorBidi" w:hAnsiTheme="minorBidi"/>
              </w:rPr>
            </w:pPr>
            <w:r w:rsidRPr="004B33A7">
              <w:rPr>
                <w:rFonts w:asciiTheme="minorBidi" w:hAnsiTheme="minorBidi"/>
              </w:rPr>
              <w:t>STRUCTURE  </w:t>
            </w:r>
          </w:p>
        </w:tc>
        <w:tc>
          <w:tcPr>
            <w:tcW w:w="4890" w:type="dxa"/>
            <w:tcBorders>
              <w:top w:val="single" w:sz="6" w:space="0" w:color="000000"/>
              <w:left w:val="single" w:sz="6" w:space="0" w:color="000000"/>
              <w:bottom w:val="single" w:sz="6" w:space="0" w:color="000000"/>
              <w:right w:val="single" w:sz="6" w:space="0" w:color="000000"/>
            </w:tcBorders>
            <w:hideMark/>
          </w:tcPr>
          <w:p w14:paraId="48014D91" w14:textId="77777777" w:rsidR="004B33A7" w:rsidRPr="004B33A7" w:rsidRDefault="004B33A7" w:rsidP="00F10E82">
            <w:pPr>
              <w:rPr>
                <w:rFonts w:asciiTheme="minorBidi" w:hAnsiTheme="minorBidi"/>
              </w:rPr>
            </w:pPr>
            <w:r w:rsidRPr="004B33A7">
              <w:rPr>
                <w:rFonts w:asciiTheme="minorBidi" w:hAnsiTheme="minorBidi"/>
              </w:rPr>
              <w:t>For this assessment, you can use Generative AI to support you in structuring your submission, including creating a draft argument structure, identifying parts and headings, etc.  </w:t>
            </w:r>
          </w:p>
        </w:tc>
        <w:tc>
          <w:tcPr>
            <w:tcW w:w="1305" w:type="dxa"/>
            <w:tcBorders>
              <w:top w:val="single" w:sz="6" w:space="0" w:color="000000"/>
              <w:left w:val="single" w:sz="6" w:space="0" w:color="000000"/>
              <w:bottom w:val="single" w:sz="6" w:space="0" w:color="000000"/>
              <w:right w:val="single" w:sz="6" w:space="0" w:color="auto"/>
            </w:tcBorders>
            <w:hideMark/>
          </w:tcPr>
          <w:p w14:paraId="75099D52" w14:textId="3B878842" w:rsidR="004B33A7" w:rsidRPr="004B33A7" w:rsidRDefault="004B33A7" w:rsidP="00F10E82">
            <w:pPr>
              <w:rPr>
                <w:rFonts w:asciiTheme="minorBidi" w:hAnsiTheme="minorBidi"/>
              </w:rPr>
            </w:pPr>
            <w:r w:rsidRPr="004B33A7">
              <w:rPr>
                <w:rFonts w:asciiTheme="minorBidi" w:hAnsiTheme="minorBidi"/>
              </w:rPr>
              <w:t>Yes  ​X</w:t>
            </w:r>
          </w:p>
          <w:p w14:paraId="0CE55757" w14:textId="77777777" w:rsidR="004B33A7" w:rsidRPr="004B33A7" w:rsidRDefault="004B33A7" w:rsidP="00F10E82">
            <w:pPr>
              <w:rPr>
                <w:rFonts w:asciiTheme="minorBidi" w:hAnsiTheme="minorBidi"/>
              </w:rPr>
            </w:pPr>
            <w:r w:rsidRPr="004B33A7">
              <w:rPr>
                <w:rFonts w:asciiTheme="minorBidi" w:hAnsiTheme="minorBidi"/>
              </w:rPr>
              <w:t>No   ​</w:t>
            </w:r>
            <w:r w:rsidRPr="004B33A7">
              <w:rPr>
                <w:rFonts w:ascii="Segoe UI Symbol" w:hAnsi="Segoe UI Symbol" w:cs="Segoe UI Symbol"/>
              </w:rPr>
              <w:t>☐</w:t>
            </w:r>
            <w:r w:rsidRPr="004B33A7">
              <w:rPr>
                <w:rFonts w:asciiTheme="minorBidi" w:hAnsiTheme="minorBidi"/>
              </w:rPr>
              <w:t>​ </w:t>
            </w:r>
          </w:p>
        </w:tc>
      </w:tr>
      <w:tr w:rsidR="004B33A7" w:rsidRPr="004B33A7" w14:paraId="72B64EEA" w14:textId="77777777" w:rsidTr="00F10E82">
        <w:trPr>
          <w:trHeight w:val="300"/>
        </w:trPr>
        <w:tc>
          <w:tcPr>
            <w:tcW w:w="2205" w:type="dxa"/>
            <w:tcBorders>
              <w:top w:val="single" w:sz="6" w:space="0" w:color="000000"/>
              <w:left w:val="single" w:sz="6" w:space="0" w:color="auto"/>
              <w:bottom w:val="single" w:sz="6" w:space="0" w:color="000000"/>
              <w:right w:val="single" w:sz="6" w:space="0" w:color="000000"/>
            </w:tcBorders>
            <w:hideMark/>
          </w:tcPr>
          <w:p w14:paraId="21A119D6" w14:textId="77777777" w:rsidR="004B33A7" w:rsidRPr="004B33A7" w:rsidRDefault="004B33A7" w:rsidP="00F10E82">
            <w:pPr>
              <w:rPr>
                <w:rFonts w:asciiTheme="minorBidi" w:hAnsiTheme="minorBidi"/>
              </w:rPr>
            </w:pPr>
            <w:r w:rsidRPr="004B33A7">
              <w:rPr>
                <w:rFonts w:asciiTheme="minorBidi" w:hAnsiTheme="minorBidi"/>
              </w:rPr>
              <w:t>PROOFREADING  </w:t>
            </w:r>
          </w:p>
        </w:tc>
        <w:tc>
          <w:tcPr>
            <w:tcW w:w="4890" w:type="dxa"/>
            <w:tcBorders>
              <w:top w:val="single" w:sz="6" w:space="0" w:color="000000"/>
              <w:left w:val="single" w:sz="6" w:space="0" w:color="000000"/>
              <w:bottom w:val="single" w:sz="6" w:space="0" w:color="000000"/>
              <w:right w:val="single" w:sz="6" w:space="0" w:color="000000"/>
            </w:tcBorders>
            <w:hideMark/>
          </w:tcPr>
          <w:p w14:paraId="3C68E036" w14:textId="77777777" w:rsidR="004B33A7" w:rsidRPr="004B33A7" w:rsidRDefault="004B33A7" w:rsidP="00F10E82">
            <w:pPr>
              <w:rPr>
                <w:rFonts w:asciiTheme="minorBidi" w:hAnsiTheme="minorBidi"/>
              </w:rPr>
            </w:pPr>
            <w:r w:rsidRPr="004B33A7">
              <w:rPr>
                <w:rFonts w:asciiTheme="minorBidi" w:hAnsiTheme="minorBidi"/>
              </w:rPr>
              <w:t>For this assessment, you can use Generative AI to check your own text/creation for grammatical and syntactical mistakes, including getting suggestions to rephrase your work.  </w:t>
            </w:r>
          </w:p>
        </w:tc>
        <w:tc>
          <w:tcPr>
            <w:tcW w:w="1305" w:type="dxa"/>
            <w:tcBorders>
              <w:top w:val="single" w:sz="6" w:space="0" w:color="000000"/>
              <w:left w:val="single" w:sz="6" w:space="0" w:color="000000"/>
              <w:bottom w:val="single" w:sz="6" w:space="0" w:color="000000"/>
              <w:right w:val="single" w:sz="6" w:space="0" w:color="auto"/>
            </w:tcBorders>
            <w:hideMark/>
          </w:tcPr>
          <w:p w14:paraId="1E6E5DAC" w14:textId="70A20730" w:rsidR="004B33A7" w:rsidRPr="004B33A7" w:rsidRDefault="004B33A7" w:rsidP="00F10E82">
            <w:pPr>
              <w:rPr>
                <w:rFonts w:asciiTheme="minorBidi" w:hAnsiTheme="minorBidi"/>
              </w:rPr>
            </w:pPr>
            <w:r w:rsidRPr="004B33A7">
              <w:rPr>
                <w:rFonts w:asciiTheme="minorBidi" w:hAnsiTheme="minorBidi"/>
              </w:rPr>
              <w:t>Yes  ​X</w:t>
            </w:r>
          </w:p>
          <w:p w14:paraId="0B0C5219" w14:textId="77777777" w:rsidR="004B33A7" w:rsidRPr="004B33A7" w:rsidRDefault="004B33A7" w:rsidP="00F10E82">
            <w:pPr>
              <w:rPr>
                <w:rFonts w:asciiTheme="minorBidi" w:hAnsiTheme="minorBidi"/>
              </w:rPr>
            </w:pPr>
            <w:r w:rsidRPr="004B33A7">
              <w:rPr>
                <w:rFonts w:asciiTheme="minorBidi" w:hAnsiTheme="minorBidi"/>
              </w:rPr>
              <w:t>No   ​</w:t>
            </w:r>
            <w:r w:rsidRPr="004B33A7">
              <w:rPr>
                <w:rFonts w:ascii="Segoe UI Symbol" w:hAnsi="Segoe UI Symbol" w:cs="Segoe UI Symbol"/>
              </w:rPr>
              <w:t>☐</w:t>
            </w:r>
            <w:r w:rsidRPr="004B33A7">
              <w:rPr>
                <w:rFonts w:asciiTheme="minorBidi" w:hAnsiTheme="minorBidi"/>
              </w:rPr>
              <w:t>​ </w:t>
            </w:r>
          </w:p>
        </w:tc>
      </w:tr>
      <w:tr w:rsidR="004B33A7" w:rsidRPr="004B33A7" w14:paraId="29ED216A" w14:textId="77777777" w:rsidTr="00F10E82">
        <w:trPr>
          <w:trHeight w:val="300"/>
        </w:trPr>
        <w:tc>
          <w:tcPr>
            <w:tcW w:w="2205" w:type="dxa"/>
            <w:tcBorders>
              <w:top w:val="single" w:sz="6" w:space="0" w:color="000000"/>
              <w:left w:val="single" w:sz="6" w:space="0" w:color="auto"/>
              <w:bottom w:val="single" w:sz="6" w:space="0" w:color="000000"/>
              <w:right w:val="single" w:sz="6" w:space="0" w:color="000000"/>
            </w:tcBorders>
            <w:hideMark/>
          </w:tcPr>
          <w:p w14:paraId="56FE4BEF" w14:textId="77777777" w:rsidR="004B33A7" w:rsidRPr="004B33A7" w:rsidRDefault="004B33A7" w:rsidP="00F10E82">
            <w:pPr>
              <w:rPr>
                <w:rFonts w:asciiTheme="minorBidi" w:hAnsiTheme="minorBidi"/>
              </w:rPr>
            </w:pPr>
            <w:r w:rsidRPr="004B33A7">
              <w:rPr>
                <w:rFonts w:asciiTheme="minorBidi" w:hAnsiTheme="minorBidi"/>
              </w:rPr>
              <w:t>WRITING  </w:t>
            </w:r>
          </w:p>
        </w:tc>
        <w:tc>
          <w:tcPr>
            <w:tcW w:w="4890" w:type="dxa"/>
            <w:tcBorders>
              <w:top w:val="single" w:sz="6" w:space="0" w:color="000000"/>
              <w:left w:val="single" w:sz="6" w:space="0" w:color="000000"/>
              <w:bottom w:val="single" w:sz="6" w:space="0" w:color="000000"/>
              <w:right w:val="single" w:sz="6" w:space="0" w:color="000000"/>
            </w:tcBorders>
            <w:hideMark/>
          </w:tcPr>
          <w:p w14:paraId="74B40370" w14:textId="77777777" w:rsidR="004B33A7" w:rsidRPr="004B33A7" w:rsidRDefault="004B33A7" w:rsidP="00F10E82">
            <w:pPr>
              <w:rPr>
                <w:rFonts w:asciiTheme="minorBidi" w:hAnsiTheme="minorBidi"/>
              </w:rPr>
            </w:pPr>
            <w:r w:rsidRPr="004B33A7">
              <w:rPr>
                <w:rFonts w:asciiTheme="minorBidi" w:hAnsiTheme="minorBidi"/>
              </w:rPr>
              <w:t>For this assessment, you can use Generative AI to create text for submission.  </w:t>
            </w:r>
          </w:p>
        </w:tc>
        <w:tc>
          <w:tcPr>
            <w:tcW w:w="1305" w:type="dxa"/>
            <w:tcBorders>
              <w:top w:val="single" w:sz="6" w:space="0" w:color="000000"/>
              <w:left w:val="single" w:sz="6" w:space="0" w:color="000000"/>
              <w:bottom w:val="single" w:sz="6" w:space="0" w:color="000000"/>
              <w:right w:val="single" w:sz="6" w:space="0" w:color="auto"/>
            </w:tcBorders>
            <w:hideMark/>
          </w:tcPr>
          <w:p w14:paraId="38F4C3F1" w14:textId="77777777" w:rsidR="004B33A7" w:rsidRPr="004B33A7" w:rsidRDefault="004B33A7" w:rsidP="00F10E82">
            <w:pPr>
              <w:rPr>
                <w:rFonts w:asciiTheme="minorBidi" w:hAnsiTheme="minorBidi"/>
              </w:rPr>
            </w:pPr>
            <w:r w:rsidRPr="004B33A7">
              <w:rPr>
                <w:rFonts w:asciiTheme="minorBidi" w:hAnsiTheme="minorBidi"/>
              </w:rPr>
              <w:t>Yes  ​</w:t>
            </w:r>
            <w:r w:rsidRPr="004B33A7">
              <w:rPr>
                <w:rFonts w:ascii="Segoe UI Symbol" w:hAnsi="Segoe UI Symbol" w:cs="Segoe UI Symbol"/>
              </w:rPr>
              <w:t>☐</w:t>
            </w:r>
            <w:r w:rsidRPr="004B33A7">
              <w:rPr>
                <w:rFonts w:asciiTheme="minorBidi" w:hAnsiTheme="minorBidi"/>
              </w:rPr>
              <w:t>​ </w:t>
            </w:r>
          </w:p>
          <w:p w14:paraId="210DCFE4" w14:textId="34F07642" w:rsidR="004B33A7" w:rsidRPr="004B33A7" w:rsidRDefault="004B33A7" w:rsidP="00F10E82">
            <w:pPr>
              <w:rPr>
                <w:rFonts w:asciiTheme="minorBidi" w:hAnsiTheme="minorBidi"/>
              </w:rPr>
            </w:pPr>
            <w:r w:rsidRPr="004B33A7">
              <w:rPr>
                <w:rFonts w:asciiTheme="minorBidi" w:hAnsiTheme="minorBidi"/>
              </w:rPr>
              <w:t>No   X </w:t>
            </w:r>
          </w:p>
        </w:tc>
      </w:tr>
      <w:tr w:rsidR="004B33A7" w:rsidRPr="004B33A7" w14:paraId="2570731A" w14:textId="77777777" w:rsidTr="00F10E82">
        <w:trPr>
          <w:trHeight w:val="300"/>
        </w:trPr>
        <w:tc>
          <w:tcPr>
            <w:tcW w:w="2205" w:type="dxa"/>
            <w:tcBorders>
              <w:top w:val="single" w:sz="6" w:space="0" w:color="000000"/>
              <w:left w:val="single" w:sz="6" w:space="0" w:color="auto"/>
              <w:bottom w:val="single" w:sz="6" w:space="0" w:color="000000"/>
              <w:right w:val="single" w:sz="6" w:space="0" w:color="000000"/>
            </w:tcBorders>
            <w:hideMark/>
          </w:tcPr>
          <w:p w14:paraId="0927B335" w14:textId="77777777" w:rsidR="004B33A7" w:rsidRPr="004B33A7" w:rsidRDefault="004B33A7" w:rsidP="00F10E82">
            <w:pPr>
              <w:rPr>
                <w:rFonts w:asciiTheme="minorBidi" w:hAnsiTheme="minorBidi"/>
              </w:rPr>
            </w:pPr>
            <w:r w:rsidRPr="004B33A7">
              <w:rPr>
                <w:rFonts w:asciiTheme="minorBidi" w:hAnsiTheme="minorBidi"/>
              </w:rPr>
              <w:t>CREATIVE  </w:t>
            </w:r>
          </w:p>
        </w:tc>
        <w:tc>
          <w:tcPr>
            <w:tcW w:w="4890" w:type="dxa"/>
            <w:tcBorders>
              <w:top w:val="single" w:sz="6" w:space="0" w:color="000000"/>
              <w:left w:val="single" w:sz="6" w:space="0" w:color="000000"/>
              <w:bottom w:val="single" w:sz="6" w:space="0" w:color="000000"/>
              <w:right w:val="single" w:sz="6" w:space="0" w:color="000000"/>
            </w:tcBorders>
            <w:hideMark/>
          </w:tcPr>
          <w:p w14:paraId="5312A79C" w14:textId="77777777" w:rsidR="004B33A7" w:rsidRPr="004B33A7" w:rsidRDefault="004B33A7" w:rsidP="00F10E82">
            <w:pPr>
              <w:rPr>
                <w:rFonts w:asciiTheme="minorBidi" w:hAnsiTheme="minorBidi"/>
              </w:rPr>
            </w:pPr>
            <w:r w:rsidRPr="004B33A7">
              <w:rPr>
                <w:rFonts w:asciiTheme="minorBidi" w:hAnsiTheme="minorBidi"/>
              </w:rPr>
              <w:t>For this assessment, you can use Generative AI to create creative materials, such as images.  </w:t>
            </w:r>
          </w:p>
        </w:tc>
        <w:tc>
          <w:tcPr>
            <w:tcW w:w="1305" w:type="dxa"/>
            <w:tcBorders>
              <w:top w:val="single" w:sz="6" w:space="0" w:color="000000"/>
              <w:left w:val="single" w:sz="6" w:space="0" w:color="000000"/>
              <w:bottom w:val="single" w:sz="6" w:space="0" w:color="000000"/>
              <w:right w:val="single" w:sz="6" w:space="0" w:color="auto"/>
            </w:tcBorders>
            <w:hideMark/>
          </w:tcPr>
          <w:p w14:paraId="0DB4DDB9" w14:textId="77777777" w:rsidR="004B33A7" w:rsidRPr="004B33A7" w:rsidRDefault="004B33A7" w:rsidP="00F10E82">
            <w:pPr>
              <w:rPr>
                <w:rFonts w:asciiTheme="minorBidi" w:hAnsiTheme="minorBidi"/>
              </w:rPr>
            </w:pPr>
            <w:r w:rsidRPr="004B33A7">
              <w:rPr>
                <w:rFonts w:asciiTheme="minorBidi" w:hAnsiTheme="minorBidi"/>
              </w:rPr>
              <w:t>Yes  ​</w:t>
            </w:r>
            <w:r w:rsidRPr="004B33A7">
              <w:rPr>
                <w:rFonts w:ascii="Segoe UI Symbol" w:hAnsi="Segoe UI Symbol" w:cs="Segoe UI Symbol"/>
              </w:rPr>
              <w:t>☐</w:t>
            </w:r>
            <w:r w:rsidRPr="004B33A7">
              <w:rPr>
                <w:rFonts w:asciiTheme="minorBidi" w:hAnsiTheme="minorBidi"/>
              </w:rPr>
              <w:t>​ </w:t>
            </w:r>
          </w:p>
          <w:p w14:paraId="6EAAB1B6" w14:textId="743694CB" w:rsidR="004B33A7" w:rsidRPr="004B33A7" w:rsidRDefault="004B33A7" w:rsidP="00F10E82">
            <w:pPr>
              <w:rPr>
                <w:rFonts w:asciiTheme="minorBidi" w:hAnsiTheme="minorBidi"/>
              </w:rPr>
            </w:pPr>
            <w:r w:rsidRPr="004B33A7">
              <w:rPr>
                <w:rFonts w:asciiTheme="minorBidi" w:hAnsiTheme="minorBidi"/>
              </w:rPr>
              <w:t>No   ​X</w:t>
            </w:r>
          </w:p>
        </w:tc>
      </w:tr>
      <w:tr w:rsidR="004B33A7" w:rsidRPr="004B33A7" w14:paraId="115D0585" w14:textId="77777777" w:rsidTr="00F10E82">
        <w:trPr>
          <w:trHeight w:val="300"/>
        </w:trPr>
        <w:tc>
          <w:tcPr>
            <w:tcW w:w="2205" w:type="dxa"/>
            <w:tcBorders>
              <w:top w:val="single" w:sz="6" w:space="0" w:color="000000"/>
              <w:left w:val="single" w:sz="6" w:space="0" w:color="auto"/>
              <w:bottom w:val="single" w:sz="6" w:space="0" w:color="000000"/>
              <w:right w:val="single" w:sz="6" w:space="0" w:color="000000"/>
            </w:tcBorders>
            <w:hideMark/>
          </w:tcPr>
          <w:p w14:paraId="65FC7A25" w14:textId="77777777" w:rsidR="004B33A7" w:rsidRPr="004B33A7" w:rsidRDefault="004B33A7" w:rsidP="00F10E82">
            <w:pPr>
              <w:rPr>
                <w:rFonts w:asciiTheme="minorBidi" w:hAnsiTheme="minorBidi"/>
              </w:rPr>
            </w:pPr>
            <w:r w:rsidRPr="004B33A7">
              <w:rPr>
                <w:rFonts w:asciiTheme="minorBidi" w:hAnsiTheme="minorBidi"/>
              </w:rPr>
              <w:t>PROGRAMING  </w:t>
            </w:r>
          </w:p>
        </w:tc>
        <w:tc>
          <w:tcPr>
            <w:tcW w:w="4890" w:type="dxa"/>
            <w:tcBorders>
              <w:top w:val="single" w:sz="6" w:space="0" w:color="000000"/>
              <w:left w:val="single" w:sz="6" w:space="0" w:color="000000"/>
              <w:bottom w:val="single" w:sz="6" w:space="0" w:color="000000"/>
              <w:right w:val="single" w:sz="6" w:space="0" w:color="000000"/>
            </w:tcBorders>
            <w:hideMark/>
          </w:tcPr>
          <w:p w14:paraId="21E6C525" w14:textId="77777777" w:rsidR="004B33A7" w:rsidRPr="004B33A7" w:rsidRDefault="004B33A7" w:rsidP="00F10E82">
            <w:pPr>
              <w:rPr>
                <w:rFonts w:asciiTheme="minorBidi" w:hAnsiTheme="minorBidi"/>
              </w:rPr>
            </w:pPr>
            <w:r w:rsidRPr="004B33A7">
              <w:rPr>
                <w:rFonts w:asciiTheme="minorBidi" w:hAnsiTheme="minorBidi"/>
              </w:rPr>
              <w:t>For this assessment, you can use Generative AI to create and check code.  </w:t>
            </w:r>
          </w:p>
        </w:tc>
        <w:tc>
          <w:tcPr>
            <w:tcW w:w="1305" w:type="dxa"/>
            <w:tcBorders>
              <w:top w:val="single" w:sz="6" w:space="0" w:color="000000"/>
              <w:left w:val="single" w:sz="6" w:space="0" w:color="000000"/>
              <w:bottom w:val="single" w:sz="6" w:space="0" w:color="000000"/>
              <w:right w:val="single" w:sz="6" w:space="0" w:color="auto"/>
            </w:tcBorders>
            <w:hideMark/>
          </w:tcPr>
          <w:p w14:paraId="2D25DEE7" w14:textId="77777777" w:rsidR="004B33A7" w:rsidRPr="004B33A7" w:rsidRDefault="004B33A7" w:rsidP="00F10E82">
            <w:pPr>
              <w:rPr>
                <w:rFonts w:asciiTheme="minorBidi" w:hAnsiTheme="minorBidi"/>
              </w:rPr>
            </w:pPr>
            <w:r w:rsidRPr="004B33A7">
              <w:rPr>
                <w:rFonts w:asciiTheme="minorBidi" w:hAnsiTheme="minorBidi"/>
              </w:rPr>
              <w:t>Yes  ​</w:t>
            </w:r>
            <w:r w:rsidRPr="004B33A7">
              <w:rPr>
                <w:rFonts w:ascii="Segoe UI Symbol" w:hAnsi="Segoe UI Symbol" w:cs="Segoe UI Symbol"/>
              </w:rPr>
              <w:t>☐</w:t>
            </w:r>
            <w:r w:rsidRPr="004B33A7">
              <w:rPr>
                <w:rFonts w:asciiTheme="minorBidi" w:hAnsiTheme="minorBidi"/>
              </w:rPr>
              <w:t>​ </w:t>
            </w:r>
          </w:p>
          <w:p w14:paraId="20E5222E" w14:textId="60E63B3C" w:rsidR="004B33A7" w:rsidRPr="004B33A7" w:rsidRDefault="004B33A7" w:rsidP="00F10E82">
            <w:pPr>
              <w:rPr>
                <w:rFonts w:asciiTheme="minorBidi" w:hAnsiTheme="minorBidi"/>
              </w:rPr>
            </w:pPr>
            <w:r w:rsidRPr="004B33A7">
              <w:rPr>
                <w:rFonts w:asciiTheme="minorBidi" w:hAnsiTheme="minorBidi"/>
              </w:rPr>
              <w:t>No   ​X</w:t>
            </w:r>
          </w:p>
        </w:tc>
      </w:tr>
      <w:tr w:rsidR="004B33A7" w:rsidRPr="004B33A7" w14:paraId="75F2D960" w14:textId="77777777" w:rsidTr="00F10E82">
        <w:trPr>
          <w:trHeight w:val="300"/>
        </w:trPr>
        <w:tc>
          <w:tcPr>
            <w:tcW w:w="2205" w:type="dxa"/>
            <w:tcBorders>
              <w:top w:val="single" w:sz="6" w:space="0" w:color="000000"/>
              <w:left w:val="single" w:sz="6" w:space="0" w:color="auto"/>
              <w:bottom w:val="single" w:sz="6" w:space="0" w:color="auto"/>
              <w:right w:val="single" w:sz="6" w:space="0" w:color="000000"/>
            </w:tcBorders>
            <w:hideMark/>
          </w:tcPr>
          <w:p w14:paraId="38A98BBE" w14:textId="77777777" w:rsidR="004B33A7" w:rsidRPr="004B33A7" w:rsidRDefault="004B33A7" w:rsidP="00F10E82">
            <w:pPr>
              <w:rPr>
                <w:rFonts w:asciiTheme="minorBidi" w:hAnsiTheme="minorBidi"/>
              </w:rPr>
            </w:pPr>
            <w:r w:rsidRPr="004B33A7">
              <w:rPr>
                <w:rFonts w:asciiTheme="minorBidi" w:hAnsiTheme="minorBidi"/>
              </w:rPr>
              <w:t>NONE </w:t>
            </w:r>
          </w:p>
        </w:tc>
        <w:tc>
          <w:tcPr>
            <w:tcW w:w="4890" w:type="dxa"/>
            <w:tcBorders>
              <w:top w:val="single" w:sz="6" w:space="0" w:color="000000"/>
              <w:left w:val="single" w:sz="6" w:space="0" w:color="000000"/>
              <w:bottom w:val="single" w:sz="6" w:space="0" w:color="auto"/>
              <w:right w:val="single" w:sz="6" w:space="0" w:color="000000"/>
            </w:tcBorders>
            <w:hideMark/>
          </w:tcPr>
          <w:p w14:paraId="5B62DC5A" w14:textId="77777777" w:rsidR="004B33A7" w:rsidRPr="004B33A7" w:rsidRDefault="004B33A7" w:rsidP="00F10E82">
            <w:pPr>
              <w:rPr>
                <w:rFonts w:asciiTheme="minorBidi" w:hAnsiTheme="minorBidi"/>
              </w:rPr>
            </w:pPr>
            <w:r w:rsidRPr="004B33A7">
              <w:rPr>
                <w:rFonts w:asciiTheme="minorBidi" w:hAnsiTheme="minorBidi"/>
              </w:rPr>
              <w:t xml:space="preserve">For this assessment, you are not allowed to use </w:t>
            </w:r>
            <w:r w:rsidRPr="004B33A7">
              <w:rPr>
                <w:rFonts w:asciiTheme="minorBidi" w:hAnsiTheme="minorBidi"/>
                <w:b/>
                <w:bCs/>
              </w:rPr>
              <w:t>any</w:t>
            </w:r>
            <w:r w:rsidRPr="004B33A7">
              <w:rPr>
                <w:rFonts w:asciiTheme="minorBidi" w:hAnsiTheme="minorBidi"/>
              </w:rPr>
              <w:t xml:space="preserve"> type of Generative AI support. This includes research support, structure support, writing/proofreading support and creative support. </w:t>
            </w:r>
          </w:p>
        </w:tc>
        <w:tc>
          <w:tcPr>
            <w:tcW w:w="1305" w:type="dxa"/>
            <w:tcBorders>
              <w:top w:val="single" w:sz="6" w:space="0" w:color="000000"/>
              <w:left w:val="single" w:sz="6" w:space="0" w:color="000000"/>
              <w:bottom w:val="single" w:sz="6" w:space="0" w:color="auto"/>
              <w:right w:val="single" w:sz="6" w:space="0" w:color="auto"/>
            </w:tcBorders>
            <w:hideMark/>
          </w:tcPr>
          <w:p w14:paraId="34F308CD" w14:textId="77777777" w:rsidR="004B33A7" w:rsidRPr="004B33A7" w:rsidRDefault="004B33A7" w:rsidP="004B33A7">
            <w:pPr>
              <w:rPr>
                <w:rFonts w:asciiTheme="minorBidi" w:hAnsiTheme="minorBidi"/>
              </w:rPr>
            </w:pPr>
            <w:r w:rsidRPr="004B33A7">
              <w:rPr>
                <w:rFonts w:asciiTheme="minorBidi" w:hAnsiTheme="minorBidi"/>
              </w:rPr>
              <w:t>Yes  ​</w:t>
            </w:r>
            <w:r w:rsidRPr="004B33A7">
              <w:rPr>
                <w:rFonts w:ascii="Segoe UI Symbol" w:hAnsi="Segoe UI Symbol" w:cs="Segoe UI Symbol"/>
              </w:rPr>
              <w:t>☐</w:t>
            </w:r>
            <w:r w:rsidRPr="004B33A7">
              <w:rPr>
                <w:rFonts w:asciiTheme="minorBidi" w:hAnsiTheme="minorBidi"/>
              </w:rPr>
              <w:t>​ </w:t>
            </w:r>
          </w:p>
          <w:p w14:paraId="3EC06516" w14:textId="6AB0D0F4" w:rsidR="004B33A7" w:rsidRPr="004B33A7" w:rsidRDefault="004B33A7" w:rsidP="004B33A7">
            <w:pPr>
              <w:rPr>
                <w:rFonts w:asciiTheme="minorBidi" w:hAnsiTheme="minorBidi"/>
              </w:rPr>
            </w:pPr>
            <w:r w:rsidRPr="004B33A7">
              <w:rPr>
                <w:rFonts w:asciiTheme="minorBidi" w:hAnsiTheme="minorBidi"/>
              </w:rPr>
              <w:t xml:space="preserve">No   ​X </w:t>
            </w:r>
          </w:p>
        </w:tc>
      </w:tr>
    </w:tbl>
    <w:p w14:paraId="39C7C63A" w14:textId="77777777" w:rsidR="004B33A7" w:rsidRDefault="004B33A7" w:rsidP="004B33A7"/>
    <w:p w14:paraId="143E0D83" w14:textId="77777777" w:rsidR="004B33A7" w:rsidRDefault="004B33A7" w:rsidP="004B33A7">
      <w:pPr>
        <w:rPr>
          <w:rFonts w:asciiTheme="minorBidi" w:hAnsiTheme="minorBidi"/>
          <w:b/>
          <w:bCs/>
          <w:sz w:val="28"/>
          <w:szCs w:val="28"/>
          <w:u w:val="single"/>
        </w:rPr>
      </w:pPr>
    </w:p>
    <w:p w14:paraId="2D2D0C46" w14:textId="77777777" w:rsidR="004B33A7" w:rsidRDefault="004B33A7" w:rsidP="004B33A7">
      <w:pPr>
        <w:rPr>
          <w:rFonts w:asciiTheme="minorBidi" w:hAnsiTheme="minorBidi"/>
          <w:b/>
          <w:bCs/>
          <w:sz w:val="28"/>
          <w:szCs w:val="28"/>
          <w:u w:val="single"/>
        </w:rPr>
      </w:pPr>
    </w:p>
    <w:p w14:paraId="1862A7FB" w14:textId="77777777" w:rsidR="004B33A7" w:rsidRDefault="004B33A7" w:rsidP="004B33A7">
      <w:pPr>
        <w:rPr>
          <w:rFonts w:asciiTheme="minorBidi" w:hAnsiTheme="minorBidi"/>
          <w:b/>
          <w:bCs/>
          <w:sz w:val="28"/>
          <w:szCs w:val="28"/>
          <w:u w:val="single"/>
        </w:rPr>
      </w:pPr>
    </w:p>
    <w:p w14:paraId="266DC1E5" w14:textId="571B440A" w:rsidR="004B33A7" w:rsidRDefault="004B33A7" w:rsidP="758A6390">
      <w:pPr>
        <w:rPr>
          <w:rFonts w:asciiTheme="minorBidi" w:hAnsiTheme="minorBidi"/>
          <w:b/>
          <w:bCs/>
          <w:sz w:val="28"/>
          <w:szCs w:val="28"/>
          <w:u w:val="single"/>
        </w:rPr>
      </w:pPr>
    </w:p>
    <w:p w14:paraId="719F97D8" w14:textId="41D47719" w:rsidR="758A6390" w:rsidRDefault="758A6390" w:rsidP="758A6390">
      <w:pPr>
        <w:rPr>
          <w:rFonts w:asciiTheme="minorBidi" w:hAnsiTheme="minorBidi"/>
          <w:b/>
          <w:bCs/>
          <w:sz w:val="28"/>
          <w:szCs w:val="28"/>
          <w:u w:val="single"/>
        </w:rPr>
      </w:pPr>
    </w:p>
    <w:p w14:paraId="36219B22" w14:textId="77777777" w:rsidR="00596448" w:rsidRDefault="00596448" w:rsidP="758A6390">
      <w:pPr>
        <w:rPr>
          <w:rFonts w:asciiTheme="minorBidi" w:hAnsiTheme="minorBidi"/>
          <w:b/>
          <w:bCs/>
          <w:sz w:val="28"/>
          <w:szCs w:val="28"/>
          <w:u w:val="single"/>
        </w:rPr>
      </w:pPr>
    </w:p>
    <w:p w14:paraId="234D2C47" w14:textId="77777777" w:rsidR="001602FB" w:rsidRDefault="001602FB" w:rsidP="758A6390">
      <w:pPr>
        <w:rPr>
          <w:rFonts w:asciiTheme="minorBidi" w:hAnsiTheme="minorBidi"/>
          <w:b/>
          <w:bCs/>
          <w:sz w:val="28"/>
          <w:szCs w:val="28"/>
          <w:u w:val="single"/>
        </w:rPr>
      </w:pPr>
    </w:p>
    <w:p w14:paraId="71696EE3" w14:textId="77777777" w:rsidR="001602FB" w:rsidRDefault="001602FB" w:rsidP="758A6390">
      <w:pPr>
        <w:rPr>
          <w:rFonts w:asciiTheme="minorBidi" w:hAnsiTheme="minorBidi"/>
          <w:b/>
          <w:bCs/>
          <w:sz w:val="28"/>
          <w:szCs w:val="28"/>
          <w:u w:val="single"/>
        </w:rPr>
      </w:pPr>
    </w:p>
    <w:p w14:paraId="681B5786" w14:textId="77777777" w:rsidR="001602FB" w:rsidRDefault="001602FB" w:rsidP="758A6390">
      <w:pPr>
        <w:rPr>
          <w:rFonts w:asciiTheme="minorBidi" w:hAnsiTheme="minorBidi"/>
          <w:b/>
          <w:bCs/>
          <w:sz w:val="28"/>
          <w:szCs w:val="28"/>
          <w:u w:val="single"/>
        </w:rPr>
      </w:pPr>
    </w:p>
    <w:p w14:paraId="31FD63E2" w14:textId="77777777" w:rsidR="001602FB" w:rsidRDefault="001602FB" w:rsidP="758A6390">
      <w:pPr>
        <w:rPr>
          <w:rFonts w:asciiTheme="minorBidi" w:hAnsiTheme="minorBidi"/>
          <w:b/>
          <w:bCs/>
          <w:sz w:val="28"/>
          <w:szCs w:val="28"/>
          <w:u w:val="single"/>
        </w:rPr>
      </w:pPr>
    </w:p>
    <w:p w14:paraId="166C071C" w14:textId="77777777" w:rsidR="001602FB" w:rsidRDefault="001602FB" w:rsidP="758A6390">
      <w:pPr>
        <w:rPr>
          <w:rFonts w:asciiTheme="minorBidi" w:hAnsiTheme="minorBidi"/>
          <w:b/>
          <w:bCs/>
          <w:sz w:val="28"/>
          <w:szCs w:val="28"/>
          <w:u w:val="single"/>
        </w:rPr>
      </w:pPr>
    </w:p>
    <w:p w14:paraId="0806D930" w14:textId="77777777" w:rsidR="001602FB" w:rsidRDefault="001602FB" w:rsidP="758A6390">
      <w:pPr>
        <w:rPr>
          <w:rFonts w:asciiTheme="minorBidi" w:hAnsiTheme="minorBidi"/>
          <w:b/>
          <w:bCs/>
          <w:sz w:val="28"/>
          <w:szCs w:val="28"/>
          <w:u w:val="single"/>
        </w:rPr>
      </w:pPr>
    </w:p>
    <w:p w14:paraId="26056CA2" w14:textId="77777777" w:rsidR="001602FB" w:rsidRDefault="001602FB" w:rsidP="758A6390">
      <w:pPr>
        <w:rPr>
          <w:rFonts w:asciiTheme="minorBidi" w:hAnsiTheme="minorBidi"/>
          <w:b/>
          <w:bCs/>
          <w:sz w:val="28"/>
          <w:szCs w:val="28"/>
          <w:u w:val="single"/>
        </w:rPr>
      </w:pPr>
    </w:p>
    <w:p w14:paraId="65E0EC52" w14:textId="77777777" w:rsidR="001602FB" w:rsidRDefault="001602FB" w:rsidP="758A6390">
      <w:pPr>
        <w:rPr>
          <w:rFonts w:asciiTheme="minorBidi" w:hAnsiTheme="minorBidi"/>
          <w:b/>
          <w:bCs/>
          <w:sz w:val="28"/>
          <w:szCs w:val="28"/>
          <w:u w:val="single"/>
        </w:rPr>
      </w:pPr>
    </w:p>
    <w:p w14:paraId="513393CB" w14:textId="77777777" w:rsidR="001602FB" w:rsidRDefault="001602FB" w:rsidP="758A6390">
      <w:pPr>
        <w:rPr>
          <w:rFonts w:asciiTheme="minorBidi" w:hAnsiTheme="minorBidi"/>
          <w:b/>
          <w:bCs/>
          <w:sz w:val="28"/>
          <w:szCs w:val="28"/>
          <w:u w:val="single"/>
        </w:rPr>
      </w:pPr>
    </w:p>
    <w:p w14:paraId="5725D2A6" w14:textId="77777777" w:rsidR="007D4DC3" w:rsidRDefault="007D4DC3" w:rsidP="004B33A7">
      <w:pPr>
        <w:rPr>
          <w:rFonts w:asciiTheme="minorBidi" w:hAnsiTheme="minorBidi"/>
          <w:b/>
          <w:bCs/>
          <w:sz w:val="28"/>
          <w:szCs w:val="28"/>
          <w:u w:val="single"/>
        </w:rPr>
      </w:pPr>
    </w:p>
    <w:p w14:paraId="59737CA7" w14:textId="6877CDFA" w:rsidR="004B33A7" w:rsidRDefault="004B33A7" w:rsidP="004B33A7">
      <w:pPr>
        <w:rPr>
          <w:rFonts w:asciiTheme="minorBidi" w:hAnsiTheme="minorBidi"/>
          <w:sz w:val="28"/>
          <w:szCs w:val="28"/>
        </w:rPr>
      </w:pPr>
      <w:r w:rsidRPr="004B33A7">
        <w:rPr>
          <w:rFonts w:asciiTheme="minorBidi" w:hAnsiTheme="minorBidi"/>
          <w:b/>
          <w:bCs/>
          <w:sz w:val="28"/>
          <w:szCs w:val="28"/>
          <w:u w:val="single"/>
        </w:rPr>
        <w:lastRenderedPageBreak/>
        <w:t>AI Acknowledgement  </w:t>
      </w:r>
      <w:r w:rsidRPr="004B33A7">
        <w:rPr>
          <w:rFonts w:asciiTheme="minorBidi" w:hAnsiTheme="minorBidi"/>
          <w:sz w:val="28"/>
          <w:szCs w:val="28"/>
        </w:rPr>
        <w:t> </w:t>
      </w:r>
    </w:p>
    <w:p w14:paraId="6F494243" w14:textId="77777777" w:rsidR="00867828" w:rsidRPr="004B33A7" w:rsidRDefault="00867828" w:rsidP="004B33A7">
      <w:pPr>
        <w:rPr>
          <w:rFonts w:asciiTheme="minorBidi" w:hAnsiTheme="minorBidi"/>
          <w:sz w:val="28"/>
          <w:szCs w:val="28"/>
        </w:rPr>
      </w:pPr>
    </w:p>
    <w:p w14:paraId="6F586E49" w14:textId="77777777" w:rsidR="004B33A7" w:rsidRDefault="004B33A7" w:rsidP="004B33A7">
      <w:pPr>
        <w:rPr>
          <w:rFonts w:asciiTheme="minorBidi" w:hAnsiTheme="minorBidi"/>
        </w:rPr>
      </w:pPr>
      <w:r w:rsidRPr="004B33A7">
        <w:rPr>
          <w:rFonts w:asciiTheme="minorBidi" w:hAnsiTheme="minorBidi"/>
        </w:rPr>
        <w:t>I confirm that I have not used any AI tools in the research and creation of this assignment.  </w:t>
      </w:r>
    </w:p>
    <w:p w14:paraId="127D3732" w14:textId="77777777" w:rsidR="00867828" w:rsidRPr="004B33A7" w:rsidRDefault="00867828" w:rsidP="004B33A7">
      <w:pPr>
        <w:rPr>
          <w:rFonts w:asciiTheme="minorBidi" w:hAnsiTheme="minorBidi"/>
        </w:rPr>
      </w:pPr>
    </w:p>
    <w:p w14:paraId="2E8BD4F7" w14:textId="77777777" w:rsidR="004B33A7" w:rsidRPr="004B33A7" w:rsidRDefault="004B33A7" w:rsidP="004B33A7">
      <w:pPr>
        <w:rPr>
          <w:rFonts w:asciiTheme="minorBidi" w:hAnsiTheme="minorBidi"/>
        </w:rPr>
      </w:pPr>
      <w:r w:rsidRPr="004B33A7">
        <w:rPr>
          <w:rFonts w:asciiTheme="minorBidi" w:hAnsiTheme="minorBidi"/>
        </w:rPr>
        <w:t>I confirm that I have not presented any AI generated materials as my own work.  </w:t>
      </w:r>
    </w:p>
    <w:p w14:paraId="4575D7AE" w14:textId="77777777" w:rsidR="004B33A7" w:rsidRPr="004B33A7" w:rsidRDefault="004B33A7" w:rsidP="004B33A7">
      <w:pPr>
        <w:rPr>
          <w:rFonts w:asciiTheme="minorBidi" w:hAnsiTheme="minorBidi"/>
        </w:rPr>
      </w:pPr>
      <w:r w:rsidRPr="004B33A7">
        <w:rPr>
          <w:rFonts w:asciiTheme="minorBidi" w:hAnsiTheme="minorBidi"/>
        </w:rPr>
        <w:t>I confirm that I have copies of my drafts, notes, and other resources I used, which I may be asked to provide in evidence. </w:t>
      </w:r>
    </w:p>
    <w:p w14:paraId="54E000C8" w14:textId="77777777" w:rsidR="004B33A7" w:rsidRPr="004B33A7" w:rsidRDefault="004B33A7" w:rsidP="004B33A7">
      <w:pPr>
        <w:rPr>
          <w:rFonts w:asciiTheme="minorBidi" w:hAnsiTheme="minorBidi"/>
        </w:rPr>
      </w:pPr>
      <w:r w:rsidRPr="7F86A275">
        <w:rPr>
          <w:rFonts w:asciiTheme="minorBidi" w:hAnsiTheme="minorBidi"/>
        </w:rPr>
        <w:t> </w:t>
      </w:r>
    </w:p>
    <w:p w14:paraId="71051115" w14:textId="78F6E96E" w:rsidR="7F86A275" w:rsidRDefault="7F86A275" w:rsidP="7F86A275">
      <w:pPr>
        <w:rPr>
          <w:rFonts w:asciiTheme="minorBidi" w:hAnsiTheme="minorBidi"/>
        </w:rPr>
      </w:pPr>
    </w:p>
    <w:p w14:paraId="2A7A989B" w14:textId="3B4951EC" w:rsidR="7F86A275" w:rsidRDefault="7F86A275" w:rsidP="7F86A275">
      <w:pPr>
        <w:rPr>
          <w:rFonts w:asciiTheme="minorBidi" w:hAnsiTheme="minorBidi"/>
        </w:rPr>
      </w:pPr>
    </w:p>
    <w:p w14:paraId="7D147E83" w14:textId="0D492051" w:rsidR="7F86A275" w:rsidRDefault="7F86A275" w:rsidP="7F86A275">
      <w:pPr>
        <w:rPr>
          <w:rFonts w:asciiTheme="minorBidi" w:hAnsiTheme="minorBidi"/>
        </w:rPr>
      </w:pPr>
    </w:p>
    <w:p w14:paraId="32FE4315" w14:textId="4656F406" w:rsidR="7F86A275" w:rsidRDefault="7F86A275" w:rsidP="7F86A275">
      <w:pPr>
        <w:rPr>
          <w:rFonts w:asciiTheme="minorBidi" w:hAnsiTheme="minorBidi"/>
        </w:rPr>
      </w:pPr>
    </w:p>
    <w:p w14:paraId="6334446C" w14:textId="335101BB" w:rsidR="008D6914" w:rsidRDefault="008D6914" w:rsidP="004B33A7">
      <w:pPr>
        <w:rPr>
          <w:rFonts w:asciiTheme="minorBidi" w:hAnsiTheme="minorBidi"/>
        </w:rPr>
      </w:pPr>
    </w:p>
    <w:p w14:paraId="2A429A5C" w14:textId="77777777" w:rsidR="004B33A7" w:rsidRDefault="004B33A7" w:rsidP="004B33A7">
      <w:pPr>
        <w:rPr>
          <w:rFonts w:asciiTheme="minorBidi" w:hAnsiTheme="minorBidi"/>
        </w:rPr>
      </w:pPr>
    </w:p>
    <w:p w14:paraId="2809FBFB" w14:textId="77777777" w:rsidR="004B33A7" w:rsidRDefault="004B33A7" w:rsidP="004B33A7">
      <w:pPr>
        <w:rPr>
          <w:rFonts w:asciiTheme="minorBidi" w:hAnsiTheme="minorBidi"/>
        </w:rPr>
      </w:pPr>
    </w:p>
    <w:p w14:paraId="082FFF89" w14:textId="77777777" w:rsidR="004B33A7" w:rsidRDefault="004B33A7" w:rsidP="004B33A7">
      <w:pPr>
        <w:rPr>
          <w:rFonts w:asciiTheme="minorBidi" w:hAnsiTheme="minorBidi"/>
        </w:rPr>
      </w:pPr>
    </w:p>
    <w:p w14:paraId="02476F4A" w14:textId="77777777" w:rsidR="004B33A7" w:rsidRDefault="004B33A7" w:rsidP="004B33A7">
      <w:pPr>
        <w:rPr>
          <w:rFonts w:asciiTheme="minorBidi" w:hAnsiTheme="minorBidi"/>
        </w:rPr>
      </w:pPr>
    </w:p>
    <w:p w14:paraId="5051804A" w14:textId="77777777" w:rsidR="004B33A7" w:rsidRDefault="004B33A7" w:rsidP="004B33A7">
      <w:pPr>
        <w:rPr>
          <w:rFonts w:asciiTheme="minorBidi" w:hAnsiTheme="minorBidi"/>
        </w:rPr>
      </w:pPr>
    </w:p>
    <w:p w14:paraId="3C007E7B" w14:textId="77777777" w:rsidR="004B33A7" w:rsidRDefault="004B33A7" w:rsidP="004B33A7">
      <w:pPr>
        <w:rPr>
          <w:rFonts w:asciiTheme="minorBidi" w:hAnsiTheme="minorBidi"/>
        </w:rPr>
      </w:pPr>
    </w:p>
    <w:p w14:paraId="135AF617" w14:textId="77777777" w:rsidR="004B33A7" w:rsidRDefault="004B33A7" w:rsidP="004B33A7">
      <w:pPr>
        <w:rPr>
          <w:rFonts w:asciiTheme="minorBidi" w:hAnsiTheme="minorBidi"/>
        </w:rPr>
      </w:pPr>
    </w:p>
    <w:p w14:paraId="3BADBBBD" w14:textId="77777777" w:rsidR="004B33A7" w:rsidRDefault="004B33A7" w:rsidP="004B33A7">
      <w:pPr>
        <w:rPr>
          <w:rFonts w:asciiTheme="minorBidi" w:hAnsiTheme="minorBidi"/>
        </w:rPr>
      </w:pPr>
    </w:p>
    <w:p w14:paraId="37E31CE2" w14:textId="77777777" w:rsidR="004B33A7" w:rsidRDefault="004B33A7" w:rsidP="004B33A7">
      <w:pPr>
        <w:rPr>
          <w:rFonts w:asciiTheme="minorBidi" w:hAnsiTheme="minorBidi"/>
        </w:rPr>
      </w:pPr>
    </w:p>
    <w:p w14:paraId="57B88F9B" w14:textId="77777777" w:rsidR="004B33A7" w:rsidRDefault="004B33A7" w:rsidP="004B33A7">
      <w:pPr>
        <w:rPr>
          <w:rFonts w:asciiTheme="minorBidi" w:hAnsiTheme="minorBidi"/>
        </w:rPr>
      </w:pPr>
    </w:p>
    <w:p w14:paraId="2B92DEA3" w14:textId="77777777" w:rsidR="00BD12A5" w:rsidRDefault="00BD12A5" w:rsidP="00BC29AC">
      <w:pPr>
        <w:pStyle w:val="Heading2"/>
      </w:pPr>
    </w:p>
    <w:p w14:paraId="4603C7A3" w14:textId="77777777" w:rsidR="00BD12A5" w:rsidRDefault="00BD12A5" w:rsidP="00BC29AC">
      <w:pPr>
        <w:pStyle w:val="Heading2"/>
      </w:pPr>
    </w:p>
    <w:p w14:paraId="3D3C66CB" w14:textId="77777777" w:rsidR="00BD12A5" w:rsidRDefault="00BD12A5" w:rsidP="00BC29AC">
      <w:pPr>
        <w:pStyle w:val="Heading2"/>
      </w:pPr>
    </w:p>
    <w:p w14:paraId="2CC7D188" w14:textId="77777777" w:rsidR="00BD12A5" w:rsidRDefault="00BD12A5" w:rsidP="00BC29AC">
      <w:pPr>
        <w:pStyle w:val="Heading2"/>
      </w:pPr>
    </w:p>
    <w:p w14:paraId="3C1EABE4" w14:textId="77777777" w:rsidR="00BD12A5" w:rsidRDefault="00BD12A5" w:rsidP="00BD12A5">
      <w:pPr>
        <w:rPr>
          <w:lang w:eastAsia="zh-CN"/>
        </w:rPr>
      </w:pPr>
    </w:p>
    <w:p w14:paraId="5FBF2FFA" w14:textId="77777777" w:rsidR="00BD12A5" w:rsidRPr="00BD12A5" w:rsidRDefault="00BD12A5" w:rsidP="00BD12A5">
      <w:pPr>
        <w:rPr>
          <w:lang w:eastAsia="zh-CN"/>
        </w:rPr>
      </w:pPr>
    </w:p>
    <w:p w14:paraId="2E21254B" w14:textId="77777777" w:rsidR="00BD12A5" w:rsidRDefault="00BD12A5" w:rsidP="00BC29AC">
      <w:pPr>
        <w:pStyle w:val="Heading2"/>
      </w:pPr>
    </w:p>
    <w:p w14:paraId="7420E0B1" w14:textId="77777777" w:rsidR="00200287" w:rsidRDefault="00200287" w:rsidP="00200287">
      <w:pPr>
        <w:rPr>
          <w:lang w:eastAsia="zh-CN"/>
        </w:rPr>
      </w:pPr>
    </w:p>
    <w:p w14:paraId="681A056C" w14:textId="77777777" w:rsidR="00200287" w:rsidRPr="00200287" w:rsidRDefault="00200287" w:rsidP="00200287">
      <w:pPr>
        <w:rPr>
          <w:lang w:eastAsia="zh-CN"/>
        </w:rPr>
      </w:pPr>
    </w:p>
    <w:p w14:paraId="19BCADDE" w14:textId="77777777" w:rsidR="00BD12A5" w:rsidRDefault="00BD12A5" w:rsidP="00BD12A5">
      <w:pPr>
        <w:rPr>
          <w:lang w:eastAsia="zh-CN"/>
        </w:rPr>
      </w:pPr>
    </w:p>
    <w:p w14:paraId="632676A3" w14:textId="77777777" w:rsidR="00BD12A5" w:rsidRPr="00BD12A5" w:rsidRDefault="00BD12A5" w:rsidP="00BD12A5">
      <w:pPr>
        <w:rPr>
          <w:lang w:eastAsia="zh-CN"/>
        </w:rPr>
      </w:pPr>
    </w:p>
    <w:p w14:paraId="2346D982" w14:textId="6B7AE446" w:rsidR="758A6390" w:rsidRDefault="758A6390" w:rsidP="758A6390">
      <w:pPr>
        <w:rPr>
          <w:lang w:eastAsia="zh-CN"/>
        </w:rPr>
      </w:pPr>
    </w:p>
    <w:p w14:paraId="78BD37E5" w14:textId="77777777" w:rsidR="00596448" w:rsidRDefault="00596448" w:rsidP="758A6390">
      <w:pPr>
        <w:rPr>
          <w:lang w:eastAsia="zh-CN"/>
        </w:rPr>
      </w:pPr>
    </w:p>
    <w:p w14:paraId="4A94C698" w14:textId="034F5EFA" w:rsidR="004B5879" w:rsidRPr="00BD12A5" w:rsidRDefault="00203B61" w:rsidP="00BD12A5">
      <w:pPr>
        <w:pStyle w:val="Heading1"/>
        <w:jc w:val="center"/>
        <w:rPr>
          <w:rFonts w:ascii="Calibri" w:hAnsi="Calibri" w:cs="Calibri"/>
        </w:rPr>
      </w:pPr>
      <w:r w:rsidRPr="758A6390">
        <w:rPr>
          <w:rFonts w:ascii="Calibri" w:hAnsi="Calibri" w:cs="Calibri"/>
        </w:rPr>
        <w:lastRenderedPageBreak/>
        <w:t>Peer assessment in further education: a critical review of</w:t>
      </w:r>
      <w:r w:rsidR="068E97BD" w:rsidRPr="758A6390">
        <w:rPr>
          <w:rFonts w:ascii="Calibri" w:hAnsi="Calibri" w:cs="Calibri"/>
        </w:rPr>
        <w:t xml:space="preserve"> effectiveness and staff and learner perceptions. </w:t>
      </w:r>
    </w:p>
    <w:p w14:paraId="1B5B64EC" w14:textId="19F9809E" w:rsidR="758A6390" w:rsidRDefault="758A6390" w:rsidP="758A6390"/>
    <w:p w14:paraId="3CA724B6" w14:textId="610F1A8C" w:rsidR="00B04A6B" w:rsidRDefault="00593743" w:rsidP="0F23E785">
      <w:pPr>
        <w:pStyle w:val="Heading2"/>
      </w:pPr>
      <w:r>
        <w:t xml:space="preserve">Introduction </w:t>
      </w:r>
    </w:p>
    <w:p w14:paraId="45215B9E" w14:textId="1E59E694" w:rsidR="7F86A275" w:rsidRPr="00A775C0" w:rsidRDefault="00593743" w:rsidP="00A775C0">
      <w:pPr>
        <w:spacing w:line="360" w:lineRule="auto"/>
        <w:jc w:val="both"/>
        <w:rPr>
          <w:rFonts w:ascii="Calibri" w:hAnsi="Calibri" w:cs="Calibri"/>
          <w:lang w:eastAsia="zh-CN"/>
        </w:rPr>
      </w:pPr>
      <w:r w:rsidRPr="00A775C0">
        <w:rPr>
          <w:rFonts w:ascii="Calibri" w:hAnsi="Calibri" w:cs="Calibri"/>
          <w:lang w:eastAsia="zh-CN"/>
        </w:rPr>
        <w:t xml:space="preserve">Throughout my teacher training and professional practice, I have developed a </w:t>
      </w:r>
      <w:r w:rsidR="00B51BFF" w:rsidRPr="00A775C0">
        <w:rPr>
          <w:rFonts w:ascii="Calibri" w:hAnsi="Calibri" w:cs="Calibri"/>
          <w:lang w:eastAsia="zh-CN"/>
        </w:rPr>
        <w:t>long-standing</w:t>
      </w:r>
      <w:r w:rsidRPr="00A775C0">
        <w:rPr>
          <w:rFonts w:ascii="Calibri" w:hAnsi="Calibri" w:cs="Calibri"/>
          <w:lang w:eastAsia="zh-CN"/>
        </w:rPr>
        <w:t xml:space="preserve"> interest in formative assessment and </w:t>
      </w:r>
      <w:r w:rsidR="00B51BFF" w:rsidRPr="00A775C0">
        <w:rPr>
          <w:rFonts w:ascii="Calibri" w:hAnsi="Calibri" w:cs="Calibri"/>
          <w:lang w:eastAsia="zh-CN"/>
        </w:rPr>
        <w:t>A</w:t>
      </w:r>
      <w:r w:rsidRPr="00A775C0">
        <w:rPr>
          <w:rFonts w:ascii="Calibri" w:hAnsi="Calibri" w:cs="Calibri"/>
          <w:lang w:eastAsia="zh-CN"/>
        </w:rPr>
        <w:t xml:space="preserve">ssessment for </w:t>
      </w:r>
      <w:r w:rsidR="00B51BFF" w:rsidRPr="00A775C0">
        <w:rPr>
          <w:rFonts w:ascii="Calibri" w:hAnsi="Calibri" w:cs="Calibri"/>
          <w:lang w:eastAsia="zh-CN"/>
        </w:rPr>
        <w:t>L</w:t>
      </w:r>
      <w:r w:rsidRPr="00A775C0">
        <w:rPr>
          <w:rFonts w:ascii="Calibri" w:hAnsi="Calibri" w:cs="Calibri"/>
          <w:lang w:eastAsia="zh-CN"/>
        </w:rPr>
        <w:t>earning (</w:t>
      </w:r>
      <w:proofErr w:type="spellStart"/>
      <w:r w:rsidRPr="00A775C0">
        <w:rPr>
          <w:rFonts w:ascii="Calibri" w:hAnsi="Calibri" w:cs="Calibri"/>
          <w:lang w:eastAsia="zh-CN"/>
        </w:rPr>
        <w:t>AfL</w:t>
      </w:r>
      <w:proofErr w:type="spellEnd"/>
      <w:r w:rsidRPr="00A775C0">
        <w:rPr>
          <w:rFonts w:ascii="Calibri" w:hAnsi="Calibri" w:cs="Calibri"/>
          <w:lang w:eastAsia="zh-CN"/>
        </w:rPr>
        <w:t>). Within this area</w:t>
      </w:r>
      <w:r w:rsidR="001B2071" w:rsidRPr="00A775C0">
        <w:rPr>
          <w:rFonts w:ascii="Calibri" w:hAnsi="Calibri" w:cs="Calibri"/>
          <w:lang w:eastAsia="zh-CN"/>
        </w:rPr>
        <w:t xml:space="preserve"> of</w:t>
      </w:r>
      <w:r w:rsidR="538F62C0" w:rsidRPr="00A775C0">
        <w:rPr>
          <w:rFonts w:ascii="Calibri" w:hAnsi="Calibri" w:cs="Calibri"/>
          <w:lang w:eastAsia="zh-CN"/>
        </w:rPr>
        <w:t xml:space="preserve"> my professional</w:t>
      </w:r>
      <w:r w:rsidR="001B2071" w:rsidRPr="00A775C0">
        <w:rPr>
          <w:rFonts w:ascii="Calibri" w:hAnsi="Calibri" w:cs="Calibri"/>
          <w:lang w:eastAsia="zh-CN"/>
        </w:rPr>
        <w:t xml:space="preserve"> enquiry</w:t>
      </w:r>
      <w:r w:rsidRPr="00A775C0">
        <w:rPr>
          <w:rFonts w:ascii="Calibri" w:hAnsi="Calibri" w:cs="Calibri"/>
          <w:lang w:eastAsia="zh-CN"/>
        </w:rPr>
        <w:t xml:space="preserve">, peer assessment has </w:t>
      </w:r>
      <w:r w:rsidR="00B51BFF" w:rsidRPr="00A775C0">
        <w:rPr>
          <w:rFonts w:ascii="Calibri" w:hAnsi="Calibri" w:cs="Calibri"/>
          <w:lang w:eastAsia="zh-CN"/>
        </w:rPr>
        <w:t>shown pedagogical tensions</w:t>
      </w:r>
      <w:r w:rsidRPr="00A775C0">
        <w:rPr>
          <w:rFonts w:ascii="Calibri" w:hAnsi="Calibri" w:cs="Calibri"/>
          <w:lang w:eastAsia="zh-CN"/>
        </w:rPr>
        <w:t xml:space="preserve"> from</w:t>
      </w:r>
      <w:r w:rsidR="00B51BFF" w:rsidRPr="00A775C0">
        <w:rPr>
          <w:rFonts w:ascii="Calibri" w:hAnsi="Calibri" w:cs="Calibri"/>
          <w:lang w:eastAsia="zh-CN"/>
        </w:rPr>
        <w:t xml:space="preserve"> both</w:t>
      </w:r>
      <w:r w:rsidRPr="00A775C0">
        <w:rPr>
          <w:rFonts w:ascii="Calibri" w:hAnsi="Calibri" w:cs="Calibri"/>
          <w:lang w:eastAsia="zh-CN"/>
        </w:rPr>
        <w:t xml:space="preserve"> learners</w:t>
      </w:r>
      <w:r w:rsidR="00B51BFF" w:rsidRPr="00A775C0">
        <w:rPr>
          <w:rFonts w:ascii="Calibri" w:hAnsi="Calibri" w:cs="Calibri"/>
          <w:lang w:eastAsia="zh-CN"/>
        </w:rPr>
        <w:t xml:space="preserve"> and teaching staff. These outcomes have made it necessary to have a deep and critical reflection around how I implement this strategy into my own teaching.</w:t>
      </w:r>
      <w:r w:rsidRPr="00A775C0">
        <w:rPr>
          <w:rFonts w:ascii="Calibri" w:hAnsi="Calibri" w:cs="Calibri"/>
          <w:lang w:eastAsia="zh-CN"/>
        </w:rPr>
        <w:t xml:space="preserve"> </w:t>
      </w:r>
      <w:r w:rsidR="00B51BFF" w:rsidRPr="00A775C0">
        <w:rPr>
          <w:rFonts w:ascii="Calibri" w:hAnsi="Calibri" w:cs="Calibri"/>
          <w:lang w:eastAsia="zh-CN"/>
        </w:rPr>
        <w:t>My e</w:t>
      </w:r>
      <w:r w:rsidRPr="00A775C0">
        <w:rPr>
          <w:rFonts w:ascii="Calibri" w:hAnsi="Calibri" w:cs="Calibri"/>
          <w:lang w:eastAsia="zh-CN"/>
        </w:rPr>
        <w:t>arlier research</w:t>
      </w:r>
      <w:r w:rsidR="00B51BFF" w:rsidRPr="00A775C0">
        <w:rPr>
          <w:rFonts w:ascii="Calibri" w:hAnsi="Calibri" w:cs="Calibri"/>
          <w:lang w:eastAsia="zh-CN"/>
        </w:rPr>
        <w:t>,</w:t>
      </w:r>
      <w:r w:rsidRPr="00A775C0">
        <w:rPr>
          <w:rFonts w:ascii="Calibri" w:hAnsi="Calibri" w:cs="Calibri"/>
          <w:lang w:eastAsia="zh-CN"/>
        </w:rPr>
        <w:t xml:space="preserve"> conducted </w:t>
      </w:r>
      <w:r w:rsidR="001B2071" w:rsidRPr="00A775C0">
        <w:rPr>
          <w:rFonts w:ascii="Calibri" w:hAnsi="Calibri" w:cs="Calibri"/>
          <w:lang w:eastAsia="zh-CN"/>
        </w:rPr>
        <w:t xml:space="preserve">across both </w:t>
      </w:r>
      <w:r w:rsidR="0E7A8ACC" w:rsidRPr="00A775C0">
        <w:rPr>
          <w:rFonts w:ascii="Calibri" w:eastAsia="Calibri" w:hAnsi="Calibri" w:cs="Calibri"/>
        </w:rPr>
        <w:t>the Foundation</w:t>
      </w:r>
      <w:r w:rsidR="001B2071" w:rsidRPr="00A775C0">
        <w:rPr>
          <w:rFonts w:ascii="Calibri" w:hAnsi="Calibri" w:cs="Calibri"/>
          <w:lang w:eastAsia="zh-CN"/>
        </w:rPr>
        <w:t xml:space="preserve"> Phase and Key Stage 2 in</w:t>
      </w:r>
      <w:r w:rsidR="00B51BFF" w:rsidRPr="00A775C0">
        <w:rPr>
          <w:rFonts w:ascii="Calibri" w:hAnsi="Calibri" w:cs="Calibri"/>
          <w:lang w:eastAsia="zh-CN"/>
        </w:rPr>
        <w:t xml:space="preserve"> Welsh</w:t>
      </w:r>
      <w:r w:rsidR="001B2071" w:rsidRPr="00A775C0">
        <w:rPr>
          <w:rFonts w:ascii="Calibri" w:hAnsi="Calibri" w:cs="Calibri"/>
          <w:lang w:eastAsia="zh-CN"/>
        </w:rPr>
        <w:t xml:space="preserve"> primary education</w:t>
      </w:r>
      <w:r w:rsidR="1ACB6F11" w:rsidRPr="00A775C0">
        <w:rPr>
          <w:rFonts w:ascii="Calibri" w:hAnsi="Calibri" w:cs="Calibri"/>
          <w:lang w:eastAsia="zh-CN"/>
        </w:rPr>
        <w:t xml:space="preserve"> </w:t>
      </w:r>
      <w:r w:rsidRPr="00A775C0">
        <w:rPr>
          <w:rFonts w:ascii="Calibri" w:hAnsi="Calibri" w:cs="Calibri"/>
          <w:lang w:eastAsia="zh-CN"/>
        </w:rPr>
        <w:t xml:space="preserve">identified both the potential and the limitations of peer assessment. While learners and teachers frequently recognised its value in promoting critical thinking and supporting progression, its </w:t>
      </w:r>
      <w:r w:rsidR="001B2071" w:rsidRPr="00A775C0">
        <w:rPr>
          <w:rFonts w:ascii="Calibri" w:hAnsi="Calibri" w:cs="Calibri"/>
          <w:lang w:eastAsia="zh-CN"/>
        </w:rPr>
        <w:t>effectiveness</w:t>
      </w:r>
      <w:r w:rsidRPr="00A775C0">
        <w:rPr>
          <w:rFonts w:ascii="Calibri" w:hAnsi="Calibri" w:cs="Calibri"/>
          <w:lang w:eastAsia="zh-CN"/>
        </w:rPr>
        <w:t xml:space="preserve"> was </w:t>
      </w:r>
      <w:r w:rsidR="00B51BFF" w:rsidRPr="00A775C0">
        <w:rPr>
          <w:rFonts w:ascii="Calibri" w:hAnsi="Calibri" w:cs="Calibri"/>
          <w:lang w:eastAsia="zh-CN"/>
        </w:rPr>
        <w:t xml:space="preserve">compromised </w:t>
      </w:r>
      <w:r w:rsidRPr="00A775C0">
        <w:rPr>
          <w:rFonts w:ascii="Calibri" w:hAnsi="Calibri" w:cs="Calibri"/>
          <w:lang w:eastAsia="zh-CN"/>
        </w:rPr>
        <w:t xml:space="preserve">by complex social dynamics, concerns regarding reliability, and varying levels of confidence in giving feedback. </w:t>
      </w:r>
    </w:p>
    <w:p w14:paraId="6EB14EDA" w14:textId="77777777" w:rsidR="00464A46" w:rsidRPr="00A775C0" w:rsidRDefault="00464A46" w:rsidP="00A775C0">
      <w:pPr>
        <w:spacing w:line="360" w:lineRule="auto"/>
        <w:jc w:val="both"/>
        <w:rPr>
          <w:rFonts w:ascii="Calibri" w:hAnsi="Calibri" w:cs="Calibri"/>
          <w:lang w:eastAsia="zh-CN"/>
        </w:rPr>
      </w:pPr>
    </w:p>
    <w:p w14:paraId="044B3C0B" w14:textId="30FF28FE" w:rsidR="00B51BFF" w:rsidRPr="00A775C0" w:rsidRDefault="00593743" w:rsidP="00A775C0">
      <w:pPr>
        <w:spacing w:line="360" w:lineRule="auto"/>
        <w:jc w:val="both"/>
        <w:rPr>
          <w:rFonts w:ascii="Calibri" w:hAnsi="Calibri" w:cs="Calibri"/>
          <w:lang w:eastAsia="zh-CN"/>
        </w:rPr>
      </w:pPr>
      <w:r w:rsidRPr="00A775C0">
        <w:rPr>
          <w:rFonts w:ascii="Calibri" w:hAnsi="Calibri" w:cs="Calibri"/>
          <w:lang w:eastAsia="zh-CN"/>
        </w:rPr>
        <w:t xml:space="preserve">As my </w:t>
      </w:r>
      <w:r w:rsidR="001B2071" w:rsidRPr="00A775C0">
        <w:rPr>
          <w:rFonts w:ascii="Calibri" w:hAnsi="Calibri" w:cs="Calibri"/>
          <w:lang w:eastAsia="zh-CN"/>
        </w:rPr>
        <w:t>p</w:t>
      </w:r>
      <w:r w:rsidR="2DBD513A" w:rsidRPr="00A775C0">
        <w:rPr>
          <w:rFonts w:ascii="Calibri" w:hAnsi="Calibri" w:cs="Calibri"/>
          <w:lang w:eastAsia="zh-CN"/>
        </w:rPr>
        <w:t xml:space="preserve">rofessional career </w:t>
      </w:r>
      <w:r w:rsidR="00B51BFF" w:rsidRPr="00A775C0">
        <w:rPr>
          <w:rFonts w:ascii="Calibri" w:hAnsi="Calibri" w:cs="Calibri"/>
          <w:lang w:eastAsia="zh-CN"/>
        </w:rPr>
        <w:t>transitions</w:t>
      </w:r>
      <w:r w:rsidR="2DBD513A" w:rsidRPr="00A775C0">
        <w:rPr>
          <w:rFonts w:ascii="Calibri" w:hAnsi="Calibri" w:cs="Calibri"/>
          <w:lang w:eastAsia="zh-CN"/>
        </w:rPr>
        <w:t xml:space="preserve"> away from compulsory education and </w:t>
      </w:r>
      <w:r w:rsidRPr="00A775C0">
        <w:rPr>
          <w:rFonts w:ascii="Calibri" w:hAnsi="Calibri" w:cs="Calibri"/>
          <w:lang w:eastAsia="zh-CN"/>
        </w:rPr>
        <w:t xml:space="preserve">towards post-16 education, </w:t>
      </w:r>
      <w:r w:rsidR="00B51BFF" w:rsidRPr="00A775C0">
        <w:rPr>
          <w:rFonts w:ascii="Calibri" w:hAnsi="Calibri" w:cs="Calibri"/>
          <w:lang w:eastAsia="zh-CN"/>
        </w:rPr>
        <w:t>this enquiry represents a natural continuation of my professional development.</w:t>
      </w:r>
    </w:p>
    <w:p w14:paraId="5B3FB1FE" w14:textId="77777777" w:rsidR="00B51BFF" w:rsidRPr="00A775C0" w:rsidRDefault="00B51BFF" w:rsidP="00A775C0">
      <w:pPr>
        <w:spacing w:line="360" w:lineRule="auto"/>
        <w:jc w:val="both"/>
        <w:rPr>
          <w:rFonts w:ascii="Calibri" w:hAnsi="Calibri" w:cs="Calibri"/>
          <w:lang w:eastAsia="zh-CN"/>
        </w:rPr>
      </w:pPr>
      <w:r w:rsidRPr="00A775C0">
        <w:rPr>
          <w:rFonts w:ascii="Calibri" w:hAnsi="Calibri" w:cs="Calibri"/>
          <w:lang w:eastAsia="zh-CN"/>
        </w:rPr>
        <w:t>As such, it has become</w:t>
      </w:r>
      <w:r w:rsidR="00593743" w:rsidRPr="00A775C0">
        <w:rPr>
          <w:rFonts w:ascii="Calibri" w:hAnsi="Calibri" w:cs="Calibri"/>
          <w:lang w:eastAsia="zh-CN"/>
        </w:rPr>
        <w:t xml:space="preserve"> necessary to consider </w:t>
      </w:r>
      <w:r w:rsidR="001B2071" w:rsidRPr="00A775C0">
        <w:rPr>
          <w:rFonts w:ascii="Calibri" w:hAnsi="Calibri" w:cs="Calibri"/>
          <w:lang w:eastAsia="zh-CN"/>
        </w:rPr>
        <w:t xml:space="preserve">whether increased academic maturity and expectations of learner autonomy meaningfully </w:t>
      </w:r>
      <w:r w:rsidRPr="00A775C0">
        <w:rPr>
          <w:rFonts w:ascii="Calibri" w:hAnsi="Calibri" w:cs="Calibri"/>
          <w:lang w:eastAsia="zh-CN"/>
        </w:rPr>
        <w:t xml:space="preserve">shifts the nature of </w:t>
      </w:r>
      <w:r w:rsidR="001B2071" w:rsidRPr="00A775C0">
        <w:rPr>
          <w:rFonts w:ascii="Calibri" w:hAnsi="Calibri" w:cs="Calibri"/>
          <w:lang w:eastAsia="zh-CN"/>
        </w:rPr>
        <w:t xml:space="preserve">engagement with peer assessment. Tai </w:t>
      </w:r>
      <w:r w:rsidR="001B2071" w:rsidRPr="00A775C0">
        <w:rPr>
          <w:rFonts w:ascii="Calibri" w:hAnsi="Calibri" w:cs="Calibri"/>
          <w:i/>
          <w:iCs/>
          <w:lang w:eastAsia="zh-CN"/>
        </w:rPr>
        <w:t xml:space="preserve">et </w:t>
      </w:r>
      <w:r w:rsidR="005E7D37" w:rsidRPr="00A775C0">
        <w:rPr>
          <w:rFonts w:ascii="Calibri" w:hAnsi="Calibri" w:cs="Calibri"/>
          <w:i/>
          <w:iCs/>
          <w:lang w:eastAsia="zh-CN"/>
        </w:rPr>
        <w:t>al.</w:t>
      </w:r>
      <w:r w:rsidR="005E7D37" w:rsidRPr="00A775C0">
        <w:rPr>
          <w:rFonts w:ascii="Calibri" w:hAnsi="Calibri" w:cs="Calibri"/>
          <w:lang w:eastAsia="zh-CN"/>
        </w:rPr>
        <w:t xml:space="preserve"> (2018) </w:t>
      </w:r>
      <w:r w:rsidR="001B2071" w:rsidRPr="00A775C0">
        <w:rPr>
          <w:rFonts w:ascii="Calibri" w:hAnsi="Calibri" w:cs="Calibri"/>
          <w:lang w:eastAsia="zh-CN"/>
        </w:rPr>
        <w:t xml:space="preserve">suggest that </w:t>
      </w:r>
      <w:r w:rsidR="005E7D37" w:rsidRPr="00A775C0">
        <w:rPr>
          <w:rFonts w:ascii="Calibri" w:hAnsi="Calibri" w:cs="Calibri"/>
          <w:lang w:eastAsia="zh-CN"/>
        </w:rPr>
        <w:t xml:space="preserve">higher education settings are commonly associated with increasing learner autonomy, independent study and the development of evaluative judgement. Such characteristics suggest that peer assessment has the potential to </w:t>
      </w:r>
      <w:r w:rsidR="007E1DA6" w:rsidRPr="00A775C0">
        <w:rPr>
          <w:rFonts w:ascii="Calibri" w:hAnsi="Calibri" w:cs="Calibri"/>
          <w:lang w:eastAsia="zh-CN"/>
        </w:rPr>
        <w:t>align with broader expectations of student participation in feedback processes</w:t>
      </w:r>
      <w:r w:rsidR="09038DE5" w:rsidRPr="00A775C0">
        <w:rPr>
          <w:rFonts w:ascii="Calibri" w:hAnsi="Calibri" w:cs="Calibri"/>
          <w:lang w:eastAsia="zh-CN"/>
        </w:rPr>
        <w:t xml:space="preserve"> but does not consider potential complexities</w:t>
      </w:r>
      <w:r w:rsidR="007E1DA6" w:rsidRPr="00A775C0">
        <w:rPr>
          <w:rFonts w:ascii="Calibri" w:hAnsi="Calibri" w:cs="Calibri"/>
          <w:lang w:eastAsia="zh-CN"/>
        </w:rPr>
        <w:t xml:space="preserve">. This </w:t>
      </w:r>
      <w:r w:rsidR="376887B1" w:rsidRPr="00A775C0">
        <w:rPr>
          <w:rFonts w:ascii="Calibri" w:hAnsi="Calibri" w:cs="Calibri"/>
          <w:lang w:eastAsia="zh-CN"/>
        </w:rPr>
        <w:t xml:space="preserve">viewpoint </w:t>
      </w:r>
      <w:r w:rsidR="007E1DA6" w:rsidRPr="00A775C0">
        <w:rPr>
          <w:rFonts w:ascii="Calibri" w:hAnsi="Calibri" w:cs="Calibri"/>
          <w:lang w:eastAsia="zh-CN"/>
        </w:rPr>
        <w:t xml:space="preserve">has compelled me to investigate how peer assessment is understood and </w:t>
      </w:r>
      <w:r w:rsidR="3B1E35E2" w:rsidRPr="00A775C0">
        <w:rPr>
          <w:rFonts w:ascii="Calibri" w:hAnsi="Calibri" w:cs="Calibri"/>
          <w:lang w:eastAsia="zh-CN"/>
        </w:rPr>
        <w:t>implemented in higher education settings</w:t>
      </w:r>
      <w:r w:rsidR="007E1DA6" w:rsidRPr="00A775C0">
        <w:rPr>
          <w:rFonts w:ascii="Calibri" w:hAnsi="Calibri" w:cs="Calibri"/>
          <w:lang w:eastAsia="zh-CN"/>
        </w:rPr>
        <w:t xml:space="preserve">. </w:t>
      </w:r>
    </w:p>
    <w:p w14:paraId="49BDEE5F" w14:textId="77777777" w:rsidR="00B51BFF" w:rsidRPr="00A775C0" w:rsidRDefault="00B51BFF" w:rsidP="00A775C0">
      <w:pPr>
        <w:spacing w:line="360" w:lineRule="auto"/>
        <w:jc w:val="both"/>
        <w:rPr>
          <w:rFonts w:ascii="Calibri" w:hAnsi="Calibri" w:cs="Calibri"/>
          <w:lang w:eastAsia="zh-CN"/>
        </w:rPr>
      </w:pPr>
    </w:p>
    <w:p w14:paraId="57A05AFB" w14:textId="673ECA91" w:rsidR="00B04A6B" w:rsidRPr="00A775C0" w:rsidRDefault="007E1DA6" w:rsidP="00A775C0">
      <w:pPr>
        <w:spacing w:line="360" w:lineRule="auto"/>
        <w:jc w:val="both"/>
        <w:rPr>
          <w:rFonts w:ascii="Calibri" w:hAnsi="Calibri" w:cs="Calibri"/>
          <w:lang w:eastAsia="zh-CN"/>
        </w:rPr>
      </w:pPr>
      <w:r w:rsidRPr="00A775C0">
        <w:rPr>
          <w:rFonts w:ascii="Calibri" w:hAnsi="Calibri" w:cs="Calibri"/>
          <w:lang w:eastAsia="zh-CN"/>
        </w:rPr>
        <w:t>This project adopt</w:t>
      </w:r>
      <w:r w:rsidR="587990CA" w:rsidRPr="00A775C0">
        <w:rPr>
          <w:rFonts w:ascii="Calibri" w:hAnsi="Calibri" w:cs="Calibri"/>
          <w:lang w:eastAsia="zh-CN"/>
        </w:rPr>
        <w:t>s</w:t>
      </w:r>
      <w:r w:rsidRPr="00A775C0">
        <w:rPr>
          <w:rFonts w:ascii="Calibri" w:hAnsi="Calibri" w:cs="Calibri"/>
          <w:lang w:eastAsia="zh-CN"/>
        </w:rPr>
        <w:t xml:space="preserve"> </w:t>
      </w:r>
      <w:r w:rsidR="15D2C02D" w:rsidRPr="00A775C0">
        <w:rPr>
          <w:rFonts w:ascii="Calibri" w:eastAsia="Calibri" w:hAnsi="Calibri" w:cs="Calibri"/>
        </w:rPr>
        <w:t>an action</w:t>
      </w:r>
      <w:r w:rsidR="001B2071" w:rsidRPr="00A775C0">
        <w:rPr>
          <w:rFonts w:ascii="Calibri" w:hAnsi="Calibri" w:cs="Calibri"/>
          <w:lang w:eastAsia="zh-CN"/>
        </w:rPr>
        <w:t xml:space="preserve"> research</w:t>
      </w:r>
      <w:r w:rsidRPr="00A775C0">
        <w:rPr>
          <w:rFonts w:ascii="Calibri" w:hAnsi="Calibri" w:cs="Calibri"/>
          <w:lang w:eastAsia="zh-CN"/>
        </w:rPr>
        <w:t xml:space="preserve"> </w:t>
      </w:r>
      <w:r w:rsidR="59D28DA4" w:rsidRPr="00A775C0">
        <w:rPr>
          <w:rFonts w:ascii="Calibri" w:hAnsi="Calibri" w:cs="Calibri"/>
          <w:lang w:eastAsia="zh-CN"/>
        </w:rPr>
        <w:t>approach</w:t>
      </w:r>
      <w:r w:rsidR="26B30BDA" w:rsidRPr="00A775C0">
        <w:rPr>
          <w:rFonts w:ascii="Calibri" w:eastAsia="Calibri" w:hAnsi="Calibri" w:cs="Calibri"/>
        </w:rPr>
        <w:t xml:space="preserve"> </w:t>
      </w:r>
      <w:r w:rsidR="5910A07E" w:rsidRPr="00A775C0">
        <w:rPr>
          <w:rFonts w:ascii="Calibri" w:eastAsia="Calibri" w:hAnsi="Calibri" w:cs="Calibri"/>
        </w:rPr>
        <w:t xml:space="preserve">to investigate </w:t>
      </w:r>
      <w:r w:rsidR="00B51BFF" w:rsidRPr="00A775C0">
        <w:rPr>
          <w:rFonts w:ascii="Calibri" w:eastAsia="Calibri" w:hAnsi="Calibri" w:cs="Calibri"/>
        </w:rPr>
        <w:t>how</w:t>
      </w:r>
      <w:r w:rsidR="5910A07E" w:rsidRPr="00A775C0">
        <w:rPr>
          <w:rFonts w:ascii="Calibri" w:eastAsia="Calibri" w:hAnsi="Calibri" w:cs="Calibri"/>
        </w:rPr>
        <w:t xml:space="preserve"> peer assessment </w:t>
      </w:r>
      <w:r w:rsidR="7C846C91" w:rsidRPr="00A775C0">
        <w:rPr>
          <w:rFonts w:ascii="Calibri" w:eastAsia="Calibri" w:hAnsi="Calibri" w:cs="Calibri"/>
        </w:rPr>
        <w:t xml:space="preserve">is </w:t>
      </w:r>
      <w:r w:rsidR="5910A07E" w:rsidRPr="00A775C0">
        <w:rPr>
          <w:rFonts w:ascii="Calibri" w:eastAsia="Calibri" w:hAnsi="Calibri" w:cs="Calibri"/>
        </w:rPr>
        <w:t>perce</w:t>
      </w:r>
      <w:r w:rsidR="09568D2D" w:rsidRPr="00A775C0">
        <w:rPr>
          <w:rFonts w:ascii="Calibri" w:eastAsia="Calibri" w:hAnsi="Calibri" w:cs="Calibri"/>
        </w:rPr>
        <w:t xml:space="preserve">ived </w:t>
      </w:r>
      <w:r w:rsidR="00A775C0" w:rsidRPr="00A775C0">
        <w:rPr>
          <w:rFonts w:ascii="Calibri" w:eastAsia="Calibri" w:hAnsi="Calibri" w:cs="Calibri"/>
        </w:rPr>
        <w:t xml:space="preserve">and implemented </w:t>
      </w:r>
      <w:r w:rsidR="5910A07E" w:rsidRPr="00A775C0">
        <w:rPr>
          <w:rFonts w:ascii="Calibri" w:eastAsia="Calibri" w:hAnsi="Calibri" w:cs="Calibri"/>
        </w:rPr>
        <w:t>by teaching staff and learners</w:t>
      </w:r>
      <w:r w:rsidR="00A775C0" w:rsidRPr="00A775C0">
        <w:rPr>
          <w:rFonts w:ascii="Calibri" w:eastAsia="Calibri" w:hAnsi="Calibri" w:cs="Calibri"/>
        </w:rPr>
        <w:t xml:space="preserve"> in higher education</w:t>
      </w:r>
      <w:r w:rsidR="65709D33" w:rsidRPr="00A775C0">
        <w:rPr>
          <w:rFonts w:ascii="Calibri" w:eastAsia="Calibri" w:hAnsi="Calibri" w:cs="Calibri"/>
        </w:rPr>
        <w:t xml:space="preserve">. </w:t>
      </w:r>
      <w:r w:rsidR="00A775C0" w:rsidRPr="00A775C0">
        <w:rPr>
          <w:rFonts w:ascii="Calibri" w:eastAsia="Calibri" w:hAnsi="Calibri" w:cs="Calibri"/>
        </w:rPr>
        <w:t xml:space="preserve">To overcome potential logistical and ethical constraints around my PCET training, I decided to use secondary data to provide me with a theoretically robust benchmark to inform my inquiry and develop my future classroom practice. </w:t>
      </w:r>
    </w:p>
    <w:p w14:paraId="26669594" w14:textId="1B7A4A73" w:rsidR="00B04A6B" w:rsidRDefault="00B04A6B" w:rsidP="00464A46">
      <w:pPr>
        <w:pStyle w:val="Heading2"/>
        <w:rPr>
          <w:rFonts w:ascii="Calibri" w:hAnsi="Calibri" w:cs="Calibri"/>
        </w:rPr>
      </w:pPr>
      <w:r>
        <w:lastRenderedPageBreak/>
        <w:t xml:space="preserve">Review of literature </w:t>
      </w:r>
    </w:p>
    <w:p w14:paraId="0367B29E" w14:textId="3D86CC3C" w:rsidR="00380EE7" w:rsidRDefault="00380EE7" w:rsidP="00380EE7">
      <w:pPr>
        <w:pStyle w:val="Heading3"/>
      </w:pPr>
      <w:r w:rsidRPr="00380EE7">
        <w:t>Conceptualising Peer Assessment within Formative Assessment</w:t>
      </w:r>
      <w:r w:rsidR="004C63C4">
        <w:t xml:space="preserve"> </w:t>
      </w:r>
    </w:p>
    <w:p w14:paraId="2991941B" w14:textId="0845D374" w:rsidR="002447C4" w:rsidRDefault="002447C4" w:rsidP="1D29E44A">
      <w:pPr>
        <w:spacing w:line="360" w:lineRule="auto"/>
        <w:jc w:val="both"/>
        <w:rPr>
          <w:rFonts w:ascii="Calibri" w:hAnsi="Calibri" w:cs="Calibri"/>
          <w:lang w:eastAsia="zh-CN"/>
        </w:rPr>
      </w:pPr>
      <w:r w:rsidRPr="1D29E44A">
        <w:rPr>
          <w:rFonts w:ascii="Calibri" w:hAnsi="Calibri" w:cs="Calibri"/>
          <w:lang w:eastAsia="zh-CN"/>
        </w:rPr>
        <w:t>Peer assessment has increasing</w:t>
      </w:r>
      <w:r w:rsidR="00813078">
        <w:rPr>
          <w:rFonts w:ascii="Calibri" w:hAnsi="Calibri" w:cs="Calibri"/>
          <w:lang w:eastAsia="zh-CN"/>
        </w:rPr>
        <w:t>ly</w:t>
      </w:r>
      <w:r w:rsidRPr="1D29E44A">
        <w:rPr>
          <w:rFonts w:ascii="Calibri" w:hAnsi="Calibri" w:cs="Calibri"/>
          <w:lang w:eastAsia="zh-CN"/>
        </w:rPr>
        <w:t xml:space="preserve"> </w:t>
      </w:r>
      <w:r w:rsidR="00A775C0">
        <w:rPr>
          <w:rFonts w:ascii="Calibri" w:hAnsi="Calibri" w:cs="Calibri"/>
          <w:lang w:eastAsia="zh-CN"/>
        </w:rPr>
        <w:t>been repositioned</w:t>
      </w:r>
      <w:r w:rsidRPr="1D29E44A">
        <w:rPr>
          <w:rFonts w:ascii="Calibri" w:hAnsi="Calibri" w:cs="Calibri"/>
          <w:lang w:eastAsia="zh-CN"/>
        </w:rPr>
        <w:t xml:space="preserve"> within higher education as a pedagogical approach aligned with formative assessment and learning</w:t>
      </w:r>
      <w:r w:rsidR="079BCE26" w:rsidRPr="1D29E44A">
        <w:rPr>
          <w:rFonts w:ascii="Calibri" w:eastAsia="Calibri" w:hAnsi="Calibri" w:cs="Calibri"/>
        </w:rPr>
        <w:t>-centred</w:t>
      </w:r>
      <w:r w:rsidRPr="1D29E44A">
        <w:rPr>
          <w:rFonts w:ascii="Calibri" w:hAnsi="Calibri" w:cs="Calibri"/>
          <w:lang w:eastAsia="zh-CN"/>
        </w:rPr>
        <w:t xml:space="preserve"> teaching practices. Topping (2009) defines </w:t>
      </w:r>
      <w:r w:rsidR="00A775C0">
        <w:rPr>
          <w:rFonts w:ascii="Calibri" w:hAnsi="Calibri" w:cs="Calibri"/>
          <w:lang w:eastAsia="zh-CN"/>
        </w:rPr>
        <w:t>the</w:t>
      </w:r>
      <w:r w:rsidR="009C6D55">
        <w:rPr>
          <w:rFonts w:ascii="Calibri" w:hAnsi="Calibri" w:cs="Calibri"/>
          <w:lang w:eastAsia="zh-CN"/>
        </w:rPr>
        <w:t xml:space="preserve"> process</w:t>
      </w:r>
      <w:r w:rsidRPr="1D29E44A">
        <w:rPr>
          <w:rFonts w:ascii="Calibri" w:hAnsi="Calibri" w:cs="Calibri"/>
          <w:lang w:eastAsia="zh-CN"/>
        </w:rPr>
        <w:t xml:space="preserve"> </w:t>
      </w:r>
      <w:r w:rsidR="00A775C0">
        <w:rPr>
          <w:rFonts w:ascii="Calibri" w:hAnsi="Calibri" w:cs="Calibri"/>
          <w:lang w:eastAsia="zh-CN"/>
        </w:rPr>
        <w:t>as</w:t>
      </w:r>
      <w:r w:rsidRPr="1D29E44A">
        <w:rPr>
          <w:rFonts w:ascii="Calibri" w:hAnsi="Calibri" w:cs="Calibri"/>
          <w:lang w:eastAsia="zh-CN"/>
        </w:rPr>
        <w:t xml:space="preserve"> learners evaluat</w:t>
      </w:r>
      <w:r w:rsidR="00A775C0">
        <w:rPr>
          <w:rFonts w:ascii="Calibri" w:hAnsi="Calibri" w:cs="Calibri"/>
          <w:lang w:eastAsia="zh-CN"/>
        </w:rPr>
        <w:t>ing</w:t>
      </w:r>
      <w:r w:rsidRPr="1D29E44A">
        <w:rPr>
          <w:rFonts w:ascii="Calibri" w:hAnsi="Calibri" w:cs="Calibri"/>
          <w:lang w:eastAsia="zh-CN"/>
        </w:rPr>
        <w:t xml:space="preserve"> the quality or value of work </w:t>
      </w:r>
      <w:r w:rsidR="00A775C0">
        <w:rPr>
          <w:rFonts w:ascii="Calibri" w:hAnsi="Calibri" w:cs="Calibri"/>
          <w:lang w:eastAsia="zh-CN"/>
        </w:rPr>
        <w:t>produced by</w:t>
      </w:r>
      <w:r w:rsidRPr="1D29E44A">
        <w:rPr>
          <w:rFonts w:ascii="Calibri" w:hAnsi="Calibri" w:cs="Calibri"/>
          <w:lang w:eastAsia="zh-CN"/>
        </w:rPr>
        <w:t xml:space="preserve"> peers of similar status. Crucially, </w:t>
      </w:r>
      <w:r w:rsidR="00991C30">
        <w:rPr>
          <w:rFonts w:ascii="Calibri" w:hAnsi="Calibri" w:cs="Calibri"/>
          <w:lang w:eastAsia="zh-CN"/>
        </w:rPr>
        <w:t>t</w:t>
      </w:r>
      <w:r w:rsidRPr="1D29E44A">
        <w:rPr>
          <w:rFonts w:ascii="Calibri" w:hAnsi="Calibri" w:cs="Calibri"/>
          <w:lang w:eastAsia="zh-CN"/>
        </w:rPr>
        <w:t xml:space="preserve">his definition distinguishes structured peer assessment from informal peer </w:t>
      </w:r>
      <w:r w:rsidR="411B0732" w:rsidRPr="1D29E44A">
        <w:rPr>
          <w:rFonts w:ascii="Calibri" w:eastAsia="Calibri" w:hAnsi="Calibri" w:cs="Calibri"/>
        </w:rPr>
        <w:t>feedback;</w:t>
      </w:r>
      <w:r w:rsidRPr="1D29E44A">
        <w:rPr>
          <w:rFonts w:ascii="Calibri" w:hAnsi="Calibri" w:cs="Calibri"/>
          <w:lang w:eastAsia="zh-CN"/>
        </w:rPr>
        <w:t xml:space="preserve"> it </w:t>
      </w:r>
      <w:r w:rsidR="00A775C0">
        <w:rPr>
          <w:rFonts w:ascii="Calibri" w:hAnsi="Calibri" w:cs="Calibri"/>
          <w:lang w:eastAsia="zh-CN"/>
        </w:rPr>
        <w:t>necessitates an</w:t>
      </w:r>
      <w:r w:rsidRPr="1D29E44A">
        <w:rPr>
          <w:rFonts w:ascii="Calibri" w:hAnsi="Calibri" w:cs="Calibri"/>
          <w:lang w:eastAsia="zh-CN"/>
        </w:rPr>
        <w:t xml:space="preserve"> engagement with explicit criteria, standards</w:t>
      </w:r>
      <w:r w:rsidR="00A775C0">
        <w:rPr>
          <w:rFonts w:ascii="Calibri" w:hAnsi="Calibri" w:cs="Calibri"/>
          <w:lang w:eastAsia="zh-CN"/>
        </w:rPr>
        <w:t>,</w:t>
      </w:r>
      <w:r w:rsidRPr="1D29E44A">
        <w:rPr>
          <w:rFonts w:ascii="Calibri" w:hAnsi="Calibri" w:cs="Calibri"/>
          <w:lang w:eastAsia="zh-CN"/>
        </w:rPr>
        <w:t xml:space="preserve"> and evaluative reasoning rather than </w:t>
      </w:r>
      <w:r w:rsidR="00A775C0">
        <w:rPr>
          <w:rFonts w:ascii="Calibri" w:hAnsi="Calibri" w:cs="Calibri"/>
          <w:lang w:eastAsia="zh-CN"/>
        </w:rPr>
        <w:t xml:space="preserve">relying on </w:t>
      </w:r>
      <w:r w:rsidR="0058165E" w:rsidRPr="1D29E44A">
        <w:rPr>
          <w:rFonts w:ascii="Calibri" w:hAnsi="Calibri" w:cs="Calibri"/>
          <w:lang w:eastAsia="zh-CN"/>
        </w:rPr>
        <w:t>unstructured</w:t>
      </w:r>
      <w:r w:rsidR="00A775C0">
        <w:rPr>
          <w:rFonts w:ascii="Calibri" w:hAnsi="Calibri" w:cs="Calibri"/>
          <w:lang w:eastAsia="zh-CN"/>
        </w:rPr>
        <w:t xml:space="preserve"> or s</w:t>
      </w:r>
      <w:r w:rsidR="0058165E" w:rsidRPr="1D29E44A">
        <w:rPr>
          <w:rFonts w:ascii="Calibri" w:hAnsi="Calibri" w:cs="Calibri"/>
          <w:lang w:eastAsia="zh-CN"/>
        </w:rPr>
        <w:t>pontaneous commentary. The educational value of peer assessment therefore lies not in the</w:t>
      </w:r>
      <w:r w:rsidR="004C63C4">
        <w:rPr>
          <w:rFonts w:ascii="Calibri" w:hAnsi="Calibri" w:cs="Calibri"/>
          <w:lang w:eastAsia="zh-CN"/>
        </w:rPr>
        <w:t xml:space="preserve"> final</w:t>
      </w:r>
      <w:r w:rsidR="0058165E" w:rsidRPr="1D29E44A">
        <w:rPr>
          <w:rFonts w:ascii="Calibri" w:hAnsi="Calibri" w:cs="Calibri"/>
          <w:lang w:eastAsia="zh-CN"/>
        </w:rPr>
        <w:t xml:space="preserve"> marks produced </w:t>
      </w:r>
      <w:r w:rsidR="284D95B5" w:rsidRPr="1D29E44A">
        <w:rPr>
          <w:rFonts w:ascii="Calibri" w:eastAsia="Calibri" w:hAnsi="Calibri" w:cs="Calibri"/>
        </w:rPr>
        <w:t>but in</w:t>
      </w:r>
      <w:r w:rsidR="003C41E8" w:rsidRPr="1D29E44A">
        <w:rPr>
          <w:rFonts w:ascii="Calibri" w:eastAsia="Calibri" w:hAnsi="Calibri" w:cs="Calibri"/>
        </w:rPr>
        <w:t xml:space="preserve"> the </w:t>
      </w:r>
      <w:r w:rsidR="004C63C4">
        <w:rPr>
          <w:rFonts w:ascii="Calibri" w:eastAsia="Calibri" w:hAnsi="Calibri" w:cs="Calibri"/>
        </w:rPr>
        <w:t xml:space="preserve">internal </w:t>
      </w:r>
      <w:r w:rsidR="36F2C677" w:rsidRPr="1D29E44A">
        <w:rPr>
          <w:rFonts w:ascii="Calibri" w:eastAsia="Calibri" w:hAnsi="Calibri" w:cs="Calibri"/>
        </w:rPr>
        <w:t>learning processes</w:t>
      </w:r>
      <w:r w:rsidR="0058165E" w:rsidRPr="1D29E44A">
        <w:rPr>
          <w:rFonts w:ascii="Calibri" w:hAnsi="Calibri" w:cs="Calibri"/>
          <w:lang w:eastAsia="zh-CN"/>
        </w:rPr>
        <w:t xml:space="preserve"> activated </w:t>
      </w:r>
      <w:r w:rsidR="00991C30">
        <w:rPr>
          <w:rFonts w:ascii="Calibri" w:hAnsi="Calibri" w:cs="Calibri"/>
          <w:lang w:eastAsia="zh-CN"/>
        </w:rPr>
        <w:t>through</w:t>
      </w:r>
      <w:r w:rsidR="0058165E" w:rsidRPr="1D29E44A">
        <w:rPr>
          <w:rFonts w:ascii="Calibri" w:hAnsi="Calibri" w:cs="Calibri"/>
          <w:lang w:eastAsia="zh-CN"/>
        </w:rPr>
        <w:t xml:space="preserve"> participation. </w:t>
      </w:r>
    </w:p>
    <w:p w14:paraId="7FFD4667" w14:textId="77777777" w:rsidR="000C33A6" w:rsidRDefault="000C33A6" w:rsidP="2ECDD186">
      <w:pPr>
        <w:spacing w:line="360" w:lineRule="auto"/>
        <w:jc w:val="both"/>
        <w:rPr>
          <w:rFonts w:ascii="Calibri" w:hAnsi="Calibri" w:cs="Calibri"/>
          <w:lang w:eastAsia="zh-CN"/>
        </w:rPr>
      </w:pPr>
    </w:p>
    <w:p w14:paraId="00F9AB04" w14:textId="189C328E" w:rsidR="0058165E" w:rsidRDefault="0058165E" w:rsidP="1D29E44A">
      <w:pPr>
        <w:spacing w:line="360" w:lineRule="auto"/>
        <w:jc w:val="both"/>
        <w:rPr>
          <w:rFonts w:ascii="Calibri" w:hAnsi="Calibri" w:cs="Calibri"/>
          <w:lang w:eastAsia="zh-CN"/>
        </w:rPr>
      </w:pPr>
      <w:r w:rsidRPr="1D29E44A">
        <w:rPr>
          <w:rFonts w:ascii="Calibri" w:hAnsi="Calibri" w:cs="Calibri"/>
          <w:lang w:eastAsia="zh-CN"/>
        </w:rPr>
        <w:t xml:space="preserve">Within </w:t>
      </w:r>
      <w:r w:rsidR="004C63C4">
        <w:rPr>
          <w:rFonts w:ascii="Calibri" w:hAnsi="Calibri" w:cs="Calibri"/>
          <w:lang w:eastAsia="zh-CN"/>
        </w:rPr>
        <w:t xml:space="preserve">the framework of </w:t>
      </w:r>
      <w:r w:rsidRPr="1D29E44A">
        <w:rPr>
          <w:rFonts w:ascii="Calibri" w:hAnsi="Calibri" w:cs="Calibri"/>
          <w:lang w:eastAsia="zh-CN"/>
        </w:rPr>
        <w:t xml:space="preserve">formative assessment theory, peer assessment </w:t>
      </w:r>
      <w:r w:rsidR="004C63C4">
        <w:rPr>
          <w:rFonts w:ascii="Calibri" w:hAnsi="Calibri" w:cs="Calibri"/>
          <w:lang w:eastAsia="zh-CN"/>
        </w:rPr>
        <w:t>serves</w:t>
      </w:r>
      <w:r w:rsidRPr="1D29E44A">
        <w:rPr>
          <w:rFonts w:ascii="Calibri" w:hAnsi="Calibri" w:cs="Calibri"/>
          <w:lang w:eastAsia="zh-CN"/>
        </w:rPr>
        <w:t xml:space="preserve"> as a </w:t>
      </w:r>
      <w:r w:rsidR="004C63C4">
        <w:rPr>
          <w:rFonts w:ascii="Calibri" w:hAnsi="Calibri" w:cs="Calibri"/>
          <w:lang w:eastAsia="zh-CN"/>
        </w:rPr>
        <w:t xml:space="preserve">critical </w:t>
      </w:r>
      <w:r w:rsidRPr="1D29E44A">
        <w:rPr>
          <w:rFonts w:ascii="Calibri" w:hAnsi="Calibri" w:cs="Calibri"/>
          <w:lang w:eastAsia="zh-CN"/>
        </w:rPr>
        <w:t xml:space="preserve">mechanism for enhancing learner autonomy and self-regulation. Black and Wiliam (1998) argue that formative assessment improves learning when learners understand success criteria and use evidence to track progress. Black et al. (2003) identify peer assessment as a core formative strategy alongside questioning and </w:t>
      </w:r>
      <w:r w:rsidR="6EC008AC" w:rsidRPr="1D29E44A">
        <w:rPr>
          <w:rFonts w:ascii="Calibri" w:eastAsia="Calibri" w:hAnsi="Calibri" w:cs="Calibri"/>
        </w:rPr>
        <w:t xml:space="preserve">feedback </w:t>
      </w:r>
      <w:r w:rsidR="00D94179">
        <w:rPr>
          <w:rFonts w:ascii="Calibri" w:eastAsia="Calibri" w:hAnsi="Calibri" w:cs="Calibri"/>
        </w:rPr>
        <w:t>as</w:t>
      </w:r>
      <w:r w:rsidRPr="1D29E44A">
        <w:rPr>
          <w:rFonts w:ascii="Calibri" w:hAnsi="Calibri" w:cs="Calibri"/>
          <w:lang w:eastAsia="zh-CN"/>
        </w:rPr>
        <w:t xml:space="preserve"> it enables learners to engage actively with standards rather than passively receiving feedback. </w:t>
      </w:r>
      <w:r w:rsidR="003C77DF">
        <w:rPr>
          <w:rFonts w:ascii="Calibri" w:hAnsi="Calibri" w:cs="Calibri"/>
          <w:lang w:eastAsia="zh-CN"/>
        </w:rPr>
        <w:t>Furthermore</w:t>
      </w:r>
      <w:r w:rsidR="004C63C4">
        <w:rPr>
          <w:rFonts w:ascii="Calibri" w:hAnsi="Calibri" w:cs="Calibri"/>
          <w:lang w:eastAsia="zh-CN"/>
        </w:rPr>
        <w:t xml:space="preserve">, </w:t>
      </w:r>
      <w:r w:rsidRPr="1D29E44A">
        <w:rPr>
          <w:rFonts w:ascii="Calibri" w:hAnsi="Calibri" w:cs="Calibri"/>
          <w:lang w:eastAsia="zh-CN"/>
        </w:rPr>
        <w:t xml:space="preserve">Wiliam (2018) </w:t>
      </w:r>
      <w:r w:rsidR="00813078">
        <w:rPr>
          <w:rFonts w:ascii="Calibri" w:hAnsi="Calibri" w:cs="Calibri"/>
          <w:lang w:eastAsia="zh-CN"/>
        </w:rPr>
        <w:t>contends that</w:t>
      </w:r>
      <w:r w:rsidRPr="1D29E44A">
        <w:rPr>
          <w:rFonts w:ascii="Calibri" w:hAnsi="Calibri" w:cs="Calibri"/>
          <w:lang w:eastAsia="zh-CN"/>
        </w:rPr>
        <w:t xml:space="preserve"> the most significant learning gains</w:t>
      </w:r>
      <w:r w:rsidR="004C63C4">
        <w:rPr>
          <w:rFonts w:ascii="Calibri" w:hAnsi="Calibri" w:cs="Calibri"/>
          <w:lang w:eastAsia="zh-CN"/>
        </w:rPr>
        <w:t xml:space="preserve"> often</w:t>
      </w:r>
      <w:r w:rsidRPr="1D29E44A">
        <w:rPr>
          <w:rFonts w:ascii="Calibri" w:hAnsi="Calibri" w:cs="Calibri"/>
          <w:lang w:eastAsia="zh-CN"/>
        </w:rPr>
        <w:t xml:space="preserve"> arise </w:t>
      </w:r>
      <w:r w:rsidR="5194463B" w:rsidRPr="1D29E44A">
        <w:rPr>
          <w:rFonts w:ascii="Calibri" w:eastAsia="Calibri" w:hAnsi="Calibri" w:cs="Calibri"/>
        </w:rPr>
        <w:t>not from</w:t>
      </w:r>
      <w:r w:rsidRPr="1D29E44A">
        <w:rPr>
          <w:rFonts w:ascii="Calibri" w:hAnsi="Calibri" w:cs="Calibri"/>
          <w:lang w:eastAsia="zh-CN"/>
        </w:rPr>
        <w:t xml:space="preserve"> the feedback received but </w:t>
      </w:r>
      <w:r w:rsidR="004C63C4">
        <w:rPr>
          <w:rFonts w:ascii="Calibri" w:hAnsi="Calibri" w:cs="Calibri"/>
          <w:lang w:eastAsia="zh-CN"/>
        </w:rPr>
        <w:t>the cognitive effort required to</w:t>
      </w:r>
      <w:r w:rsidRPr="1D29E44A">
        <w:rPr>
          <w:rFonts w:ascii="Calibri" w:hAnsi="Calibri" w:cs="Calibri"/>
          <w:lang w:eastAsia="zh-CN"/>
        </w:rPr>
        <w:t xml:space="preserve"> generat</w:t>
      </w:r>
      <w:r w:rsidR="004C63C4">
        <w:rPr>
          <w:rFonts w:ascii="Calibri" w:hAnsi="Calibri" w:cs="Calibri"/>
          <w:lang w:eastAsia="zh-CN"/>
        </w:rPr>
        <w:t xml:space="preserve">e </w:t>
      </w:r>
      <w:r w:rsidR="003C77DF">
        <w:rPr>
          <w:rFonts w:ascii="Calibri" w:hAnsi="Calibri" w:cs="Calibri"/>
          <w:lang w:eastAsia="zh-CN"/>
        </w:rPr>
        <w:t>it. T</w:t>
      </w:r>
      <w:r w:rsidRPr="1D29E44A">
        <w:rPr>
          <w:rFonts w:ascii="Calibri" w:hAnsi="Calibri" w:cs="Calibri"/>
          <w:lang w:eastAsia="zh-CN"/>
        </w:rPr>
        <w:t xml:space="preserve">he act of </w:t>
      </w:r>
      <w:r w:rsidR="00B6650C" w:rsidRPr="1D29E44A">
        <w:rPr>
          <w:rFonts w:ascii="Calibri" w:hAnsi="Calibri" w:cs="Calibri"/>
          <w:lang w:eastAsia="zh-CN"/>
        </w:rPr>
        <w:t>constructing</w:t>
      </w:r>
      <w:r w:rsidRPr="1D29E44A">
        <w:rPr>
          <w:rFonts w:ascii="Calibri" w:hAnsi="Calibri" w:cs="Calibri"/>
          <w:lang w:eastAsia="zh-CN"/>
        </w:rPr>
        <w:t xml:space="preserve"> feedback requires students to interpret criteria, compare performances, and articulate evaluative judgements, thereby strengthening metacognitive control over their own learning. </w:t>
      </w:r>
    </w:p>
    <w:p w14:paraId="6BBA806E" w14:textId="77777777" w:rsidR="00225F90" w:rsidRDefault="00225F90" w:rsidP="002447C4">
      <w:pPr>
        <w:spacing w:line="360" w:lineRule="auto"/>
        <w:jc w:val="both"/>
        <w:rPr>
          <w:rFonts w:ascii="Calibri" w:hAnsi="Calibri" w:cs="Calibri"/>
          <w:lang w:eastAsia="zh-CN"/>
        </w:rPr>
      </w:pPr>
    </w:p>
    <w:p w14:paraId="179351E0" w14:textId="53281A11" w:rsidR="00225F90" w:rsidRDefault="0058165E" w:rsidP="1D29E44A">
      <w:pPr>
        <w:spacing w:line="360" w:lineRule="auto"/>
        <w:jc w:val="both"/>
        <w:rPr>
          <w:rFonts w:ascii="Calibri" w:hAnsi="Calibri" w:cs="Calibri"/>
          <w:lang w:eastAsia="zh-CN"/>
        </w:rPr>
      </w:pPr>
      <w:r w:rsidRPr="1D29E44A">
        <w:rPr>
          <w:rFonts w:ascii="Calibri" w:hAnsi="Calibri" w:cs="Calibri"/>
          <w:lang w:eastAsia="zh-CN"/>
        </w:rPr>
        <w:t xml:space="preserve">This developmental interpretation is reinforced by Nicol, Thomson and Breslin </w:t>
      </w:r>
      <w:r w:rsidR="0FC32B95" w:rsidRPr="1D29E44A">
        <w:rPr>
          <w:rFonts w:ascii="Calibri" w:eastAsia="Calibri" w:hAnsi="Calibri" w:cs="Calibri"/>
        </w:rPr>
        <w:t>(2014),</w:t>
      </w:r>
      <w:r w:rsidRPr="1D29E44A">
        <w:rPr>
          <w:rFonts w:ascii="Calibri" w:hAnsi="Calibri" w:cs="Calibri"/>
          <w:lang w:eastAsia="zh-CN"/>
        </w:rPr>
        <w:t xml:space="preserve"> who agree that producing feedback </w:t>
      </w:r>
      <w:r w:rsidR="00A47F31">
        <w:rPr>
          <w:rFonts w:ascii="Calibri" w:hAnsi="Calibri" w:cs="Calibri"/>
          <w:lang w:eastAsia="zh-CN"/>
        </w:rPr>
        <w:t>has the potential to</w:t>
      </w:r>
      <w:r w:rsidRPr="1D29E44A">
        <w:rPr>
          <w:rFonts w:ascii="Calibri" w:hAnsi="Calibri" w:cs="Calibri"/>
          <w:lang w:eastAsia="zh-CN"/>
        </w:rPr>
        <w:t xml:space="preserve"> be more powerful for learning </w:t>
      </w:r>
      <w:r w:rsidR="43546BDA" w:rsidRPr="1D29E44A">
        <w:rPr>
          <w:rFonts w:ascii="Calibri" w:eastAsia="Calibri" w:hAnsi="Calibri" w:cs="Calibri"/>
        </w:rPr>
        <w:t>than</w:t>
      </w:r>
      <w:r w:rsidRPr="1D29E44A">
        <w:rPr>
          <w:rFonts w:ascii="Calibri" w:hAnsi="Calibri" w:cs="Calibri"/>
          <w:lang w:eastAsia="zh-CN"/>
        </w:rPr>
        <w:t xml:space="preserve"> receiving teacher feedback. Through processes of comparison and explanation, students generate what Nicol, Thomson and Breslin (2014)</w:t>
      </w:r>
      <w:r w:rsidR="002C6154" w:rsidRPr="1D29E44A">
        <w:rPr>
          <w:rFonts w:ascii="Calibri" w:hAnsi="Calibri" w:cs="Calibri"/>
          <w:lang w:eastAsia="zh-CN"/>
        </w:rPr>
        <w:t xml:space="preserve"> describe as internal feedback, refining their understanding of quality through </w:t>
      </w:r>
      <w:r w:rsidR="00B6650C" w:rsidRPr="1D29E44A">
        <w:rPr>
          <w:rFonts w:ascii="Calibri" w:hAnsi="Calibri" w:cs="Calibri"/>
          <w:lang w:eastAsia="zh-CN"/>
        </w:rPr>
        <w:t>engagement</w:t>
      </w:r>
      <w:r w:rsidR="002C6154" w:rsidRPr="1D29E44A">
        <w:rPr>
          <w:rFonts w:ascii="Calibri" w:hAnsi="Calibri" w:cs="Calibri"/>
          <w:lang w:eastAsia="zh-CN"/>
        </w:rPr>
        <w:t xml:space="preserve"> with multiple exemplars. Such activity supports the development of evaluative judgement, defined by Tai et al. (2018) as the capability to make informed </w:t>
      </w:r>
      <w:r w:rsidR="00B6650C" w:rsidRPr="1D29E44A">
        <w:rPr>
          <w:rFonts w:ascii="Calibri" w:hAnsi="Calibri" w:cs="Calibri"/>
          <w:lang w:eastAsia="zh-CN"/>
        </w:rPr>
        <w:t>decisions</w:t>
      </w:r>
      <w:r w:rsidR="002C6154" w:rsidRPr="1D29E44A">
        <w:rPr>
          <w:rFonts w:ascii="Calibri" w:hAnsi="Calibri" w:cs="Calibri"/>
          <w:lang w:eastAsia="zh-CN"/>
        </w:rPr>
        <w:t xml:space="preserve"> about the quality of work, both one’s own and that of others. They </w:t>
      </w:r>
      <w:r w:rsidR="003C77DF">
        <w:rPr>
          <w:rFonts w:ascii="Calibri" w:hAnsi="Calibri" w:cs="Calibri"/>
          <w:lang w:eastAsia="zh-CN"/>
        </w:rPr>
        <w:t>conclude</w:t>
      </w:r>
      <w:r w:rsidR="002C6154" w:rsidRPr="1D29E44A">
        <w:rPr>
          <w:rFonts w:ascii="Calibri" w:hAnsi="Calibri" w:cs="Calibri"/>
          <w:lang w:eastAsia="zh-CN"/>
        </w:rPr>
        <w:t xml:space="preserve"> that peer assessment provides repeated opportunities to exercise this </w:t>
      </w:r>
      <w:r w:rsidR="002C6154" w:rsidRPr="1D29E44A">
        <w:rPr>
          <w:rFonts w:ascii="Calibri" w:hAnsi="Calibri" w:cs="Calibri"/>
          <w:lang w:eastAsia="zh-CN"/>
        </w:rPr>
        <w:lastRenderedPageBreak/>
        <w:t xml:space="preserve">capability in authentic contexts, positioning students not merely as recipients of assessment but as </w:t>
      </w:r>
      <w:r w:rsidR="0087013B">
        <w:rPr>
          <w:rFonts w:ascii="Calibri" w:hAnsi="Calibri" w:cs="Calibri"/>
          <w:lang w:eastAsia="zh-CN"/>
        </w:rPr>
        <w:t xml:space="preserve">active </w:t>
      </w:r>
      <w:r w:rsidR="002C6154" w:rsidRPr="1D29E44A">
        <w:rPr>
          <w:rFonts w:ascii="Calibri" w:hAnsi="Calibri" w:cs="Calibri"/>
          <w:lang w:eastAsia="zh-CN"/>
        </w:rPr>
        <w:t xml:space="preserve">participants in evaluative practice. </w:t>
      </w:r>
    </w:p>
    <w:p w14:paraId="4518D611" w14:textId="77777777" w:rsidR="00DF4FF1" w:rsidRDefault="00DF4FF1" w:rsidP="2ECDD186">
      <w:pPr>
        <w:spacing w:line="360" w:lineRule="auto"/>
        <w:jc w:val="both"/>
        <w:rPr>
          <w:rFonts w:ascii="Calibri" w:hAnsi="Calibri" w:cs="Calibri"/>
          <w:lang w:eastAsia="zh-CN"/>
        </w:rPr>
      </w:pPr>
    </w:p>
    <w:p w14:paraId="75B5D6E7" w14:textId="7912A535" w:rsidR="002C6154" w:rsidRDefault="002C6154" w:rsidP="2ECDD186">
      <w:pPr>
        <w:spacing w:line="360" w:lineRule="auto"/>
        <w:jc w:val="both"/>
        <w:rPr>
          <w:rFonts w:ascii="Calibri" w:hAnsi="Calibri" w:cs="Calibri"/>
          <w:lang w:eastAsia="zh-CN"/>
        </w:rPr>
      </w:pPr>
      <w:r w:rsidRPr="2ECDD186">
        <w:rPr>
          <w:rFonts w:ascii="Calibri" w:hAnsi="Calibri" w:cs="Calibri"/>
          <w:lang w:eastAsia="zh-CN"/>
        </w:rPr>
        <w:t xml:space="preserve">Recent studies extend this argument further through the concept of feedback literacy. Han and Xu (2020) suggest that effective engagement with feedback </w:t>
      </w:r>
      <w:r w:rsidR="0272014F" w:rsidRPr="2ECDD186">
        <w:rPr>
          <w:rFonts w:ascii="Calibri" w:eastAsia="Calibri" w:hAnsi="Calibri" w:cs="Calibri"/>
        </w:rPr>
        <w:t>requires</w:t>
      </w:r>
      <w:r w:rsidRPr="2ECDD186">
        <w:rPr>
          <w:rFonts w:ascii="Calibri" w:hAnsi="Calibri" w:cs="Calibri"/>
          <w:lang w:eastAsia="zh-CN"/>
        </w:rPr>
        <w:t xml:space="preserve"> </w:t>
      </w:r>
      <w:r w:rsidR="003C77DF">
        <w:rPr>
          <w:rFonts w:ascii="Calibri" w:hAnsi="Calibri" w:cs="Calibri"/>
          <w:lang w:eastAsia="zh-CN"/>
        </w:rPr>
        <w:t xml:space="preserve">a </w:t>
      </w:r>
      <w:r w:rsidRPr="2ECDD186">
        <w:rPr>
          <w:rFonts w:ascii="Calibri" w:hAnsi="Calibri" w:cs="Calibri"/>
          <w:lang w:eastAsia="zh-CN"/>
        </w:rPr>
        <w:t xml:space="preserve">cognitive understanding of criteria, </w:t>
      </w:r>
      <w:r w:rsidR="003C77DF">
        <w:rPr>
          <w:rFonts w:ascii="Calibri" w:hAnsi="Calibri" w:cs="Calibri"/>
          <w:lang w:eastAsia="zh-CN"/>
        </w:rPr>
        <w:t xml:space="preserve">an </w:t>
      </w:r>
      <w:r w:rsidRPr="2ECDD186">
        <w:rPr>
          <w:rFonts w:ascii="Calibri" w:hAnsi="Calibri" w:cs="Calibri"/>
          <w:lang w:eastAsia="zh-CN"/>
        </w:rPr>
        <w:t xml:space="preserve">affective readiness to engage with critique, and </w:t>
      </w:r>
      <w:r w:rsidR="003C77DF">
        <w:rPr>
          <w:rFonts w:ascii="Calibri" w:hAnsi="Calibri" w:cs="Calibri"/>
          <w:lang w:eastAsia="zh-CN"/>
        </w:rPr>
        <w:t xml:space="preserve">the </w:t>
      </w:r>
      <w:r w:rsidRPr="2ECDD186">
        <w:rPr>
          <w:rFonts w:ascii="Calibri" w:hAnsi="Calibri" w:cs="Calibri"/>
          <w:lang w:eastAsia="zh-CN"/>
        </w:rPr>
        <w:t xml:space="preserve">social capacity to participate in dialogue. Little et al. (2025) </w:t>
      </w:r>
      <w:r w:rsidR="00B6650C" w:rsidRPr="2ECDD186">
        <w:rPr>
          <w:rFonts w:ascii="Calibri" w:hAnsi="Calibri" w:cs="Calibri"/>
          <w:lang w:eastAsia="zh-CN"/>
        </w:rPr>
        <w:t>similarly</w:t>
      </w:r>
      <w:r w:rsidRPr="2ECDD186">
        <w:rPr>
          <w:rFonts w:ascii="Calibri" w:hAnsi="Calibri" w:cs="Calibri"/>
          <w:lang w:eastAsia="zh-CN"/>
        </w:rPr>
        <w:t xml:space="preserve"> </w:t>
      </w:r>
      <w:r w:rsidR="672B42BE" w:rsidRPr="2ECDD186">
        <w:rPr>
          <w:rFonts w:ascii="Calibri" w:eastAsia="Calibri" w:hAnsi="Calibri" w:cs="Calibri"/>
        </w:rPr>
        <w:t>emphasise</w:t>
      </w:r>
      <w:r w:rsidRPr="2ECDD186">
        <w:rPr>
          <w:rFonts w:ascii="Calibri" w:hAnsi="Calibri" w:cs="Calibri"/>
          <w:lang w:eastAsia="zh-CN"/>
        </w:rPr>
        <w:t xml:space="preserve"> that providing effective feedback demands clarity of purpose, sensitivity to socio-emotional dynamics, and the </w:t>
      </w:r>
      <w:r w:rsidR="00B6650C" w:rsidRPr="2ECDD186">
        <w:rPr>
          <w:rFonts w:ascii="Calibri" w:hAnsi="Calibri" w:cs="Calibri"/>
          <w:lang w:eastAsia="zh-CN"/>
        </w:rPr>
        <w:t>ability</w:t>
      </w:r>
      <w:r w:rsidRPr="2ECDD186">
        <w:rPr>
          <w:rFonts w:ascii="Calibri" w:hAnsi="Calibri" w:cs="Calibri"/>
          <w:lang w:eastAsia="zh-CN"/>
        </w:rPr>
        <w:t xml:space="preserve"> to construct actionable commentary. </w:t>
      </w:r>
      <w:r w:rsidR="003C77DF">
        <w:rPr>
          <w:rFonts w:ascii="Calibri" w:hAnsi="Calibri" w:cs="Calibri"/>
          <w:lang w:eastAsia="zh-CN"/>
        </w:rPr>
        <w:t>Collectively, t</w:t>
      </w:r>
      <w:r w:rsidRPr="2ECDD186">
        <w:rPr>
          <w:rFonts w:ascii="Calibri" w:hAnsi="Calibri" w:cs="Calibri"/>
          <w:lang w:eastAsia="zh-CN"/>
        </w:rPr>
        <w:t xml:space="preserve">hese perspectives collectively suggest that peer assessment </w:t>
      </w:r>
      <w:r w:rsidR="00B6650C" w:rsidRPr="2ECDD186">
        <w:rPr>
          <w:rFonts w:ascii="Calibri" w:hAnsi="Calibri" w:cs="Calibri"/>
          <w:lang w:eastAsia="zh-CN"/>
        </w:rPr>
        <w:t>functions</w:t>
      </w:r>
      <w:r w:rsidRPr="2ECDD186">
        <w:rPr>
          <w:rFonts w:ascii="Calibri" w:hAnsi="Calibri" w:cs="Calibri"/>
          <w:lang w:eastAsia="zh-CN"/>
        </w:rPr>
        <w:t xml:space="preserve"> as a developmental practice that cultivates </w:t>
      </w:r>
      <w:r w:rsidR="00BC47B2" w:rsidRPr="2ECDD186">
        <w:rPr>
          <w:rFonts w:ascii="Calibri" w:hAnsi="Calibri" w:cs="Calibri"/>
          <w:lang w:eastAsia="zh-CN"/>
        </w:rPr>
        <w:t xml:space="preserve">the </w:t>
      </w:r>
      <w:r w:rsidR="00BC3E5C" w:rsidRPr="2ECDD186">
        <w:rPr>
          <w:rFonts w:ascii="Calibri" w:hAnsi="Calibri" w:cs="Calibri"/>
          <w:lang w:eastAsia="zh-CN"/>
        </w:rPr>
        <w:t>capabilities</w:t>
      </w:r>
      <w:r w:rsidR="00BC47B2" w:rsidRPr="2ECDD186">
        <w:rPr>
          <w:rFonts w:ascii="Calibri" w:hAnsi="Calibri" w:cs="Calibri"/>
          <w:lang w:eastAsia="zh-CN"/>
        </w:rPr>
        <w:t xml:space="preserve"> required for independent learning, rather than as a replacement for teacher-led marking. </w:t>
      </w:r>
    </w:p>
    <w:p w14:paraId="0E38421C" w14:textId="77777777" w:rsidR="00225F90" w:rsidRDefault="00225F90" w:rsidP="002447C4">
      <w:pPr>
        <w:spacing w:line="360" w:lineRule="auto"/>
        <w:jc w:val="both"/>
        <w:rPr>
          <w:rFonts w:ascii="Calibri" w:hAnsi="Calibri" w:cs="Calibri"/>
          <w:lang w:eastAsia="zh-CN"/>
        </w:rPr>
      </w:pPr>
    </w:p>
    <w:p w14:paraId="664BD106" w14:textId="18EB1A47" w:rsidR="00225F90" w:rsidRDefault="0073770D" w:rsidP="1D29E44A">
      <w:pPr>
        <w:spacing w:line="360" w:lineRule="auto"/>
        <w:jc w:val="both"/>
        <w:rPr>
          <w:rFonts w:ascii="Calibri" w:hAnsi="Calibri" w:cs="Calibri"/>
          <w:lang w:eastAsia="zh-CN"/>
        </w:rPr>
      </w:pPr>
      <w:r w:rsidRPr="1D29E44A">
        <w:rPr>
          <w:rFonts w:ascii="Calibri" w:hAnsi="Calibri" w:cs="Calibri"/>
          <w:lang w:eastAsia="zh-CN"/>
        </w:rPr>
        <w:t xml:space="preserve">While </w:t>
      </w:r>
      <w:r w:rsidR="003C77DF">
        <w:rPr>
          <w:rFonts w:ascii="Calibri" w:hAnsi="Calibri" w:cs="Calibri"/>
          <w:lang w:eastAsia="zh-CN"/>
        </w:rPr>
        <w:t>these foundations are often linked with social constructivist perspectives,</w:t>
      </w:r>
      <w:r w:rsidRPr="1D29E44A">
        <w:rPr>
          <w:rFonts w:ascii="Calibri" w:hAnsi="Calibri" w:cs="Calibri"/>
          <w:lang w:eastAsia="zh-CN"/>
        </w:rPr>
        <w:t xml:space="preserve"> Reinholz (2016) offers a more </w:t>
      </w:r>
      <w:r w:rsidR="003C77DF">
        <w:rPr>
          <w:rFonts w:ascii="Calibri" w:hAnsi="Calibri" w:cs="Calibri"/>
          <w:lang w:eastAsia="zh-CN"/>
        </w:rPr>
        <w:t>structured</w:t>
      </w:r>
      <w:r w:rsidRPr="1D29E44A">
        <w:rPr>
          <w:rFonts w:ascii="Calibri" w:hAnsi="Calibri" w:cs="Calibri"/>
          <w:lang w:eastAsia="zh-CN"/>
        </w:rPr>
        <w:t xml:space="preserve"> explanation through the assessment cycle model. This model situates peer assessment within a structured process linking peer evaluation, </w:t>
      </w:r>
      <w:r w:rsidR="00966FC0" w:rsidRPr="1D29E44A">
        <w:rPr>
          <w:rFonts w:ascii="Calibri" w:hAnsi="Calibri" w:cs="Calibri"/>
          <w:lang w:eastAsia="zh-CN"/>
        </w:rPr>
        <w:t>self-assessment</w:t>
      </w:r>
      <w:r w:rsidRPr="1D29E44A">
        <w:rPr>
          <w:rFonts w:ascii="Calibri" w:hAnsi="Calibri" w:cs="Calibri"/>
          <w:lang w:eastAsia="zh-CN"/>
        </w:rPr>
        <w:t xml:space="preserve">, and subsequent performance. </w:t>
      </w:r>
      <w:r w:rsidR="004C63C4">
        <w:rPr>
          <w:rFonts w:ascii="Calibri" w:hAnsi="Calibri" w:cs="Calibri"/>
          <w:lang w:eastAsia="zh-CN"/>
        </w:rPr>
        <w:t xml:space="preserve">Reinholz (2016) </w:t>
      </w:r>
      <w:r w:rsidRPr="1D29E44A">
        <w:rPr>
          <w:rFonts w:ascii="Calibri" w:hAnsi="Calibri" w:cs="Calibri"/>
          <w:lang w:eastAsia="zh-CN"/>
        </w:rPr>
        <w:t xml:space="preserve">argues that repeated participation in this cycle enables learners to internalise standards and apply them autonomously, reinforcing the formative function of peer assessment in higher education. </w:t>
      </w:r>
    </w:p>
    <w:p w14:paraId="3C3BFD9D" w14:textId="7755E4F2" w:rsidR="00380EE7" w:rsidRDefault="00380EE7" w:rsidP="00380EE7">
      <w:pPr>
        <w:pStyle w:val="Heading3"/>
      </w:pPr>
      <w:r w:rsidRPr="00380EE7">
        <w:t>Evidence of Effectiveness in Higher Education</w:t>
      </w:r>
      <w:r w:rsidR="00556C7B">
        <w:t xml:space="preserve"> </w:t>
      </w:r>
    </w:p>
    <w:p w14:paraId="79566867" w14:textId="7E88FAA0" w:rsidR="000C219A" w:rsidRDefault="008C14D0" w:rsidP="1D29E44A">
      <w:pPr>
        <w:spacing w:line="360" w:lineRule="auto"/>
        <w:jc w:val="both"/>
        <w:rPr>
          <w:rFonts w:ascii="Calibri" w:hAnsi="Calibri" w:cs="Calibri"/>
          <w:lang w:eastAsia="zh-CN"/>
        </w:rPr>
      </w:pPr>
      <w:r w:rsidRPr="1D29E44A">
        <w:rPr>
          <w:rFonts w:ascii="Calibri" w:hAnsi="Calibri" w:cs="Calibri"/>
          <w:lang w:eastAsia="zh-CN"/>
        </w:rPr>
        <w:t xml:space="preserve">Various research projects examining the effectiveness of peer assessment in higher education </w:t>
      </w:r>
      <w:r w:rsidR="1A9EA5AD" w:rsidRPr="1D29E44A">
        <w:rPr>
          <w:rFonts w:ascii="Calibri" w:eastAsia="Calibri" w:hAnsi="Calibri" w:cs="Calibri"/>
        </w:rPr>
        <w:t>have</w:t>
      </w:r>
      <w:r w:rsidRPr="1D29E44A">
        <w:rPr>
          <w:rFonts w:ascii="Calibri" w:hAnsi="Calibri" w:cs="Calibri"/>
          <w:lang w:eastAsia="zh-CN"/>
        </w:rPr>
        <w:t xml:space="preserve"> produced broadly positive, though nuanced, findings. Early </w:t>
      </w:r>
      <w:r w:rsidR="00D938F3">
        <w:rPr>
          <w:rFonts w:ascii="Calibri" w:hAnsi="Calibri" w:cs="Calibri"/>
          <w:lang w:eastAsia="zh-CN"/>
        </w:rPr>
        <w:t xml:space="preserve">foundational </w:t>
      </w:r>
      <w:r w:rsidRPr="1D29E44A">
        <w:rPr>
          <w:rFonts w:ascii="Calibri" w:hAnsi="Calibri" w:cs="Calibri"/>
          <w:lang w:eastAsia="zh-CN"/>
        </w:rPr>
        <w:t xml:space="preserve">work by Falchikov and Goldfinch (2000) compared </w:t>
      </w:r>
      <w:r w:rsidR="66BC67B8" w:rsidRPr="1D29E44A">
        <w:rPr>
          <w:rFonts w:ascii="Calibri" w:eastAsia="Calibri" w:hAnsi="Calibri" w:cs="Calibri"/>
        </w:rPr>
        <w:t>peer</w:t>
      </w:r>
      <w:r w:rsidR="00D938F3">
        <w:rPr>
          <w:rFonts w:ascii="Calibri" w:eastAsia="Calibri" w:hAnsi="Calibri" w:cs="Calibri"/>
        </w:rPr>
        <w:t xml:space="preserve"> </w:t>
      </w:r>
      <w:r w:rsidRPr="1D29E44A">
        <w:rPr>
          <w:rFonts w:ascii="Calibri" w:hAnsi="Calibri" w:cs="Calibri"/>
          <w:lang w:eastAsia="zh-CN"/>
        </w:rPr>
        <w:t>and teacher</w:t>
      </w:r>
      <w:r w:rsidR="00D938F3">
        <w:rPr>
          <w:rFonts w:ascii="Calibri" w:eastAsia="Calibri" w:hAnsi="Calibri" w:cs="Calibri"/>
        </w:rPr>
        <w:t xml:space="preserve"> designated</w:t>
      </w:r>
      <w:r w:rsidRPr="1D29E44A">
        <w:rPr>
          <w:rFonts w:ascii="Calibri" w:hAnsi="Calibri" w:cs="Calibri"/>
          <w:lang w:eastAsia="zh-CN"/>
        </w:rPr>
        <w:t xml:space="preserve"> marks across multiple studies</w:t>
      </w:r>
      <w:r w:rsidR="00D938F3">
        <w:rPr>
          <w:rFonts w:ascii="Calibri" w:hAnsi="Calibri" w:cs="Calibri"/>
          <w:lang w:eastAsia="zh-CN"/>
        </w:rPr>
        <w:t xml:space="preserve">, identifying </w:t>
      </w:r>
      <w:r w:rsidRPr="1D29E44A">
        <w:rPr>
          <w:rFonts w:ascii="Calibri" w:hAnsi="Calibri" w:cs="Calibri"/>
          <w:lang w:eastAsia="zh-CN"/>
        </w:rPr>
        <w:t xml:space="preserve">strong levels of agreement when clear criteria and structured guidance </w:t>
      </w:r>
      <w:r w:rsidR="00D938F3">
        <w:rPr>
          <w:rFonts w:ascii="Calibri" w:hAnsi="Calibri" w:cs="Calibri"/>
          <w:lang w:eastAsia="zh-CN"/>
        </w:rPr>
        <w:t xml:space="preserve">are </w:t>
      </w:r>
      <w:r w:rsidRPr="1D29E44A">
        <w:rPr>
          <w:rFonts w:ascii="Calibri" w:hAnsi="Calibri" w:cs="Calibri"/>
          <w:lang w:eastAsia="zh-CN"/>
        </w:rPr>
        <w:t>provided. Their meta-analysis challenged assumptions that students are inherently unreliable assessors</w:t>
      </w:r>
      <w:r w:rsidR="00D938F3">
        <w:rPr>
          <w:rFonts w:ascii="Calibri" w:hAnsi="Calibri" w:cs="Calibri"/>
          <w:lang w:eastAsia="zh-CN"/>
        </w:rPr>
        <w:t xml:space="preserve">. Instead, it </w:t>
      </w:r>
      <w:r w:rsidRPr="1D29E44A">
        <w:rPr>
          <w:rFonts w:ascii="Calibri" w:hAnsi="Calibri" w:cs="Calibri"/>
          <w:lang w:eastAsia="zh-CN"/>
        </w:rPr>
        <w:t>demonstrated that</w:t>
      </w:r>
      <w:r w:rsidR="00D938F3">
        <w:rPr>
          <w:rFonts w:ascii="Calibri" w:hAnsi="Calibri" w:cs="Calibri"/>
          <w:lang w:eastAsia="zh-CN"/>
        </w:rPr>
        <w:t xml:space="preserve"> </w:t>
      </w:r>
      <w:r w:rsidRPr="1D29E44A">
        <w:rPr>
          <w:rFonts w:ascii="Calibri" w:hAnsi="Calibri" w:cs="Calibri"/>
          <w:lang w:eastAsia="zh-CN"/>
        </w:rPr>
        <w:t xml:space="preserve">under appropriate conditions, peer judgements can be as </w:t>
      </w:r>
      <w:r w:rsidR="16AED012" w:rsidRPr="1D29E44A">
        <w:rPr>
          <w:rFonts w:ascii="Calibri" w:eastAsia="Calibri" w:hAnsi="Calibri" w:cs="Calibri"/>
        </w:rPr>
        <w:t>val</w:t>
      </w:r>
      <w:r w:rsidR="00D938F3">
        <w:rPr>
          <w:rFonts w:ascii="Calibri" w:eastAsia="Calibri" w:hAnsi="Calibri" w:cs="Calibri"/>
        </w:rPr>
        <w:t>id</w:t>
      </w:r>
      <w:r w:rsidRPr="1D29E44A">
        <w:rPr>
          <w:rFonts w:ascii="Calibri" w:hAnsi="Calibri" w:cs="Calibri"/>
          <w:lang w:eastAsia="zh-CN"/>
        </w:rPr>
        <w:t xml:space="preserve"> as teacher assessments. However, the authors also emphasised that agreement was highest where tasks were well defined and marking criteria </w:t>
      </w:r>
      <w:r w:rsidR="00D938F3">
        <w:rPr>
          <w:rFonts w:ascii="Calibri" w:eastAsia="Calibri" w:hAnsi="Calibri" w:cs="Calibri"/>
        </w:rPr>
        <w:t xml:space="preserve">are </w:t>
      </w:r>
      <w:r w:rsidRPr="1D29E44A">
        <w:rPr>
          <w:rFonts w:ascii="Calibri" w:hAnsi="Calibri" w:cs="Calibri"/>
          <w:lang w:eastAsia="zh-CN"/>
        </w:rPr>
        <w:t>transparent, indicating that the reliability of peer assessment is contingent rather than automatic.</w:t>
      </w:r>
    </w:p>
    <w:p w14:paraId="34186236" w14:textId="77777777" w:rsidR="00225F90" w:rsidRDefault="00225F90" w:rsidP="008C14D0">
      <w:pPr>
        <w:spacing w:line="360" w:lineRule="auto"/>
        <w:jc w:val="both"/>
        <w:rPr>
          <w:rFonts w:ascii="Calibri" w:hAnsi="Calibri" w:cs="Calibri"/>
          <w:lang w:eastAsia="zh-CN"/>
        </w:rPr>
      </w:pPr>
    </w:p>
    <w:p w14:paraId="4ED56E4D" w14:textId="75992614" w:rsidR="008C14D0" w:rsidRDefault="003D3419" w:rsidP="008C14D0">
      <w:pPr>
        <w:spacing w:line="360" w:lineRule="auto"/>
        <w:jc w:val="both"/>
        <w:rPr>
          <w:rFonts w:ascii="Calibri" w:hAnsi="Calibri" w:cs="Calibri"/>
          <w:lang w:eastAsia="zh-CN"/>
        </w:rPr>
      </w:pPr>
      <w:r>
        <w:rPr>
          <w:rFonts w:ascii="Calibri" w:hAnsi="Calibri" w:cs="Calibri"/>
          <w:lang w:eastAsia="zh-CN"/>
        </w:rPr>
        <w:lastRenderedPageBreak/>
        <w:t>Building upon the studies around reliability, more recent studies have shifted their focus towards broader learning impacts</w:t>
      </w:r>
      <w:r w:rsidR="00D938F3">
        <w:rPr>
          <w:rFonts w:ascii="Calibri" w:hAnsi="Calibri" w:cs="Calibri"/>
          <w:lang w:eastAsia="zh-CN"/>
        </w:rPr>
        <w:t xml:space="preserve">.  </w:t>
      </w:r>
      <w:r w:rsidR="000C219A">
        <w:rPr>
          <w:rFonts w:ascii="Calibri" w:hAnsi="Calibri" w:cs="Calibri"/>
          <w:lang w:eastAsia="zh-CN"/>
        </w:rPr>
        <w:t>Li et al. (2020)</w:t>
      </w:r>
      <w:r w:rsidR="00D938F3">
        <w:rPr>
          <w:rFonts w:ascii="Calibri" w:hAnsi="Calibri" w:cs="Calibri"/>
          <w:lang w:eastAsia="zh-CN"/>
        </w:rPr>
        <w:t xml:space="preserve">, in </w:t>
      </w:r>
      <w:r w:rsidR="000C219A">
        <w:rPr>
          <w:rFonts w:ascii="Calibri" w:hAnsi="Calibri" w:cs="Calibri"/>
          <w:lang w:eastAsia="zh-CN"/>
        </w:rPr>
        <w:t>synthesising finding</w:t>
      </w:r>
      <w:r>
        <w:rPr>
          <w:rFonts w:ascii="Calibri" w:hAnsi="Calibri" w:cs="Calibri"/>
          <w:lang w:eastAsia="zh-CN"/>
        </w:rPr>
        <w:t xml:space="preserve">s </w:t>
      </w:r>
      <w:r w:rsidR="000C219A">
        <w:rPr>
          <w:rFonts w:ascii="Calibri" w:hAnsi="Calibri" w:cs="Calibri"/>
          <w:lang w:eastAsia="zh-CN"/>
        </w:rPr>
        <w:t xml:space="preserve">across various higher education contexts, reported a </w:t>
      </w:r>
      <w:r w:rsidR="00B6650C">
        <w:rPr>
          <w:rFonts w:ascii="Calibri" w:hAnsi="Calibri" w:cs="Calibri"/>
          <w:lang w:eastAsia="zh-CN"/>
        </w:rPr>
        <w:t>moderate</w:t>
      </w:r>
      <w:r w:rsidR="000C219A">
        <w:rPr>
          <w:rFonts w:ascii="Calibri" w:hAnsi="Calibri" w:cs="Calibri"/>
          <w:lang w:eastAsia="zh-CN"/>
        </w:rPr>
        <w:t xml:space="preserve"> positive effect of peer assessment on academic achievement, </w:t>
      </w:r>
      <w:r w:rsidR="00D938F3">
        <w:rPr>
          <w:rFonts w:ascii="Calibri" w:hAnsi="Calibri" w:cs="Calibri"/>
          <w:lang w:eastAsia="zh-CN"/>
        </w:rPr>
        <w:t>particularly</w:t>
      </w:r>
      <w:r w:rsidR="000C219A">
        <w:rPr>
          <w:rFonts w:ascii="Calibri" w:hAnsi="Calibri" w:cs="Calibri"/>
          <w:lang w:eastAsia="zh-CN"/>
        </w:rPr>
        <w:t xml:space="preserve"> where students </w:t>
      </w:r>
      <w:r w:rsidR="00D938F3">
        <w:rPr>
          <w:rFonts w:ascii="Calibri" w:hAnsi="Calibri" w:cs="Calibri"/>
          <w:lang w:eastAsia="zh-CN"/>
        </w:rPr>
        <w:t>are</w:t>
      </w:r>
      <w:r w:rsidR="000C219A">
        <w:rPr>
          <w:rFonts w:ascii="Calibri" w:hAnsi="Calibri" w:cs="Calibri"/>
          <w:lang w:eastAsia="zh-CN"/>
        </w:rPr>
        <w:t xml:space="preserve"> given explicit training and opportunities for </w:t>
      </w:r>
      <w:r w:rsidR="00CF3D5C">
        <w:rPr>
          <w:rFonts w:ascii="Calibri" w:hAnsi="Calibri" w:cs="Calibri"/>
          <w:lang w:eastAsia="zh-CN"/>
        </w:rPr>
        <w:t xml:space="preserve">structured </w:t>
      </w:r>
      <w:r w:rsidR="00B6650C">
        <w:rPr>
          <w:rFonts w:ascii="Calibri" w:hAnsi="Calibri" w:cs="Calibri"/>
          <w:lang w:eastAsia="zh-CN"/>
        </w:rPr>
        <w:t>engagement</w:t>
      </w:r>
      <w:r w:rsidR="00CF3D5C">
        <w:rPr>
          <w:rFonts w:ascii="Calibri" w:hAnsi="Calibri" w:cs="Calibri"/>
          <w:lang w:eastAsia="zh-CN"/>
        </w:rPr>
        <w:t>. In a similar fa</w:t>
      </w:r>
      <w:r w:rsidR="00B9629D">
        <w:rPr>
          <w:rFonts w:ascii="Calibri" w:hAnsi="Calibri" w:cs="Calibri"/>
          <w:lang w:eastAsia="zh-CN"/>
        </w:rPr>
        <w:t xml:space="preserve">shion, Huisman et al. (2019) conclude that peer feedback can produce learning gains that are </w:t>
      </w:r>
      <w:r w:rsidR="0060610C">
        <w:rPr>
          <w:rFonts w:ascii="Calibri" w:hAnsi="Calibri" w:cs="Calibri"/>
          <w:lang w:eastAsia="zh-CN"/>
        </w:rPr>
        <w:t>comparable</w:t>
      </w:r>
      <w:r w:rsidR="00B9629D">
        <w:rPr>
          <w:rFonts w:ascii="Calibri" w:hAnsi="Calibri" w:cs="Calibri"/>
          <w:lang w:eastAsia="zh-CN"/>
        </w:rPr>
        <w:t xml:space="preserve"> to teacher feedback, especially when integrated within revision </w:t>
      </w:r>
      <w:r w:rsidR="0060610C">
        <w:rPr>
          <w:rFonts w:ascii="Calibri" w:hAnsi="Calibri" w:cs="Calibri"/>
          <w:lang w:eastAsia="zh-CN"/>
        </w:rPr>
        <w:t>cycles</w:t>
      </w:r>
      <w:r w:rsidR="00B9629D">
        <w:rPr>
          <w:rFonts w:ascii="Calibri" w:hAnsi="Calibri" w:cs="Calibri"/>
          <w:lang w:eastAsia="zh-CN"/>
        </w:rPr>
        <w:t xml:space="preserve"> </w:t>
      </w:r>
      <w:r w:rsidR="0060610C">
        <w:rPr>
          <w:rFonts w:ascii="Calibri" w:hAnsi="Calibri" w:cs="Calibri"/>
          <w:lang w:eastAsia="zh-CN"/>
        </w:rPr>
        <w:t>rather</w:t>
      </w:r>
      <w:r w:rsidR="00B9629D">
        <w:rPr>
          <w:rFonts w:ascii="Calibri" w:hAnsi="Calibri" w:cs="Calibri"/>
          <w:lang w:eastAsia="zh-CN"/>
        </w:rPr>
        <w:t xml:space="preserve"> than delivered as a</w:t>
      </w:r>
      <w:r w:rsidR="00D938F3">
        <w:rPr>
          <w:rFonts w:ascii="Calibri" w:hAnsi="Calibri" w:cs="Calibri"/>
          <w:lang w:eastAsia="zh-CN"/>
        </w:rPr>
        <w:t>n isolated</w:t>
      </w:r>
      <w:r w:rsidR="00B9629D">
        <w:rPr>
          <w:rFonts w:ascii="Calibri" w:hAnsi="Calibri" w:cs="Calibri"/>
          <w:lang w:eastAsia="zh-CN"/>
        </w:rPr>
        <w:t xml:space="preserve"> one-off activity. These findings shift the focus from whether students can replicate teacher marks </w:t>
      </w:r>
      <w:r w:rsidR="001C1216">
        <w:rPr>
          <w:rFonts w:ascii="Calibri" w:hAnsi="Calibri" w:cs="Calibri"/>
          <w:lang w:eastAsia="zh-CN"/>
        </w:rPr>
        <w:t xml:space="preserve">to whether participation in peer assessment enhances the subsequent learning outcomes. </w:t>
      </w:r>
    </w:p>
    <w:p w14:paraId="13A591AE" w14:textId="77777777" w:rsidR="00225F90" w:rsidRDefault="00225F90" w:rsidP="008C14D0">
      <w:pPr>
        <w:spacing w:line="360" w:lineRule="auto"/>
        <w:jc w:val="both"/>
        <w:rPr>
          <w:rFonts w:ascii="Calibri" w:hAnsi="Calibri" w:cs="Calibri"/>
          <w:lang w:eastAsia="zh-CN"/>
        </w:rPr>
      </w:pPr>
    </w:p>
    <w:p w14:paraId="104888A6" w14:textId="47634296" w:rsidR="00225F90" w:rsidRDefault="001C1216" w:rsidP="1D29E44A">
      <w:pPr>
        <w:spacing w:line="360" w:lineRule="auto"/>
        <w:jc w:val="both"/>
        <w:rPr>
          <w:rFonts w:ascii="Calibri" w:hAnsi="Calibri" w:cs="Calibri"/>
          <w:lang w:eastAsia="zh-CN"/>
        </w:rPr>
      </w:pPr>
      <w:r w:rsidRPr="1D29E44A">
        <w:rPr>
          <w:rFonts w:ascii="Calibri" w:hAnsi="Calibri" w:cs="Calibri"/>
          <w:lang w:eastAsia="zh-CN"/>
        </w:rPr>
        <w:t xml:space="preserve">An overview of meta-analysis by Pellegrini (2020) further reinforces this position, arguing that peer </w:t>
      </w:r>
      <w:r w:rsidR="0060610C" w:rsidRPr="1D29E44A">
        <w:rPr>
          <w:rFonts w:ascii="Calibri" w:hAnsi="Calibri" w:cs="Calibri"/>
          <w:lang w:eastAsia="zh-CN"/>
        </w:rPr>
        <w:t>assessment</w:t>
      </w:r>
      <w:r w:rsidRPr="1D29E44A">
        <w:rPr>
          <w:rFonts w:ascii="Calibri" w:hAnsi="Calibri" w:cs="Calibri"/>
          <w:lang w:eastAsia="zh-CN"/>
        </w:rPr>
        <w:t xml:space="preserve"> </w:t>
      </w:r>
      <w:r w:rsidR="0060610C" w:rsidRPr="1D29E44A">
        <w:rPr>
          <w:rFonts w:ascii="Calibri" w:hAnsi="Calibri" w:cs="Calibri"/>
          <w:lang w:eastAsia="zh-CN"/>
        </w:rPr>
        <w:t>demonstrates</w:t>
      </w:r>
      <w:r w:rsidRPr="1D29E44A">
        <w:rPr>
          <w:rFonts w:ascii="Calibri" w:hAnsi="Calibri" w:cs="Calibri"/>
          <w:lang w:eastAsia="zh-CN"/>
        </w:rPr>
        <w:t xml:space="preserve"> consistent but moderate </w:t>
      </w:r>
      <w:r w:rsidR="0060610C" w:rsidRPr="1D29E44A">
        <w:rPr>
          <w:rFonts w:ascii="Calibri" w:hAnsi="Calibri" w:cs="Calibri"/>
          <w:lang w:eastAsia="zh-CN"/>
        </w:rPr>
        <w:t xml:space="preserve">effectiveness </w:t>
      </w:r>
      <w:r w:rsidRPr="1D29E44A">
        <w:rPr>
          <w:rFonts w:ascii="Calibri" w:hAnsi="Calibri" w:cs="Calibri"/>
          <w:lang w:eastAsia="zh-CN"/>
        </w:rPr>
        <w:t xml:space="preserve">across multiple disciplines. </w:t>
      </w:r>
      <w:r w:rsidR="003D3419">
        <w:rPr>
          <w:rFonts w:ascii="Calibri" w:hAnsi="Calibri" w:cs="Calibri"/>
          <w:lang w:eastAsia="zh-CN"/>
        </w:rPr>
        <w:t>Significantly</w:t>
      </w:r>
      <w:r w:rsidRPr="1D29E44A">
        <w:rPr>
          <w:rFonts w:ascii="Calibri" w:hAnsi="Calibri" w:cs="Calibri"/>
          <w:lang w:eastAsia="zh-CN"/>
        </w:rPr>
        <w:t xml:space="preserve">, Pellegrini (2020) </w:t>
      </w:r>
      <w:r w:rsidR="003D3419">
        <w:rPr>
          <w:rFonts w:ascii="Calibri" w:hAnsi="Calibri" w:cs="Calibri"/>
          <w:lang w:eastAsia="zh-CN"/>
        </w:rPr>
        <w:t>maintains</w:t>
      </w:r>
      <w:r w:rsidRPr="1D29E44A">
        <w:rPr>
          <w:rFonts w:ascii="Calibri" w:hAnsi="Calibri" w:cs="Calibri"/>
          <w:lang w:eastAsia="zh-CN"/>
        </w:rPr>
        <w:t xml:space="preserve"> that effect sizes vary considerably depending on contextual factors such as task complexity, feedback quality, scaffolding, and alignment with learning objectives. This documented variability suggests that peer assessment does not function as a universally effective </w:t>
      </w:r>
      <w:r w:rsidR="7FB3ACDC" w:rsidRPr="1D29E44A">
        <w:rPr>
          <w:rFonts w:ascii="Calibri" w:eastAsia="Calibri" w:hAnsi="Calibri" w:cs="Calibri"/>
        </w:rPr>
        <w:t>intervention;</w:t>
      </w:r>
      <w:r w:rsidRPr="1D29E44A">
        <w:rPr>
          <w:rFonts w:ascii="Calibri" w:hAnsi="Calibri" w:cs="Calibri"/>
          <w:lang w:eastAsia="zh-CN"/>
        </w:rPr>
        <w:t xml:space="preserve"> rather, its impact depends on how it is structured and embedded </w:t>
      </w:r>
      <w:r w:rsidR="0595E91F" w:rsidRPr="1D29E44A">
        <w:rPr>
          <w:rFonts w:ascii="Calibri" w:eastAsia="Calibri" w:hAnsi="Calibri" w:cs="Calibri"/>
        </w:rPr>
        <w:t>within</w:t>
      </w:r>
      <w:r w:rsidRPr="1D29E44A">
        <w:rPr>
          <w:rFonts w:ascii="Calibri" w:hAnsi="Calibri" w:cs="Calibri"/>
          <w:lang w:eastAsia="zh-CN"/>
        </w:rPr>
        <w:t xml:space="preserve"> broader pedagogical principles. </w:t>
      </w:r>
    </w:p>
    <w:p w14:paraId="647D3BF0" w14:textId="353D1F3C" w:rsidR="00380EE7" w:rsidRDefault="00380EE7" w:rsidP="0060610C">
      <w:pPr>
        <w:pStyle w:val="Heading3"/>
      </w:pPr>
      <w:r w:rsidRPr="00380EE7">
        <w:t>Implementation Challenges and Institutional Tensions</w:t>
      </w:r>
      <w:r w:rsidR="00BE3F4E">
        <w:t xml:space="preserve"> </w:t>
      </w:r>
    </w:p>
    <w:p w14:paraId="4B947AE3" w14:textId="19180DFF" w:rsidR="0060610C" w:rsidRDefault="0060610C" w:rsidP="1D29E44A">
      <w:pPr>
        <w:spacing w:line="360" w:lineRule="auto"/>
        <w:jc w:val="both"/>
        <w:rPr>
          <w:rFonts w:ascii="Calibri" w:hAnsi="Calibri" w:cs="Calibri"/>
          <w:lang w:eastAsia="zh-CN"/>
        </w:rPr>
      </w:pPr>
      <w:r w:rsidRPr="1D29E44A">
        <w:rPr>
          <w:rFonts w:ascii="Calibri" w:hAnsi="Calibri" w:cs="Calibri"/>
          <w:lang w:eastAsia="zh-CN"/>
        </w:rPr>
        <w:t>Despite the</w:t>
      </w:r>
      <w:r w:rsidR="00556C7B">
        <w:rPr>
          <w:rFonts w:ascii="Calibri" w:hAnsi="Calibri" w:cs="Calibri"/>
          <w:lang w:eastAsia="zh-CN"/>
        </w:rPr>
        <w:t xml:space="preserve"> documented</w:t>
      </w:r>
      <w:r w:rsidRPr="1D29E44A">
        <w:rPr>
          <w:rFonts w:ascii="Calibri" w:hAnsi="Calibri" w:cs="Calibri"/>
          <w:lang w:eastAsia="zh-CN"/>
        </w:rPr>
        <w:t xml:space="preserve"> developmental potential of peer assessment, </w:t>
      </w:r>
      <w:r w:rsidR="00B6650C" w:rsidRPr="1D29E44A">
        <w:rPr>
          <w:rFonts w:ascii="Calibri" w:hAnsi="Calibri" w:cs="Calibri"/>
          <w:lang w:eastAsia="zh-CN"/>
        </w:rPr>
        <w:t>its</w:t>
      </w:r>
      <w:r w:rsidRPr="1D29E44A">
        <w:rPr>
          <w:rFonts w:ascii="Calibri" w:hAnsi="Calibri" w:cs="Calibri"/>
          <w:lang w:eastAsia="zh-CN"/>
        </w:rPr>
        <w:t xml:space="preserve"> implementation within higher education remains</w:t>
      </w:r>
      <w:r w:rsidR="00556C7B">
        <w:rPr>
          <w:rFonts w:ascii="Calibri" w:hAnsi="Calibri" w:cs="Calibri"/>
          <w:lang w:eastAsia="zh-CN"/>
        </w:rPr>
        <w:t xml:space="preserve"> notably</w:t>
      </w:r>
      <w:r w:rsidRPr="1D29E44A">
        <w:rPr>
          <w:rFonts w:ascii="Calibri" w:hAnsi="Calibri" w:cs="Calibri"/>
          <w:lang w:eastAsia="zh-CN"/>
        </w:rPr>
        <w:t xml:space="preserve"> inconsistent. </w:t>
      </w:r>
      <w:r w:rsidR="00562018" w:rsidRPr="1D29E44A">
        <w:rPr>
          <w:rFonts w:ascii="Calibri" w:hAnsi="Calibri" w:cs="Calibri"/>
          <w:lang w:eastAsia="zh-CN"/>
        </w:rPr>
        <w:t xml:space="preserve">Ashenafi </w:t>
      </w:r>
      <w:r w:rsidR="797CFA6A" w:rsidRPr="1D29E44A">
        <w:rPr>
          <w:rFonts w:ascii="Calibri" w:eastAsia="Calibri" w:hAnsi="Calibri" w:cs="Calibri"/>
        </w:rPr>
        <w:t>(2017),</w:t>
      </w:r>
      <w:r w:rsidR="00562018" w:rsidRPr="1D29E44A">
        <w:rPr>
          <w:rFonts w:ascii="Calibri" w:hAnsi="Calibri" w:cs="Calibri"/>
          <w:lang w:eastAsia="zh-CN"/>
        </w:rPr>
        <w:t xml:space="preserve"> when reviewing twenty-first</w:t>
      </w:r>
      <w:r w:rsidR="77212A9E" w:rsidRPr="1D29E44A">
        <w:rPr>
          <w:rFonts w:ascii="Calibri" w:eastAsia="Calibri" w:hAnsi="Calibri" w:cs="Calibri"/>
        </w:rPr>
        <w:t>-century</w:t>
      </w:r>
      <w:r w:rsidR="00562018" w:rsidRPr="1D29E44A">
        <w:rPr>
          <w:rFonts w:ascii="Calibri" w:hAnsi="Calibri" w:cs="Calibri"/>
          <w:lang w:eastAsia="zh-CN"/>
        </w:rPr>
        <w:t xml:space="preserve"> research, </w:t>
      </w:r>
      <w:r w:rsidR="00556C7B">
        <w:rPr>
          <w:rFonts w:ascii="Calibri" w:hAnsi="Calibri" w:cs="Calibri"/>
          <w:lang w:eastAsia="zh-CN"/>
        </w:rPr>
        <w:t>suggests</w:t>
      </w:r>
      <w:r w:rsidR="00562018" w:rsidRPr="1D29E44A">
        <w:rPr>
          <w:rFonts w:ascii="Calibri" w:hAnsi="Calibri" w:cs="Calibri"/>
          <w:lang w:eastAsia="zh-CN"/>
        </w:rPr>
        <w:t xml:space="preserve"> that widespread adoption has not occurred at the scale anticipated by early advocates of peer assessment. While theoretical and empirical literature emphasises the learning benefits, practical </w:t>
      </w:r>
      <w:r w:rsidR="00B6650C" w:rsidRPr="1D29E44A">
        <w:rPr>
          <w:rFonts w:ascii="Calibri" w:hAnsi="Calibri" w:cs="Calibri"/>
          <w:lang w:eastAsia="zh-CN"/>
        </w:rPr>
        <w:t>challenges</w:t>
      </w:r>
      <w:r w:rsidR="00562018" w:rsidRPr="1D29E44A">
        <w:rPr>
          <w:rFonts w:ascii="Calibri" w:hAnsi="Calibri" w:cs="Calibri"/>
          <w:lang w:eastAsia="zh-CN"/>
        </w:rPr>
        <w:t xml:space="preserve"> relating to scalability, workload, and assessment </w:t>
      </w:r>
      <w:r w:rsidR="00B6650C" w:rsidRPr="1D29E44A">
        <w:rPr>
          <w:rFonts w:ascii="Calibri" w:hAnsi="Calibri" w:cs="Calibri"/>
          <w:lang w:eastAsia="zh-CN"/>
        </w:rPr>
        <w:t>culture</w:t>
      </w:r>
      <w:r w:rsidR="00562018" w:rsidRPr="1D29E44A">
        <w:rPr>
          <w:rFonts w:ascii="Calibri" w:hAnsi="Calibri" w:cs="Calibri"/>
          <w:lang w:eastAsia="zh-CN"/>
        </w:rPr>
        <w:t xml:space="preserve"> continue to limit integration within higher education. This viewpoint suggests there is a persistent </w:t>
      </w:r>
      <w:r w:rsidR="00556C7B">
        <w:rPr>
          <w:rFonts w:ascii="Calibri" w:hAnsi="Calibri" w:cs="Calibri"/>
          <w:lang w:eastAsia="zh-CN"/>
        </w:rPr>
        <w:t>tension</w:t>
      </w:r>
      <w:r w:rsidR="00562018" w:rsidRPr="1D29E44A">
        <w:rPr>
          <w:rFonts w:ascii="Calibri" w:hAnsi="Calibri" w:cs="Calibri"/>
          <w:lang w:eastAsia="zh-CN"/>
        </w:rPr>
        <w:t xml:space="preserve"> between pedagogical theory and institutional practice. </w:t>
      </w:r>
    </w:p>
    <w:p w14:paraId="5AC424E5" w14:textId="77777777" w:rsidR="00225F90" w:rsidRDefault="00225F90" w:rsidP="0060610C">
      <w:pPr>
        <w:spacing w:line="360" w:lineRule="auto"/>
        <w:jc w:val="both"/>
        <w:rPr>
          <w:rFonts w:ascii="Calibri" w:hAnsi="Calibri" w:cs="Calibri"/>
          <w:lang w:eastAsia="zh-CN"/>
        </w:rPr>
      </w:pPr>
    </w:p>
    <w:p w14:paraId="661DC87F" w14:textId="5EB7B3C7" w:rsidR="00562018" w:rsidRDefault="00562018" w:rsidP="1D29E44A">
      <w:pPr>
        <w:spacing w:line="360" w:lineRule="auto"/>
        <w:jc w:val="both"/>
        <w:rPr>
          <w:rFonts w:ascii="Calibri" w:hAnsi="Calibri" w:cs="Calibri"/>
          <w:lang w:eastAsia="zh-CN"/>
        </w:rPr>
      </w:pPr>
      <w:r w:rsidRPr="1D29E44A">
        <w:rPr>
          <w:rFonts w:ascii="Calibri" w:hAnsi="Calibri" w:cs="Calibri"/>
          <w:lang w:eastAsia="zh-CN"/>
        </w:rPr>
        <w:t xml:space="preserve">Concerns regarding reliability and student capacity frequently </w:t>
      </w:r>
      <w:r w:rsidR="00B6650C" w:rsidRPr="1D29E44A">
        <w:rPr>
          <w:rFonts w:ascii="Calibri" w:hAnsi="Calibri" w:cs="Calibri"/>
          <w:lang w:eastAsia="zh-CN"/>
        </w:rPr>
        <w:t>shape</w:t>
      </w:r>
      <w:r w:rsidRPr="1D29E44A">
        <w:rPr>
          <w:rFonts w:ascii="Calibri" w:hAnsi="Calibri" w:cs="Calibri"/>
          <w:lang w:eastAsia="zh-CN"/>
        </w:rPr>
        <w:t xml:space="preserve"> academic attitudes towards peer assessment. Adachi, Tai, and Dawson </w:t>
      </w:r>
      <w:r w:rsidR="70DDA6BA" w:rsidRPr="1D29E44A">
        <w:rPr>
          <w:rFonts w:ascii="Calibri" w:eastAsia="Calibri" w:hAnsi="Calibri" w:cs="Calibri"/>
        </w:rPr>
        <w:t>(2018),</w:t>
      </w:r>
      <w:r w:rsidRPr="1D29E44A">
        <w:rPr>
          <w:rFonts w:ascii="Calibri" w:hAnsi="Calibri" w:cs="Calibri"/>
          <w:lang w:eastAsia="zh-CN"/>
        </w:rPr>
        <w:t xml:space="preserve"> </w:t>
      </w:r>
      <w:r w:rsidR="00607F8D" w:rsidRPr="1D29E44A">
        <w:rPr>
          <w:rFonts w:ascii="Calibri" w:hAnsi="Calibri" w:cs="Calibri"/>
          <w:lang w:eastAsia="zh-CN"/>
        </w:rPr>
        <w:t xml:space="preserve">when exploring staff perceptions, report that staff often recognise the potential to enhance student engagement and metacognitive development. However, these perceived benefits are </w:t>
      </w:r>
      <w:r w:rsidR="00556C7B">
        <w:rPr>
          <w:rFonts w:ascii="Calibri" w:hAnsi="Calibri" w:cs="Calibri"/>
          <w:lang w:eastAsia="zh-CN"/>
        </w:rPr>
        <w:t>tempered</w:t>
      </w:r>
      <w:r w:rsidR="00607F8D" w:rsidRPr="1D29E44A">
        <w:rPr>
          <w:rFonts w:ascii="Calibri" w:hAnsi="Calibri" w:cs="Calibri"/>
          <w:lang w:eastAsia="zh-CN"/>
        </w:rPr>
        <w:t xml:space="preserve"> by anxieties </w:t>
      </w:r>
      <w:r w:rsidR="00B6650C" w:rsidRPr="1D29E44A">
        <w:rPr>
          <w:rFonts w:ascii="Calibri" w:hAnsi="Calibri" w:cs="Calibri"/>
          <w:lang w:eastAsia="zh-CN"/>
        </w:rPr>
        <w:lastRenderedPageBreak/>
        <w:t>around</w:t>
      </w:r>
      <w:r w:rsidR="00607F8D" w:rsidRPr="1D29E44A">
        <w:rPr>
          <w:rFonts w:ascii="Calibri" w:hAnsi="Calibri" w:cs="Calibri"/>
          <w:lang w:eastAsia="zh-CN"/>
        </w:rPr>
        <w:t xml:space="preserve"> fairness, </w:t>
      </w:r>
      <w:r w:rsidR="1E460E80" w:rsidRPr="1D29E44A">
        <w:rPr>
          <w:rFonts w:ascii="Calibri" w:eastAsia="Calibri" w:hAnsi="Calibri" w:cs="Calibri"/>
        </w:rPr>
        <w:t>the potential</w:t>
      </w:r>
      <w:r w:rsidR="00607F8D" w:rsidRPr="1D29E44A">
        <w:rPr>
          <w:rFonts w:ascii="Calibri" w:hAnsi="Calibri" w:cs="Calibri"/>
          <w:lang w:eastAsia="zh-CN"/>
        </w:rPr>
        <w:t xml:space="preserve"> for mark inflation, and the additional time required to design </w:t>
      </w:r>
      <w:r w:rsidR="00B6650C" w:rsidRPr="1D29E44A">
        <w:rPr>
          <w:rFonts w:ascii="Calibri" w:hAnsi="Calibri" w:cs="Calibri"/>
          <w:lang w:eastAsia="zh-CN"/>
        </w:rPr>
        <w:t>and</w:t>
      </w:r>
      <w:r w:rsidR="00607F8D" w:rsidRPr="1D29E44A">
        <w:rPr>
          <w:rFonts w:ascii="Calibri" w:hAnsi="Calibri" w:cs="Calibri"/>
          <w:lang w:eastAsia="zh-CN"/>
        </w:rPr>
        <w:t xml:space="preserve"> monitor peer assessment </w:t>
      </w:r>
      <w:r w:rsidR="00BA3336" w:rsidRPr="1D29E44A">
        <w:rPr>
          <w:rFonts w:ascii="Calibri" w:hAnsi="Calibri" w:cs="Calibri"/>
          <w:lang w:eastAsia="zh-CN"/>
        </w:rPr>
        <w:t xml:space="preserve">activities to ensure they are meaningful. Adachi, Tai, and Dawson (2018) note that </w:t>
      </w:r>
      <w:r w:rsidR="00D445A2" w:rsidRPr="1D29E44A">
        <w:rPr>
          <w:rFonts w:ascii="Calibri" w:hAnsi="Calibri" w:cs="Calibri"/>
          <w:lang w:eastAsia="zh-CN"/>
        </w:rPr>
        <w:t>staff</w:t>
      </w:r>
      <w:r w:rsidR="00BA3336" w:rsidRPr="1D29E44A">
        <w:rPr>
          <w:rFonts w:ascii="Calibri" w:hAnsi="Calibri" w:cs="Calibri"/>
          <w:lang w:eastAsia="zh-CN"/>
        </w:rPr>
        <w:t xml:space="preserve"> expressed concerns that learners may lack the evaluative skills necessary to provide meaningful feedback for their peers without substantial guidance. These findings suggest that potential resistance </w:t>
      </w:r>
      <w:r w:rsidR="00B6650C" w:rsidRPr="1D29E44A">
        <w:rPr>
          <w:rFonts w:ascii="Calibri" w:hAnsi="Calibri" w:cs="Calibri"/>
          <w:lang w:eastAsia="zh-CN"/>
        </w:rPr>
        <w:t>towards</w:t>
      </w:r>
      <w:r w:rsidR="00BA3336" w:rsidRPr="1D29E44A">
        <w:rPr>
          <w:rFonts w:ascii="Calibri" w:hAnsi="Calibri" w:cs="Calibri"/>
          <w:lang w:eastAsia="zh-CN"/>
        </w:rPr>
        <w:t xml:space="preserve"> peer assessment is not about the pedagogical theory </w:t>
      </w:r>
      <w:r w:rsidR="00B6650C" w:rsidRPr="1D29E44A">
        <w:rPr>
          <w:rFonts w:ascii="Calibri" w:hAnsi="Calibri" w:cs="Calibri"/>
          <w:lang w:eastAsia="zh-CN"/>
        </w:rPr>
        <w:t>itself but</w:t>
      </w:r>
      <w:r w:rsidR="00BA3336" w:rsidRPr="1D29E44A">
        <w:rPr>
          <w:rFonts w:ascii="Calibri" w:hAnsi="Calibri" w:cs="Calibri"/>
          <w:lang w:eastAsia="zh-CN"/>
        </w:rPr>
        <w:t xml:space="preserve"> often rooted in uncertainty around implementation quality and institutional accountability. </w:t>
      </w:r>
    </w:p>
    <w:p w14:paraId="6A3DE68B" w14:textId="77777777" w:rsidR="00225F90" w:rsidRDefault="00225F90" w:rsidP="0060610C">
      <w:pPr>
        <w:spacing w:line="360" w:lineRule="auto"/>
        <w:jc w:val="both"/>
        <w:rPr>
          <w:rFonts w:ascii="Calibri" w:hAnsi="Calibri" w:cs="Calibri"/>
          <w:lang w:eastAsia="zh-CN"/>
        </w:rPr>
      </w:pPr>
    </w:p>
    <w:p w14:paraId="19BFAD28" w14:textId="138BABB5" w:rsidR="00D445A2" w:rsidRDefault="00D445A2" w:rsidP="1D29E44A">
      <w:pPr>
        <w:spacing w:line="360" w:lineRule="auto"/>
        <w:jc w:val="both"/>
        <w:rPr>
          <w:rFonts w:ascii="Calibri" w:hAnsi="Calibri" w:cs="Calibri"/>
          <w:lang w:eastAsia="zh-CN"/>
        </w:rPr>
      </w:pPr>
      <w:r w:rsidRPr="1D29E44A">
        <w:rPr>
          <w:rFonts w:ascii="Calibri" w:hAnsi="Calibri" w:cs="Calibri"/>
          <w:lang w:eastAsia="zh-CN"/>
        </w:rPr>
        <w:t xml:space="preserve">Wanner and Palmer (2018) </w:t>
      </w:r>
      <w:r w:rsidR="00BE3F4E">
        <w:rPr>
          <w:rFonts w:ascii="Calibri" w:hAnsi="Calibri" w:cs="Calibri"/>
          <w:lang w:eastAsia="zh-CN"/>
        </w:rPr>
        <w:t>emphasise</w:t>
      </w:r>
      <w:r w:rsidRPr="1D29E44A">
        <w:rPr>
          <w:rFonts w:ascii="Calibri" w:hAnsi="Calibri" w:cs="Calibri"/>
          <w:lang w:eastAsia="zh-CN"/>
        </w:rPr>
        <w:t xml:space="preserve"> that the role of the teacher is central to </w:t>
      </w:r>
      <w:r w:rsidR="00BE3F4E" w:rsidRPr="1D29E44A">
        <w:rPr>
          <w:rFonts w:ascii="Calibri" w:hAnsi="Calibri" w:cs="Calibri"/>
          <w:lang w:eastAsia="zh-CN"/>
        </w:rPr>
        <w:t>success</w:t>
      </w:r>
      <w:r w:rsidR="00BE3F4E">
        <w:rPr>
          <w:rFonts w:ascii="Calibri" w:hAnsi="Calibri" w:cs="Calibri"/>
          <w:lang w:eastAsia="zh-CN"/>
        </w:rPr>
        <w:t xml:space="preserve"> and that </w:t>
      </w:r>
      <w:r w:rsidRPr="1D29E44A">
        <w:rPr>
          <w:rFonts w:ascii="Calibri" w:hAnsi="Calibri" w:cs="Calibri"/>
          <w:lang w:eastAsia="zh-CN"/>
        </w:rPr>
        <w:t xml:space="preserve">peer assessment cannot be implemented as a fully </w:t>
      </w:r>
      <w:r w:rsidR="00B6650C" w:rsidRPr="1D29E44A">
        <w:rPr>
          <w:rFonts w:ascii="Calibri" w:hAnsi="Calibri" w:cs="Calibri"/>
          <w:lang w:eastAsia="zh-CN"/>
        </w:rPr>
        <w:t>autonomous</w:t>
      </w:r>
      <w:r w:rsidRPr="1D29E44A">
        <w:rPr>
          <w:rFonts w:ascii="Calibri" w:hAnsi="Calibri" w:cs="Calibri"/>
          <w:lang w:eastAsia="zh-CN"/>
        </w:rPr>
        <w:t xml:space="preserve"> student </w:t>
      </w:r>
      <w:r w:rsidR="05C92AE4" w:rsidRPr="1D29E44A">
        <w:rPr>
          <w:rFonts w:ascii="Calibri" w:eastAsia="Calibri" w:hAnsi="Calibri" w:cs="Calibri"/>
        </w:rPr>
        <w:t>activity and</w:t>
      </w:r>
      <w:r w:rsidRPr="1D29E44A">
        <w:rPr>
          <w:rFonts w:ascii="Calibri" w:hAnsi="Calibri" w:cs="Calibri"/>
          <w:lang w:eastAsia="zh-CN"/>
        </w:rPr>
        <w:t xml:space="preserve"> instead state that it requires explicit modelling, structured criteria, and </w:t>
      </w:r>
      <w:r w:rsidR="260F56F7" w:rsidRPr="1D29E44A">
        <w:rPr>
          <w:rFonts w:ascii="Calibri" w:eastAsia="Calibri" w:hAnsi="Calibri" w:cs="Calibri"/>
        </w:rPr>
        <w:t>ongoing</w:t>
      </w:r>
      <w:r w:rsidRPr="1D29E44A">
        <w:rPr>
          <w:rFonts w:ascii="Calibri" w:hAnsi="Calibri" w:cs="Calibri"/>
          <w:lang w:eastAsia="zh-CN"/>
        </w:rPr>
        <w:t xml:space="preserve"> mediation from teachers. </w:t>
      </w:r>
      <w:r w:rsidR="00535E31">
        <w:rPr>
          <w:rFonts w:ascii="Calibri" w:hAnsi="Calibri" w:cs="Calibri"/>
          <w:lang w:eastAsia="zh-CN"/>
        </w:rPr>
        <w:t>The authors further</w:t>
      </w:r>
      <w:r w:rsidRPr="1D29E44A">
        <w:rPr>
          <w:rFonts w:ascii="Calibri" w:hAnsi="Calibri" w:cs="Calibri"/>
          <w:lang w:eastAsia="zh-CN"/>
        </w:rPr>
        <w:t xml:space="preserve"> suggest that teacher participation enhances both the credibility and effectiveness of peer assessment by </w:t>
      </w:r>
      <w:r w:rsidR="00B6650C" w:rsidRPr="1D29E44A">
        <w:rPr>
          <w:rFonts w:ascii="Calibri" w:hAnsi="Calibri" w:cs="Calibri"/>
          <w:lang w:eastAsia="zh-CN"/>
        </w:rPr>
        <w:t>legitimising</w:t>
      </w:r>
      <w:r w:rsidRPr="1D29E44A">
        <w:rPr>
          <w:rFonts w:ascii="Calibri" w:hAnsi="Calibri" w:cs="Calibri"/>
          <w:lang w:eastAsia="zh-CN"/>
        </w:rPr>
        <w:t xml:space="preserve"> the process and clarifying </w:t>
      </w:r>
      <w:r w:rsidR="00B6650C" w:rsidRPr="1D29E44A">
        <w:rPr>
          <w:rFonts w:ascii="Calibri" w:hAnsi="Calibri" w:cs="Calibri"/>
          <w:lang w:eastAsia="zh-CN"/>
        </w:rPr>
        <w:t>expectations</w:t>
      </w:r>
      <w:r w:rsidRPr="1D29E44A">
        <w:rPr>
          <w:rFonts w:ascii="Calibri" w:hAnsi="Calibri" w:cs="Calibri"/>
          <w:lang w:eastAsia="zh-CN"/>
        </w:rPr>
        <w:t xml:space="preserve">. Without this scaffolding, it </w:t>
      </w:r>
      <w:r w:rsidR="00BE3F4E">
        <w:rPr>
          <w:rFonts w:ascii="Calibri" w:hAnsi="Calibri" w:cs="Calibri"/>
          <w:lang w:eastAsia="zh-CN"/>
        </w:rPr>
        <w:t>could be</w:t>
      </w:r>
      <w:r w:rsidRPr="1D29E44A">
        <w:rPr>
          <w:rFonts w:ascii="Calibri" w:hAnsi="Calibri" w:cs="Calibri"/>
          <w:lang w:eastAsia="zh-CN"/>
        </w:rPr>
        <w:t xml:space="preserve"> argued that </w:t>
      </w:r>
      <w:r w:rsidR="00BE3F4E">
        <w:rPr>
          <w:rFonts w:ascii="Calibri" w:hAnsi="Calibri" w:cs="Calibri"/>
          <w:lang w:eastAsia="zh-CN"/>
        </w:rPr>
        <w:t xml:space="preserve">there is a risk that </w:t>
      </w:r>
      <w:r w:rsidRPr="1D29E44A">
        <w:rPr>
          <w:rFonts w:ascii="Calibri" w:hAnsi="Calibri" w:cs="Calibri"/>
          <w:lang w:eastAsia="zh-CN"/>
        </w:rPr>
        <w:t xml:space="preserve">students may perceive peer assessment as </w:t>
      </w:r>
      <w:r w:rsidR="00B6650C" w:rsidRPr="1D29E44A">
        <w:rPr>
          <w:rFonts w:ascii="Calibri" w:hAnsi="Calibri" w:cs="Calibri"/>
          <w:lang w:eastAsia="zh-CN"/>
        </w:rPr>
        <w:t>peripheral</w:t>
      </w:r>
      <w:r w:rsidRPr="1D29E44A">
        <w:rPr>
          <w:rFonts w:ascii="Calibri" w:hAnsi="Calibri" w:cs="Calibri"/>
          <w:lang w:eastAsia="zh-CN"/>
        </w:rPr>
        <w:t xml:space="preserve"> or </w:t>
      </w:r>
      <w:r w:rsidR="302D0423" w:rsidRPr="1D29E44A">
        <w:rPr>
          <w:rFonts w:ascii="Calibri" w:eastAsia="Calibri" w:hAnsi="Calibri" w:cs="Calibri"/>
        </w:rPr>
        <w:t>inauthentic,</w:t>
      </w:r>
      <w:r w:rsidRPr="1D29E44A">
        <w:rPr>
          <w:rFonts w:ascii="Calibri" w:hAnsi="Calibri" w:cs="Calibri"/>
          <w:lang w:eastAsia="zh-CN"/>
        </w:rPr>
        <w:t xml:space="preserve"> which has the potential to </w:t>
      </w:r>
      <w:r w:rsidR="00B6650C" w:rsidRPr="1D29E44A">
        <w:rPr>
          <w:rFonts w:ascii="Calibri" w:hAnsi="Calibri" w:cs="Calibri"/>
          <w:lang w:eastAsia="zh-CN"/>
        </w:rPr>
        <w:t>reduce</w:t>
      </w:r>
      <w:r w:rsidRPr="1D29E44A">
        <w:rPr>
          <w:rFonts w:ascii="Calibri" w:hAnsi="Calibri" w:cs="Calibri"/>
          <w:lang w:eastAsia="zh-CN"/>
        </w:rPr>
        <w:t xml:space="preserve"> engagement. </w:t>
      </w:r>
    </w:p>
    <w:p w14:paraId="2E4F3861" w14:textId="77777777" w:rsidR="00225F90" w:rsidRDefault="00225F90" w:rsidP="0060610C">
      <w:pPr>
        <w:spacing w:line="360" w:lineRule="auto"/>
        <w:jc w:val="both"/>
        <w:rPr>
          <w:rFonts w:ascii="Calibri" w:hAnsi="Calibri" w:cs="Calibri"/>
          <w:lang w:eastAsia="zh-CN"/>
        </w:rPr>
      </w:pPr>
    </w:p>
    <w:p w14:paraId="4E8F4501" w14:textId="7B22D1F9" w:rsidR="00D445A2" w:rsidRDefault="00D445A2" w:rsidP="1D29E44A">
      <w:pPr>
        <w:spacing w:line="360" w:lineRule="auto"/>
        <w:jc w:val="both"/>
        <w:rPr>
          <w:rFonts w:ascii="Calibri" w:hAnsi="Calibri" w:cs="Calibri"/>
          <w:lang w:eastAsia="zh-CN"/>
        </w:rPr>
      </w:pPr>
      <w:r w:rsidRPr="1D29E44A">
        <w:rPr>
          <w:rFonts w:ascii="Calibri" w:hAnsi="Calibri" w:cs="Calibri"/>
          <w:lang w:eastAsia="zh-CN"/>
        </w:rPr>
        <w:t xml:space="preserve">McGarr and </w:t>
      </w:r>
      <w:r w:rsidR="46B52B08" w:rsidRPr="1D29E44A">
        <w:rPr>
          <w:rFonts w:ascii="Calibri" w:eastAsia="Calibri" w:hAnsi="Calibri" w:cs="Calibri"/>
        </w:rPr>
        <w:t>Clifford</w:t>
      </w:r>
      <w:r w:rsidRPr="1D29E44A">
        <w:rPr>
          <w:rFonts w:ascii="Calibri" w:hAnsi="Calibri" w:cs="Calibri"/>
          <w:lang w:eastAsia="zh-CN"/>
        </w:rPr>
        <w:t xml:space="preserve"> (2013) argue that institutional cultures also shape how peer assessment is experienced. In a context where summative gradings dominate, both staff and learners may prioritise </w:t>
      </w:r>
      <w:r w:rsidR="00BE3F4E">
        <w:rPr>
          <w:rFonts w:ascii="Calibri" w:hAnsi="Calibri" w:cs="Calibri"/>
          <w:lang w:eastAsia="zh-CN"/>
        </w:rPr>
        <w:t xml:space="preserve">grade </w:t>
      </w:r>
      <w:r w:rsidRPr="1D29E44A">
        <w:rPr>
          <w:rFonts w:ascii="Calibri" w:hAnsi="Calibri" w:cs="Calibri"/>
          <w:lang w:eastAsia="zh-CN"/>
        </w:rPr>
        <w:t xml:space="preserve">accuracy and fairness over developmental benefits. This tension can lead to superficial participation, especially in cases where peer assessment contributes to final </w:t>
      </w:r>
      <w:r w:rsidR="2596D781" w:rsidRPr="1D29E44A">
        <w:rPr>
          <w:rFonts w:ascii="Calibri" w:eastAsia="Calibri" w:hAnsi="Calibri" w:cs="Calibri"/>
        </w:rPr>
        <w:t xml:space="preserve">marks. </w:t>
      </w:r>
      <w:r w:rsidR="00BE3F4E">
        <w:rPr>
          <w:rFonts w:ascii="Calibri" w:hAnsi="Calibri" w:cs="Calibri"/>
          <w:lang w:eastAsia="zh-CN"/>
        </w:rPr>
        <w:t>Their findings in</w:t>
      </w:r>
      <w:r w:rsidR="00C35FC4" w:rsidRPr="1D29E44A">
        <w:rPr>
          <w:rFonts w:ascii="Calibri" w:hAnsi="Calibri" w:cs="Calibri"/>
          <w:lang w:eastAsia="zh-CN"/>
        </w:rPr>
        <w:t>d</w:t>
      </w:r>
      <w:r w:rsidR="00BE3F4E">
        <w:rPr>
          <w:rFonts w:ascii="Calibri" w:hAnsi="Calibri" w:cs="Calibri"/>
          <w:lang w:eastAsia="zh-CN"/>
        </w:rPr>
        <w:t>icate</w:t>
      </w:r>
      <w:r w:rsidR="00C35FC4" w:rsidRPr="1D29E44A">
        <w:rPr>
          <w:rFonts w:ascii="Calibri" w:hAnsi="Calibri" w:cs="Calibri"/>
          <w:lang w:eastAsia="zh-CN"/>
        </w:rPr>
        <w:t xml:space="preserve"> that </w:t>
      </w:r>
      <w:r w:rsidR="00B6650C" w:rsidRPr="1D29E44A">
        <w:rPr>
          <w:rFonts w:ascii="Calibri" w:hAnsi="Calibri" w:cs="Calibri"/>
          <w:lang w:eastAsia="zh-CN"/>
        </w:rPr>
        <w:t>learners</w:t>
      </w:r>
      <w:r w:rsidR="00BE3F4E">
        <w:rPr>
          <w:rFonts w:ascii="Calibri" w:hAnsi="Calibri" w:cs="Calibri"/>
          <w:lang w:eastAsia="zh-CN"/>
        </w:rPr>
        <w:t xml:space="preserve"> also</w:t>
      </w:r>
      <w:r w:rsidR="00C35FC4" w:rsidRPr="1D29E44A">
        <w:rPr>
          <w:rFonts w:ascii="Calibri" w:hAnsi="Calibri" w:cs="Calibri"/>
          <w:lang w:eastAsia="zh-CN"/>
        </w:rPr>
        <w:t xml:space="preserve"> questioned the fairness of peer-generated marks, especially when such assessment carried summative weighting. These concerns highlight how established assessment cultures, which prioritise teacher authority and grade accuracy, can make the implementation of peer assessment difficult even when its formative value is recognised.</w:t>
      </w:r>
    </w:p>
    <w:p w14:paraId="3371401A" w14:textId="04E41C4A" w:rsidR="00380EE7" w:rsidRDefault="00380EE7" w:rsidP="00380EE7">
      <w:pPr>
        <w:pStyle w:val="Heading3"/>
      </w:pPr>
      <w:r w:rsidRPr="00380EE7">
        <w:t>Learner Perceptions and Relational Dynamics</w:t>
      </w:r>
      <w:r w:rsidR="00A42CA6">
        <w:t xml:space="preserve"> </w:t>
      </w:r>
    </w:p>
    <w:p w14:paraId="07A058B4" w14:textId="171E1E6E" w:rsidR="00193822" w:rsidRDefault="00763CF5" w:rsidP="1D29E44A">
      <w:pPr>
        <w:spacing w:line="360" w:lineRule="auto"/>
        <w:jc w:val="both"/>
        <w:rPr>
          <w:rFonts w:ascii="Calibri" w:hAnsi="Calibri" w:cs="Calibri"/>
          <w:lang w:eastAsia="zh-CN"/>
        </w:rPr>
      </w:pPr>
      <w:r w:rsidRPr="1D29E44A">
        <w:rPr>
          <w:rFonts w:ascii="Calibri" w:hAnsi="Calibri" w:cs="Calibri"/>
          <w:lang w:eastAsia="zh-CN"/>
        </w:rPr>
        <w:t xml:space="preserve">As previously discussed, McGarr and Clifford </w:t>
      </w:r>
      <w:r w:rsidR="00C35FC4" w:rsidRPr="1D29E44A">
        <w:rPr>
          <w:rFonts w:ascii="Calibri" w:hAnsi="Calibri" w:cs="Calibri"/>
          <w:lang w:eastAsia="zh-CN"/>
        </w:rPr>
        <w:t xml:space="preserve">(2013) </w:t>
      </w:r>
      <w:r w:rsidR="00535E31">
        <w:rPr>
          <w:rFonts w:ascii="Calibri" w:hAnsi="Calibri" w:cs="Calibri"/>
          <w:lang w:eastAsia="zh-CN"/>
        </w:rPr>
        <w:t xml:space="preserve">concluded </w:t>
      </w:r>
      <w:r w:rsidR="00C35FC4" w:rsidRPr="1D29E44A">
        <w:rPr>
          <w:rFonts w:ascii="Calibri" w:hAnsi="Calibri" w:cs="Calibri"/>
          <w:lang w:eastAsia="zh-CN"/>
        </w:rPr>
        <w:t xml:space="preserve">that learner perceptions can influence how peer assessment is experienced in practice. They report that students frequently express uncertainty about the reliability of peer assessment, </w:t>
      </w:r>
      <w:r w:rsidR="00535E31">
        <w:rPr>
          <w:rFonts w:ascii="Calibri" w:hAnsi="Calibri" w:cs="Calibri"/>
          <w:lang w:eastAsia="zh-CN"/>
        </w:rPr>
        <w:t xml:space="preserve">stemming </w:t>
      </w:r>
      <w:r w:rsidR="00C35FC4" w:rsidRPr="1D29E44A">
        <w:rPr>
          <w:rFonts w:ascii="Calibri" w:hAnsi="Calibri" w:cs="Calibri"/>
          <w:lang w:eastAsia="zh-CN"/>
        </w:rPr>
        <w:t xml:space="preserve">not </w:t>
      </w:r>
      <w:r w:rsidR="00991194">
        <w:rPr>
          <w:rFonts w:ascii="Calibri" w:hAnsi="Calibri" w:cs="Calibri"/>
          <w:lang w:eastAsia="zh-CN"/>
        </w:rPr>
        <w:t>only</w:t>
      </w:r>
      <w:r w:rsidR="00C35FC4" w:rsidRPr="1D29E44A">
        <w:rPr>
          <w:rFonts w:ascii="Calibri" w:hAnsi="Calibri" w:cs="Calibri"/>
          <w:lang w:eastAsia="zh-CN"/>
        </w:rPr>
        <w:t xml:space="preserve"> </w:t>
      </w:r>
      <w:r w:rsidR="00535E31">
        <w:rPr>
          <w:rFonts w:ascii="Calibri" w:hAnsi="Calibri" w:cs="Calibri"/>
          <w:lang w:eastAsia="zh-CN"/>
        </w:rPr>
        <w:t>from</w:t>
      </w:r>
      <w:r w:rsidR="00C35FC4" w:rsidRPr="1D29E44A">
        <w:rPr>
          <w:rFonts w:ascii="Calibri" w:hAnsi="Calibri" w:cs="Calibri"/>
          <w:lang w:eastAsia="zh-CN"/>
        </w:rPr>
        <w:t xml:space="preserve"> doubts over</w:t>
      </w:r>
      <w:r w:rsidR="00535E31">
        <w:rPr>
          <w:rFonts w:ascii="Calibri" w:hAnsi="Calibri" w:cs="Calibri"/>
          <w:lang w:eastAsia="zh-CN"/>
        </w:rPr>
        <w:t xml:space="preserve"> peer</w:t>
      </w:r>
      <w:r w:rsidR="00C35FC4" w:rsidRPr="1D29E44A">
        <w:rPr>
          <w:rFonts w:ascii="Calibri" w:hAnsi="Calibri" w:cs="Calibri"/>
          <w:lang w:eastAsia="zh-CN"/>
        </w:rPr>
        <w:t xml:space="preserve"> competence, but also due to </w:t>
      </w:r>
      <w:r w:rsidR="00535E31">
        <w:rPr>
          <w:rFonts w:ascii="Calibri" w:hAnsi="Calibri" w:cs="Calibri"/>
          <w:lang w:eastAsia="zh-CN"/>
        </w:rPr>
        <w:t>deep</w:t>
      </w:r>
      <w:r w:rsidR="00991194">
        <w:rPr>
          <w:rFonts w:ascii="Calibri" w:hAnsi="Calibri" w:cs="Calibri"/>
          <w:lang w:eastAsia="zh-CN"/>
        </w:rPr>
        <w:t>-</w:t>
      </w:r>
      <w:r w:rsidR="00535E31">
        <w:rPr>
          <w:rFonts w:ascii="Calibri" w:hAnsi="Calibri" w:cs="Calibri"/>
          <w:lang w:eastAsia="zh-CN"/>
        </w:rPr>
        <w:t xml:space="preserve">seated </w:t>
      </w:r>
      <w:r w:rsidR="00C35FC4" w:rsidRPr="1D29E44A">
        <w:rPr>
          <w:rFonts w:ascii="Calibri" w:hAnsi="Calibri" w:cs="Calibri"/>
          <w:lang w:eastAsia="zh-CN"/>
        </w:rPr>
        <w:t xml:space="preserve">discomfort with evaluating </w:t>
      </w:r>
      <w:r w:rsidR="00535E31">
        <w:rPr>
          <w:rFonts w:ascii="Calibri" w:hAnsi="Calibri" w:cs="Calibri"/>
          <w:lang w:eastAsia="zh-CN"/>
        </w:rPr>
        <w:lastRenderedPageBreak/>
        <w:t>classmates</w:t>
      </w:r>
      <w:r w:rsidR="00C35FC4" w:rsidRPr="1D29E44A">
        <w:rPr>
          <w:rFonts w:ascii="Calibri" w:hAnsi="Calibri" w:cs="Calibri"/>
          <w:lang w:eastAsia="zh-CN"/>
        </w:rPr>
        <w:t xml:space="preserve">. This </w:t>
      </w:r>
      <w:r w:rsidR="00535E31">
        <w:rPr>
          <w:rFonts w:ascii="Calibri" w:hAnsi="Calibri" w:cs="Calibri"/>
          <w:lang w:eastAsia="zh-CN"/>
        </w:rPr>
        <w:t>underscores</w:t>
      </w:r>
      <w:r w:rsidR="00C35FC4" w:rsidRPr="1D29E44A">
        <w:rPr>
          <w:rFonts w:ascii="Calibri" w:hAnsi="Calibri" w:cs="Calibri"/>
          <w:lang w:eastAsia="zh-CN"/>
        </w:rPr>
        <w:t xml:space="preserve"> the relational dimension of peer assessment, where social dynamics and confidence levels shape the extent to which students engage meaningfully with the process.</w:t>
      </w:r>
      <w:r w:rsidR="00535E31">
        <w:rPr>
          <w:rFonts w:ascii="Calibri" w:hAnsi="Calibri" w:cs="Calibri"/>
          <w:lang w:eastAsia="zh-CN"/>
        </w:rPr>
        <w:t xml:space="preserve"> </w:t>
      </w:r>
      <w:r w:rsidR="00193822" w:rsidRPr="1D29E44A">
        <w:rPr>
          <w:rFonts w:ascii="Calibri" w:hAnsi="Calibri" w:cs="Calibri"/>
          <w:lang w:eastAsia="zh-CN"/>
        </w:rPr>
        <w:t xml:space="preserve">Zhan (2024) examining </w:t>
      </w:r>
      <w:r w:rsidR="00535E31">
        <w:rPr>
          <w:rFonts w:ascii="Calibri" w:hAnsi="Calibri" w:cs="Calibri"/>
          <w:lang w:eastAsia="zh-CN"/>
        </w:rPr>
        <w:t>the process</w:t>
      </w:r>
      <w:r w:rsidR="00193822" w:rsidRPr="1D29E44A">
        <w:rPr>
          <w:rFonts w:ascii="Calibri" w:hAnsi="Calibri" w:cs="Calibri"/>
          <w:lang w:eastAsia="zh-CN"/>
        </w:rPr>
        <w:t xml:space="preserve"> from both assessor and recipient </w:t>
      </w:r>
      <w:r w:rsidR="7AD65F6C" w:rsidRPr="1D29E44A">
        <w:rPr>
          <w:rFonts w:ascii="Calibri" w:eastAsia="Calibri" w:hAnsi="Calibri" w:cs="Calibri"/>
        </w:rPr>
        <w:t>perspectives,</w:t>
      </w:r>
      <w:r w:rsidR="00193822" w:rsidRPr="1D29E44A">
        <w:rPr>
          <w:rFonts w:ascii="Calibri" w:hAnsi="Calibri" w:cs="Calibri"/>
          <w:lang w:eastAsia="zh-CN"/>
        </w:rPr>
        <w:t xml:space="preserve"> identified cognitive, affective, and relational challenges that can limit meaningful participation</w:t>
      </w:r>
      <w:r w:rsidR="00535E31">
        <w:rPr>
          <w:rFonts w:ascii="Calibri" w:hAnsi="Calibri" w:cs="Calibri"/>
          <w:lang w:eastAsia="zh-CN"/>
        </w:rPr>
        <w:t xml:space="preserve">. </w:t>
      </w:r>
      <w:r w:rsidR="00193822" w:rsidRPr="1D29E44A">
        <w:rPr>
          <w:rFonts w:ascii="Calibri" w:hAnsi="Calibri" w:cs="Calibri"/>
          <w:lang w:eastAsia="zh-CN"/>
        </w:rPr>
        <w:t xml:space="preserve">Students reported difficulty in interpreting criteria, hesitancy in delivering critical feedback and feelings of </w:t>
      </w:r>
      <w:r w:rsidR="00B6650C" w:rsidRPr="1D29E44A">
        <w:rPr>
          <w:rFonts w:ascii="Calibri" w:hAnsi="Calibri" w:cs="Calibri"/>
          <w:lang w:eastAsia="zh-CN"/>
        </w:rPr>
        <w:t>anxiety</w:t>
      </w:r>
      <w:r w:rsidR="00193822" w:rsidRPr="1D29E44A">
        <w:rPr>
          <w:rFonts w:ascii="Calibri" w:hAnsi="Calibri" w:cs="Calibri"/>
          <w:lang w:eastAsia="zh-CN"/>
        </w:rPr>
        <w:t xml:space="preserve"> </w:t>
      </w:r>
      <w:r w:rsidR="00B6650C" w:rsidRPr="1D29E44A">
        <w:rPr>
          <w:rFonts w:ascii="Calibri" w:hAnsi="Calibri" w:cs="Calibri"/>
          <w:lang w:eastAsia="zh-CN"/>
        </w:rPr>
        <w:t>regarding</w:t>
      </w:r>
      <w:r w:rsidR="00193822" w:rsidRPr="1D29E44A">
        <w:rPr>
          <w:rFonts w:ascii="Calibri" w:hAnsi="Calibri" w:cs="Calibri"/>
          <w:lang w:eastAsia="zh-CN"/>
        </w:rPr>
        <w:t xml:space="preserve"> peer judgement. </w:t>
      </w:r>
      <w:r w:rsidR="00535E31">
        <w:rPr>
          <w:rFonts w:ascii="Calibri" w:hAnsi="Calibri" w:cs="Calibri"/>
          <w:lang w:eastAsia="zh-CN"/>
        </w:rPr>
        <w:t xml:space="preserve">These </w:t>
      </w:r>
      <w:r w:rsidR="00193822" w:rsidRPr="1D29E44A">
        <w:rPr>
          <w:rFonts w:ascii="Calibri" w:hAnsi="Calibri" w:cs="Calibri"/>
          <w:lang w:eastAsia="zh-CN"/>
        </w:rPr>
        <w:t>issues are not just technical issues but socio-emotional, reflecting discomfort w</w:t>
      </w:r>
      <w:r w:rsidR="00B6650C" w:rsidRPr="1D29E44A">
        <w:rPr>
          <w:rFonts w:ascii="Calibri" w:hAnsi="Calibri" w:cs="Calibri"/>
          <w:lang w:eastAsia="zh-CN"/>
        </w:rPr>
        <w:t>ith</w:t>
      </w:r>
      <w:r w:rsidR="00193822" w:rsidRPr="1D29E44A">
        <w:rPr>
          <w:rFonts w:ascii="Calibri" w:hAnsi="Calibri" w:cs="Calibri"/>
          <w:lang w:eastAsia="zh-CN"/>
        </w:rPr>
        <w:t xml:space="preserve"> evaluative roles traditionally associated with teaching staff. Such findings align with Han and Xu’s (2020) argument that feedback literacy requires not </w:t>
      </w:r>
      <w:r w:rsidR="00B6650C" w:rsidRPr="1D29E44A">
        <w:rPr>
          <w:rFonts w:ascii="Calibri" w:hAnsi="Calibri" w:cs="Calibri"/>
          <w:lang w:eastAsia="zh-CN"/>
        </w:rPr>
        <w:t>only</w:t>
      </w:r>
      <w:r w:rsidR="00193822" w:rsidRPr="1D29E44A">
        <w:rPr>
          <w:rFonts w:ascii="Calibri" w:hAnsi="Calibri" w:cs="Calibri"/>
          <w:lang w:eastAsia="zh-CN"/>
        </w:rPr>
        <w:t xml:space="preserve"> an understanding of standards but also a readiness to engage with critique. </w:t>
      </w:r>
    </w:p>
    <w:p w14:paraId="1164A9AA" w14:textId="16834F00" w:rsidR="00193822" w:rsidRDefault="00193822" w:rsidP="00C35FC4">
      <w:pPr>
        <w:spacing w:line="360" w:lineRule="auto"/>
        <w:jc w:val="both"/>
        <w:rPr>
          <w:rFonts w:ascii="Calibri" w:hAnsi="Calibri" w:cs="Calibri"/>
          <w:lang w:eastAsia="zh-CN"/>
        </w:rPr>
      </w:pPr>
    </w:p>
    <w:p w14:paraId="30FF35F3" w14:textId="585C4A6B" w:rsidR="00C23566" w:rsidRDefault="00193822" w:rsidP="1D29E44A">
      <w:pPr>
        <w:spacing w:line="360" w:lineRule="auto"/>
        <w:jc w:val="both"/>
        <w:rPr>
          <w:rFonts w:ascii="Calibri" w:hAnsi="Calibri" w:cs="Calibri"/>
          <w:lang w:eastAsia="zh-CN"/>
        </w:rPr>
      </w:pPr>
      <w:r w:rsidRPr="1D29E44A">
        <w:rPr>
          <w:rFonts w:ascii="Calibri" w:hAnsi="Calibri" w:cs="Calibri"/>
          <w:lang w:eastAsia="zh-CN"/>
        </w:rPr>
        <w:t>Pa</w:t>
      </w:r>
      <w:r w:rsidR="00C61B0F" w:rsidRPr="1D29E44A">
        <w:rPr>
          <w:rFonts w:ascii="Calibri" w:hAnsi="Calibri" w:cs="Calibri"/>
          <w:lang w:eastAsia="zh-CN"/>
        </w:rPr>
        <w:t xml:space="preserve">nadero and </w:t>
      </w:r>
      <w:proofErr w:type="spellStart"/>
      <w:r w:rsidR="00C61B0F" w:rsidRPr="1D29E44A">
        <w:rPr>
          <w:rFonts w:ascii="Calibri" w:hAnsi="Calibri" w:cs="Calibri"/>
          <w:lang w:eastAsia="zh-CN"/>
        </w:rPr>
        <w:t>Alqassab</w:t>
      </w:r>
      <w:proofErr w:type="spellEnd"/>
      <w:r w:rsidR="00C61B0F" w:rsidRPr="1D29E44A">
        <w:rPr>
          <w:rFonts w:ascii="Calibri" w:hAnsi="Calibri" w:cs="Calibri"/>
          <w:lang w:eastAsia="zh-CN"/>
        </w:rPr>
        <w:t xml:space="preserve"> (2019) </w:t>
      </w:r>
      <w:r w:rsidR="00991194">
        <w:rPr>
          <w:rFonts w:ascii="Calibri" w:hAnsi="Calibri" w:cs="Calibri"/>
          <w:lang w:eastAsia="zh-CN"/>
        </w:rPr>
        <w:t>illustrate how</w:t>
      </w:r>
      <w:r w:rsidR="00C61B0F" w:rsidRPr="1D29E44A">
        <w:rPr>
          <w:rFonts w:ascii="Calibri" w:hAnsi="Calibri" w:cs="Calibri"/>
          <w:lang w:eastAsia="zh-CN"/>
        </w:rPr>
        <w:t xml:space="preserve"> relational </w:t>
      </w:r>
      <w:r w:rsidR="34C8614B" w:rsidRPr="1D29E44A">
        <w:rPr>
          <w:rFonts w:ascii="Calibri" w:eastAsia="Calibri" w:hAnsi="Calibri" w:cs="Calibri"/>
        </w:rPr>
        <w:t>dynamics</w:t>
      </w:r>
      <w:r w:rsidR="00C61B0F" w:rsidRPr="1D29E44A">
        <w:rPr>
          <w:rFonts w:ascii="Calibri" w:hAnsi="Calibri" w:cs="Calibri"/>
          <w:lang w:eastAsia="zh-CN"/>
        </w:rPr>
        <w:t xml:space="preserve"> further complicate participation. Their study </w:t>
      </w:r>
      <w:r w:rsidR="00991194">
        <w:rPr>
          <w:rFonts w:ascii="Calibri" w:hAnsi="Calibri" w:cs="Calibri"/>
          <w:lang w:eastAsia="zh-CN"/>
        </w:rPr>
        <w:t>suggests that</w:t>
      </w:r>
      <w:r w:rsidR="00C61B0F" w:rsidRPr="1D29E44A">
        <w:rPr>
          <w:rFonts w:ascii="Calibri" w:hAnsi="Calibri" w:cs="Calibri"/>
          <w:lang w:eastAsia="zh-CN"/>
        </w:rPr>
        <w:t xml:space="preserve"> familiarity and anonymity </w:t>
      </w:r>
      <w:r w:rsidR="00991194" w:rsidRPr="1D29E44A">
        <w:rPr>
          <w:rFonts w:ascii="Calibri" w:hAnsi="Calibri" w:cs="Calibri"/>
          <w:lang w:eastAsia="zh-CN"/>
        </w:rPr>
        <w:t>indicate</w:t>
      </w:r>
      <w:r w:rsidR="00C23566" w:rsidRPr="1D29E44A">
        <w:rPr>
          <w:rFonts w:ascii="Calibri" w:hAnsi="Calibri" w:cs="Calibri"/>
          <w:lang w:eastAsia="zh-CN"/>
        </w:rPr>
        <w:t xml:space="preserve"> that</w:t>
      </w:r>
      <w:r w:rsidR="00C61B0F" w:rsidRPr="1D29E44A">
        <w:rPr>
          <w:rFonts w:ascii="Calibri" w:hAnsi="Calibri" w:cs="Calibri"/>
          <w:lang w:eastAsia="zh-CN"/>
        </w:rPr>
        <w:t xml:space="preserve"> social proximity can both enhance and place </w:t>
      </w:r>
      <w:r w:rsidR="00C23566" w:rsidRPr="1D29E44A">
        <w:rPr>
          <w:rFonts w:ascii="Calibri" w:hAnsi="Calibri" w:cs="Calibri"/>
          <w:lang w:eastAsia="zh-CN"/>
        </w:rPr>
        <w:t>constraints</w:t>
      </w:r>
      <w:r w:rsidR="00C61B0F" w:rsidRPr="1D29E44A">
        <w:rPr>
          <w:rFonts w:ascii="Calibri" w:hAnsi="Calibri" w:cs="Calibri"/>
          <w:lang w:eastAsia="zh-CN"/>
        </w:rPr>
        <w:t xml:space="preserve"> on assessment practices. They found that familiarity between peers may increase comfort and openness, yet it can also reduce feedback objectivity. When looking at it from a different perspective, they found introducing anonymity for students may reduce social risk</w:t>
      </w:r>
      <w:r w:rsidR="08B6B354" w:rsidRPr="1D29E44A">
        <w:rPr>
          <w:rFonts w:ascii="Calibri" w:eastAsia="Calibri" w:hAnsi="Calibri" w:cs="Calibri"/>
        </w:rPr>
        <w:t>; however, they</w:t>
      </w:r>
      <w:r w:rsidR="00C61B0F" w:rsidRPr="1D29E44A">
        <w:rPr>
          <w:rFonts w:ascii="Calibri" w:hAnsi="Calibri" w:cs="Calibri"/>
          <w:lang w:eastAsia="zh-CN"/>
        </w:rPr>
        <w:t xml:space="preserve"> felt that it limited accountability and depth. These tensions highlight that peer assessment operates within complex social structures, and that interpersonal </w:t>
      </w:r>
      <w:r w:rsidR="00C23566" w:rsidRPr="1D29E44A">
        <w:rPr>
          <w:rFonts w:ascii="Calibri" w:hAnsi="Calibri" w:cs="Calibri"/>
          <w:lang w:eastAsia="zh-CN"/>
        </w:rPr>
        <w:t>relationships</w:t>
      </w:r>
      <w:r w:rsidR="00C61B0F" w:rsidRPr="1D29E44A">
        <w:rPr>
          <w:rFonts w:ascii="Calibri" w:hAnsi="Calibri" w:cs="Calibri"/>
          <w:lang w:eastAsia="zh-CN"/>
        </w:rPr>
        <w:t xml:space="preserve"> can shape the tone and substance of </w:t>
      </w:r>
      <w:r w:rsidR="09581FBB" w:rsidRPr="1D29E44A">
        <w:rPr>
          <w:rFonts w:ascii="Calibri" w:eastAsia="Calibri" w:hAnsi="Calibri" w:cs="Calibri"/>
        </w:rPr>
        <w:t>feedback.</w:t>
      </w:r>
      <w:r w:rsidR="00C61B0F" w:rsidRPr="1D29E44A">
        <w:rPr>
          <w:rFonts w:ascii="Calibri" w:hAnsi="Calibri" w:cs="Calibri"/>
          <w:lang w:eastAsia="zh-CN"/>
        </w:rPr>
        <w:t xml:space="preserve"> </w:t>
      </w:r>
      <w:r w:rsidR="00C23566" w:rsidRPr="1D29E44A">
        <w:rPr>
          <w:rFonts w:ascii="Calibri" w:hAnsi="Calibri" w:cs="Calibri"/>
          <w:lang w:eastAsia="zh-CN"/>
        </w:rPr>
        <w:t>This view is supported by To and Pan</w:t>
      </w:r>
      <w:r w:rsidR="20CCD9DF" w:rsidRPr="1D29E44A">
        <w:rPr>
          <w:rFonts w:ascii="Calibri" w:hAnsi="Calibri" w:cs="Calibri"/>
          <w:lang w:eastAsia="zh-CN"/>
        </w:rPr>
        <w:t>a</w:t>
      </w:r>
      <w:r w:rsidR="00C23566" w:rsidRPr="1D29E44A">
        <w:rPr>
          <w:rFonts w:ascii="Calibri" w:hAnsi="Calibri" w:cs="Calibri"/>
          <w:lang w:eastAsia="zh-CN"/>
        </w:rPr>
        <w:t xml:space="preserve">dero </w:t>
      </w:r>
      <w:r w:rsidR="10FF1B90" w:rsidRPr="1D29E44A">
        <w:rPr>
          <w:rFonts w:ascii="Calibri" w:eastAsia="Calibri" w:hAnsi="Calibri" w:cs="Calibri"/>
        </w:rPr>
        <w:t>(2019),</w:t>
      </w:r>
      <w:r w:rsidR="00C23566" w:rsidRPr="1D29E44A">
        <w:rPr>
          <w:rFonts w:ascii="Calibri" w:hAnsi="Calibri" w:cs="Calibri"/>
          <w:lang w:eastAsia="zh-CN"/>
        </w:rPr>
        <w:t xml:space="preserve"> who </w:t>
      </w:r>
      <w:r w:rsidR="00991194">
        <w:rPr>
          <w:rFonts w:ascii="Calibri" w:hAnsi="Calibri" w:cs="Calibri"/>
          <w:lang w:eastAsia="zh-CN"/>
        </w:rPr>
        <w:t>observe</w:t>
      </w:r>
      <w:r w:rsidR="00C23566" w:rsidRPr="1D29E44A">
        <w:rPr>
          <w:rFonts w:ascii="Calibri" w:hAnsi="Calibri" w:cs="Calibri"/>
          <w:lang w:eastAsia="zh-CN"/>
        </w:rPr>
        <w:t xml:space="preserve"> that socio-emotional factors are also evident in </w:t>
      </w:r>
      <w:r w:rsidR="00B6650C" w:rsidRPr="1D29E44A">
        <w:rPr>
          <w:rFonts w:ascii="Calibri" w:hAnsi="Calibri" w:cs="Calibri"/>
          <w:lang w:eastAsia="zh-CN"/>
        </w:rPr>
        <w:t>learners’</w:t>
      </w:r>
      <w:r w:rsidR="00C23566" w:rsidRPr="1D29E44A">
        <w:rPr>
          <w:rFonts w:ascii="Calibri" w:hAnsi="Calibri" w:cs="Calibri"/>
          <w:lang w:eastAsia="zh-CN"/>
        </w:rPr>
        <w:t xml:space="preserve"> experiences of giving versus receiving feedback. They found that providing feedback can generate </w:t>
      </w:r>
      <w:r w:rsidR="00991194">
        <w:rPr>
          <w:rFonts w:ascii="Calibri" w:hAnsi="Calibri" w:cs="Calibri"/>
          <w:lang w:eastAsia="zh-CN"/>
        </w:rPr>
        <w:t xml:space="preserve">significant </w:t>
      </w:r>
      <w:r w:rsidR="00C23566" w:rsidRPr="1D29E44A">
        <w:rPr>
          <w:rFonts w:ascii="Calibri" w:hAnsi="Calibri" w:cs="Calibri"/>
          <w:lang w:eastAsia="zh-CN"/>
        </w:rPr>
        <w:t xml:space="preserve">anxiety, </w:t>
      </w:r>
      <w:r w:rsidR="00BE2901" w:rsidRPr="1D29E44A">
        <w:rPr>
          <w:rFonts w:ascii="Calibri" w:hAnsi="Calibri" w:cs="Calibri"/>
          <w:lang w:eastAsia="zh-CN"/>
        </w:rPr>
        <w:t>particularly</w:t>
      </w:r>
      <w:r w:rsidR="00C23566" w:rsidRPr="1D29E44A">
        <w:rPr>
          <w:rFonts w:ascii="Calibri" w:hAnsi="Calibri" w:cs="Calibri"/>
          <w:lang w:eastAsia="zh-CN"/>
        </w:rPr>
        <w:t xml:space="preserve"> when critique is seen to be potentially damaging to peer relationships. </w:t>
      </w:r>
      <w:r w:rsidR="00991194">
        <w:rPr>
          <w:rFonts w:ascii="Calibri" w:hAnsi="Calibri" w:cs="Calibri"/>
          <w:lang w:eastAsia="zh-CN"/>
        </w:rPr>
        <w:t>Consequently, s</w:t>
      </w:r>
      <w:r w:rsidR="00C23566" w:rsidRPr="1D29E44A">
        <w:rPr>
          <w:rFonts w:ascii="Calibri" w:hAnsi="Calibri" w:cs="Calibri"/>
          <w:lang w:eastAsia="zh-CN"/>
        </w:rPr>
        <w:t>tudents may therefore soften criticisms or avoid in</w:t>
      </w:r>
      <w:r w:rsidR="3C8051CB" w:rsidRPr="1D29E44A">
        <w:rPr>
          <w:rFonts w:ascii="Calibri" w:eastAsia="Calibri" w:hAnsi="Calibri" w:cs="Calibri"/>
        </w:rPr>
        <w:t>-depth</w:t>
      </w:r>
      <w:r w:rsidR="00C23566" w:rsidRPr="1D29E44A">
        <w:rPr>
          <w:rFonts w:ascii="Calibri" w:hAnsi="Calibri" w:cs="Calibri"/>
          <w:lang w:eastAsia="zh-CN"/>
        </w:rPr>
        <w:t xml:space="preserve"> feedback discussions to preserve harmony, which can limit the learning value of peer assessment. To and Pan</w:t>
      </w:r>
      <w:r w:rsidR="76DD497D" w:rsidRPr="1D29E44A">
        <w:rPr>
          <w:rFonts w:ascii="Calibri" w:hAnsi="Calibri" w:cs="Calibri"/>
          <w:lang w:eastAsia="zh-CN"/>
        </w:rPr>
        <w:t>a</w:t>
      </w:r>
      <w:r w:rsidR="00C23566" w:rsidRPr="1D29E44A">
        <w:rPr>
          <w:rFonts w:ascii="Calibri" w:hAnsi="Calibri" w:cs="Calibri"/>
          <w:lang w:eastAsia="zh-CN"/>
        </w:rPr>
        <w:t xml:space="preserve">dero (2019) suggest that this pattern </w:t>
      </w:r>
      <w:r w:rsidR="00991194">
        <w:rPr>
          <w:rFonts w:ascii="Calibri" w:eastAsia="Calibri" w:hAnsi="Calibri" w:cs="Calibri"/>
        </w:rPr>
        <w:t>demonstrates that this</w:t>
      </w:r>
      <w:r w:rsidR="00C23566" w:rsidRPr="1D29E44A">
        <w:rPr>
          <w:rFonts w:ascii="Calibri" w:hAnsi="Calibri" w:cs="Calibri"/>
          <w:lang w:eastAsia="zh-CN"/>
        </w:rPr>
        <w:t xml:space="preserve"> discomfort may reflect transitional adjustment and lack of readiness for peer learning rather </w:t>
      </w:r>
      <w:r w:rsidR="008C202B" w:rsidRPr="1D29E44A">
        <w:rPr>
          <w:rFonts w:ascii="Calibri" w:hAnsi="Calibri" w:cs="Calibri"/>
          <w:lang w:eastAsia="zh-CN"/>
        </w:rPr>
        <w:t>than opposition</w:t>
      </w:r>
      <w:r w:rsidR="00C23566" w:rsidRPr="1D29E44A">
        <w:rPr>
          <w:rFonts w:ascii="Calibri" w:hAnsi="Calibri" w:cs="Calibri"/>
          <w:lang w:eastAsia="zh-CN"/>
        </w:rPr>
        <w:t xml:space="preserve"> to peer assessment and feedback. </w:t>
      </w:r>
    </w:p>
    <w:p w14:paraId="1AB4FE17" w14:textId="3E1DEE0B" w:rsidR="00380EE7" w:rsidRDefault="00380EE7" w:rsidP="00380EE7">
      <w:pPr>
        <w:pStyle w:val="Heading3"/>
      </w:pPr>
      <w:r w:rsidRPr="00380EE7">
        <w:t>Design Moderators and Conditions for Effective Practice</w:t>
      </w:r>
      <w:r w:rsidR="00A42CA6">
        <w:t xml:space="preserve"> </w:t>
      </w:r>
    </w:p>
    <w:p w14:paraId="37745647" w14:textId="5E040D92" w:rsidR="00640B4F" w:rsidRDefault="00225F90" w:rsidP="1D29E44A">
      <w:pPr>
        <w:spacing w:line="360" w:lineRule="auto"/>
        <w:jc w:val="both"/>
        <w:rPr>
          <w:rFonts w:ascii="Calibri" w:hAnsi="Calibri" w:cs="Calibri"/>
          <w:lang w:eastAsia="zh-CN"/>
        </w:rPr>
      </w:pPr>
      <w:r w:rsidRPr="1D29E44A">
        <w:rPr>
          <w:rFonts w:ascii="Calibri" w:hAnsi="Calibri" w:cs="Calibri"/>
          <w:lang w:eastAsia="zh-CN"/>
        </w:rPr>
        <w:t xml:space="preserve">Previous </w:t>
      </w:r>
      <w:r w:rsidR="00640B4F">
        <w:rPr>
          <w:rFonts w:ascii="Calibri" w:hAnsi="Calibri" w:cs="Calibri"/>
          <w:lang w:eastAsia="zh-CN"/>
        </w:rPr>
        <w:t>literature examined</w:t>
      </w:r>
      <w:r w:rsidRPr="1D29E44A">
        <w:rPr>
          <w:rFonts w:ascii="Calibri" w:hAnsi="Calibri" w:cs="Calibri"/>
          <w:lang w:eastAsia="zh-CN"/>
        </w:rPr>
        <w:t xml:space="preserve"> suggest</w:t>
      </w:r>
      <w:r w:rsidR="00640B4F">
        <w:rPr>
          <w:rFonts w:ascii="Calibri" w:hAnsi="Calibri" w:cs="Calibri"/>
          <w:lang w:eastAsia="zh-CN"/>
        </w:rPr>
        <w:t>s</w:t>
      </w:r>
      <w:r w:rsidRPr="1D29E44A">
        <w:rPr>
          <w:rFonts w:ascii="Calibri" w:hAnsi="Calibri" w:cs="Calibri"/>
          <w:lang w:eastAsia="zh-CN"/>
        </w:rPr>
        <w:t xml:space="preserve"> that peer assessment is neither inherently effective no</w:t>
      </w:r>
      <w:r w:rsidR="00640B4F">
        <w:rPr>
          <w:rFonts w:ascii="Calibri" w:hAnsi="Calibri" w:cs="Calibri"/>
          <w:lang w:eastAsia="zh-CN"/>
        </w:rPr>
        <w:t>r</w:t>
      </w:r>
      <w:r w:rsidRPr="1D29E44A">
        <w:rPr>
          <w:rFonts w:ascii="Calibri" w:hAnsi="Calibri" w:cs="Calibri"/>
          <w:lang w:eastAsia="zh-CN"/>
        </w:rPr>
        <w:t xml:space="preserve"> necessarily problematic, with </w:t>
      </w:r>
      <w:r w:rsidR="00640B4F">
        <w:rPr>
          <w:rFonts w:ascii="Calibri" w:hAnsi="Calibri" w:cs="Calibri"/>
          <w:lang w:eastAsia="zh-CN"/>
        </w:rPr>
        <w:t xml:space="preserve">its success being a product of intentional design and clear pedagogical scaffolding. </w:t>
      </w:r>
      <w:r w:rsidRPr="1D29E44A">
        <w:rPr>
          <w:rFonts w:ascii="Calibri" w:hAnsi="Calibri" w:cs="Calibri"/>
          <w:lang w:eastAsia="zh-CN"/>
        </w:rPr>
        <w:t xml:space="preserve"> Adachi, Tai and Dawson (2018)</w:t>
      </w:r>
      <w:r w:rsidR="003300EA" w:rsidRPr="1D29E44A">
        <w:rPr>
          <w:rFonts w:ascii="Calibri" w:hAnsi="Calibri" w:cs="Calibri"/>
          <w:lang w:eastAsia="zh-CN"/>
        </w:rPr>
        <w:t xml:space="preserve"> propose a comprehensive framework </w:t>
      </w:r>
      <w:r w:rsidR="003300EA" w:rsidRPr="1D29E44A">
        <w:rPr>
          <w:rFonts w:ascii="Calibri" w:hAnsi="Calibri" w:cs="Calibri"/>
          <w:lang w:eastAsia="zh-CN"/>
        </w:rPr>
        <w:lastRenderedPageBreak/>
        <w:t xml:space="preserve">for designing peer assessment, </w:t>
      </w:r>
      <w:r w:rsidR="00B6650C" w:rsidRPr="1D29E44A">
        <w:rPr>
          <w:rFonts w:ascii="Calibri" w:hAnsi="Calibri" w:cs="Calibri"/>
          <w:lang w:eastAsia="zh-CN"/>
        </w:rPr>
        <w:t>highlighting</w:t>
      </w:r>
      <w:r w:rsidR="003300EA" w:rsidRPr="1D29E44A">
        <w:rPr>
          <w:rFonts w:ascii="Calibri" w:hAnsi="Calibri" w:cs="Calibri"/>
          <w:lang w:eastAsia="zh-CN"/>
        </w:rPr>
        <w:t xml:space="preserve"> the importance of having alignment between learning outcomes, assessment tasks, feedback processes, and evaluative criteria. Their work underscores that peer assessment should be intentionally constructed rather than treated as </w:t>
      </w:r>
      <w:r w:rsidR="31C0BEC8" w:rsidRPr="1D29E44A">
        <w:rPr>
          <w:rFonts w:ascii="Calibri" w:eastAsia="Calibri" w:hAnsi="Calibri" w:cs="Calibri"/>
        </w:rPr>
        <w:t>a superficial</w:t>
      </w:r>
      <w:r w:rsidR="003300EA" w:rsidRPr="1D29E44A">
        <w:rPr>
          <w:rFonts w:ascii="Calibri" w:hAnsi="Calibri" w:cs="Calibri"/>
          <w:lang w:eastAsia="zh-CN"/>
        </w:rPr>
        <w:t xml:space="preserve"> bolt on </w:t>
      </w:r>
      <w:r w:rsidR="00640B4F">
        <w:rPr>
          <w:rFonts w:ascii="Calibri" w:hAnsi="Calibri" w:cs="Calibri"/>
          <w:lang w:eastAsia="zh-CN"/>
        </w:rPr>
        <w:t xml:space="preserve">to </w:t>
      </w:r>
      <w:r w:rsidR="003300EA" w:rsidRPr="1D29E44A">
        <w:rPr>
          <w:rFonts w:ascii="Calibri" w:hAnsi="Calibri" w:cs="Calibri"/>
          <w:lang w:eastAsia="zh-CN"/>
        </w:rPr>
        <w:t xml:space="preserve">assessment practice. </w:t>
      </w:r>
      <w:proofErr w:type="spellStart"/>
      <w:r w:rsidR="003300EA" w:rsidRPr="1D29E44A">
        <w:rPr>
          <w:rFonts w:ascii="Calibri" w:hAnsi="Calibri" w:cs="Calibri"/>
          <w:lang w:eastAsia="zh-CN"/>
        </w:rPr>
        <w:t>Fleckney</w:t>
      </w:r>
      <w:proofErr w:type="spellEnd"/>
      <w:r w:rsidR="003300EA" w:rsidRPr="1D29E44A">
        <w:rPr>
          <w:rFonts w:ascii="Calibri" w:hAnsi="Calibri" w:cs="Calibri"/>
          <w:lang w:eastAsia="zh-CN"/>
        </w:rPr>
        <w:t xml:space="preserve">, Thompson and Vaz-Serra (2025) conclude that successful peer assessment </w:t>
      </w:r>
      <w:r w:rsidR="00640B4F">
        <w:rPr>
          <w:rFonts w:ascii="Calibri" w:hAnsi="Calibri" w:cs="Calibri"/>
          <w:lang w:eastAsia="zh-CN"/>
        </w:rPr>
        <w:t>i</w:t>
      </w:r>
      <w:r w:rsidR="003300EA" w:rsidRPr="1D29E44A">
        <w:rPr>
          <w:rFonts w:ascii="Calibri" w:hAnsi="Calibri" w:cs="Calibri"/>
          <w:lang w:eastAsia="zh-CN"/>
        </w:rPr>
        <w:t>ncorporate</w:t>
      </w:r>
      <w:r w:rsidR="00640B4F">
        <w:rPr>
          <w:rFonts w:ascii="Calibri" w:hAnsi="Calibri" w:cs="Calibri"/>
          <w:lang w:eastAsia="zh-CN"/>
        </w:rPr>
        <w:t>s</w:t>
      </w:r>
      <w:r w:rsidR="003300EA" w:rsidRPr="1D29E44A">
        <w:rPr>
          <w:rFonts w:ascii="Calibri" w:hAnsi="Calibri" w:cs="Calibri"/>
          <w:lang w:eastAsia="zh-CN"/>
        </w:rPr>
        <w:t xml:space="preserve"> transparency, modelling of feedback practices, opportunities for revision, and clear communication of purpose. </w:t>
      </w:r>
      <w:r w:rsidR="0014295A" w:rsidRPr="1D29E44A">
        <w:rPr>
          <w:rFonts w:ascii="Calibri" w:hAnsi="Calibri" w:cs="Calibri"/>
          <w:lang w:eastAsia="zh-CN"/>
        </w:rPr>
        <w:t xml:space="preserve">In </w:t>
      </w:r>
      <w:r w:rsidR="00B6650C" w:rsidRPr="1D29E44A">
        <w:rPr>
          <w:rFonts w:ascii="Calibri" w:hAnsi="Calibri" w:cs="Calibri"/>
          <w:lang w:eastAsia="zh-CN"/>
        </w:rPr>
        <w:t>contrast</w:t>
      </w:r>
      <w:r w:rsidR="0014295A" w:rsidRPr="1D29E44A">
        <w:rPr>
          <w:rFonts w:ascii="Calibri" w:hAnsi="Calibri" w:cs="Calibri"/>
          <w:lang w:eastAsia="zh-CN"/>
        </w:rPr>
        <w:t xml:space="preserve">, Li et al (2020) found that outcomes were weaker when there was limited </w:t>
      </w:r>
      <w:r w:rsidR="2B0FAE17" w:rsidRPr="1D29E44A">
        <w:rPr>
          <w:rFonts w:ascii="Calibri" w:eastAsia="Calibri" w:hAnsi="Calibri" w:cs="Calibri"/>
        </w:rPr>
        <w:t>scaffolding or</w:t>
      </w:r>
      <w:r w:rsidR="0014295A" w:rsidRPr="1D29E44A">
        <w:rPr>
          <w:rFonts w:ascii="Calibri" w:hAnsi="Calibri" w:cs="Calibri"/>
          <w:lang w:eastAsia="zh-CN"/>
        </w:rPr>
        <w:t xml:space="preserve"> unclear expectations. </w:t>
      </w:r>
    </w:p>
    <w:p w14:paraId="04AFA2F2" w14:textId="77777777" w:rsidR="00640B4F" w:rsidRDefault="00640B4F" w:rsidP="1D29E44A">
      <w:pPr>
        <w:spacing w:line="360" w:lineRule="auto"/>
        <w:jc w:val="both"/>
        <w:rPr>
          <w:rFonts w:ascii="Calibri" w:hAnsi="Calibri" w:cs="Calibri"/>
          <w:lang w:eastAsia="zh-CN"/>
        </w:rPr>
      </w:pPr>
    </w:p>
    <w:p w14:paraId="40578AFC" w14:textId="35C6ECC4" w:rsidR="0014295A" w:rsidRDefault="00640B4F" w:rsidP="1D29E44A">
      <w:pPr>
        <w:spacing w:line="360" w:lineRule="auto"/>
        <w:jc w:val="both"/>
        <w:rPr>
          <w:rFonts w:ascii="Calibri" w:hAnsi="Calibri" w:cs="Calibri"/>
          <w:lang w:eastAsia="zh-CN"/>
        </w:rPr>
      </w:pPr>
      <w:r>
        <w:rPr>
          <w:rFonts w:ascii="Calibri" w:hAnsi="Calibri" w:cs="Calibri"/>
          <w:lang w:eastAsia="zh-CN"/>
        </w:rPr>
        <w:t xml:space="preserve">The role of explicit training and guidance is further highlighted by </w:t>
      </w:r>
      <w:r w:rsidR="0014295A" w:rsidRPr="1D29E44A">
        <w:rPr>
          <w:rFonts w:ascii="Calibri" w:hAnsi="Calibri" w:cs="Calibri"/>
          <w:lang w:eastAsia="zh-CN"/>
        </w:rPr>
        <w:t xml:space="preserve">Pellegrini (2020) </w:t>
      </w:r>
      <w:r w:rsidR="00A42CA6">
        <w:rPr>
          <w:rFonts w:ascii="Calibri" w:hAnsi="Calibri" w:cs="Calibri"/>
          <w:lang w:eastAsia="zh-CN"/>
        </w:rPr>
        <w:t>maintains</w:t>
      </w:r>
      <w:r w:rsidR="0014295A" w:rsidRPr="1D29E44A">
        <w:rPr>
          <w:rFonts w:ascii="Calibri" w:hAnsi="Calibri" w:cs="Calibri"/>
          <w:lang w:eastAsia="zh-CN"/>
        </w:rPr>
        <w:t xml:space="preserve"> that training and explicit guidance significantly increase effect across meta-analysis findings, further suggesting that </w:t>
      </w:r>
      <w:r w:rsidR="301A6F99" w:rsidRPr="1D29E44A">
        <w:rPr>
          <w:rFonts w:ascii="Calibri" w:eastAsia="Calibri" w:hAnsi="Calibri" w:cs="Calibri"/>
        </w:rPr>
        <w:t>the competence</w:t>
      </w:r>
      <w:r w:rsidR="0014295A" w:rsidRPr="1D29E44A">
        <w:rPr>
          <w:rFonts w:ascii="Calibri" w:hAnsi="Calibri" w:cs="Calibri"/>
          <w:lang w:eastAsia="zh-CN"/>
        </w:rPr>
        <w:t xml:space="preserve"> of learners to deliver peer feedback develops through supported practice. </w:t>
      </w:r>
      <w:proofErr w:type="spellStart"/>
      <w:r w:rsidR="0014295A" w:rsidRPr="1D29E44A">
        <w:rPr>
          <w:rFonts w:ascii="Calibri" w:hAnsi="Calibri" w:cs="Calibri"/>
          <w:lang w:eastAsia="zh-CN"/>
        </w:rPr>
        <w:t>Wanner</w:t>
      </w:r>
      <w:proofErr w:type="spellEnd"/>
      <w:r w:rsidR="0014295A" w:rsidRPr="1D29E44A">
        <w:rPr>
          <w:rFonts w:ascii="Calibri" w:hAnsi="Calibri" w:cs="Calibri"/>
          <w:lang w:eastAsia="zh-CN"/>
        </w:rPr>
        <w:t xml:space="preserve"> and Palmer (2018</w:t>
      </w:r>
      <w:r w:rsidR="00B912B4" w:rsidRPr="1D29E44A">
        <w:rPr>
          <w:rFonts w:ascii="Calibri" w:hAnsi="Calibri" w:cs="Calibri"/>
          <w:lang w:eastAsia="zh-CN"/>
        </w:rPr>
        <w:t>)</w:t>
      </w:r>
      <w:r w:rsidR="0014295A" w:rsidRPr="1D29E44A">
        <w:rPr>
          <w:rFonts w:ascii="Calibri" w:hAnsi="Calibri" w:cs="Calibri"/>
          <w:lang w:eastAsia="zh-CN"/>
        </w:rPr>
        <w:t xml:space="preserve"> argue that </w:t>
      </w:r>
      <w:r>
        <w:rPr>
          <w:rFonts w:ascii="Calibri" w:hAnsi="Calibri" w:cs="Calibri"/>
          <w:lang w:eastAsia="zh-CN"/>
        </w:rPr>
        <w:t>this</w:t>
      </w:r>
      <w:r w:rsidR="0014295A" w:rsidRPr="1D29E44A">
        <w:rPr>
          <w:rFonts w:ascii="Calibri" w:hAnsi="Calibri" w:cs="Calibri"/>
          <w:lang w:eastAsia="zh-CN"/>
        </w:rPr>
        <w:t xml:space="preserve"> modelling is </w:t>
      </w:r>
      <w:r w:rsidR="00B6650C" w:rsidRPr="1D29E44A">
        <w:rPr>
          <w:rFonts w:ascii="Calibri" w:hAnsi="Calibri" w:cs="Calibri"/>
          <w:lang w:eastAsia="zh-CN"/>
        </w:rPr>
        <w:t>particularly</w:t>
      </w:r>
      <w:r w:rsidR="0014295A" w:rsidRPr="1D29E44A">
        <w:rPr>
          <w:rFonts w:ascii="Calibri" w:hAnsi="Calibri" w:cs="Calibri"/>
          <w:lang w:eastAsia="zh-CN"/>
        </w:rPr>
        <w:t xml:space="preserve"> significant when considering the development of feedback </w:t>
      </w:r>
      <w:r w:rsidR="4BA9C27D" w:rsidRPr="1D29E44A">
        <w:rPr>
          <w:rFonts w:ascii="Calibri" w:eastAsia="Calibri" w:hAnsi="Calibri" w:cs="Calibri"/>
        </w:rPr>
        <w:t>literacy;</w:t>
      </w:r>
      <w:r w:rsidR="00A42CA6">
        <w:rPr>
          <w:rFonts w:ascii="Calibri" w:hAnsi="Calibri" w:cs="Calibri"/>
          <w:lang w:eastAsia="zh-CN"/>
        </w:rPr>
        <w:t xml:space="preserve"> </w:t>
      </w:r>
      <w:r w:rsidR="00B912B4" w:rsidRPr="1D29E44A">
        <w:rPr>
          <w:rFonts w:ascii="Calibri" w:hAnsi="Calibri" w:cs="Calibri"/>
          <w:lang w:eastAsia="zh-CN"/>
        </w:rPr>
        <w:t xml:space="preserve">without explicit opportunities to interpret criteria, </w:t>
      </w:r>
      <w:r w:rsidR="6DF53892" w:rsidRPr="1D29E44A">
        <w:rPr>
          <w:rFonts w:ascii="Calibri" w:eastAsia="Calibri" w:hAnsi="Calibri" w:cs="Calibri"/>
        </w:rPr>
        <w:t>practise</w:t>
      </w:r>
      <w:r w:rsidR="00B912B4" w:rsidRPr="1D29E44A">
        <w:rPr>
          <w:rFonts w:ascii="Calibri" w:hAnsi="Calibri" w:cs="Calibri"/>
          <w:lang w:eastAsia="zh-CN"/>
        </w:rPr>
        <w:t xml:space="preserve"> feedback commentary and reflect on feedback exchanges, students </w:t>
      </w:r>
      <w:r w:rsidR="00A42CA6">
        <w:rPr>
          <w:rFonts w:ascii="Calibri" w:hAnsi="Calibri" w:cs="Calibri"/>
          <w:lang w:eastAsia="zh-CN"/>
        </w:rPr>
        <w:t xml:space="preserve">often </w:t>
      </w:r>
      <w:r w:rsidR="00B912B4" w:rsidRPr="1D29E44A">
        <w:rPr>
          <w:rFonts w:ascii="Calibri" w:hAnsi="Calibri" w:cs="Calibri"/>
          <w:lang w:eastAsia="zh-CN"/>
        </w:rPr>
        <w:t xml:space="preserve">struggle to construct </w:t>
      </w:r>
      <w:r w:rsidR="00B6650C" w:rsidRPr="1D29E44A">
        <w:rPr>
          <w:rFonts w:ascii="Calibri" w:hAnsi="Calibri" w:cs="Calibri"/>
          <w:lang w:eastAsia="zh-CN"/>
        </w:rPr>
        <w:t>actionable or</w:t>
      </w:r>
      <w:r w:rsidR="00B912B4" w:rsidRPr="1D29E44A">
        <w:rPr>
          <w:rFonts w:ascii="Calibri" w:hAnsi="Calibri" w:cs="Calibri"/>
          <w:lang w:eastAsia="zh-CN"/>
        </w:rPr>
        <w:t xml:space="preserve"> constructive responses. </w:t>
      </w:r>
      <w:r w:rsidR="00A42CA6">
        <w:rPr>
          <w:rFonts w:ascii="Calibri" w:hAnsi="Calibri" w:cs="Calibri"/>
          <w:lang w:eastAsia="zh-CN"/>
        </w:rPr>
        <w:t>Furthermore, they</w:t>
      </w:r>
      <w:r w:rsidR="00B912B4" w:rsidRPr="1D29E44A">
        <w:rPr>
          <w:rFonts w:ascii="Calibri" w:hAnsi="Calibri" w:cs="Calibri"/>
          <w:lang w:eastAsia="zh-CN"/>
        </w:rPr>
        <w:t xml:space="preserve"> also conclude that teacher involvement enhances both the credibility and pedagogical impact of peer assessment by modelling evaluative reasoning and legitimising </w:t>
      </w:r>
      <w:r w:rsidR="00B6650C" w:rsidRPr="1D29E44A">
        <w:rPr>
          <w:rFonts w:ascii="Calibri" w:hAnsi="Calibri" w:cs="Calibri"/>
          <w:lang w:eastAsia="zh-CN"/>
        </w:rPr>
        <w:t>study</w:t>
      </w:r>
      <w:r w:rsidR="00B912B4" w:rsidRPr="1D29E44A">
        <w:rPr>
          <w:rFonts w:ascii="Calibri" w:hAnsi="Calibri" w:cs="Calibri"/>
          <w:lang w:eastAsia="zh-CN"/>
        </w:rPr>
        <w:t xml:space="preserve"> participation. This reinforces the view that peer assessment functions most effectively with a guided formative environment rather than as a self-regulated student activity. </w:t>
      </w:r>
    </w:p>
    <w:p w14:paraId="3AB3D9FF" w14:textId="77777777" w:rsidR="00B912B4" w:rsidRDefault="00B912B4" w:rsidP="00225F90">
      <w:pPr>
        <w:spacing w:line="360" w:lineRule="auto"/>
        <w:jc w:val="both"/>
        <w:rPr>
          <w:rFonts w:ascii="Calibri" w:hAnsi="Calibri" w:cs="Calibri"/>
          <w:lang w:eastAsia="zh-CN"/>
        </w:rPr>
      </w:pPr>
    </w:p>
    <w:p w14:paraId="5EFDB451" w14:textId="45FB6576" w:rsidR="00A42CA6" w:rsidRDefault="00B912B4" w:rsidP="00A42CA6">
      <w:pPr>
        <w:spacing w:line="360" w:lineRule="auto"/>
        <w:jc w:val="both"/>
        <w:rPr>
          <w:rFonts w:ascii="Calibri" w:hAnsi="Calibri" w:cs="Calibri"/>
          <w:lang w:eastAsia="zh-CN"/>
        </w:rPr>
      </w:pPr>
      <w:r w:rsidRPr="1D29E44A">
        <w:rPr>
          <w:rFonts w:ascii="Calibri" w:hAnsi="Calibri" w:cs="Calibri"/>
          <w:lang w:eastAsia="zh-CN"/>
        </w:rPr>
        <w:t xml:space="preserve">Design variables relating to anonymity and </w:t>
      </w:r>
      <w:r w:rsidR="00A42CA6">
        <w:rPr>
          <w:rFonts w:ascii="Calibri" w:hAnsi="Calibri" w:cs="Calibri"/>
          <w:lang w:eastAsia="zh-CN"/>
        </w:rPr>
        <w:t xml:space="preserve">the level of </w:t>
      </w:r>
      <w:r w:rsidRPr="1D29E44A">
        <w:rPr>
          <w:rFonts w:ascii="Calibri" w:hAnsi="Calibri" w:cs="Calibri"/>
          <w:lang w:eastAsia="zh-CN"/>
        </w:rPr>
        <w:t xml:space="preserve">interaction further illustrate the complexities of effective implementation. Panadero and Alqassab (2019) highlight that anonymity in peer assessment may reduce social risk in certain </w:t>
      </w:r>
      <w:r w:rsidR="00B6650C" w:rsidRPr="1D29E44A">
        <w:rPr>
          <w:rFonts w:ascii="Calibri" w:hAnsi="Calibri" w:cs="Calibri"/>
          <w:lang w:eastAsia="zh-CN"/>
        </w:rPr>
        <w:t>contexts yet</w:t>
      </w:r>
      <w:r w:rsidRPr="1D29E44A">
        <w:rPr>
          <w:rFonts w:ascii="Calibri" w:hAnsi="Calibri" w:cs="Calibri"/>
          <w:lang w:eastAsia="zh-CN"/>
        </w:rPr>
        <w:t xml:space="preserve"> can also limit </w:t>
      </w:r>
      <w:r w:rsidR="00B6650C" w:rsidRPr="1D29E44A">
        <w:rPr>
          <w:rFonts w:ascii="Calibri" w:hAnsi="Calibri" w:cs="Calibri"/>
          <w:lang w:eastAsia="zh-CN"/>
        </w:rPr>
        <w:t>accountability</w:t>
      </w:r>
      <w:r w:rsidRPr="1D29E44A">
        <w:rPr>
          <w:rFonts w:ascii="Calibri" w:hAnsi="Calibri" w:cs="Calibri"/>
          <w:lang w:eastAsia="zh-CN"/>
        </w:rPr>
        <w:t xml:space="preserve"> and relational dialogue. Their review suggests that </w:t>
      </w:r>
      <w:r w:rsidR="2971038B" w:rsidRPr="1D29E44A">
        <w:rPr>
          <w:rFonts w:ascii="Calibri" w:eastAsia="Calibri" w:hAnsi="Calibri" w:cs="Calibri"/>
        </w:rPr>
        <w:t>decisions</w:t>
      </w:r>
      <w:r w:rsidRPr="1D29E44A">
        <w:rPr>
          <w:rFonts w:ascii="Calibri" w:hAnsi="Calibri" w:cs="Calibri"/>
          <w:lang w:eastAsia="zh-CN"/>
        </w:rPr>
        <w:t xml:space="preserve"> regarding anonymity should be </w:t>
      </w:r>
      <w:r w:rsidR="00B6650C" w:rsidRPr="1D29E44A">
        <w:rPr>
          <w:rFonts w:ascii="Calibri" w:hAnsi="Calibri" w:cs="Calibri"/>
          <w:lang w:eastAsia="zh-CN"/>
        </w:rPr>
        <w:t>responsive</w:t>
      </w:r>
      <w:r w:rsidRPr="1D29E44A">
        <w:rPr>
          <w:rFonts w:ascii="Calibri" w:hAnsi="Calibri" w:cs="Calibri"/>
          <w:lang w:eastAsia="zh-CN"/>
        </w:rPr>
        <w:t xml:space="preserve"> to contextual factors such as </w:t>
      </w:r>
      <w:r w:rsidR="00B6650C" w:rsidRPr="1D29E44A">
        <w:rPr>
          <w:rFonts w:ascii="Calibri" w:hAnsi="Calibri" w:cs="Calibri"/>
          <w:lang w:eastAsia="zh-CN"/>
        </w:rPr>
        <w:t>cohort</w:t>
      </w:r>
      <w:r w:rsidRPr="1D29E44A">
        <w:rPr>
          <w:rFonts w:ascii="Calibri" w:hAnsi="Calibri" w:cs="Calibri"/>
          <w:lang w:eastAsia="zh-CN"/>
        </w:rPr>
        <w:t xml:space="preserve"> familiarity and assessment stakes. These </w:t>
      </w:r>
      <w:r w:rsidR="7AF79233" w:rsidRPr="1D29E44A">
        <w:rPr>
          <w:rFonts w:ascii="Calibri" w:eastAsia="Calibri" w:hAnsi="Calibri" w:cs="Calibri"/>
        </w:rPr>
        <w:t>findings</w:t>
      </w:r>
      <w:r w:rsidRPr="1D29E44A">
        <w:rPr>
          <w:rFonts w:ascii="Calibri" w:hAnsi="Calibri" w:cs="Calibri"/>
          <w:lang w:eastAsia="zh-CN"/>
        </w:rPr>
        <w:t xml:space="preserve"> indicate that there is</w:t>
      </w:r>
      <w:r w:rsidR="00A42CA6">
        <w:rPr>
          <w:rFonts w:ascii="Calibri" w:hAnsi="Calibri" w:cs="Calibri"/>
          <w:lang w:eastAsia="zh-CN"/>
        </w:rPr>
        <w:t xml:space="preserve"> not</w:t>
      </w:r>
      <w:r w:rsidRPr="1D29E44A">
        <w:rPr>
          <w:rFonts w:ascii="Calibri" w:hAnsi="Calibri" w:cs="Calibri"/>
          <w:lang w:eastAsia="zh-CN"/>
        </w:rPr>
        <w:t xml:space="preserve"> </w:t>
      </w:r>
      <w:r w:rsidR="00B6650C" w:rsidRPr="1D29E44A">
        <w:rPr>
          <w:rFonts w:ascii="Calibri" w:hAnsi="Calibri" w:cs="Calibri"/>
          <w:lang w:eastAsia="zh-CN"/>
        </w:rPr>
        <w:t>a</w:t>
      </w:r>
      <w:r w:rsidRPr="1D29E44A">
        <w:rPr>
          <w:rFonts w:ascii="Calibri" w:hAnsi="Calibri" w:cs="Calibri"/>
          <w:lang w:eastAsia="zh-CN"/>
        </w:rPr>
        <w:t xml:space="preserve"> universally optimal configuration of peer assessment in higher </w:t>
      </w:r>
      <w:r w:rsidR="00B6650C" w:rsidRPr="1D29E44A">
        <w:rPr>
          <w:rFonts w:ascii="Calibri" w:hAnsi="Calibri" w:cs="Calibri"/>
          <w:lang w:eastAsia="zh-CN"/>
        </w:rPr>
        <w:t>education and</w:t>
      </w:r>
      <w:r w:rsidRPr="1D29E44A">
        <w:rPr>
          <w:rFonts w:ascii="Calibri" w:hAnsi="Calibri" w:cs="Calibri"/>
          <w:lang w:eastAsia="zh-CN"/>
        </w:rPr>
        <w:t xml:space="preserve"> instead </w:t>
      </w:r>
      <w:r w:rsidR="49999030" w:rsidRPr="1D29E44A">
        <w:rPr>
          <w:rFonts w:ascii="Calibri" w:eastAsia="Calibri" w:hAnsi="Calibri" w:cs="Calibri"/>
        </w:rPr>
        <w:t>imply</w:t>
      </w:r>
      <w:r w:rsidRPr="1D29E44A">
        <w:rPr>
          <w:rFonts w:ascii="Calibri" w:hAnsi="Calibri" w:cs="Calibri"/>
          <w:lang w:eastAsia="zh-CN"/>
        </w:rPr>
        <w:t xml:space="preserve"> that effective practice requires sensitivity to social dynamics and institutional culture. </w:t>
      </w:r>
    </w:p>
    <w:p w14:paraId="64264924" w14:textId="77777777" w:rsidR="00A42CA6" w:rsidRPr="00A42CA6" w:rsidRDefault="00A42CA6" w:rsidP="00A42CA6">
      <w:pPr>
        <w:spacing w:line="360" w:lineRule="auto"/>
        <w:jc w:val="both"/>
        <w:rPr>
          <w:rFonts w:ascii="Calibri" w:hAnsi="Calibri" w:cs="Calibri"/>
          <w:lang w:eastAsia="zh-CN"/>
        </w:rPr>
      </w:pPr>
    </w:p>
    <w:p w14:paraId="2C846743" w14:textId="04B78617" w:rsidR="00380EE7" w:rsidRDefault="00380EE7" w:rsidP="00380EE7">
      <w:pPr>
        <w:pStyle w:val="Heading3"/>
      </w:pPr>
      <w:r w:rsidRPr="00380EE7">
        <w:lastRenderedPageBreak/>
        <w:t>Critical Synthesis and Research Gap</w:t>
      </w:r>
    </w:p>
    <w:p w14:paraId="2691E5D2" w14:textId="77777777" w:rsidR="00B912B4" w:rsidRDefault="00B912B4" w:rsidP="00B912B4">
      <w:pPr>
        <w:rPr>
          <w:lang w:eastAsia="zh-CN"/>
        </w:rPr>
      </w:pPr>
    </w:p>
    <w:p w14:paraId="54D44BF9" w14:textId="31989004" w:rsidR="00B04A6B" w:rsidRDefault="006E1074" w:rsidP="1D29E44A">
      <w:pPr>
        <w:spacing w:line="360" w:lineRule="auto"/>
        <w:jc w:val="both"/>
        <w:rPr>
          <w:rFonts w:ascii="Calibri" w:hAnsi="Calibri" w:cs="Calibri"/>
          <w:lang w:eastAsia="zh-CN"/>
        </w:rPr>
      </w:pPr>
      <w:r w:rsidRPr="1D29E44A">
        <w:rPr>
          <w:rFonts w:ascii="Calibri" w:hAnsi="Calibri" w:cs="Calibri"/>
          <w:lang w:eastAsia="zh-CN"/>
        </w:rPr>
        <w:t xml:space="preserve">When considering the literature from a broader perspective, peer assessment is presented as a formative practice with </w:t>
      </w:r>
      <w:r w:rsidR="00A42CA6">
        <w:rPr>
          <w:rFonts w:ascii="Calibri" w:hAnsi="Calibri" w:cs="Calibri"/>
          <w:lang w:eastAsia="zh-CN"/>
        </w:rPr>
        <w:t>robust</w:t>
      </w:r>
      <w:r w:rsidRPr="1D29E44A">
        <w:rPr>
          <w:rFonts w:ascii="Calibri" w:hAnsi="Calibri" w:cs="Calibri"/>
          <w:lang w:eastAsia="zh-CN"/>
        </w:rPr>
        <w:t xml:space="preserve"> theoretical foundations, </w:t>
      </w:r>
      <w:r w:rsidR="5684FCCF" w:rsidRPr="1D29E44A">
        <w:rPr>
          <w:rFonts w:ascii="Calibri" w:eastAsia="Calibri" w:hAnsi="Calibri" w:cs="Calibri"/>
        </w:rPr>
        <w:t>but</w:t>
      </w:r>
      <w:r w:rsidRPr="1D29E44A">
        <w:rPr>
          <w:rFonts w:ascii="Calibri" w:hAnsi="Calibri" w:cs="Calibri"/>
          <w:lang w:eastAsia="zh-CN"/>
        </w:rPr>
        <w:t xml:space="preserve"> </w:t>
      </w:r>
      <w:r w:rsidR="00A42CA6">
        <w:rPr>
          <w:rFonts w:ascii="Calibri" w:hAnsi="Calibri" w:cs="Calibri"/>
          <w:lang w:eastAsia="zh-CN"/>
        </w:rPr>
        <w:t xml:space="preserve">highly </w:t>
      </w:r>
      <w:r w:rsidRPr="1D29E44A">
        <w:rPr>
          <w:rFonts w:ascii="Calibri" w:hAnsi="Calibri" w:cs="Calibri"/>
          <w:lang w:eastAsia="zh-CN"/>
        </w:rPr>
        <w:t xml:space="preserve">conditional effectiveness in practice. Foundational </w:t>
      </w:r>
      <w:r w:rsidR="00C71EEC" w:rsidRPr="1D29E44A">
        <w:rPr>
          <w:rFonts w:ascii="Calibri" w:hAnsi="Calibri" w:cs="Calibri"/>
          <w:lang w:eastAsia="zh-CN"/>
        </w:rPr>
        <w:t xml:space="preserve">views from Black and Wiliam (2003) emphasise the importance of learner engagement with evaluative processes </w:t>
      </w:r>
      <w:r w:rsidR="00A42CA6">
        <w:rPr>
          <w:rFonts w:ascii="Calibri" w:hAnsi="Calibri" w:cs="Calibri"/>
          <w:lang w:eastAsia="zh-CN"/>
        </w:rPr>
        <w:t>to secure meaningful</w:t>
      </w:r>
      <w:r w:rsidR="00C71EEC" w:rsidRPr="1D29E44A">
        <w:rPr>
          <w:rFonts w:ascii="Calibri" w:hAnsi="Calibri" w:cs="Calibri"/>
          <w:lang w:eastAsia="zh-CN"/>
        </w:rPr>
        <w:t xml:space="preserve"> learning gains. </w:t>
      </w:r>
      <w:r w:rsidR="00DA75AB">
        <w:rPr>
          <w:rFonts w:ascii="Calibri" w:hAnsi="Calibri" w:cs="Calibri"/>
          <w:lang w:eastAsia="zh-CN"/>
        </w:rPr>
        <w:t>Furthermore</w:t>
      </w:r>
      <w:r w:rsidR="00C97254" w:rsidRPr="1D29E44A">
        <w:rPr>
          <w:rFonts w:ascii="Calibri" w:hAnsi="Calibri" w:cs="Calibri"/>
          <w:lang w:eastAsia="zh-CN"/>
        </w:rPr>
        <w:t>,</w:t>
      </w:r>
      <w:r w:rsidR="00C71EEC" w:rsidRPr="1D29E44A">
        <w:rPr>
          <w:rFonts w:ascii="Calibri" w:hAnsi="Calibri" w:cs="Calibri"/>
          <w:lang w:eastAsia="zh-CN"/>
        </w:rPr>
        <w:t xml:space="preserve"> Nicol, Thomson and Breslin (2014) and Tai et al. (2018) highlight how peer assessment contribute</w:t>
      </w:r>
      <w:r w:rsidR="00DA75AB">
        <w:rPr>
          <w:rFonts w:ascii="Calibri" w:hAnsi="Calibri" w:cs="Calibri"/>
          <w:lang w:eastAsia="zh-CN"/>
        </w:rPr>
        <w:t>s</w:t>
      </w:r>
      <w:r w:rsidR="00C71EEC" w:rsidRPr="1D29E44A">
        <w:rPr>
          <w:rFonts w:ascii="Calibri" w:hAnsi="Calibri" w:cs="Calibri"/>
          <w:lang w:eastAsia="zh-CN"/>
        </w:rPr>
        <w:t xml:space="preserve"> to the development of evaluative judgement and </w:t>
      </w:r>
      <w:r w:rsidR="00B6650C" w:rsidRPr="1D29E44A">
        <w:rPr>
          <w:rFonts w:ascii="Calibri" w:hAnsi="Calibri" w:cs="Calibri"/>
          <w:lang w:eastAsia="zh-CN"/>
        </w:rPr>
        <w:t>feedback</w:t>
      </w:r>
      <w:r w:rsidR="00C71EEC" w:rsidRPr="1D29E44A">
        <w:rPr>
          <w:rFonts w:ascii="Calibri" w:hAnsi="Calibri" w:cs="Calibri"/>
          <w:lang w:eastAsia="zh-CN"/>
        </w:rPr>
        <w:t xml:space="preserve"> literacy. Empirical research broadly supports this developmental perspective</w:t>
      </w:r>
      <w:r w:rsidR="00DA75AB">
        <w:rPr>
          <w:rFonts w:ascii="Calibri" w:hAnsi="Calibri" w:cs="Calibri"/>
          <w:lang w:eastAsia="zh-CN"/>
        </w:rPr>
        <w:t>; meta-analysis by</w:t>
      </w:r>
      <w:r w:rsidR="00C71EEC" w:rsidRPr="1D29E44A">
        <w:rPr>
          <w:rFonts w:ascii="Calibri" w:hAnsi="Calibri" w:cs="Calibri"/>
          <w:lang w:eastAsia="zh-CN"/>
        </w:rPr>
        <w:t xml:space="preserve"> Li et al. (2020), </w:t>
      </w:r>
      <w:r w:rsidR="00DA75AB">
        <w:rPr>
          <w:rFonts w:ascii="Calibri" w:hAnsi="Calibri" w:cs="Calibri"/>
          <w:lang w:eastAsia="zh-CN"/>
        </w:rPr>
        <w:t>and</w:t>
      </w:r>
      <w:r w:rsidR="00C97254" w:rsidRPr="1D29E44A">
        <w:rPr>
          <w:rFonts w:ascii="Calibri" w:hAnsi="Calibri" w:cs="Calibri"/>
          <w:lang w:eastAsia="zh-CN"/>
        </w:rPr>
        <w:t xml:space="preserve"> Pellegrini </w:t>
      </w:r>
      <w:r w:rsidR="22BDCFA6" w:rsidRPr="1D29E44A">
        <w:rPr>
          <w:rFonts w:ascii="Calibri" w:eastAsia="Calibri" w:hAnsi="Calibri" w:cs="Calibri"/>
        </w:rPr>
        <w:t>(2020)</w:t>
      </w:r>
      <w:r w:rsidR="00DA75AB">
        <w:rPr>
          <w:rFonts w:ascii="Calibri" w:eastAsia="Calibri" w:hAnsi="Calibri" w:cs="Calibri"/>
        </w:rPr>
        <w:t xml:space="preserve"> </w:t>
      </w:r>
      <w:r w:rsidR="00C97254" w:rsidRPr="1D29E44A">
        <w:rPr>
          <w:rFonts w:ascii="Calibri" w:hAnsi="Calibri" w:cs="Calibri"/>
          <w:lang w:eastAsia="zh-CN"/>
        </w:rPr>
        <w:t>identif</w:t>
      </w:r>
      <w:r w:rsidR="00DA75AB">
        <w:rPr>
          <w:rFonts w:ascii="Calibri" w:hAnsi="Calibri" w:cs="Calibri"/>
          <w:lang w:eastAsia="zh-CN"/>
        </w:rPr>
        <w:t xml:space="preserve">y </w:t>
      </w:r>
      <w:r w:rsidR="00C97254" w:rsidRPr="1D29E44A">
        <w:rPr>
          <w:rFonts w:ascii="Calibri" w:hAnsi="Calibri" w:cs="Calibri"/>
          <w:lang w:eastAsia="zh-CN"/>
        </w:rPr>
        <w:t>consistent but variable outcomes. However, despite the positives discussed, the research did also highlight tensions between the theoretical promise of peer assessment and the realities of educational practice in higher education</w:t>
      </w:r>
      <w:r w:rsidR="00DA75AB">
        <w:rPr>
          <w:rFonts w:ascii="Calibri" w:hAnsi="Calibri" w:cs="Calibri"/>
          <w:lang w:eastAsia="zh-CN"/>
        </w:rPr>
        <w:t xml:space="preserve">. </w:t>
      </w:r>
      <w:r w:rsidR="00C97254" w:rsidRPr="1D29E44A">
        <w:rPr>
          <w:rFonts w:ascii="Calibri" w:hAnsi="Calibri" w:cs="Calibri"/>
          <w:lang w:eastAsia="zh-CN"/>
        </w:rPr>
        <w:t>Adachi, Tai and Dawson (2018)</w:t>
      </w:r>
      <w:r w:rsidR="00DA75AB">
        <w:rPr>
          <w:rFonts w:ascii="Calibri" w:hAnsi="Calibri" w:cs="Calibri"/>
          <w:lang w:eastAsia="zh-CN"/>
        </w:rPr>
        <w:t xml:space="preserve"> state</w:t>
      </w:r>
      <w:r w:rsidR="00C97254" w:rsidRPr="1D29E44A">
        <w:rPr>
          <w:rFonts w:ascii="Calibri" w:hAnsi="Calibri" w:cs="Calibri"/>
          <w:lang w:eastAsia="zh-CN"/>
        </w:rPr>
        <w:t xml:space="preserve"> that academic staff frequently recognise the potential learning benefits of peer assessment</w:t>
      </w:r>
      <w:r w:rsidR="77A65D0A" w:rsidRPr="1D29E44A">
        <w:rPr>
          <w:rFonts w:ascii="Calibri" w:eastAsia="Calibri" w:hAnsi="Calibri" w:cs="Calibri"/>
        </w:rPr>
        <w:t xml:space="preserve"> but</w:t>
      </w:r>
      <w:r w:rsidR="00C97254" w:rsidRPr="1D29E44A">
        <w:rPr>
          <w:rFonts w:ascii="Calibri" w:hAnsi="Calibri" w:cs="Calibri"/>
          <w:lang w:eastAsia="zh-CN"/>
        </w:rPr>
        <w:t xml:space="preserve"> also express concerns </w:t>
      </w:r>
      <w:r w:rsidR="005F3341" w:rsidRPr="1D29E44A">
        <w:rPr>
          <w:rFonts w:ascii="Calibri" w:hAnsi="Calibri" w:cs="Calibri"/>
          <w:lang w:eastAsia="zh-CN"/>
        </w:rPr>
        <w:t xml:space="preserve">regarding fairness, </w:t>
      </w:r>
      <w:r w:rsidR="00FE1C6F" w:rsidRPr="1D29E44A">
        <w:rPr>
          <w:rFonts w:ascii="Calibri" w:hAnsi="Calibri" w:cs="Calibri"/>
          <w:lang w:eastAsia="zh-CN"/>
        </w:rPr>
        <w:t>reliability</w:t>
      </w:r>
      <w:r w:rsidR="005F3341" w:rsidRPr="1D29E44A">
        <w:rPr>
          <w:rFonts w:ascii="Calibri" w:hAnsi="Calibri" w:cs="Calibri"/>
          <w:lang w:eastAsia="zh-CN"/>
        </w:rPr>
        <w:t xml:space="preserve"> and the levels of scaffolding required to support meaningful assessment practices.</w:t>
      </w:r>
    </w:p>
    <w:p w14:paraId="0AA13CB2" w14:textId="77777777" w:rsidR="005F3341" w:rsidRDefault="005F3341" w:rsidP="006E1074">
      <w:pPr>
        <w:spacing w:line="360" w:lineRule="auto"/>
        <w:jc w:val="both"/>
        <w:rPr>
          <w:rFonts w:ascii="Calibri" w:hAnsi="Calibri" w:cs="Calibri"/>
          <w:lang w:eastAsia="zh-CN"/>
        </w:rPr>
      </w:pPr>
    </w:p>
    <w:p w14:paraId="17FF6009" w14:textId="4A751E8D" w:rsidR="005F3341" w:rsidRPr="006E1074" w:rsidRDefault="00FE1C6F" w:rsidP="006E1074">
      <w:pPr>
        <w:spacing w:line="360" w:lineRule="auto"/>
        <w:jc w:val="both"/>
        <w:rPr>
          <w:rFonts w:ascii="Calibri" w:hAnsi="Calibri" w:cs="Calibri"/>
          <w:lang w:eastAsia="zh-CN"/>
        </w:rPr>
      </w:pPr>
      <w:r>
        <w:rPr>
          <w:rFonts w:ascii="Calibri" w:hAnsi="Calibri" w:cs="Calibri"/>
          <w:lang w:eastAsia="zh-CN"/>
        </w:rPr>
        <w:t>Similarly</w:t>
      </w:r>
      <w:r w:rsidR="005F3341">
        <w:rPr>
          <w:rFonts w:ascii="Calibri" w:hAnsi="Calibri" w:cs="Calibri"/>
          <w:lang w:eastAsia="zh-CN"/>
        </w:rPr>
        <w:t xml:space="preserve">, studies looking at learner experiences of peer assessment also emphasise the </w:t>
      </w:r>
      <w:r>
        <w:rPr>
          <w:rFonts w:ascii="Calibri" w:hAnsi="Calibri" w:cs="Calibri"/>
          <w:lang w:eastAsia="zh-CN"/>
        </w:rPr>
        <w:t xml:space="preserve">relational and socio-emotional dimensions of peer assessment. McGarr and Clifford (2013) identify student uncertainty regarding the legitimacy of peer assessment, while Panadero and Alqassab (2019) and Zhan (2024) highlight the influence of trust, familiarity and feedback on learner engagement with peer assessment practices. </w:t>
      </w:r>
      <w:r w:rsidR="002A2AC5">
        <w:rPr>
          <w:rFonts w:ascii="Calibri" w:hAnsi="Calibri" w:cs="Calibri"/>
          <w:lang w:eastAsia="zh-CN"/>
        </w:rPr>
        <w:t xml:space="preserve">When considering the balance of the literature explored, it could be suggested that peer assessment cannot be understood as a universally effective strategy in its simplest </w:t>
      </w:r>
      <w:r w:rsidR="00B6650C">
        <w:rPr>
          <w:rFonts w:ascii="Calibri" w:hAnsi="Calibri" w:cs="Calibri"/>
          <w:lang w:eastAsia="zh-CN"/>
        </w:rPr>
        <w:t>form but</w:t>
      </w:r>
      <w:r w:rsidR="002A2AC5">
        <w:rPr>
          <w:rFonts w:ascii="Calibri" w:hAnsi="Calibri" w:cs="Calibri"/>
          <w:lang w:eastAsia="zh-CN"/>
        </w:rPr>
        <w:t xml:space="preserve"> rather should be seen as a pedagogical process in which the success is determined by design, institutional context and learner readiness.</w:t>
      </w:r>
      <w:r w:rsidR="00A0044D">
        <w:rPr>
          <w:rFonts w:ascii="Calibri" w:hAnsi="Calibri" w:cs="Calibri"/>
          <w:lang w:eastAsia="zh-CN"/>
        </w:rPr>
        <w:t xml:space="preserve"> Understanding how these interacting </w:t>
      </w:r>
      <w:r w:rsidR="00B6650C">
        <w:rPr>
          <w:rFonts w:ascii="Calibri" w:hAnsi="Calibri" w:cs="Calibri"/>
          <w:lang w:eastAsia="zh-CN"/>
        </w:rPr>
        <w:t>conditions</w:t>
      </w:r>
      <w:r w:rsidR="00A0044D">
        <w:rPr>
          <w:rFonts w:ascii="Calibri" w:hAnsi="Calibri" w:cs="Calibri"/>
          <w:lang w:eastAsia="zh-CN"/>
        </w:rPr>
        <w:t xml:space="preserve"> influence the pr</w:t>
      </w:r>
      <w:r w:rsidR="00B6650C">
        <w:rPr>
          <w:rFonts w:ascii="Calibri" w:hAnsi="Calibri" w:cs="Calibri"/>
          <w:lang w:eastAsia="zh-CN"/>
        </w:rPr>
        <w:t xml:space="preserve">actical </w:t>
      </w:r>
      <w:r w:rsidR="00A0044D">
        <w:rPr>
          <w:rFonts w:ascii="Calibri" w:hAnsi="Calibri" w:cs="Calibri"/>
          <w:lang w:eastAsia="zh-CN"/>
        </w:rPr>
        <w:t xml:space="preserve">use of peer assessment </w:t>
      </w:r>
      <w:r w:rsidR="00BE2901">
        <w:rPr>
          <w:rFonts w:ascii="Calibri" w:hAnsi="Calibri" w:cs="Calibri"/>
          <w:lang w:eastAsia="zh-CN"/>
        </w:rPr>
        <w:t>therefore represents an important area of enquiry for educational practitioners</w:t>
      </w:r>
      <w:r w:rsidR="004065F2">
        <w:rPr>
          <w:rFonts w:ascii="Calibri" w:hAnsi="Calibri" w:cs="Calibri"/>
          <w:lang w:eastAsia="zh-CN"/>
        </w:rPr>
        <w:t xml:space="preserve"> seeking to bridge the divide between theoretical potential and classroom reality.</w:t>
      </w:r>
      <w:r w:rsidR="00BE2901">
        <w:rPr>
          <w:rFonts w:ascii="Calibri" w:hAnsi="Calibri" w:cs="Calibri"/>
          <w:lang w:eastAsia="zh-CN"/>
        </w:rPr>
        <w:t xml:space="preserve"> </w:t>
      </w:r>
    </w:p>
    <w:p w14:paraId="4E1FB052" w14:textId="0F9FCC7E" w:rsidR="00B04A6B" w:rsidRDefault="00B04A6B" w:rsidP="00B04A6B">
      <w:pPr>
        <w:pStyle w:val="Heading2"/>
      </w:pPr>
      <w:r>
        <w:t xml:space="preserve">Methodology </w:t>
      </w:r>
    </w:p>
    <w:p w14:paraId="1D343B2B" w14:textId="324DC479" w:rsidR="0062653C" w:rsidRDefault="0062653C" w:rsidP="0062653C">
      <w:pPr>
        <w:pStyle w:val="Heading3"/>
      </w:pPr>
      <w:r>
        <w:t>What is Action Research?</w:t>
      </w:r>
    </w:p>
    <w:p w14:paraId="326EC26C" w14:textId="4D5DEFBC" w:rsidR="0062653C" w:rsidRDefault="00B36425" w:rsidP="2ECDD186">
      <w:pPr>
        <w:spacing w:line="360" w:lineRule="auto"/>
        <w:jc w:val="both"/>
        <w:rPr>
          <w:rFonts w:ascii="Calibri" w:hAnsi="Calibri" w:cs="Calibri"/>
          <w:lang w:eastAsia="zh-CN"/>
        </w:rPr>
      </w:pPr>
      <w:r w:rsidRPr="2ECDD186">
        <w:rPr>
          <w:rFonts w:ascii="Calibri" w:hAnsi="Calibri" w:cs="Calibri"/>
          <w:lang w:eastAsia="zh-CN"/>
        </w:rPr>
        <w:t>A</w:t>
      </w:r>
      <w:r w:rsidR="00532080" w:rsidRPr="2ECDD186">
        <w:rPr>
          <w:rFonts w:ascii="Calibri" w:hAnsi="Calibri" w:cs="Calibri"/>
          <w:lang w:eastAsia="zh-CN"/>
        </w:rPr>
        <w:t>ccording to Efron and Ravid (2020)</w:t>
      </w:r>
      <w:r w:rsidR="788ECFB5" w:rsidRPr="2ECDD186">
        <w:rPr>
          <w:rFonts w:ascii="Calibri" w:eastAsia="Calibri" w:hAnsi="Calibri" w:cs="Calibri"/>
        </w:rPr>
        <w:t>, action</w:t>
      </w:r>
      <w:r w:rsidR="00532080" w:rsidRPr="2ECDD186">
        <w:rPr>
          <w:rFonts w:ascii="Calibri" w:hAnsi="Calibri" w:cs="Calibri"/>
          <w:lang w:eastAsia="zh-CN"/>
        </w:rPr>
        <w:t xml:space="preserve"> research is a cyclical, practitioner-led approach to </w:t>
      </w:r>
      <w:r w:rsidR="004053B9" w:rsidRPr="2ECDD186">
        <w:rPr>
          <w:rFonts w:ascii="Calibri" w:hAnsi="Calibri" w:cs="Calibri"/>
          <w:lang w:eastAsia="zh-CN"/>
        </w:rPr>
        <w:t xml:space="preserve">systematic enquiry aimed at improving professional practice within a specific context. </w:t>
      </w:r>
      <w:r w:rsidR="004053B9" w:rsidRPr="2ECDD186">
        <w:rPr>
          <w:rFonts w:ascii="Calibri" w:hAnsi="Calibri" w:cs="Calibri"/>
          <w:lang w:eastAsia="zh-CN"/>
        </w:rPr>
        <w:lastRenderedPageBreak/>
        <w:t xml:space="preserve">Unlike </w:t>
      </w:r>
      <w:r w:rsidR="007372D8" w:rsidRPr="2ECDD186">
        <w:rPr>
          <w:rFonts w:ascii="Calibri" w:hAnsi="Calibri" w:cs="Calibri"/>
          <w:lang w:eastAsia="zh-CN"/>
        </w:rPr>
        <w:t xml:space="preserve">externally driven research designs, action research situates investigation </w:t>
      </w:r>
      <w:r w:rsidR="28317FAD" w:rsidRPr="2ECDD186">
        <w:rPr>
          <w:rFonts w:ascii="Calibri" w:eastAsia="Calibri" w:hAnsi="Calibri" w:cs="Calibri"/>
        </w:rPr>
        <w:t>within</w:t>
      </w:r>
      <w:r w:rsidR="007372D8" w:rsidRPr="2ECDD186">
        <w:rPr>
          <w:rFonts w:ascii="Calibri" w:hAnsi="Calibri" w:cs="Calibri"/>
          <w:lang w:eastAsia="zh-CN"/>
        </w:rPr>
        <w:t xml:space="preserve"> the </w:t>
      </w:r>
      <w:r w:rsidR="00D73F15" w:rsidRPr="2ECDD186">
        <w:rPr>
          <w:rFonts w:ascii="Calibri" w:hAnsi="Calibri" w:cs="Calibri"/>
          <w:lang w:eastAsia="zh-CN"/>
        </w:rPr>
        <w:t>practitioner’s</w:t>
      </w:r>
      <w:r w:rsidR="007372D8" w:rsidRPr="2ECDD186">
        <w:rPr>
          <w:rFonts w:ascii="Calibri" w:hAnsi="Calibri" w:cs="Calibri"/>
          <w:lang w:eastAsia="zh-CN"/>
        </w:rPr>
        <w:t xml:space="preserve"> own environment</w:t>
      </w:r>
      <w:r w:rsidR="00B6284F" w:rsidRPr="2ECDD186">
        <w:rPr>
          <w:rFonts w:ascii="Calibri" w:hAnsi="Calibri" w:cs="Calibri"/>
          <w:lang w:eastAsia="zh-CN"/>
        </w:rPr>
        <w:t xml:space="preserve">, </w:t>
      </w:r>
      <w:r w:rsidR="00955B8A" w:rsidRPr="2ECDD186">
        <w:rPr>
          <w:rFonts w:ascii="Calibri" w:hAnsi="Calibri" w:cs="Calibri"/>
          <w:lang w:eastAsia="zh-CN"/>
        </w:rPr>
        <w:t>integrating</w:t>
      </w:r>
      <w:r w:rsidR="00B6284F" w:rsidRPr="2ECDD186">
        <w:rPr>
          <w:rFonts w:ascii="Calibri" w:hAnsi="Calibri" w:cs="Calibri"/>
          <w:lang w:eastAsia="zh-CN"/>
        </w:rPr>
        <w:t xml:space="preserve"> planning, action, observation and reflection in an itera</w:t>
      </w:r>
      <w:r w:rsidR="00964419" w:rsidRPr="2ECDD186">
        <w:rPr>
          <w:rFonts w:ascii="Calibri" w:hAnsi="Calibri" w:cs="Calibri"/>
          <w:lang w:eastAsia="zh-CN"/>
        </w:rPr>
        <w:t xml:space="preserve">tive process. This </w:t>
      </w:r>
      <w:r w:rsidR="00D73F15" w:rsidRPr="2ECDD186">
        <w:rPr>
          <w:rFonts w:ascii="Calibri" w:hAnsi="Calibri" w:cs="Calibri"/>
          <w:lang w:eastAsia="zh-CN"/>
        </w:rPr>
        <w:t>definition</w:t>
      </w:r>
      <w:r w:rsidR="00964419" w:rsidRPr="2ECDD186">
        <w:rPr>
          <w:rFonts w:ascii="Calibri" w:hAnsi="Calibri" w:cs="Calibri"/>
          <w:lang w:eastAsia="zh-CN"/>
        </w:rPr>
        <w:t xml:space="preserve"> makes it parti</w:t>
      </w:r>
      <w:r w:rsidR="000B22F8" w:rsidRPr="2ECDD186">
        <w:rPr>
          <w:rFonts w:ascii="Calibri" w:hAnsi="Calibri" w:cs="Calibri"/>
          <w:lang w:eastAsia="zh-CN"/>
        </w:rPr>
        <w:t>cularly suited to small</w:t>
      </w:r>
      <w:r w:rsidR="2F49C7B2" w:rsidRPr="2ECDD186">
        <w:rPr>
          <w:rFonts w:ascii="Calibri" w:eastAsia="Calibri" w:hAnsi="Calibri" w:cs="Calibri"/>
        </w:rPr>
        <w:t>-scale</w:t>
      </w:r>
      <w:r w:rsidR="000B22F8" w:rsidRPr="2ECDD186">
        <w:rPr>
          <w:rFonts w:ascii="Calibri" w:hAnsi="Calibri" w:cs="Calibri"/>
          <w:lang w:eastAsia="zh-CN"/>
        </w:rPr>
        <w:t xml:space="preserve"> educational enquiry where responsiveness to classroom dynamics is essential</w:t>
      </w:r>
      <w:r w:rsidR="00955B8A" w:rsidRPr="2ECDD186">
        <w:rPr>
          <w:rFonts w:ascii="Calibri" w:hAnsi="Calibri" w:cs="Calibri"/>
          <w:lang w:eastAsia="zh-CN"/>
        </w:rPr>
        <w:t xml:space="preserve">. </w:t>
      </w:r>
    </w:p>
    <w:p w14:paraId="7C8EDD2A" w14:textId="77777777" w:rsidR="004065F2" w:rsidRDefault="004065F2" w:rsidP="2ECDD186">
      <w:pPr>
        <w:spacing w:line="360" w:lineRule="auto"/>
        <w:jc w:val="both"/>
        <w:rPr>
          <w:rFonts w:ascii="Calibri" w:hAnsi="Calibri" w:cs="Calibri"/>
          <w:lang w:eastAsia="zh-CN"/>
        </w:rPr>
      </w:pPr>
    </w:p>
    <w:p w14:paraId="734CA1AD" w14:textId="07FA53EA" w:rsidR="006C7A2F" w:rsidRDefault="00D73F15" w:rsidP="1D29E44A">
      <w:pPr>
        <w:spacing w:line="360" w:lineRule="auto"/>
        <w:jc w:val="both"/>
        <w:rPr>
          <w:rFonts w:ascii="Calibri" w:hAnsi="Calibri" w:cs="Calibri"/>
          <w:lang w:eastAsia="zh-CN"/>
        </w:rPr>
      </w:pPr>
      <w:r w:rsidRPr="1D29E44A">
        <w:rPr>
          <w:rFonts w:ascii="Calibri" w:hAnsi="Calibri" w:cs="Calibri"/>
          <w:lang w:eastAsia="zh-CN"/>
        </w:rPr>
        <w:t>Beyond procedural stages, action research is underpinned by the philosophical framework of reflective practice</w:t>
      </w:r>
      <w:r w:rsidR="006C7A2F" w:rsidRPr="1D29E44A">
        <w:rPr>
          <w:rFonts w:ascii="Calibri" w:hAnsi="Calibri" w:cs="Calibri"/>
          <w:lang w:eastAsia="zh-CN"/>
        </w:rPr>
        <w:t xml:space="preserve">. Baumfield, Hall and Wall (2013) trace </w:t>
      </w:r>
      <w:r w:rsidR="2946762C" w:rsidRPr="1D29E44A">
        <w:rPr>
          <w:rFonts w:ascii="Calibri" w:hAnsi="Calibri" w:cs="Calibri"/>
          <w:lang w:eastAsia="zh-CN"/>
        </w:rPr>
        <w:t>its</w:t>
      </w:r>
      <w:r w:rsidR="006C7A2F" w:rsidRPr="1D29E44A">
        <w:rPr>
          <w:rFonts w:ascii="Calibri" w:hAnsi="Calibri" w:cs="Calibri"/>
          <w:lang w:eastAsia="zh-CN"/>
        </w:rPr>
        <w:t xml:space="preserve"> foundations to the work of Dewey, arguing that professional learning takes place through critical engagement with experiences. This is supported by Nicodemus and Swabey (2015) who emphasise that action research redistributes ownership of knowledge production to practitioners, enabling the discovery </w:t>
      </w:r>
      <w:r w:rsidR="2DBD37A9" w:rsidRPr="1D29E44A">
        <w:rPr>
          <w:rFonts w:ascii="Calibri" w:eastAsia="Calibri" w:hAnsi="Calibri" w:cs="Calibri"/>
        </w:rPr>
        <w:t>of</w:t>
      </w:r>
      <w:r w:rsidR="006C7A2F" w:rsidRPr="1D29E44A">
        <w:rPr>
          <w:rFonts w:ascii="Calibri" w:hAnsi="Calibri" w:cs="Calibri"/>
          <w:lang w:eastAsia="zh-CN"/>
        </w:rPr>
        <w:t xml:space="preserve"> contextually valid insights</w:t>
      </w:r>
      <w:r w:rsidR="3DB2A47F" w:rsidRPr="1D29E44A">
        <w:rPr>
          <w:rFonts w:ascii="Calibri" w:eastAsia="Calibri" w:hAnsi="Calibri" w:cs="Calibri"/>
        </w:rPr>
        <w:t>. This</w:t>
      </w:r>
      <w:r w:rsidR="006C7A2F" w:rsidRPr="1D29E44A">
        <w:rPr>
          <w:rFonts w:ascii="Calibri" w:hAnsi="Calibri" w:cs="Calibri"/>
          <w:lang w:eastAsia="zh-CN"/>
        </w:rPr>
        <w:t xml:space="preserve"> practitioner-centred perspective aligns directly with the current investigation, which investigates peer assessment within </w:t>
      </w:r>
      <w:r w:rsidR="004065F2">
        <w:rPr>
          <w:rFonts w:ascii="Calibri" w:hAnsi="Calibri" w:cs="Calibri"/>
          <w:lang w:eastAsia="zh-CN"/>
        </w:rPr>
        <w:t>my</w:t>
      </w:r>
      <w:r w:rsidR="006C7A2F" w:rsidRPr="1D29E44A">
        <w:rPr>
          <w:rFonts w:ascii="Calibri" w:hAnsi="Calibri" w:cs="Calibri"/>
          <w:lang w:eastAsia="zh-CN"/>
        </w:rPr>
        <w:t xml:space="preserve"> own teaching context. </w:t>
      </w:r>
    </w:p>
    <w:p w14:paraId="2887962D" w14:textId="77777777" w:rsidR="003300EA" w:rsidRDefault="003300EA" w:rsidP="004053B9">
      <w:pPr>
        <w:spacing w:line="360" w:lineRule="auto"/>
        <w:jc w:val="both"/>
        <w:rPr>
          <w:rFonts w:ascii="Calibri" w:hAnsi="Calibri" w:cs="Calibri"/>
          <w:lang w:eastAsia="zh-CN"/>
        </w:rPr>
      </w:pPr>
    </w:p>
    <w:p w14:paraId="3347EF3C" w14:textId="6E500A80" w:rsidR="006C7A2F" w:rsidRDefault="006C7A2F" w:rsidP="1D29E44A">
      <w:pPr>
        <w:spacing w:line="360" w:lineRule="auto"/>
        <w:jc w:val="both"/>
        <w:rPr>
          <w:rFonts w:ascii="Calibri" w:hAnsi="Calibri" w:cs="Calibri"/>
          <w:lang w:eastAsia="zh-CN"/>
        </w:rPr>
      </w:pPr>
      <w:r w:rsidRPr="1D29E44A">
        <w:rPr>
          <w:rFonts w:ascii="Calibri" w:hAnsi="Calibri" w:cs="Calibri"/>
          <w:lang w:eastAsia="zh-CN"/>
        </w:rPr>
        <w:t xml:space="preserve">However, there are tensions in the methodological approach </w:t>
      </w:r>
      <w:r w:rsidR="2BD734F6" w:rsidRPr="1D29E44A">
        <w:rPr>
          <w:rFonts w:ascii="Calibri" w:hAnsi="Calibri" w:cs="Calibri"/>
          <w:lang w:eastAsia="zh-CN"/>
        </w:rPr>
        <w:t>of</w:t>
      </w:r>
      <w:r w:rsidRPr="1D29E44A">
        <w:rPr>
          <w:rFonts w:ascii="Calibri" w:hAnsi="Calibri" w:cs="Calibri"/>
          <w:lang w:eastAsia="zh-CN"/>
        </w:rPr>
        <w:t xml:space="preserve"> action </w:t>
      </w:r>
      <w:r w:rsidR="24B1B94B" w:rsidRPr="1D29E44A">
        <w:rPr>
          <w:rFonts w:ascii="Calibri" w:eastAsia="Calibri" w:hAnsi="Calibri" w:cs="Calibri"/>
        </w:rPr>
        <w:t>research;</w:t>
      </w:r>
      <w:r w:rsidRPr="1D29E44A">
        <w:rPr>
          <w:rFonts w:ascii="Calibri" w:hAnsi="Calibri" w:cs="Calibri"/>
          <w:lang w:eastAsia="zh-CN"/>
        </w:rPr>
        <w:t xml:space="preserve"> Costello (2003) notes that close involvement </w:t>
      </w:r>
      <w:r w:rsidR="00E67564" w:rsidRPr="1D29E44A">
        <w:rPr>
          <w:rFonts w:ascii="Calibri" w:hAnsi="Calibri" w:cs="Calibri"/>
          <w:lang w:eastAsia="zh-CN"/>
        </w:rPr>
        <w:t>of</w:t>
      </w:r>
      <w:r w:rsidRPr="1D29E44A">
        <w:rPr>
          <w:rFonts w:ascii="Calibri" w:hAnsi="Calibri" w:cs="Calibri"/>
          <w:lang w:eastAsia="zh-CN"/>
        </w:rPr>
        <w:t xml:space="preserve"> the teacher-researcher may introduce bias into an investigation, while the small scale and context-bound nature of action research </w:t>
      </w:r>
      <w:r w:rsidR="74494607" w:rsidRPr="1D29E44A">
        <w:rPr>
          <w:rFonts w:ascii="Calibri" w:hAnsi="Calibri" w:cs="Calibri"/>
          <w:lang w:eastAsia="zh-CN"/>
        </w:rPr>
        <w:t>limit</w:t>
      </w:r>
      <w:r w:rsidRPr="1D29E44A">
        <w:rPr>
          <w:rFonts w:ascii="Calibri" w:hAnsi="Calibri" w:cs="Calibri"/>
          <w:lang w:eastAsia="zh-CN"/>
        </w:rPr>
        <w:t xml:space="preserve"> </w:t>
      </w:r>
      <w:r w:rsidR="6782E8DC" w:rsidRPr="1D29E44A">
        <w:rPr>
          <w:rFonts w:ascii="Calibri" w:eastAsia="Calibri" w:hAnsi="Calibri" w:cs="Calibri"/>
        </w:rPr>
        <w:t>the generalisability</w:t>
      </w:r>
      <w:r w:rsidRPr="1D29E44A">
        <w:rPr>
          <w:rFonts w:ascii="Calibri" w:hAnsi="Calibri" w:cs="Calibri"/>
          <w:lang w:eastAsia="zh-CN"/>
        </w:rPr>
        <w:t xml:space="preserve"> of the findings. </w:t>
      </w:r>
      <w:r w:rsidR="00E67564" w:rsidRPr="1D29E44A">
        <w:rPr>
          <w:rFonts w:ascii="Calibri" w:hAnsi="Calibri" w:cs="Calibri"/>
          <w:lang w:eastAsia="zh-CN"/>
        </w:rPr>
        <w:t xml:space="preserve">Efron and Ravid (2020) further caution that novice researchers may </w:t>
      </w:r>
      <w:r w:rsidR="004065F2">
        <w:rPr>
          <w:rFonts w:ascii="Calibri" w:hAnsi="Calibri" w:cs="Calibri"/>
          <w:lang w:eastAsia="zh-CN"/>
        </w:rPr>
        <w:t>struggle to maintain</w:t>
      </w:r>
      <w:r w:rsidR="00E67564" w:rsidRPr="1D29E44A">
        <w:rPr>
          <w:rFonts w:ascii="Calibri" w:hAnsi="Calibri" w:cs="Calibri"/>
          <w:lang w:eastAsia="zh-CN"/>
        </w:rPr>
        <w:t xml:space="preserve"> analytical rigour. To mitigate these concerns, this study will adopt Nowell et al.’s (2017) trustworthiness framework, embedding credibility, dependability, transferability and confirmability with the thematic analysis </w:t>
      </w:r>
      <w:r w:rsidR="29BFD147" w:rsidRPr="1D29E44A">
        <w:rPr>
          <w:rFonts w:ascii="Calibri" w:eastAsia="Calibri" w:hAnsi="Calibri" w:cs="Calibri"/>
        </w:rPr>
        <w:t>process through</w:t>
      </w:r>
      <w:r w:rsidR="00E67564" w:rsidRPr="1D29E44A">
        <w:rPr>
          <w:rFonts w:ascii="Calibri" w:hAnsi="Calibri" w:cs="Calibri"/>
          <w:lang w:eastAsia="zh-CN"/>
        </w:rPr>
        <w:t xml:space="preserve"> systematic coding and transparent documentation. </w:t>
      </w:r>
    </w:p>
    <w:p w14:paraId="4AD9EFC1" w14:textId="77777777" w:rsidR="003300EA" w:rsidRDefault="003300EA" w:rsidP="004053B9">
      <w:pPr>
        <w:spacing w:line="360" w:lineRule="auto"/>
        <w:jc w:val="both"/>
        <w:rPr>
          <w:rFonts w:ascii="Calibri" w:hAnsi="Calibri" w:cs="Calibri"/>
          <w:lang w:eastAsia="zh-CN"/>
        </w:rPr>
      </w:pPr>
    </w:p>
    <w:p w14:paraId="7BF7E8B6" w14:textId="75F219E3" w:rsidR="00E67564" w:rsidRDefault="00E67564" w:rsidP="2ECDD186">
      <w:pPr>
        <w:spacing w:line="360" w:lineRule="auto"/>
        <w:jc w:val="both"/>
        <w:rPr>
          <w:rFonts w:ascii="Calibri" w:hAnsi="Calibri" w:cs="Calibri"/>
          <w:lang w:eastAsia="zh-CN"/>
        </w:rPr>
      </w:pPr>
      <w:r w:rsidRPr="2ECDD186">
        <w:rPr>
          <w:rFonts w:ascii="Calibri" w:hAnsi="Calibri" w:cs="Calibri"/>
          <w:lang w:eastAsia="zh-CN"/>
        </w:rPr>
        <w:t xml:space="preserve">Although research is typically iterative, practical time constraints restricted this project to a single cycle. Nevertheless, by progressing systematically through design, implementation and structured reflection, the study maintains a methodological </w:t>
      </w:r>
      <w:r w:rsidR="6853140C" w:rsidRPr="2ECDD186">
        <w:rPr>
          <w:rFonts w:ascii="Calibri" w:eastAsia="Calibri" w:hAnsi="Calibri" w:cs="Calibri"/>
        </w:rPr>
        <w:t>contribution</w:t>
      </w:r>
      <w:r w:rsidRPr="2ECDD186">
        <w:rPr>
          <w:rFonts w:ascii="Calibri" w:hAnsi="Calibri" w:cs="Calibri"/>
          <w:lang w:eastAsia="zh-CN"/>
        </w:rPr>
        <w:t xml:space="preserve"> to evidence-informed pedagogical development. </w:t>
      </w:r>
    </w:p>
    <w:p w14:paraId="2BA7436C" w14:textId="4D509CC6" w:rsidR="00E67564" w:rsidRDefault="00E67564" w:rsidP="00E67564">
      <w:pPr>
        <w:pStyle w:val="Heading3"/>
      </w:pPr>
      <w:r>
        <w:t>What is secondary research?</w:t>
      </w:r>
    </w:p>
    <w:p w14:paraId="318C6F85" w14:textId="538098B9" w:rsidR="00034DB4" w:rsidRDefault="00034DB4" w:rsidP="1D29E44A">
      <w:pPr>
        <w:spacing w:line="360" w:lineRule="auto"/>
        <w:jc w:val="both"/>
        <w:rPr>
          <w:rFonts w:ascii="Calibri" w:hAnsi="Calibri" w:cs="Calibri"/>
        </w:rPr>
      </w:pPr>
      <w:r w:rsidRPr="1D29E44A">
        <w:rPr>
          <w:rFonts w:ascii="Calibri" w:hAnsi="Calibri" w:cs="Calibri"/>
        </w:rPr>
        <w:t xml:space="preserve">For this action research </w:t>
      </w:r>
      <w:r w:rsidR="16CCAAF7" w:rsidRPr="1D29E44A">
        <w:rPr>
          <w:rFonts w:ascii="Calibri" w:eastAsia="Calibri" w:hAnsi="Calibri" w:cs="Calibri"/>
        </w:rPr>
        <w:t>project,</w:t>
      </w:r>
      <w:r w:rsidRPr="1D29E44A">
        <w:rPr>
          <w:rFonts w:ascii="Calibri" w:hAnsi="Calibri" w:cs="Calibri"/>
        </w:rPr>
        <w:t xml:space="preserve"> a secondary research approach was adopted, analysing </w:t>
      </w:r>
      <w:r w:rsidR="00B6650C" w:rsidRPr="1D29E44A">
        <w:rPr>
          <w:rFonts w:ascii="Calibri" w:hAnsi="Calibri" w:cs="Calibri"/>
        </w:rPr>
        <w:t>existing</w:t>
      </w:r>
      <w:r w:rsidRPr="1D29E44A">
        <w:rPr>
          <w:rFonts w:ascii="Calibri" w:hAnsi="Calibri" w:cs="Calibri"/>
        </w:rPr>
        <w:t xml:space="preserve"> academic literature to peer assessment in higher education. Cohen, Manion and Morrison (2018) describe secondary data as information that has previously been collected, </w:t>
      </w:r>
      <w:r w:rsidRPr="1D29E44A">
        <w:rPr>
          <w:rFonts w:ascii="Calibri" w:hAnsi="Calibri" w:cs="Calibri"/>
        </w:rPr>
        <w:lastRenderedPageBreak/>
        <w:t xml:space="preserve">often for different research </w:t>
      </w:r>
      <w:r w:rsidR="218ACB6C" w:rsidRPr="1D29E44A">
        <w:rPr>
          <w:rFonts w:ascii="Calibri" w:eastAsia="Calibri" w:hAnsi="Calibri" w:cs="Calibri"/>
        </w:rPr>
        <w:t>purposes,</w:t>
      </w:r>
      <w:r w:rsidRPr="1D29E44A">
        <w:rPr>
          <w:rFonts w:ascii="Calibri" w:hAnsi="Calibri" w:cs="Calibri"/>
        </w:rPr>
        <w:t xml:space="preserve"> that can be reanalysed to explore new research projects or to reinterpret </w:t>
      </w:r>
      <w:r w:rsidR="00B6650C" w:rsidRPr="1D29E44A">
        <w:rPr>
          <w:rFonts w:ascii="Calibri" w:hAnsi="Calibri" w:cs="Calibri"/>
        </w:rPr>
        <w:t>existing</w:t>
      </w:r>
      <w:r w:rsidRPr="1D29E44A">
        <w:rPr>
          <w:rFonts w:ascii="Calibri" w:hAnsi="Calibri" w:cs="Calibri"/>
        </w:rPr>
        <w:t xml:space="preserve"> findings. </w:t>
      </w:r>
    </w:p>
    <w:p w14:paraId="178DE889" w14:textId="77777777" w:rsidR="00E228E3" w:rsidRDefault="00E228E3" w:rsidP="00B912B4">
      <w:pPr>
        <w:spacing w:line="360" w:lineRule="auto"/>
        <w:jc w:val="both"/>
        <w:rPr>
          <w:rFonts w:ascii="Calibri" w:hAnsi="Calibri" w:cs="Calibri"/>
        </w:rPr>
      </w:pPr>
    </w:p>
    <w:p w14:paraId="3FF9D56C" w14:textId="07DE4081" w:rsidR="00E228E3" w:rsidRDefault="00E228E3" w:rsidP="1D29E44A">
      <w:pPr>
        <w:spacing w:line="360" w:lineRule="auto"/>
        <w:jc w:val="both"/>
        <w:rPr>
          <w:rFonts w:ascii="Calibri" w:hAnsi="Calibri" w:cs="Calibri"/>
        </w:rPr>
      </w:pPr>
      <w:r w:rsidRPr="1D29E44A">
        <w:rPr>
          <w:rFonts w:ascii="Calibri" w:hAnsi="Calibri" w:cs="Calibri"/>
        </w:rPr>
        <w:t xml:space="preserve">Smith (2008) highlights that while secondary analysis offers opportunities to engage with large bodies of </w:t>
      </w:r>
      <w:r w:rsidR="00B6650C" w:rsidRPr="1D29E44A">
        <w:rPr>
          <w:rFonts w:ascii="Calibri" w:hAnsi="Calibri" w:cs="Calibri"/>
        </w:rPr>
        <w:t>existing</w:t>
      </w:r>
      <w:r w:rsidRPr="1D29E44A">
        <w:rPr>
          <w:rFonts w:ascii="Calibri" w:hAnsi="Calibri" w:cs="Calibri"/>
        </w:rPr>
        <w:t xml:space="preserve"> data, concerns are frequently raised regarding the reliability of datasets and the extent to which data collected for one purpose can meaningfully address new research questions. In addition, Costa (2024) notes that existing datasets are shaped by the theoretical assumptions, </w:t>
      </w:r>
      <w:r w:rsidR="23C7B9DB" w:rsidRPr="1D29E44A">
        <w:rPr>
          <w:rFonts w:ascii="Calibri" w:eastAsia="Calibri" w:hAnsi="Calibri" w:cs="Calibri"/>
        </w:rPr>
        <w:t>methodological</w:t>
      </w:r>
      <w:r w:rsidRPr="1D29E44A">
        <w:rPr>
          <w:rFonts w:ascii="Calibri" w:hAnsi="Calibri" w:cs="Calibri"/>
        </w:rPr>
        <w:t xml:space="preserve"> decisions and measurement approaches of the original researchers, meaning that the concepts may not always </w:t>
      </w:r>
      <w:r w:rsidR="695F19CA" w:rsidRPr="1D29E44A">
        <w:rPr>
          <w:rFonts w:ascii="Calibri" w:eastAsia="Calibri" w:hAnsi="Calibri" w:cs="Calibri"/>
        </w:rPr>
        <w:t>align</w:t>
      </w:r>
      <w:r w:rsidRPr="1D29E44A">
        <w:rPr>
          <w:rFonts w:ascii="Calibri" w:hAnsi="Calibri" w:cs="Calibri"/>
        </w:rPr>
        <w:t xml:space="preserve"> </w:t>
      </w:r>
      <w:r w:rsidR="00D87BA0">
        <w:rPr>
          <w:rFonts w:ascii="Calibri" w:hAnsi="Calibri" w:cs="Calibri"/>
        </w:rPr>
        <w:t xml:space="preserve">perfectly </w:t>
      </w:r>
      <w:r w:rsidRPr="1D29E44A">
        <w:rPr>
          <w:rFonts w:ascii="Calibri" w:hAnsi="Calibri" w:cs="Calibri"/>
        </w:rPr>
        <w:t xml:space="preserve">with the aims of subsequent studies. Despite these limitations, </w:t>
      </w:r>
      <w:r w:rsidR="00D87BA0">
        <w:rPr>
          <w:rFonts w:ascii="Calibri" w:hAnsi="Calibri" w:cs="Calibri"/>
        </w:rPr>
        <w:t xml:space="preserve">I feel </w:t>
      </w:r>
      <w:r w:rsidRPr="1D29E44A">
        <w:rPr>
          <w:rFonts w:ascii="Calibri" w:hAnsi="Calibri" w:cs="Calibri"/>
        </w:rPr>
        <w:t xml:space="preserve">that secondary data can provide valuable opportunities to </w:t>
      </w:r>
      <w:r w:rsidR="00B6650C" w:rsidRPr="1D29E44A">
        <w:rPr>
          <w:rFonts w:ascii="Calibri" w:hAnsi="Calibri" w:cs="Calibri"/>
        </w:rPr>
        <w:t>synthesise</w:t>
      </w:r>
      <w:r w:rsidRPr="1D29E44A">
        <w:rPr>
          <w:rFonts w:ascii="Calibri" w:hAnsi="Calibri" w:cs="Calibri"/>
        </w:rPr>
        <w:t xml:space="preserve"> research findings and identify patterns</w:t>
      </w:r>
      <w:r w:rsidR="00FE35B8" w:rsidRPr="1D29E44A">
        <w:rPr>
          <w:rFonts w:ascii="Calibri" w:hAnsi="Calibri" w:cs="Calibri"/>
        </w:rPr>
        <w:t xml:space="preserve"> in the </w:t>
      </w:r>
      <w:r w:rsidR="46673149" w:rsidRPr="1D29E44A">
        <w:rPr>
          <w:rFonts w:ascii="Calibri" w:eastAsia="Calibri" w:hAnsi="Calibri" w:cs="Calibri"/>
        </w:rPr>
        <w:t>data;</w:t>
      </w:r>
      <w:r w:rsidR="00FE35B8" w:rsidRPr="1D29E44A">
        <w:rPr>
          <w:rFonts w:ascii="Calibri" w:hAnsi="Calibri" w:cs="Calibri"/>
        </w:rPr>
        <w:t xml:space="preserve"> however, it is important that sources are critically evaluated to ensure their relevance, credibility and alignment with the aims of this project</w:t>
      </w:r>
      <w:r w:rsidRPr="1D29E44A">
        <w:rPr>
          <w:rFonts w:ascii="Calibri" w:hAnsi="Calibri" w:cs="Calibri"/>
        </w:rPr>
        <w:t xml:space="preserve">. </w:t>
      </w:r>
      <w:r w:rsidR="00D87BA0">
        <w:rPr>
          <w:rFonts w:ascii="Calibri" w:hAnsi="Calibri" w:cs="Calibri"/>
        </w:rPr>
        <w:t>While time constraints limited the opportunities for primary data collection, this approach was selected as the most robust method for providing a high-level synthesis of current practice within the scope of my project.</w:t>
      </w:r>
      <w:r w:rsidRPr="1D29E44A">
        <w:rPr>
          <w:rFonts w:ascii="Calibri" w:hAnsi="Calibri" w:cs="Calibri"/>
        </w:rPr>
        <w:t xml:space="preserve"> </w:t>
      </w:r>
    </w:p>
    <w:p w14:paraId="0E0DC0D9" w14:textId="461A56B0" w:rsidR="758A6390" w:rsidRDefault="00E67564" w:rsidP="00B912B4">
      <w:pPr>
        <w:pStyle w:val="Heading3"/>
      </w:pPr>
      <w:r>
        <w:t>What is thematic analysis?</w:t>
      </w:r>
    </w:p>
    <w:p w14:paraId="6E401F2A" w14:textId="72DD0262" w:rsidR="00B912B4" w:rsidRDefault="007A6AF5" w:rsidP="2ECDD186">
      <w:pPr>
        <w:spacing w:line="360" w:lineRule="auto"/>
        <w:jc w:val="both"/>
        <w:rPr>
          <w:rFonts w:ascii="Calibri" w:hAnsi="Calibri" w:cs="Calibri"/>
          <w:lang w:eastAsia="zh-CN"/>
        </w:rPr>
      </w:pPr>
      <w:r w:rsidRPr="2ECDD186">
        <w:rPr>
          <w:rFonts w:ascii="Calibri" w:hAnsi="Calibri" w:cs="Calibri"/>
          <w:lang w:eastAsia="zh-CN"/>
        </w:rPr>
        <w:t xml:space="preserve">The literature examined in this action research project was analysed using thematic analysis following the six-phase framework as outlined by Braun and Clarke (2006). These phases include familiarisation with the data, generating initial codes, identifying </w:t>
      </w:r>
      <w:r w:rsidR="00604931" w:rsidRPr="2ECDD186">
        <w:rPr>
          <w:rFonts w:ascii="Calibri" w:hAnsi="Calibri" w:cs="Calibri"/>
          <w:lang w:eastAsia="zh-CN"/>
        </w:rPr>
        <w:t>themes</w:t>
      </w:r>
      <w:r w:rsidRPr="2ECDD186">
        <w:rPr>
          <w:rFonts w:ascii="Calibri" w:hAnsi="Calibri" w:cs="Calibri"/>
          <w:lang w:eastAsia="zh-CN"/>
        </w:rPr>
        <w:t xml:space="preserve">, reviewing </w:t>
      </w:r>
      <w:r w:rsidR="00604931" w:rsidRPr="2ECDD186">
        <w:rPr>
          <w:rFonts w:ascii="Calibri" w:hAnsi="Calibri" w:cs="Calibri"/>
          <w:lang w:eastAsia="zh-CN"/>
        </w:rPr>
        <w:t xml:space="preserve">themes, defining and naming themes and producing the final analytical account. In this </w:t>
      </w:r>
      <w:r w:rsidR="3D644D06" w:rsidRPr="2ECDD186">
        <w:rPr>
          <w:rFonts w:ascii="Calibri" w:eastAsia="Calibri" w:hAnsi="Calibri" w:cs="Calibri"/>
        </w:rPr>
        <w:t>project,</w:t>
      </w:r>
      <w:r w:rsidR="00604931" w:rsidRPr="2ECDD186">
        <w:rPr>
          <w:rFonts w:ascii="Calibri" w:hAnsi="Calibri" w:cs="Calibri"/>
          <w:lang w:eastAsia="zh-CN"/>
        </w:rPr>
        <w:t xml:space="preserve"> the data consisted of selected academic literature relating to peer assessment in higher education. Repeated reading of the sources allowed for familiarisation with key </w:t>
      </w:r>
      <w:r w:rsidR="2B1FC8C8" w:rsidRPr="2ECDD186">
        <w:rPr>
          <w:rFonts w:ascii="Calibri" w:eastAsia="Calibri" w:hAnsi="Calibri" w:cs="Calibri"/>
        </w:rPr>
        <w:t>arguments,</w:t>
      </w:r>
      <w:r w:rsidR="00604931" w:rsidRPr="2ECDD186">
        <w:rPr>
          <w:rFonts w:ascii="Calibri" w:hAnsi="Calibri" w:cs="Calibri"/>
          <w:lang w:eastAsia="zh-CN"/>
        </w:rPr>
        <w:t xml:space="preserve"> recurring concepts and patterns. Initial codes were then generated to capture significant ideas, which were subsequently organised into broader themes reflecting patterns across the research. </w:t>
      </w:r>
    </w:p>
    <w:p w14:paraId="3A9BB5E8" w14:textId="77777777" w:rsidR="0093738A" w:rsidRDefault="0093738A" w:rsidP="00604931">
      <w:pPr>
        <w:spacing w:line="360" w:lineRule="auto"/>
        <w:jc w:val="both"/>
        <w:rPr>
          <w:rFonts w:ascii="Calibri" w:hAnsi="Calibri" w:cs="Calibri"/>
          <w:lang w:eastAsia="zh-CN"/>
        </w:rPr>
      </w:pPr>
    </w:p>
    <w:p w14:paraId="7DB94E0D" w14:textId="2C912D42" w:rsidR="00604931" w:rsidRPr="007A6AF5" w:rsidRDefault="00604931" w:rsidP="1D29E44A">
      <w:pPr>
        <w:spacing w:line="360" w:lineRule="auto"/>
        <w:jc w:val="both"/>
        <w:rPr>
          <w:rFonts w:ascii="Calibri" w:hAnsi="Calibri" w:cs="Calibri"/>
          <w:lang w:eastAsia="zh-CN"/>
        </w:rPr>
      </w:pPr>
      <w:r w:rsidRPr="1D29E44A">
        <w:rPr>
          <w:rFonts w:ascii="Calibri" w:hAnsi="Calibri" w:cs="Calibri"/>
          <w:lang w:eastAsia="zh-CN"/>
        </w:rPr>
        <w:t xml:space="preserve">Despite the flexibility this approach offers and its suitability for exploratory </w:t>
      </w:r>
      <w:r w:rsidR="00B6650C" w:rsidRPr="1D29E44A">
        <w:rPr>
          <w:rFonts w:ascii="Calibri" w:hAnsi="Calibri" w:cs="Calibri"/>
          <w:lang w:eastAsia="zh-CN"/>
        </w:rPr>
        <w:t>enquiry</w:t>
      </w:r>
      <w:r w:rsidRPr="1D29E44A">
        <w:rPr>
          <w:rFonts w:ascii="Calibri" w:hAnsi="Calibri" w:cs="Calibri"/>
          <w:lang w:eastAsia="zh-CN"/>
        </w:rPr>
        <w:t xml:space="preserve">, </w:t>
      </w:r>
      <w:r w:rsidR="00B6650C" w:rsidRPr="1D29E44A">
        <w:rPr>
          <w:rFonts w:ascii="Calibri" w:hAnsi="Calibri" w:cs="Calibri"/>
          <w:lang w:eastAsia="zh-CN"/>
        </w:rPr>
        <w:t>thematic</w:t>
      </w:r>
      <w:r w:rsidRPr="1D29E44A">
        <w:rPr>
          <w:rFonts w:ascii="Calibri" w:hAnsi="Calibri" w:cs="Calibri"/>
          <w:lang w:eastAsia="zh-CN"/>
        </w:rPr>
        <w:t xml:space="preserve"> analysis has recognised limitations. Roberts, Dowell and Nie (2019) note that the nature of coding and theme development can make the process time</w:t>
      </w:r>
      <w:r w:rsidR="78147056" w:rsidRPr="1D29E44A">
        <w:rPr>
          <w:rFonts w:ascii="Calibri" w:eastAsia="Calibri" w:hAnsi="Calibri" w:cs="Calibri"/>
        </w:rPr>
        <w:t>-consuming</w:t>
      </w:r>
      <w:r w:rsidRPr="1D29E44A">
        <w:rPr>
          <w:rFonts w:ascii="Calibri" w:hAnsi="Calibri" w:cs="Calibri"/>
          <w:lang w:eastAsia="zh-CN"/>
        </w:rPr>
        <w:t xml:space="preserve"> and potentially </w:t>
      </w:r>
      <w:r w:rsidR="00B6650C" w:rsidRPr="1D29E44A">
        <w:rPr>
          <w:rFonts w:ascii="Calibri" w:hAnsi="Calibri" w:cs="Calibri"/>
          <w:lang w:eastAsia="zh-CN"/>
        </w:rPr>
        <w:t>susceptible</w:t>
      </w:r>
      <w:r w:rsidRPr="1D29E44A">
        <w:rPr>
          <w:rFonts w:ascii="Calibri" w:hAnsi="Calibri" w:cs="Calibri"/>
          <w:lang w:eastAsia="zh-CN"/>
        </w:rPr>
        <w:t xml:space="preserve"> to research bias. To address this concern, Braun and </w:t>
      </w:r>
      <w:r w:rsidR="1C3FEE0D" w:rsidRPr="1D29E44A">
        <w:rPr>
          <w:rFonts w:ascii="Calibri" w:eastAsia="Calibri" w:hAnsi="Calibri" w:cs="Calibri"/>
        </w:rPr>
        <w:t>Clarke's</w:t>
      </w:r>
      <w:r w:rsidRPr="1D29E44A">
        <w:rPr>
          <w:rFonts w:ascii="Calibri" w:hAnsi="Calibri" w:cs="Calibri"/>
          <w:lang w:eastAsia="zh-CN"/>
        </w:rPr>
        <w:t xml:space="preserve"> (2019) reflexive approach to thematic analysis was adopted. This approach recognises that researchers are </w:t>
      </w:r>
      <w:r w:rsidR="0093738A" w:rsidRPr="1D29E44A">
        <w:rPr>
          <w:rFonts w:ascii="Calibri" w:hAnsi="Calibri" w:cs="Calibri"/>
          <w:lang w:eastAsia="zh-CN"/>
        </w:rPr>
        <w:lastRenderedPageBreak/>
        <w:t xml:space="preserve">not neutral observers but instead active </w:t>
      </w:r>
      <w:r w:rsidR="00B6650C" w:rsidRPr="1D29E44A">
        <w:rPr>
          <w:rFonts w:ascii="Calibri" w:hAnsi="Calibri" w:cs="Calibri"/>
          <w:lang w:eastAsia="zh-CN"/>
        </w:rPr>
        <w:t>interpreters</w:t>
      </w:r>
      <w:r w:rsidR="0093738A" w:rsidRPr="1D29E44A">
        <w:rPr>
          <w:rFonts w:ascii="Calibri" w:hAnsi="Calibri" w:cs="Calibri"/>
          <w:lang w:eastAsia="zh-CN"/>
        </w:rPr>
        <w:t xml:space="preserve"> of data. As a teacher-research</w:t>
      </w:r>
      <w:r w:rsidR="00B6650C" w:rsidRPr="1D29E44A">
        <w:rPr>
          <w:rFonts w:ascii="Calibri" w:hAnsi="Calibri" w:cs="Calibri"/>
          <w:lang w:eastAsia="zh-CN"/>
        </w:rPr>
        <w:t>er</w:t>
      </w:r>
      <w:r w:rsidR="0093738A" w:rsidRPr="1D29E44A">
        <w:rPr>
          <w:rFonts w:ascii="Calibri" w:hAnsi="Calibri" w:cs="Calibri"/>
          <w:lang w:eastAsia="zh-CN"/>
        </w:rPr>
        <w:t xml:space="preserve"> with an active interest in formative assessment practices, reflexive awareness was therefore maintained throughout the analytical process to ensure transparency in the interpretation of themes emerging from the literature. </w:t>
      </w:r>
    </w:p>
    <w:p w14:paraId="30BC27DC" w14:textId="0074B0BB" w:rsidR="00B04A6B" w:rsidRDefault="00B04A6B" w:rsidP="00B04A6B">
      <w:pPr>
        <w:pStyle w:val="Heading2"/>
      </w:pPr>
      <w:r>
        <w:t xml:space="preserve">Results/discussion </w:t>
      </w:r>
    </w:p>
    <w:p w14:paraId="5047A459" w14:textId="26D1E821" w:rsidR="00C605C6" w:rsidRDefault="00C605C6" w:rsidP="1D29E44A">
      <w:pPr>
        <w:spacing w:line="360" w:lineRule="auto"/>
        <w:jc w:val="both"/>
        <w:rPr>
          <w:rFonts w:ascii="Calibri" w:hAnsi="Calibri" w:cs="Calibri"/>
          <w:lang w:eastAsia="zh-CN"/>
        </w:rPr>
      </w:pPr>
      <w:r w:rsidRPr="1D29E44A">
        <w:rPr>
          <w:rFonts w:ascii="Calibri" w:hAnsi="Calibri" w:cs="Calibri"/>
          <w:lang w:eastAsia="zh-CN"/>
        </w:rPr>
        <w:t xml:space="preserve">Following a thematic analysis of the literature, several recurring patterns were </w:t>
      </w:r>
      <w:r w:rsidR="0A9F2587" w:rsidRPr="1D29E44A">
        <w:rPr>
          <w:rFonts w:ascii="Calibri" w:eastAsia="Calibri" w:hAnsi="Calibri" w:cs="Calibri"/>
        </w:rPr>
        <w:t>identified;</w:t>
      </w:r>
      <w:r w:rsidRPr="1D29E44A">
        <w:rPr>
          <w:rFonts w:ascii="Calibri" w:hAnsi="Calibri" w:cs="Calibri"/>
          <w:lang w:eastAsia="zh-CN"/>
        </w:rPr>
        <w:t xml:space="preserve"> as a </w:t>
      </w:r>
      <w:r w:rsidR="65186558" w:rsidRPr="1D29E44A">
        <w:rPr>
          <w:rFonts w:ascii="Calibri" w:eastAsia="Calibri" w:hAnsi="Calibri" w:cs="Calibri"/>
        </w:rPr>
        <w:t>result,</w:t>
      </w:r>
      <w:r w:rsidRPr="1D29E44A">
        <w:rPr>
          <w:rFonts w:ascii="Calibri" w:hAnsi="Calibri" w:cs="Calibri"/>
          <w:lang w:eastAsia="zh-CN"/>
        </w:rPr>
        <w:t xml:space="preserve"> these were </w:t>
      </w:r>
      <w:r w:rsidR="003C41E8" w:rsidRPr="1D29E44A">
        <w:rPr>
          <w:rFonts w:ascii="Calibri" w:hAnsi="Calibri" w:cs="Calibri"/>
          <w:lang w:eastAsia="zh-CN"/>
        </w:rPr>
        <w:t>compiled</w:t>
      </w:r>
      <w:r w:rsidRPr="1D29E44A">
        <w:rPr>
          <w:rFonts w:ascii="Calibri" w:hAnsi="Calibri" w:cs="Calibri"/>
          <w:lang w:eastAsia="zh-CN"/>
        </w:rPr>
        <w:t xml:space="preserve"> into 4 key themes: the developmental and formative </w:t>
      </w:r>
      <w:r w:rsidR="003C41E8" w:rsidRPr="1D29E44A">
        <w:rPr>
          <w:rFonts w:ascii="Calibri" w:hAnsi="Calibri" w:cs="Calibri"/>
          <w:lang w:eastAsia="zh-CN"/>
        </w:rPr>
        <w:t>benefits</w:t>
      </w:r>
      <w:r w:rsidRPr="1D29E44A">
        <w:rPr>
          <w:rFonts w:ascii="Calibri" w:hAnsi="Calibri" w:cs="Calibri"/>
          <w:lang w:eastAsia="zh-CN"/>
        </w:rPr>
        <w:t xml:space="preserve"> of peer assessment, the conditional nature of its effectiveness, implementation and institutional </w:t>
      </w:r>
      <w:r w:rsidR="003C41E8" w:rsidRPr="1D29E44A">
        <w:rPr>
          <w:rFonts w:ascii="Calibri" w:hAnsi="Calibri" w:cs="Calibri"/>
          <w:lang w:eastAsia="zh-CN"/>
        </w:rPr>
        <w:t>tensions</w:t>
      </w:r>
      <w:r w:rsidRPr="1D29E44A">
        <w:rPr>
          <w:rFonts w:ascii="Calibri" w:hAnsi="Calibri" w:cs="Calibri"/>
          <w:lang w:eastAsia="zh-CN"/>
        </w:rPr>
        <w:t xml:space="preserve"> and the relational and socio-emotional </w:t>
      </w:r>
      <w:r w:rsidR="003C41E8" w:rsidRPr="1D29E44A">
        <w:rPr>
          <w:rFonts w:ascii="Calibri" w:hAnsi="Calibri" w:cs="Calibri"/>
          <w:lang w:eastAsia="zh-CN"/>
        </w:rPr>
        <w:t>dynamics</w:t>
      </w:r>
      <w:r w:rsidRPr="1D29E44A">
        <w:rPr>
          <w:rFonts w:ascii="Calibri" w:hAnsi="Calibri" w:cs="Calibri"/>
          <w:lang w:eastAsia="zh-CN"/>
        </w:rPr>
        <w:t xml:space="preserve"> </w:t>
      </w:r>
      <w:r w:rsidR="003B093F">
        <w:rPr>
          <w:rFonts w:ascii="Calibri" w:hAnsi="Calibri" w:cs="Calibri"/>
          <w:lang w:eastAsia="zh-CN"/>
        </w:rPr>
        <w:t>affecting engagement.</w:t>
      </w:r>
    </w:p>
    <w:p w14:paraId="3ADD08EA" w14:textId="4DF309E0" w:rsidR="00C605C6" w:rsidRDefault="00C605C6" w:rsidP="00C605C6">
      <w:pPr>
        <w:pStyle w:val="Heading3"/>
      </w:pPr>
      <w:r>
        <w:t xml:space="preserve">Theme 1: Developmental and Formative Benefits </w:t>
      </w:r>
    </w:p>
    <w:p w14:paraId="4E6FD474" w14:textId="2B22DB6C" w:rsidR="00B31DBE" w:rsidRDefault="00B31DBE" w:rsidP="1D29E44A">
      <w:pPr>
        <w:spacing w:line="360" w:lineRule="auto"/>
        <w:jc w:val="both"/>
        <w:rPr>
          <w:rFonts w:ascii="Calibri" w:hAnsi="Calibri" w:cs="Calibri"/>
          <w:lang w:eastAsia="zh-CN"/>
        </w:rPr>
      </w:pPr>
      <w:r w:rsidRPr="1D29E44A">
        <w:rPr>
          <w:rFonts w:ascii="Calibri" w:hAnsi="Calibri" w:cs="Calibri"/>
          <w:lang w:eastAsia="zh-CN"/>
        </w:rPr>
        <w:t xml:space="preserve">Across the literature, peer </w:t>
      </w:r>
      <w:r w:rsidR="003C41E8" w:rsidRPr="1D29E44A">
        <w:rPr>
          <w:rFonts w:ascii="Calibri" w:hAnsi="Calibri" w:cs="Calibri"/>
          <w:lang w:eastAsia="zh-CN"/>
        </w:rPr>
        <w:t>assessment</w:t>
      </w:r>
      <w:r w:rsidRPr="1D29E44A">
        <w:rPr>
          <w:rFonts w:ascii="Calibri" w:hAnsi="Calibri" w:cs="Calibri"/>
          <w:lang w:eastAsia="zh-CN"/>
        </w:rPr>
        <w:t xml:space="preserve"> is positioned as a </w:t>
      </w:r>
      <w:r w:rsidR="005E2ACB" w:rsidRPr="1D29E44A">
        <w:rPr>
          <w:rFonts w:ascii="Calibri" w:hAnsi="Calibri" w:cs="Calibri"/>
          <w:lang w:eastAsia="zh-CN"/>
        </w:rPr>
        <w:t>tool for supporting deeper learning through active engagement with assessment criteria and feedback processes. Nicol, Thomson and Breslin (2014</w:t>
      </w:r>
      <w:r w:rsidR="46852E3B" w:rsidRPr="1D29E44A">
        <w:rPr>
          <w:rFonts w:ascii="Calibri" w:hAnsi="Calibri" w:cs="Calibri"/>
          <w:lang w:eastAsia="zh-CN"/>
        </w:rPr>
        <w:t>)</w:t>
      </w:r>
      <w:r w:rsidR="005E2ACB" w:rsidRPr="1D29E44A">
        <w:rPr>
          <w:rFonts w:ascii="Calibri" w:hAnsi="Calibri" w:cs="Calibri"/>
          <w:lang w:eastAsia="zh-CN"/>
        </w:rPr>
        <w:t xml:space="preserve"> argue that producing feedback encourage</w:t>
      </w:r>
      <w:r w:rsidR="003B093F">
        <w:rPr>
          <w:rFonts w:ascii="Calibri" w:hAnsi="Calibri" w:cs="Calibri"/>
          <w:lang w:eastAsia="zh-CN"/>
        </w:rPr>
        <w:t>s</w:t>
      </w:r>
      <w:r w:rsidR="005E2ACB" w:rsidRPr="1D29E44A">
        <w:rPr>
          <w:rFonts w:ascii="Calibri" w:hAnsi="Calibri" w:cs="Calibri"/>
          <w:lang w:eastAsia="zh-CN"/>
        </w:rPr>
        <w:t xml:space="preserve"> judgements </w:t>
      </w:r>
      <w:r w:rsidR="003B093F">
        <w:rPr>
          <w:rFonts w:ascii="Calibri" w:hAnsi="Calibri" w:cs="Calibri"/>
          <w:lang w:eastAsia="zh-CN"/>
        </w:rPr>
        <w:t>on work quality</w:t>
      </w:r>
      <w:r w:rsidR="0DA4850C" w:rsidRPr="1D29E44A">
        <w:rPr>
          <w:rFonts w:ascii="Calibri" w:eastAsia="Calibri" w:hAnsi="Calibri" w:cs="Calibri"/>
        </w:rPr>
        <w:t>,</w:t>
      </w:r>
      <w:r w:rsidR="005E2ACB" w:rsidRPr="1D29E44A">
        <w:rPr>
          <w:rFonts w:ascii="Calibri" w:hAnsi="Calibri" w:cs="Calibri"/>
          <w:lang w:eastAsia="zh-CN"/>
        </w:rPr>
        <w:t xml:space="preserve"> prompt</w:t>
      </w:r>
      <w:r w:rsidR="003B093F">
        <w:rPr>
          <w:rFonts w:ascii="Calibri" w:hAnsi="Calibri" w:cs="Calibri"/>
          <w:lang w:eastAsia="zh-CN"/>
        </w:rPr>
        <w:t>ing</w:t>
      </w:r>
      <w:r w:rsidR="005E2ACB" w:rsidRPr="1D29E44A">
        <w:rPr>
          <w:rFonts w:ascii="Calibri" w:hAnsi="Calibri" w:cs="Calibri"/>
          <w:lang w:eastAsia="zh-CN"/>
        </w:rPr>
        <w:t xml:space="preserve"> reflection </w:t>
      </w:r>
      <w:r w:rsidR="003B093F">
        <w:rPr>
          <w:rFonts w:ascii="Calibri" w:hAnsi="Calibri" w:cs="Calibri"/>
          <w:lang w:eastAsia="zh-CN"/>
        </w:rPr>
        <w:t>on both peer performance as well as their own. Similarly</w:t>
      </w:r>
      <w:r w:rsidR="005E2ACB" w:rsidRPr="1D29E44A">
        <w:rPr>
          <w:rFonts w:ascii="Calibri" w:hAnsi="Calibri" w:cs="Calibri"/>
          <w:lang w:eastAsia="zh-CN"/>
        </w:rPr>
        <w:t xml:space="preserve">, Tai et al. (2018) describe evaluative judgement as a </w:t>
      </w:r>
      <w:r w:rsidR="003B093F">
        <w:rPr>
          <w:rFonts w:ascii="Calibri" w:hAnsi="Calibri" w:cs="Calibri"/>
          <w:lang w:eastAsia="zh-CN"/>
        </w:rPr>
        <w:t>crucial attribute developed through the act of judging others work</w:t>
      </w:r>
      <w:r w:rsidR="005E2ACB" w:rsidRPr="1D29E44A">
        <w:rPr>
          <w:rFonts w:ascii="Calibri" w:hAnsi="Calibri" w:cs="Calibri"/>
          <w:lang w:eastAsia="zh-CN"/>
        </w:rPr>
        <w:t xml:space="preserve">. Reinholz (2018) extends this </w:t>
      </w:r>
      <w:r w:rsidR="003B093F">
        <w:rPr>
          <w:rFonts w:ascii="Calibri" w:hAnsi="Calibri" w:cs="Calibri"/>
          <w:lang w:eastAsia="zh-CN"/>
        </w:rPr>
        <w:t>via</w:t>
      </w:r>
      <w:r w:rsidR="005E2ACB" w:rsidRPr="1D29E44A">
        <w:rPr>
          <w:rFonts w:ascii="Calibri" w:hAnsi="Calibri" w:cs="Calibri"/>
          <w:lang w:eastAsia="zh-CN"/>
        </w:rPr>
        <w:t xml:space="preserve"> the assessment cycle model, suggesting that learning </w:t>
      </w:r>
      <w:r w:rsidR="003B093F">
        <w:rPr>
          <w:rFonts w:ascii="Calibri" w:hAnsi="Calibri" w:cs="Calibri"/>
          <w:lang w:eastAsia="zh-CN"/>
        </w:rPr>
        <w:t xml:space="preserve">is maximised </w:t>
      </w:r>
      <w:r w:rsidR="005E2ACB" w:rsidRPr="1D29E44A">
        <w:rPr>
          <w:rFonts w:ascii="Calibri" w:hAnsi="Calibri" w:cs="Calibri"/>
          <w:lang w:eastAsia="zh-CN"/>
        </w:rPr>
        <w:t xml:space="preserve">when students engage in a repeated </w:t>
      </w:r>
      <w:r w:rsidR="24C4916D" w:rsidRPr="1D29E44A">
        <w:rPr>
          <w:rFonts w:ascii="Calibri" w:eastAsia="Calibri" w:hAnsi="Calibri" w:cs="Calibri"/>
        </w:rPr>
        <w:t>process</w:t>
      </w:r>
      <w:r w:rsidR="005E2ACB" w:rsidRPr="1D29E44A">
        <w:rPr>
          <w:rFonts w:ascii="Calibri" w:hAnsi="Calibri" w:cs="Calibri"/>
          <w:lang w:eastAsia="zh-CN"/>
        </w:rPr>
        <w:t xml:space="preserve"> of feedback, reflection and revision. </w:t>
      </w:r>
    </w:p>
    <w:p w14:paraId="4D67FC78" w14:textId="08F0452C" w:rsidR="005E2ACB" w:rsidRDefault="005E2ACB" w:rsidP="00B31DBE">
      <w:pPr>
        <w:spacing w:line="360" w:lineRule="auto"/>
        <w:jc w:val="both"/>
        <w:rPr>
          <w:rFonts w:ascii="Calibri" w:hAnsi="Calibri" w:cs="Calibri"/>
          <w:lang w:eastAsia="zh-CN"/>
        </w:rPr>
      </w:pPr>
    </w:p>
    <w:p w14:paraId="31E54083" w14:textId="5A2C7181" w:rsidR="005E2ACB" w:rsidRPr="00B31DBE" w:rsidRDefault="005E2ACB" w:rsidP="00B31DBE">
      <w:pPr>
        <w:spacing w:line="360" w:lineRule="auto"/>
        <w:jc w:val="both"/>
        <w:rPr>
          <w:rFonts w:ascii="Calibri" w:hAnsi="Calibri" w:cs="Calibri"/>
          <w:lang w:eastAsia="zh-CN"/>
        </w:rPr>
      </w:pPr>
      <w:r w:rsidRPr="1D29E44A">
        <w:rPr>
          <w:rFonts w:ascii="Calibri" w:hAnsi="Calibri" w:cs="Calibri"/>
          <w:lang w:eastAsia="zh-CN"/>
        </w:rPr>
        <w:t xml:space="preserve">Empirical research </w:t>
      </w:r>
      <w:r w:rsidR="003B093F">
        <w:rPr>
          <w:rFonts w:ascii="Calibri" w:hAnsi="Calibri" w:cs="Calibri"/>
          <w:lang w:eastAsia="zh-CN"/>
        </w:rPr>
        <w:t>further i</w:t>
      </w:r>
      <w:r w:rsidRPr="1D29E44A">
        <w:rPr>
          <w:rFonts w:ascii="Calibri" w:hAnsi="Calibri" w:cs="Calibri"/>
          <w:lang w:eastAsia="zh-CN"/>
        </w:rPr>
        <w:t xml:space="preserve">ndicates that peer assessment </w:t>
      </w:r>
      <w:r w:rsidR="003B093F">
        <w:rPr>
          <w:rFonts w:ascii="Calibri" w:hAnsi="Calibri" w:cs="Calibri"/>
          <w:lang w:eastAsia="zh-CN"/>
        </w:rPr>
        <w:t>cultivates self-assessment and reflective thinking skills</w:t>
      </w:r>
      <w:r w:rsidRPr="1D29E44A">
        <w:rPr>
          <w:rFonts w:ascii="Calibri" w:hAnsi="Calibri" w:cs="Calibri"/>
          <w:lang w:eastAsia="zh-CN"/>
        </w:rPr>
        <w:t>. To and Panadero (2019)</w:t>
      </w:r>
      <w:r w:rsidR="73A48134" w:rsidRPr="1D29E44A">
        <w:rPr>
          <w:rFonts w:ascii="Calibri" w:hAnsi="Calibri" w:cs="Calibri"/>
          <w:lang w:eastAsia="zh-CN"/>
        </w:rPr>
        <w:t>,</w:t>
      </w:r>
      <w:r w:rsidRPr="1D29E44A">
        <w:rPr>
          <w:rFonts w:ascii="Calibri" w:hAnsi="Calibri" w:cs="Calibri"/>
          <w:lang w:eastAsia="zh-CN"/>
        </w:rPr>
        <w:t xml:space="preserve"> </w:t>
      </w:r>
      <w:r w:rsidR="003B093F">
        <w:rPr>
          <w:rFonts w:ascii="Calibri" w:hAnsi="Calibri" w:cs="Calibri"/>
          <w:lang w:eastAsia="zh-CN"/>
        </w:rPr>
        <w:t>found</w:t>
      </w:r>
      <w:r w:rsidRPr="1D29E44A">
        <w:rPr>
          <w:rFonts w:ascii="Calibri" w:hAnsi="Calibri" w:cs="Calibri"/>
          <w:lang w:eastAsia="zh-CN"/>
        </w:rPr>
        <w:t xml:space="preserve"> that </w:t>
      </w:r>
      <w:r w:rsidR="003B093F">
        <w:rPr>
          <w:rFonts w:ascii="Calibri" w:hAnsi="Calibri" w:cs="Calibri"/>
          <w:lang w:eastAsia="zh-CN"/>
        </w:rPr>
        <w:t>these</w:t>
      </w:r>
      <w:r w:rsidRPr="1D29E44A">
        <w:rPr>
          <w:rFonts w:ascii="Calibri" w:hAnsi="Calibri" w:cs="Calibri"/>
          <w:lang w:eastAsia="zh-CN"/>
        </w:rPr>
        <w:t xml:space="preserve"> activities help students refine their own understanding of quality and broaden their capacity for self-</w:t>
      </w:r>
      <w:r w:rsidR="003C41E8" w:rsidRPr="1D29E44A">
        <w:rPr>
          <w:rFonts w:ascii="Calibri" w:hAnsi="Calibri" w:cs="Calibri"/>
          <w:lang w:eastAsia="zh-CN"/>
        </w:rPr>
        <w:t>evaluation</w:t>
      </w:r>
      <w:r w:rsidRPr="1D29E44A">
        <w:rPr>
          <w:rFonts w:ascii="Calibri" w:hAnsi="Calibri" w:cs="Calibri"/>
          <w:lang w:eastAsia="zh-CN"/>
        </w:rPr>
        <w:t xml:space="preserve">. When considering these arguments, peer assessment is not solely a process of distributing feedback but also </w:t>
      </w:r>
      <w:r w:rsidR="003C41E8" w:rsidRPr="1D29E44A">
        <w:rPr>
          <w:rFonts w:ascii="Calibri" w:hAnsi="Calibri" w:cs="Calibri"/>
          <w:lang w:eastAsia="zh-CN"/>
        </w:rPr>
        <w:t>functions</w:t>
      </w:r>
      <w:r w:rsidRPr="1D29E44A">
        <w:rPr>
          <w:rFonts w:ascii="Calibri" w:hAnsi="Calibri" w:cs="Calibri"/>
          <w:lang w:eastAsia="zh-CN"/>
        </w:rPr>
        <w:t xml:space="preserve"> on a deeper level as a learning activity </w:t>
      </w:r>
      <w:r w:rsidR="003C41E8" w:rsidRPr="1D29E44A">
        <w:rPr>
          <w:rFonts w:ascii="Calibri" w:hAnsi="Calibri" w:cs="Calibri"/>
          <w:lang w:eastAsia="zh-CN"/>
        </w:rPr>
        <w:t>and</w:t>
      </w:r>
      <w:r w:rsidRPr="1D29E44A">
        <w:rPr>
          <w:rFonts w:ascii="Calibri" w:hAnsi="Calibri" w:cs="Calibri"/>
          <w:lang w:eastAsia="zh-CN"/>
        </w:rPr>
        <w:t xml:space="preserve"> the developmental</w:t>
      </w:r>
      <w:r w:rsidR="456ED0F4" w:rsidRPr="1D29E44A">
        <w:rPr>
          <w:rFonts w:ascii="Calibri" w:hAnsi="Calibri" w:cs="Calibri"/>
          <w:lang w:eastAsia="zh-CN"/>
        </w:rPr>
        <w:t xml:space="preserve"> </w:t>
      </w:r>
      <w:r w:rsidRPr="1D29E44A">
        <w:rPr>
          <w:rFonts w:ascii="Calibri" w:hAnsi="Calibri" w:cs="Calibri"/>
          <w:lang w:eastAsia="zh-CN"/>
        </w:rPr>
        <w:t xml:space="preserve">value of peer assessment lies in its ability to shift students from being passive recipients of feedback towards being more active participants in the evaluation process. </w:t>
      </w:r>
    </w:p>
    <w:p w14:paraId="02ED1BF5" w14:textId="7534AFDF" w:rsidR="00C605C6" w:rsidRDefault="00C605C6" w:rsidP="00C605C6">
      <w:pPr>
        <w:pStyle w:val="Heading3"/>
      </w:pPr>
      <w:r>
        <w:t>Theme 2: Effectiveness as a conditional outcome</w:t>
      </w:r>
    </w:p>
    <w:p w14:paraId="0BD303DF" w14:textId="31DFA774" w:rsidR="005E2ACB" w:rsidRDefault="005E2ACB" w:rsidP="005E2ACB">
      <w:pPr>
        <w:spacing w:line="360" w:lineRule="auto"/>
        <w:jc w:val="both"/>
        <w:rPr>
          <w:rFonts w:ascii="Calibri" w:hAnsi="Calibri" w:cs="Calibri"/>
          <w:lang w:eastAsia="zh-CN"/>
        </w:rPr>
      </w:pPr>
      <w:r w:rsidRPr="005E2ACB">
        <w:rPr>
          <w:rFonts w:ascii="Calibri" w:hAnsi="Calibri" w:cs="Calibri"/>
          <w:lang w:eastAsia="zh-CN"/>
        </w:rPr>
        <w:t xml:space="preserve">Whilst the literature suggests a general agreement </w:t>
      </w:r>
      <w:r w:rsidR="003C41E8" w:rsidRPr="005E2ACB">
        <w:rPr>
          <w:rFonts w:ascii="Calibri" w:hAnsi="Calibri" w:cs="Calibri"/>
          <w:lang w:eastAsia="zh-CN"/>
        </w:rPr>
        <w:t>regarding</w:t>
      </w:r>
      <w:r w:rsidRPr="005E2ACB">
        <w:rPr>
          <w:rFonts w:ascii="Calibri" w:hAnsi="Calibri" w:cs="Calibri"/>
          <w:lang w:eastAsia="zh-CN"/>
        </w:rPr>
        <w:t xml:space="preserve"> the potential </w:t>
      </w:r>
      <w:r w:rsidR="003C41E8" w:rsidRPr="005E2ACB">
        <w:rPr>
          <w:rFonts w:ascii="Calibri" w:hAnsi="Calibri" w:cs="Calibri"/>
          <w:lang w:eastAsia="zh-CN"/>
        </w:rPr>
        <w:t>benefits</w:t>
      </w:r>
      <w:r w:rsidRPr="005E2ACB">
        <w:rPr>
          <w:rFonts w:ascii="Calibri" w:hAnsi="Calibri" w:cs="Calibri"/>
          <w:lang w:eastAsia="zh-CN"/>
        </w:rPr>
        <w:t xml:space="preserve"> of peer assessment, evidence </w:t>
      </w:r>
      <w:r w:rsidR="003B093F">
        <w:rPr>
          <w:rFonts w:ascii="Calibri" w:hAnsi="Calibri" w:cs="Calibri"/>
          <w:lang w:eastAsia="zh-CN"/>
        </w:rPr>
        <w:t>of</w:t>
      </w:r>
      <w:r w:rsidRPr="005E2ACB">
        <w:rPr>
          <w:rFonts w:ascii="Calibri" w:hAnsi="Calibri" w:cs="Calibri"/>
          <w:lang w:eastAsia="zh-CN"/>
        </w:rPr>
        <w:t xml:space="preserve"> its effectiveness is often presented as conditional rather than universal. </w:t>
      </w:r>
      <w:r>
        <w:rPr>
          <w:rFonts w:ascii="Calibri" w:hAnsi="Calibri" w:cs="Calibri"/>
          <w:lang w:eastAsia="zh-CN"/>
        </w:rPr>
        <w:t xml:space="preserve">Falchikov and Goldfinch (2000) demonstrate that peer assessment can closely align </w:t>
      </w:r>
      <w:r>
        <w:rPr>
          <w:rFonts w:ascii="Calibri" w:hAnsi="Calibri" w:cs="Calibri"/>
          <w:lang w:eastAsia="zh-CN"/>
        </w:rPr>
        <w:lastRenderedPageBreak/>
        <w:t xml:space="preserve">with teacher evaluation when students </w:t>
      </w:r>
      <w:r w:rsidR="003B093F">
        <w:rPr>
          <w:rFonts w:ascii="Calibri" w:hAnsi="Calibri" w:cs="Calibri"/>
          <w:lang w:eastAsia="zh-CN"/>
        </w:rPr>
        <w:t>work</w:t>
      </w:r>
      <w:r>
        <w:rPr>
          <w:rFonts w:ascii="Calibri" w:hAnsi="Calibri" w:cs="Calibri"/>
          <w:lang w:eastAsia="zh-CN"/>
        </w:rPr>
        <w:t xml:space="preserve"> within well-defined success criteria and clear expectations. </w:t>
      </w:r>
      <w:r w:rsidR="001350CB">
        <w:rPr>
          <w:rFonts w:ascii="Calibri" w:hAnsi="Calibri" w:cs="Calibri"/>
          <w:lang w:eastAsia="zh-CN"/>
        </w:rPr>
        <w:t>Meta-</w:t>
      </w:r>
      <w:r w:rsidR="003B093F">
        <w:rPr>
          <w:rFonts w:ascii="Calibri" w:hAnsi="Calibri" w:cs="Calibri"/>
          <w:lang w:eastAsia="zh-CN"/>
        </w:rPr>
        <w:t>analysis results</w:t>
      </w:r>
      <w:r w:rsidR="001350CB">
        <w:rPr>
          <w:rFonts w:ascii="Calibri" w:hAnsi="Calibri" w:cs="Calibri"/>
          <w:lang w:eastAsia="zh-CN"/>
        </w:rPr>
        <w:t xml:space="preserve"> </w:t>
      </w:r>
      <w:r w:rsidR="003B093F">
        <w:rPr>
          <w:rFonts w:ascii="Calibri" w:hAnsi="Calibri" w:cs="Calibri"/>
          <w:lang w:eastAsia="zh-CN"/>
        </w:rPr>
        <w:t>from</w:t>
      </w:r>
      <w:r w:rsidR="001350CB">
        <w:rPr>
          <w:rFonts w:ascii="Calibri" w:hAnsi="Calibri" w:cs="Calibri"/>
          <w:lang w:eastAsia="zh-CN"/>
        </w:rPr>
        <w:t xml:space="preserve"> Li et al. (2020) report moderate improvements in </w:t>
      </w:r>
      <w:r w:rsidR="003C41E8">
        <w:rPr>
          <w:rFonts w:ascii="Calibri" w:hAnsi="Calibri" w:cs="Calibri"/>
          <w:lang w:eastAsia="zh-CN"/>
        </w:rPr>
        <w:t>learning</w:t>
      </w:r>
      <w:r w:rsidR="001350CB">
        <w:rPr>
          <w:rFonts w:ascii="Calibri" w:hAnsi="Calibri" w:cs="Calibri"/>
          <w:lang w:eastAsia="zh-CN"/>
        </w:rPr>
        <w:t xml:space="preserve"> </w:t>
      </w:r>
      <w:r w:rsidR="003C41E8">
        <w:rPr>
          <w:rFonts w:ascii="Calibri" w:hAnsi="Calibri" w:cs="Calibri"/>
          <w:lang w:eastAsia="zh-CN"/>
        </w:rPr>
        <w:t>outcomes</w:t>
      </w:r>
      <w:r w:rsidR="001350CB">
        <w:rPr>
          <w:rFonts w:ascii="Calibri" w:hAnsi="Calibri" w:cs="Calibri"/>
          <w:lang w:eastAsia="zh-CN"/>
        </w:rPr>
        <w:t xml:space="preserve"> associated with peer assessment. When looking at the context of academic writing, Huisman et al. (2019) found that peer assessment can produce </w:t>
      </w:r>
      <w:r w:rsidR="003C41E8">
        <w:rPr>
          <w:rFonts w:ascii="Calibri" w:hAnsi="Calibri" w:cs="Calibri"/>
          <w:lang w:eastAsia="zh-CN"/>
        </w:rPr>
        <w:t>measurable</w:t>
      </w:r>
      <w:r w:rsidR="001350CB">
        <w:rPr>
          <w:rFonts w:ascii="Calibri" w:hAnsi="Calibri" w:cs="Calibri"/>
          <w:lang w:eastAsia="zh-CN"/>
        </w:rPr>
        <w:t xml:space="preserve"> learning gains which are </w:t>
      </w:r>
      <w:r w:rsidR="003C41E8">
        <w:rPr>
          <w:rFonts w:ascii="Calibri" w:hAnsi="Calibri" w:cs="Calibri"/>
          <w:lang w:eastAsia="zh-CN"/>
        </w:rPr>
        <w:t>comparable</w:t>
      </w:r>
      <w:r w:rsidR="001350CB">
        <w:rPr>
          <w:rFonts w:ascii="Calibri" w:hAnsi="Calibri" w:cs="Calibri"/>
          <w:lang w:eastAsia="zh-CN"/>
        </w:rPr>
        <w:t xml:space="preserve"> to teacher feedback with appropriate instructions given. </w:t>
      </w:r>
    </w:p>
    <w:p w14:paraId="61DD7559" w14:textId="77777777" w:rsidR="001350CB" w:rsidRDefault="001350CB" w:rsidP="005E2ACB">
      <w:pPr>
        <w:spacing w:line="360" w:lineRule="auto"/>
        <w:jc w:val="both"/>
        <w:rPr>
          <w:rFonts w:ascii="Calibri" w:hAnsi="Calibri" w:cs="Calibri"/>
          <w:lang w:eastAsia="zh-CN"/>
        </w:rPr>
      </w:pPr>
    </w:p>
    <w:p w14:paraId="7A025837" w14:textId="10DBCF6A" w:rsidR="001350CB" w:rsidRPr="005E2ACB" w:rsidRDefault="001350CB" w:rsidP="1D29E44A">
      <w:pPr>
        <w:spacing w:line="360" w:lineRule="auto"/>
        <w:jc w:val="both"/>
        <w:rPr>
          <w:rFonts w:ascii="Calibri" w:hAnsi="Calibri" w:cs="Calibri"/>
          <w:lang w:eastAsia="zh-CN"/>
        </w:rPr>
      </w:pPr>
      <w:r w:rsidRPr="1D29E44A">
        <w:rPr>
          <w:rFonts w:ascii="Calibri" w:hAnsi="Calibri" w:cs="Calibri"/>
          <w:lang w:eastAsia="zh-CN"/>
        </w:rPr>
        <w:t xml:space="preserve">However, these </w:t>
      </w:r>
      <w:r w:rsidR="003C41E8" w:rsidRPr="1D29E44A">
        <w:rPr>
          <w:rFonts w:ascii="Calibri" w:hAnsi="Calibri" w:cs="Calibri"/>
          <w:lang w:eastAsia="zh-CN"/>
        </w:rPr>
        <w:t>studies</w:t>
      </w:r>
      <w:r w:rsidRPr="1D29E44A">
        <w:rPr>
          <w:rFonts w:ascii="Calibri" w:hAnsi="Calibri" w:cs="Calibri"/>
          <w:lang w:eastAsia="zh-CN"/>
        </w:rPr>
        <w:t xml:space="preserve"> also emphasise the importance of structured implementation. Pellegrini (2020) concludes that peer assessment tends to be more effective when supported </w:t>
      </w:r>
      <w:r w:rsidR="00E03B00">
        <w:rPr>
          <w:rFonts w:ascii="Calibri" w:hAnsi="Calibri" w:cs="Calibri"/>
          <w:lang w:eastAsia="zh-CN"/>
        </w:rPr>
        <w:t>by</w:t>
      </w:r>
      <w:r w:rsidRPr="1D29E44A">
        <w:rPr>
          <w:rFonts w:ascii="Calibri" w:hAnsi="Calibri" w:cs="Calibri"/>
          <w:lang w:eastAsia="zh-CN"/>
        </w:rPr>
        <w:t xml:space="preserve"> explicit criteria, student training in evaluation and opportunities for students to revise their work in response to feedback. Without these supports, outcomes may be</w:t>
      </w:r>
      <w:r w:rsidR="00E03B00">
        <w:rPr>
          <w:rFonts w:ascii="Calibri" w:hAnsi="Calibri" w:cs="Calibri"/>
          <w:lang w:eastAsia="zh-CN"/>
        </w:rPr>
        <w:t>come</w:t>
      </w:r>
      <w:r w:rsidRPr="1D29E44A">
        <w:rPr>
          <w:rFonts w:ascii="Calibri" w:hAnsi="Calibri" w:cs="Calibri"/>
          <w:lang w:eastAsia="zh-CN"/>
        </w:rPr>
        <w:t xml:space="preserve"> </w:t>
      </w:r>
      <w:r w:rsidR="003C41E8" w:rsidRPr="1D29E44A">
        <w:rPr>
          <w:rFonts w:ascii="Calibri" w:hAnsi="Calibri" w:cs="Calibri"/>
          <w:lang w:eastAsia="zh-CN"/>
        </w:rPr>
        <w:t>inconsistent,</w:t>
      </w:r>
      <w:r w:rsidRPr="1D29E44A">
        <w:rPr>
          <w:rFonts w:ascii="Calibri" w:hAnsi="Calibri" w:cs="Calibri"/>
          <w:lang w:eastAsia="zh-CN"/>
        </w:rPr>
        <w:t xml:space="preserve"> and students may struggle to provide meaningful feedback</w:t>
      </w:r>
      <w:r w:rsidR="00E03B00">
        <w:rPr>
          <w:rFonts w:ascii="Calibri" w:hAnsi="Calibri" w:cs="Calibri"/>
          <w:lang w:eastAsia="zh-CN"/>
        </w:rPr>
        <w:t xml:space="preserve">. This </w:t>
      </w:r>
      <w:r w:rsidRPr="1D29E44A">
        <w:rPr>
          <w:rFonts w:ascii="Calibri" w:hAnsi="Calibri" w:cs="Calibri"/>
          <w:lang w:eastAsia="zh-CN"/>
        </w:rPr>
        <w:t>suggest</w:t>
      </w:r>
      <w:r w:rsidR="00E03B00">
        <w:rPr>
          <w:rFonts w:ascii="Calibri" w:hAnsi="Calibri" w:cs="Calibri"/>
          <w:lang w:eastAsia="zh-CN"/>
        </w:rPr>
        <w:t>s</w:t>
      </w:r>
      <w:r w:rsidRPr="1D29E44A">
        <w:rPr>
          <w:rFonts w:ascii="Calibri" w:hAnsi="Calibri" w:cs="Calibri"/>
          <w:lang w:eastAsia="zh-CN"/>
        </w:rPr>
        <w:t xml:space="preserve"> that peer assessment is not </w:t>
      </w:r>
      <w:r w:rsidR="3EA15B2E" w:rsidRPr="1D29E44A">
        <w:rPr>
          <w:rFonts w:ascii="Calibri" w:eastAsia="Calibri" w:hAnsi="Calibri" w:cs="Calibri"/>
        </w:rPr>
        <w:t>ineffective but</w:t>
      </w:r>
      <w:r w:rsidRPr="1D29E44A">
        <w:rPr>
          <w:rFonts w:ascii="Calibri" w:hAnsi="Calibri" w:cs="Calibri"/>
          <w:lang w:eastAsia="zh-CN"/>
        </w:rPr>
        <w:t xml:space="preserve"> is a pedagogical approach whose success is </w:t>
      </w:r>
      <w:r w:rsidR="00E03B00">
        <w:rPr>
          <w:rFonts w:ascii="Calibri" w:hAnsi="Calibri" w:cs="Calibri"/>
          <w:lang w:eastAsia="zh-CN"/>
        </w:rPr>
        <w:t>mediated</w:t>
      </w:r>
      <w:r w:rsidRPr="1D29E44A">
        <w:rPr>
          <w:rFonts w:ascii="Calibri" w:hAnsi="Calibri" w:cs="Calibri"/>
          <w:lang w:eastAsia="zh-CN"/>
        </w:rPr>
        <w:t xml:space="preserve"> by the conditions in which it is implemented and used. </w:t>
      </w:r>
    </w:p>
    <w:p w14:paraId="590E70A0" w14:textId="2208E4E3" w:rsidR="00C605C6" w:rsidRDefault="00C605C6" w:rsidP="00C605C6">
      <w:pPr>
        <w:pStyle w:val="Heading3"/>
      </w:pPr>
      <w:r>
        <w:t xml:space="preserve">Theme 3: Implementation and Institutional Tensions </w:t>
      </w:r>
    </w:p>
    <w:p w14:paraId="54C59C04" w14:textId="25ED3069" w:rsidR="007261FC" w:rsidRPr="007261FC" w:rsidRDefault="001350CB" w:rsidP="007261FC">
      <w:pPr>
        <w:spacing w:line="360" w:lineRule="auto"/>
        <w:jc w:val="both"/>
        <w:rPr>
          <w:rFonts w:ascii="Calibri" w:hAnsi="Calibri" w:cs="Calibri"/>
          <w:lang w:eastAsia="zh-CN"/>
        </w:rPr>
      </w:pPr>
      <w:r w:rsidRPr="1D29E44A">
        <w:rPr>
          <w:rFonts w:ascii="Calibri" w:hAnsi="Calibri" w:cs="Calibri"/>
          <w:lang w:eastAsia="zh-CN"/>
        </w:rPr>
        <w:t xml:space="preserve">Whilst the literature suggests </w:t>
      </w:r>
      <w:r w:rsidR="00E03B00">
        <w:rPr>
          <w:rFonts w:ascii="Calibri" w:hAnsi="Calibri" w:cs="Calibri"/>
          <w:lang w:eastAsia="zh-CN"/>
        </w:rPr>
        <w:t>significant</w:t>
      </w:r>
      <w:r w:rsidRPr="1D29E44A">
        <w:rPr>
          <w:rFonts w:ascii="Calibri" w:hAnsi="Calibri" w:cs="Calibri"/>
          <w:lang w:eastAsia="zh-CN"/>
        </w:rPr>
        <w:t xml:space="preserve"> educational potential in peer assessment, it</w:t>
      </w:r>
      <w:r w:rsidR="00E03B00">
        <w:rPr>
          <w:rFonts w:ascii="Calibri" w:hAnsi="Calibri" w:cs="Calibri"/>
          <w:lang w:eastAsia="zh-CN"/>
        </w:rPr>
        <w:t xml:space="preserve">s implementation </w:t>
      </w:r>
      <w:r w:rsidRPr="1D29E44A">
        <w:rPr>
          <w:rFonts w:ascii="Calibri" w:hAnsi="Calibri" w:cs="Calibri"/>
          <w:lang w:eastAsia="zh-CN"/>
        </w:rPr>
        <w:t xml:space="preserve">in higher education is inconsistent. </w:t>
      </w:r>
      <w:r w:rsidR="007261FC" w:rsidRPr="1D29E44A">
        <w:rPr>
          <w:rFonts w:ascii="Calibri" w:hAnsi="Calibri" w:cs="Calibri"/>
          <w:lang w:eastAsia="zh-CN"/>
        </w:rPr>
        <w:t>Ashenafi (2017)</w:t>
      </w:r>
      <w:r w:rsidR="204E0B2B" w:rsidRPr="1D29E44A">
        <w:rPr>
          <w:rFonts w:ascii="Calibri" w:hAnsi="Calibri" w:cs="Calibri"/>
          <w:lang w:eastAsia="zh-CN"/>
        </w:rPr>
        <w:t>,</w:t>
      </w:r>
      <w:r w:rsidR="007261FC" w:rsidRPr="1D29E44A">
        <w:rPr>
          <w:rFonts w:ascii="Calibri" w:hAnsi="Calibri" w:cs="Calibri"/>
          <w:lang w:eastAsia="zh-CN"/>
        </w:rPr>
        <w:t xml:space="preserve"> </w:t>
      </w:r>
      <w:r w:rsidR="00E03B00">
        <w:rPr>
          <w:rFonts w:ascii="Calibri" w:hAnsi="Calibri" w:cs="Calibri"/>
          <w:lang w:eastAsia="zh-CN"/>
        </w:rPr>
        <w:t xml:space="preserve">who observes that </w:t>
      </w:r>
      <w:r w:rsidR="007261FC" w:rsidRPr="1D29E44A">
        <w:rPr>
          <w:rFonts w:ascii="Calibri" w:hAnsi="Calibri" w:cs="Calibri"/>
          <w:lang w:eastAsia="zh-CN"/>
        </w:rPr>
        <w:t xml:space="preserve">while peer assessment has been widely researched, it has not become fully embedded in mainstream educational practices in higher </w:t>
      </w:r>
      <w:r w:rsidR="003C41E8" w:rsidRPr="1D29E44A">
        <w:rPr>
          <w:rFonts w:ascii="Calibri" w:hAnsi="Calibri" w:cs="Calibri"/>
          <w:lang w:eastAsia="zh-CN"/>
        </w:rPr>
        <w:t>education and</w:t>
      </w:r>
      <w:r w:rsidR="007261FC" w:rsidRPr="1D29E44A">
        <w:rPr>
          <w:rFonts w:ascii="Calibri" w:hAnsi="Calibri" w:cs="Calibri"/>
          <w:lang w:eastAsia="zh-CN"/>
        </w:rPr>
        <w:t xml:space="preserve"> finds that institutional expectations regarding reliability and accountability contribute to a reluctance from staff to incorporate peer assessment in formal assessment processes.</w:t>
      </w:r>
    </w:p>
    <w:p w14:paraId="27DEDFB5" w14:textId="77777777" w:rsidR="007261FC" w:rsidRPr="007261FC" w:rsidRDefault="007261FC" w:rsidP="007261FC">
      <w:pPr>
        <w:spacing w:line="360" w:lineRule="auto"/>
        <w:jc w:val="both"/>
        <w:rPr>
          <w:rFonts w:ascii="Calibri" w:hAnsi="Calibri" w:cs="Calibri"/>
          <w:lang w:eastAsia="zh-CN"/>
        </w:rPr>
      </w:pPr>
    </w:p>
    <w:p w14:paraId="57767DA3" w14:textId="5CCF72C2" w:rsidR="001350CB" w:rsidRPr="007261FC" w:rsidRDefault="007261FC" w:rsidP="1D29E44A">
      <w:pPr>
        <w:spacing w:line="360" w:lineRule="auto"/>
        <w:jc w:val="both"/>
        <w:rPr>
          <w:rFonts w:ascii="Calibri" w:hAnsi="Calibri" w:cs="Calibri"/>
          <w:lang w:eastAsia="zh-CN"/>
        </w:rPr>
      </w:pPr>
      <w:r w:rsidRPr="1D29E44A">
        <w:rPr>
          <w:rFonts w:ascii="Calibri" w:hAnsi="Calibri" w:cs="Calibri"/>
          <w:lang w:eastAsia="zh-CN"/>
        </w:rPr>
        <w:t xml:space="preserve">Research exploring these tensions further </w:t>
      </w:r>
      <w:r w:rsidR="555DAB97" w:rsidRPr="1D29E44A">
        <w:rPr>
          <w:rFonts w:ascii="Calibri" w:eastAsia="Calibri" w:hAnsi="Calibri" w:cs="Calibri"/>
        </w:rPr>
        <w:t>highlights</w:t>
      </w:r>
      <w:r w:rsidRPr="1D29E44A">
        <w:rPr>
          <w:rFonts w:ascii="Calibri" w:hAnsi="Calibri" w:cs="Calibri"/>
          <w:lang w:eastAsia="zh-CN"/>
        </w:rPr>
        <w:t xml:space="preserve"> these conflicting tensions. Adachi, Tai, and Dawson (2018) found that while many academic staff recognise the formative value of peer assessment, they have significant concerns regarding workload, fairness and learner capability. McGarr and Clifford (2013) also examined the views of students and </w:t>
      </w:r>
      <w:r w:rsidR="003C41E8" w:rsidRPr="1D29E44A">
        <w:rPr>
          <w:rFonts w:ascii="Calibri" w:hAnsi="Calibri" w:cs="Calibri"/>
          <w:lang w:eastAsia="zh-CN"/>
        </w:rPr>
        <w:t>found</w:t>
      </w:r>
      <w:r w:rsidRPr="1D29E44A">
        <w:rPr>
          <w:rFonts w:ascii="Calibri" w:hAnsi="Calibri" w:cs="Calibri"/>
          <w:lang w:eastAsia="zh-CN"/>
        </w:rPr>
        <w:t xml:space="preserve"> that they often view peer assessment as valuable to their education but are also </w:t>
      </w:r>
      <w:r w:rsidR="003C41E8" w:rsidRPr="1D29E44A">
        <w:rPr>
          <w:rFonts w:ascii="Calibri" w:hAnsi="Calibri" w:cs="Calibri"/>
          <w:lang w:eastAsia="zh-CN"/>
        </w:rPr>
        <w:t>sceptical</w:t>
      </w:r>
      <w:r w:rsidRPr="1D29E44A">
        <w:rPr>
          <w:rFonts w:ascii="Calibri" w:hAnsi="Calibri" w:cs="Calibri"/>
          <w:lang w:eastAsia="zh-CN"/>
        </w:rPr>
        <w:t xml:space="preserve"> about its fairness when </w:t>
      </w:r>
      <w:r w:rsidR="003C41E8" w:rsidRPr="1D29E44A">
        <w:rPr>
          <w:rFonts w:ascii="Calibri" w:hAnsi="Calibri" w:cs="Calibri"/>
          <w:lang w:eastAsia="zh-CN"/>
        </w:rPr>
        <w:t>being</w:t>
      </w:r>
      <w:r w:rsidRPr="1D29E44A">
        <w:rPr>
          <w:rFonts w:ascii="Calibri" w:hAnsi="Calibri" w:cs="Calibri"/>
          <w:lang w:eastAsia="zh-CN"/>
        </w:rPr>
        <w:t xml:space="preserve"> used for grading </w:t>
      </w:r>
      <w:r w:rsidR="38ED8FC8" w:rsidRPr="1D29E44A">
        <w:rPr>
          <w:rFonts w:ascii="Calibri" w:eastAsia="Calibri" w:hAnsi="Calibri" w:cs="Calibri"/>
        </w:rPr>
        <w:t>purposes,</w:t>
      </w:r>
      <w:r w:rsidRPr="1D29E44A">
        <w:rPr>
          <w:rFonts w:ascii="Calibri" w:hAnsi="Calibri" w:cs="Calibri"/>
          <w:lang w:eastAsia="zh-CN"/>
        </w:rPr>
        <w:t xml:space="preserve"> suggesting that the success of peer </w:t>
      </w:r>
      <w:r w:rsidR="003C41E8" w:rsidRPr="1D29E44A">
        <w:rPr>
          <w:rFonts w:ascii="Calibri" w:hAnsi="Calibri" w:cs="Calibri"/>
          <w:lang w:eastAsia="zh-CN"/>
        </w:rPr>
        <w:t>assessment</w:t>
      </w:r>
      <w:r w:rsidRPr="1D29E44A">
        <w:rPr>
          <w:rFonts w:ascii="Calibri" w:hAnsi="Calibri" w:cs="Calibri"/>
          <w:lang w:eastAsia="zh-CN"/>
        </w:rPr>
        <w:t xml:space="preserve"> is </w:t>
      </w:r>
      <w:r w:rsidR="003C41E8" w:rsidRPr="1D29E44A">
        <w:rPr>
          <w:rFonts w:ascii="Calibri" w:hAnsi="Calibri" w:cs="Calibri"/>
          <w:lang w:eastAsia="zh-CN"/>
        </w:rPr>
        <w:t>dependent</w:t>
      </w:r>
      <w:r w:rsidRPr="1D29E44A">
        <w:rPr>
          <w:rFonts w:ascii="Calibri" w:hAnsi="Calibri" w:cs="Calibri"/>
          <w:lang w:eastAsia="zh-CN"/>
        </w:rPr>
        <w:t xml:space="preserve"> on institutional assessment cultures. </w:t>
      </w:r>
    </w:p>
    <w:p w14:paraId="4E9E2DCF" w14:textId="236204CF" w:rsidR="00B04A6B" w:rsidRDefault="00C605C6" w:rsidP="00C605C6">
      <w:pPr>
        <w:pStyle w:val="Heading3"/>
      </w:pPr>
      <w:r>
        <w:t>Theme 4: Relational and Socio-Emotional Dynamics</w:t>
      </w:r>
      <w:r w:rsidR="00E03B00">
        <w:t xml:space="preserve"> </w:t>
      </w:r>
    </w:p>
    <w:p w14:paraId="4022757C" w14:textId="39B1620F" w:rsidR="007261FC" w:rsidRDefault="007261FC" w:rsidP="007261FC">
      <w:pPr>
        <w:spacing w:line="360" w:lineRule="auto"/>
        <w:jc w:val="both"/>
        <w:rPr>
          <w:rFonts w:ascii="Calibri" w:hAnsi="Calibri" w:cs="Calibri"/>
          <w:lang w:eastAsia="zh-CN"/>
        </w:rPr>
      </w:pPr>
      <w:r w:rsidRPr="1D29E44A">
        <w:rPr>
          <w:rFonts w:ascii="Calibri" w:hAnsi="Calibri" w:cs="Calibri"/>
          <w:lang w:eastAsia="zh-CN"/>
        </w:rPr>
        <w:t xml:space="preserve">The literature also </w:t>
      </w:r>
      <w:r w:rsidR="00E03B00">
        <w:rPr>
          <w:rFonts w:ascii="Calibri" w:hAnsi="Calibri" w:cs="Calibri"/>
          <w:lang w:eastAsia="zh-CN"/>
        </w:rPr>
        <w:t xml:space="preserve">emphasises </w:t>
      </w:r>
      <w:r w:rsidRPr="1D29E44A">
        <w:rPr>
          <w:rFonts w:ascii="Calibri" w:hAnsi="Calibri" w:cs="Calibri"/>
          <w:lang w:eastAsia="zh-CN"/>
        </w:rPr>
        <w:t xml:space="preserve">the importance of relational and socio-emotional factors </w:t>
      </w:r>
      <w:r w:rsidR="00E03B00">
        <w:rPr>
          <w:rFonts w:ascii="Calibri" w:hAnsi="Calibri" w:cs="Calibri"/>
          <w:lang w:eastAsia="zh-CN"/>
        </w:rPr>
        <w:t>in shaping learning engagement</w:t>
      </w:r>
      <w:r w:rsidRPr="1D29E44A">
        <w:rPr>
          <w:rFonts w:ascii="Calibri" w:hAnsi="Calibri" w:cs="Calibri"/>
          <w:lang w:eastAsia="zh-CN"/>
        </w:rPr>
        <w:t xml:space="preserve">. As peer feedback involves assessing the work of classmates, </w:t>
      </w:r>
      <w:r w:rsidRPr="1D29E44A">
        <w:rPr>
          <w:rFonts w:ascii="Calibri" w:hAnsi="Calibri" w:cs="Calibri"/>
          <w:lang w:eastAsia="zh-CN"/>
        </w:rPr>
        <w:lastRenderedPageBreak/>
        <w:t xml:space="preserve">social dynamics can also </w:t>
      </w:r>
      <w:r w:rsidR="00E03B00">
        <w:rPr>
          <w:rFonts w:ascii="Calibri" w:hAnsi="Calibri" w:cs="Calibri"/>
          <w:lang w:eastAsia="zh-CN"/>
        </w:rPr>
        <w:t xml:space="preserve">directly </w:t>
      </w:r>
      <w:r w:rsidR="003C41E8" w:rsidRPr="1D29E44A">
        <w:rPr>
          <w:rFonts w:ascii="Calibri" w:hAnsi="Calibri" w:cs="Calibri"/>
          <w:lang w:eastAsia="zh-CN"/>
        </w:rPr>
        <w:t>influence</w:t>
      </w:r>
      <w:r w:rsidRPr="1D29E44A">
        <w:rPr>
          <w:rFonts w:ascii="Calibri" w:hAnsi="Calibri" w:cs="Calibri"/>
          <w:lang w:eastAsia="zh-CN"/>
        </w:rPr>
        <w:t xml:space="preserve"> the quality of feedback and the willingness of students to engage critically. Panadero and Alqassab (2019) note that anonymity can mitigate and influence the honesty and depth of peer </w:t>
      </w:r>
      <w:r w:rsidR="003C41E8" w:rsidRPr="1D29E44A">
        <w:rPr>
          <w:rFonts w:ascii="Calibri" w:hAnsi="Calibri" w:cs="Calibri"/>
          <w:lang w:eastAsia="zh-CN"/>
        </w:rPr>
        <w:t>assessment but</w:t>
      </w:r>
      <w:r w:rsidRPr="1D29E44A">
        <w:rPr>
          <w:rFonts w:ascii="Calibri" w:hAnsi="Calibri" w:cs="Calibri"/>
          <w:lang w:eastAsia="zh-CN"/>
        </w:rPr>
        <w:t xml:space="preserve"> also note that the </w:t>
      </w:r>
      <w:r w:rsidR="003C41E8" w:rsidRPr="1D29E44A">
        <w:rPr>
          <w:rFonts w:ascii="Calibri" w:hAnsi="Calibri" w:cs="Calibri"/>
          <w:lang w:eastAsia="zh-CN"/>
        </w:rPr>
        <w:t>benefits</w:t>
      </w:r>
      <w:r w:rsidRPr="1D29E44A">
        <w:rPr>
          <w:rFonts w:ascii="Calibri" w:hAnsi="Calibri" w:cs="Calibri"/>
          <w:lang w:eastAsia="zh-CN"/>
        </w:rPr>
        <w:t xml:space="preserve"> of </w:t>
      </w:r>
      <w:r w:rsidR="003C41E8" w:rsidRPr="1D29E44A">
        <w:rPr>
          <w:rFonts w:ascii="Calibri" w:hAnsi="Calibri" w:cs="Calibri"/>
          <w:lang w:eastAsia="zh-CN"/>
        </w:rPr>
        <w:t>anonymity</w:t>
      </w:r>
      <w:r w:rsidRPr="1D29E44A">
        <w:rPr>
          <w:rFonts w:ascii="Calibri" w:hAnsi="Calibri" w:cs="Calibri"/>
          <w:lang w:eastAsia="zh-CN"/>
        </w:rPr>
        <w:t xml:space="preserve"> vary depending on the </w:t>
      </w:r>
      <w:r w:rsidR="003C41E8" w:rsidRPr="1D29E44A">
        <w:rPr>
          <w:rFonts w:ascii="Calibri" w:hAnsi="Calibri" w:cs="Calibri"/>
          <w:lang w:eastAsia="zh-CN"/>
        </w:rPr>
        <w:t>context</w:t>
      </w:r>
      <w:r w:rsidRPr="1D29E44A">
        <w:rPr>
          <w:rFonts w:ascii="Calibri" w:hAnsi="Calibri" w:cs="Calibri"/>
          <w:lang w:eastAsia="zh-CN"/>
        </w:rPr>
        <w:t xml:space="preserve">. </w:t>
      </w:r>
    </w:p>
    <w:p w14:paraId="6262804D" w14:textId="77777777" w:rsidR="007261FC" w:rsidRDefault="007261FC" w:rsidP="007261FC">
      <w:pPr>
        <w:spacing w:line="360" w:lineRule="auto"/>
        <w:jc w:val="both"/>
        <w:rPr>
          <w:rFonts w:ascii="Calibri" w:hAnsi="Calibri" w:cs="Calibri"/>
          <w:lang w:eastAsia="zh-CN"/>
        </w:rPr>
      </w:pPr>
    </w:p>
    <w:p w14:paraId="040E5E86" w14:textId="48A028D7" w:rsidR="00C605C6" w:rsidRPr="006D23D4" w:rsidRDefault="008C6A8A" w:rsidP="1D29E44A">
      <w:pPr>
        <w:spacing w:line="360" w:lineRule="auto"/>
        <w:jc w:val="both"/>
        <w:rPr>
          <w:rFonts w:ascii="Calibri" w:hAnsi="Calibri" w:cs="Calibri"/>
          <w:lang w:eastAsia="zh-CN"/>
        </w:rPr>
      </w:pPr>
      <w:r w:rsidRPr="1D29E44A">
        <w:rPr>
          <w:rFonts w:ascii="Calibri" w:hAnsi="Calibri" w:cs="Calibri"/>
          <w:lang w:eastAsia="zh-CN"/>
        </w:rPr>
        <w:t xml:space="preserve">The literature also indicated that peer assessment can produce </w:t>
      </w:r>
      <w:r w:rsidR="003C41E8" w:rsidRPr="1D29E44A">
        <w:rPr>
          <w:rFonts w:ascii="Calibri" w:hAnsi="Calibri" w:cs="Calibri"/>
          <w:lang w:eastAsia="zh-CN"/>
        </w:rPr>
        <w:t>both</w:t>
      </w:r>
      <w:r w:rsidRPr="1D29E44A">
        <w:rPr>
          <w:rFonts w:ascii="Calibri" w:hAnsi="Calibri" w:cs="Calibri"/>
          <w:lang w:eastAsia="zh-CN"/>
        </w:rPr>
        <w:t xml:space="preserve"> cognitive and </w:t>
      </w:r>
      <w:r w:rsidR="003C41E8" w:rsidRPr="1D29E44A">
        <w:rPr>
          <w:rFonts w:ascii="Calibri" w:hAnsi="Calibri" w:cs="Calibri"/>
          <w:lang w:eastAsia="zh-CN"/>
        </w:rPr>
        <w:t>emotional</w:t>
      </w:r>
      <w:r w:rsidRPr="1D29E44A">
        <w:rPr>
          <w:rFonts w:ascii="Calibri" w:hAnsi="Calibri" w:cs="Calibri"/>
          <w:lang w:eastAsia="zh-CN"/>
        </w:rPr>
        <w:t xml:space="preserve"> challenges. This is explored by Zhan </w:t>
      </w:r>
      <w:r w:rsidR="22165C4C" w:rsidRPr="1D29E44A">
        <w:rPr>
          <w:rFonts w:ascii="Calibri" w:eastAsia="Calibri" w:hAnsi="Calibri" w:cs="Calibri"/>
        </w:rPr>
        <w:t>(2024),</w:t>
      </w:r>
      <w:r w:rsidRPr="1D29E44A">
        <w:rPr>
          <w:rFonts w:ascii="Calibri" w:hAnsi="Calibri" w:cs="Calibri"/>
          <w:lang w:eastAsia="zh-CN"/>
        </w:rPr>
        <w:t xml:space="preserve"> who identifies that students often report difficulties when giving feedback, especially when they lack confidence in their own ability to do so. To and </w:t>
      </w:r>
      <w:r w:rsidR="1B1FE04D" w:rsidRPr="1D29E44A">
        <w:rPr>
          <w:rFonts w:ascii="Calibri" w:hAnsi="Calibri" w:cs="Calibri"/>
          <w:lang w:eastAsia="zh-CN"/>
        </w:rPr>
        <w:t>Panadero</w:t>
      </w:r>
      <w:r w:rsidRPr="1D29E44A">
        <w:rPr>
          <w:rFonts w:ascii="Calibri" w:hAnsi="Calibri" w:cs="Calibri"/>
          <w:lang w:eastAsia="zh-CN"/>
        </w:rPr>
        <w:t xml:space="preserve"> (2019) also found that distrust, competition between students and communication issues can also reduce the effectiveness of peer assessment. </w:t>
      </w:r>
      <w:r w:rsidR="09F5610A" w:rsidRPr="1D29E44A">
        <w:rPr>
          <w:rFonts w:ascii="Calibri" w:eastAsia="Calibri" w:hAnsi="Calibri" w:cs="Calibri"/>
        </w:rPr>
        <w:t>Additionally,</w:t>
      </w:r>
      <w:r w:rsidRPr="1D29E44A">
        <w:rPr>
          <w:rFonts w:ascii="Calibri" w:hAnsi="Calibri" w:cs="Calibri"/>
          <w:lang w:eastAsia="zh-CN"/>
        </w:rPr>
        <w:t xml:space="preserve"> Little et al. (2025) further suggest that effective peer assessment practice requires not only the end evaluative judgement but also an ability to </w:t>
      </w:r>
      <w:r w:rsidR="003C41E8" w:rsidRPr="1D29E44A">
        <w:rPr>
          <w:rFonts w:ascii="Calibri" w:hAnsi="Calibri" w:cs="Calibri"/>
          <w:lang w:eastAsia="zh-CN"/>
        </w:rPr>
        <w:t>manage</w:t>
      </w:r>
      <w:r w:rsidRPr="1D29E44A">
        <w:rPr>
          <w:rFonts w:ascii="Calibri" w:hAnsi="Calibri" w:cs="Calibri"/>
          <w:lang w:eastAsia="zh-CN"/>
        </w:rPr>
        <w:t xml:space="preserve"> the socio-emotional challenges of feedback interactions, suggesting that peer assessment should be viewed as a socially complex process in which interpersonal relationships play a central role. </w:t>
      </w:r>
    </w:p>
    <w:p w14:paraId="3D51F63E" w14:textId="17AC96D4" w:rsidR="00B04A6B" w:rsidRPr="00B04A6B" w:rsidRDefault="00B04A6B" w:rsidP="00B04A6B">
      <w:pPr>
        <w:pStyle w:val="Heading2"/>
      </w:pPr>
      <w:r>
        <w:t>Conclusion</w:t>
      </w:r>
      <w:r w:rsidR="33473D7C">
        <w:t xml:space="preserve"> and Recommendations</w:t>
      </w:r>
      <w:r>
        <w:t xml:space="preserve"> </w:t>
      </w:r>
    </w:p>
    <w:p w14:paraId="16BD51BF" w14:textId="614ACF3F" w:rsidR="2F5C32DE" w:rsidRDefault="00426483" w:rsidP="006D23D4">
      <w:pPr>
        <w:spacing w:line="360" w:lineRule="auto"/>
        <w:jc w:val="both"/>
        <w:rPr>
          <w:rFonts w:ascii="Calibri" w:hAnsi="Calibri" w:cs="Calibri"/>
        </w:rPr>
      </w:pPr>
      <w:r>
        <w:rPr>
          <w:rFonts w:ascii="Calibri" w:hAnsi="Calibri" w:cs="Calibri"/>
        </w:rPr>
        <w:t>My study has explored the</w:t>
      </w:r>
      <w:r w:rsidR="006D23D4" w:rsidRPr="1D29E44A">
        <w:rPr>
          <w:rFonts w:ascii="Calibri" w:hAnsi="Calibri" w:cs="Calibri"/>
        </w:rPr>
        <w:t xml:space="preserve"> effectiveness of peer assessment in higher education, </w:t>
      </w:r>
      <w:r>
        <w:rPr>
          <w:rFonts w:ascii="Calibri" w:hAnsi="Calibri" w:cs="Calibri"/>
        </w:rPr>
        <w:t xml:space="preserve">and the </w:t>
      </w:r>
      <w:r w:rsidR="006D23D4" w:rsidRPr="1D29E44A">
        <w:rPr>
          <w:rFonts w:ascii="Calibri" w:hAnsi="Calibri" w:cs="Calibri"/>
        </w:rPr>
        <w:t xml:space="preserve">perception of the practice by both learners and educators. </w:t>
      </w:r>
      <w:r>
        <w:rPr>
          <w:rFonts w:ascii="Calibri" w:hAnsi="Calibri" w:cs="Calibri"/>
        </w:rPr>
        <w:t>My</w:t>
      </w:r>
      <w:r w:rsidR="006D23D4" w:rsidRPr="1D29E44A">
        <w:rPr>
          <w:rFonts w:ascii="Calibri" w:hAnsi="Calibri" w:cs="Calibri"/>
        </w:rPr>
        <w:t xml:space="preserve"> findings suggest that peer assessment is broadly seen as a formative strategy </w:t>
      </w:r>
      <w:r>
        <w:rPr>
          <w:rFonts w:ascii="Calibri" w:hAnsi="Calibri" w:cs="Calibri"/>
        </w:rPr>
        <w:t>capable of supporting</w:t>
      </w:r>
      <w:r w:rsidR="006D23D4" w:rsidRPr="1D29E44A">
        <w:rPr>
          <w:rFonts w:ascii="Calibri" w:hAnsi="Calibri" w:cs="Calibri"/>
        </w:rPr>
        <w:t xml:space="preserve"> the development of evaluative judgement for </w:t>
      </w:r>
      <w:r w:rsidR="003C41E8" w:rsidRPr="1D29E44A">
        <w:rPr>
          <w:rFonts w:ascii="Calibri" w:hAnsi="Calibri" w:cs="Calibri"/>
        </w:rPr>
        <w:t>learners</w:t>
      </w:r>
      <w:r w:rsidR="006D23D4" w:rsidRPr="1D29E44A">
        <w:rPr>
          <w:rFonts w:ascii="Calibri" w:hAnsi="Calibri" w:cs="Calibri"/>
        </w:rPr>
        <w:t>, feedback literacy and reflective learning. However</w:t>
      </w:r>
      <w:r w:rsidR="00734F17" w:rsidRPr="1D29E44A">
        <w:rPr>
          <w:rFonts w:ascii="Calibri" w:hAnsi="Calibri" w:cs="Calibri"/>
        </w:rPr>
        <w:t xml:space="preserve">, </w:t>
      </w:r>
      <w:r w:rsidR="006D23D4" w:rsidRPr="1D29E44A">
        <w:rPr>
          <w:rFonts w:ascii="Calibri" w:hAnsi="Calibri" w:cs="Calibri"/>
        </w:rPr>
        <w:t xml:space="preserve">findings also suggest that its true effectiveness is highly conditional on </w:t>
      </w:r>
      <w:r>
        <w:rPr>
          <w:rFonts w:ascii="Calibri" w:hAnsi="Calibri" w:cs="Calibri"/>
        </w:rPr>
        <w:t xml:space="preserve">a structured environment </w:t>
      </w:r>
      <w:r w:rsidR="006D23D4" w:rsidRPr="1D29E44A">
        <w:rPr>
          <w:rFonts w:ascii="Calibri" w:hAnsi="Calibri" w:cs="Calibri"/>
        </w:rPr>
        <w:t>being provided</w:t>
      </w:r>
      <w:r w:rsidR="00734F17" w:rsidRPr="1D29E44A">
        <w:rPr>
          <w:rFonts w:ascii="Calibri" w:hAnsi="Calibri" w:cs="Calibri"/>
        </w:rPr>
        <w:t xml:space="preserve"> as well as navigating highly complex social relationships</w:t>
      </w:r>
      <w:r w:rsidR="006D23D4" w:rsidRPr="1D29E44A">
        <w:rPr>
          <w:rFonts w:ascii="Calibri" w:hAnsi="Calibri" w:cs="Calibri"/>
        </w:rPr>
        <w:t xml:space="preserve">. </w:t>
      </w:r>
    </w:p>
    <w:p w14:paraId="32166448" w14:textId="77777777" w:rsidR="00734F17" w:rsidRDefault="00734F17" w:rsidP="006D23D4">
      <w:pPr>
        <w:spacing w:line="360" w:lineRule="auto"/>
        <w:jc w:val="both"/>
        <w:rPr>
          <w:rFonts w:ascii="Calibri" w:hAnsi="Calibri" w:cs="Calibri"/>
        </w:rPr>
      </w:pPr>
    </w:p>
    <w:p w14:paraId="5BE607FB" w14:textId="2C66B120" w:rsidR="006D23D4" w:rsidRDefault="006D23D4" w:rsidP="1D29E44A">
      <w:pPr>
        <w:spacing w:line="360" w:lineRule="auto"/>
        <w:jc w:val="both"/>
        <w:rPr>
          <w:rFonts w:ascii="Calibri" w:hAnsi="Calibri" w:cs="Calibri"/>
        </w:rPr>
      </w:pPr>
      <w:r w:rsidRPr="1D29E44A">
        <w:rPr>
          <w:rFonts w:ascii="Calibri" w:hAnsi="Calibri" w:cs="Calibri"/>
        </w:rPr>
        <w:t xml:space="preserve">These findings align with my previous investigations in primary </w:t>
      </w:r>
      <w:r w:rsidR="7D4C635F" w:rsidRPr="1D29E44A">
        <w:rPr>
          <w:rFonts w:ascii="Calibri" w:eastAsia="Calibri" w:hAnsi="Calibri" w:cs="Calibri"/>
        </w:rPr>
        <w:t>education,</w:t>
      </w:r>
      <w:r w:rsidRPr="1D29E44A">
        <w:rPr>
          <w:rFonts w:ascii="Calibri" w:hAnsi="Calibri" w:cs="Calibri"/>
        </w:rPr>
        <w:t xml:space="preserve"> </w:t>
      </w:r>
      <w:r w:rsidR="00734F17" w:rsidRPr="1D29E44A">
        <w:rPr>
          <w:rFonts w:ascii="Calibri" w:hAnsi="Calibri" w:cs="Calibri"/>
        </w:rPr>
        <w:t xml:space="preserve">which formed my </w:t>
      </w:r>
      <w:r w:rsidR="394A4A71" w:rsidRPr="1D29E44A">
        <w:rPr>
          <w:rFonts w:ascii="Calibri" w:eastAsia="Calibri" w:hAnsi="Calibri" w:cs="Calibri"/>
        </w:rPr>
        <w:t>rationale</w:t>
      </w:r>
      <w:r w:rsidR="00734F17" w:rsidRPr="1D29E44A">
        <w:rPr>
          <w:rFonts w:ascii="Calibri" w:hAnsi="Calibri" w:cs="Calibri"/>
        </w:rPr>
        <w:t xml:space="preserve"> for </w:t>
      </w:r>
      <w:r w:rsidR="00426483">
        <w:rPr>
          <w:rFonts w:ascii="Calibri" w:hAnsi="Calibri" w:cs="Calibri"/>
        </w:rPr>
        <w:t>this research</w:t>
      </w:r>
      <w:r w:rsidR="00734F17" w:rsidRPr="1D29E44A">
        <w:rPr>
          <w:rFonts w:ascii="Calibri" w:hAnsi="Calibri" w:cs="Calibri"/>
        </w:rPr>
        <w:t>. From a practitioner perspective, peer assessment has the potential to be an effective practice in the classroom</w:t>
      </w:r>
      <w:r w:rsidR="1BEE36C0" w:rsidRPr="1D29E44A">
        <w:rPr>
          <w:rFonts w:ascii="Calibri" w:eastAsia="Calibri" w:hAnsi="Calibri" w:cs="Calibri"/>
        </w:rPr>
        <w:t>; however, it</w:t>
      </w:r>
      <w:r w:rsidR="00734F17" w:rsidRPr="1D29E44A">
        <w:rPr>
          <w:rFonts w:ascii="Calibri" w:hAnsi="Calibri" w:cs="Calibri"/>
        </w:rPr>
        <w:t xml:space="preserve"> faces many challenges which appear to be consistent across all phases of education in my experience and are often visible in the classroom. From my numerous investigations on peer assessment throughout my teaching career, I conclude that peer assessment should not be viewed as a simple assessment </w:t>
      </w:r>
      <w:r w:rsidR="302138FE" w:rsidRPr="1D29E44A">
        <w:rPr>
          <w:rFonts w:ascii="Calibri" w:eastAsia="Calibri" w:hAnsi="Calibri" w:cs="Calibri"/>
        </w:rPr>
        <w:t>tool but</w:t>
      </w:r>
      <w:r w:rsidR="00734F17" w:rsidRPr="1D29E44A">
        <w:rPr>
          <w:rFonts w:ascii="Calibri" w:hAnsi="Calibri" w:cs="Calibri"/>
        </w:rPr>
        <w:t xml:space="preserve"> more as a structured learning process that requires careful planning and support for learners from teaching staff. </w:t>
      </w:r>
    </w:p>
    <w:p w14:paraId="416902E1" w14:textId="2DF5A2B2" w:rsidR="00734F17" w:rsidRDefault="00734F17" w:rsidP="006D23D4">
      <w:pPr>
        <w:spacing w:line="360" w:lineRule="auto"/>
        <w:jc w:val="both"/>
        <w:rPr>
          <w:rFonts w:ascii="Calibri" w:hAnsi="Calibri" w:cs="Calibri"/>
        </w:rPr>
      </w:pPr>
    </w:p>
    <w:p w14:paraId="30A6193F" w14:textId="19B07F29" w:rsidR="00734F17" w:rsidRDefault="00734F17" w:rsidP="006D23D4">
      <w:pPr>
        <w:spacing w:line="360" w:lineRule="auto"/>
        <w:jc w:val="both"/>
        <w:rPr>
          <w:rFonts w:ascii="Calibri" w:hAnsi="Calibri" w:cs="Calibri"/>
        </w:rPr>
      </w:pPr>
      <w:r>
        <w:rPr>
          <w:rFonts w:ascii="Calibri" w:hAnsi="Calibri" w:cs="Calibri"/>
        </w:rPr>
        <w:lastRenderedPageBreak/>
        <w:t xml:space="preserve">Based on my findings during this review, I believe several recommendations can be made for practice. </w:t>
      </w:r>
    </w:p>
    <w:p w14:paraId="77295F61" w14:textId="77777777" w:rsidR="003C41E8" w:rsidRDefault="003C41E8" w:rsidP="006D23D4">
      <w:pPr>
        <w:spacing w:line="360" w:lineRule="auto"/>
        <w:jc w:val="both"/>
        <w:rPr>
          <w:rFonts w:ascii="Calibri" w:hAnsi="Calibri" w:cs="Calibri"/>
        </w:rPr>
      </w:pPr>
    </w:p>
    <w:p w14:paraId="39BAA426" w14:textId="62A4359C" w:rsidR="00734F17" w:rsidRDefault="00734F17" w:rsidP="00734F17">
      <w:pPr>
        <w:pStyle w:val="ListParagraph"/>
        <w:numPr>
          <w:ilvl w:val="0"/>
          <w:numId w:val="5"/>
        </w:numPr>
        <w:spacing w:line="360" w:lineRule="auto"/>
        <w:jc w:val="both"/>
        <w:rPr>
          <w:rFonts w:ascii="Calibri" w:hAnsi="Calibri" w:cs="Calibri"/>
        </w:rPr>
      </w:pPr>
      <w:r w:rsidRPr="1D29E44A">
        <w:rPr>
          <w:rFonts w:ascii="Calibri" w:hAnsi="Calibri" w:cs="Calibri"/>
        </w:rPr>
        <w:t xml:space="preserve">Peer assessment activities should include explicit guidance and training to support students in developing the skills required to construct effective </w:t>
      </w:r>
      <w:r w:rsidR="02C8FC30" w:rsidRPr="1D29E44A">
        <w:t>feedback.</w:t>
      </w:r>
      <w:r w:rsidRPr="1D29E44A">
        <w:rPr>
          <w:rFonts w:ascii="Calibri" w:hAnsi="Calibri" w:cs="Calibri"/>
        </w:rPr>
        <w:t xml:space="preserve"> </w:t>
      </w:r>
    </w:p>
    <w:p w14:paraId="16E18117" w14:textId="5F0ADFFC" w:rsidR="00734F17" w:rsidRDefault="00734F17" w:rsidP="00734F17">
      <w:pPr>
        <w:pStyle w:val="ListParagraph"/>
        <w:numPr>
          <w:ilvl w:val="0"/>
          <w:numId w:val="5"/>
        </w:numPr>
        <w:spacing w:line="360" w:lineRule="auto"/>
        <w:jc w:val="both"/>
        <w:rPr>
          <w:rFonts w:ascii="Calibri" w:hAnsi="Calibri" w:cs="Calibri"/>
        </w:rPr>
      </w:pPr>
      <w:r>
        <w:rPr>
          <w:rFonts w:ascii="Calibri" w:hAnsi="Calibri" w:cs="Calibri"/>
        </w:rPr>
        <w:t>Learners should be given clear assessment criteria and structured feedback processes to follow and be implemented to improve reliability and the perceptions of fairness in peer assessment</w:t>
      </w:r>
    </w:p>
    <w:p w14:paraId="06FE9E63" w14:textId="478B3F89" w:rsidR="00734F17" w:rsidRDefault="00734F17" w:rsidP="00734F17">
      <w:pPr>
        <w:pStyle w:val="ListParagraph"/>
        <w:numPr>
          <w:ilvl w:val="0"/>
          <w:numId w:val="5"/>
        </w:numPr>
        <w:spacing w:line="360" w:lineRule="auto"/>
        <w:jc w:val="both"/>
        <w:rPr>
          <w:rFonts w:ascii="Calibri" w:hAnsi="Calibri" w:cs="Calibri"/>
        </w:rPr>
      </w:pPr>
      <w:r>
        <w:rPr>
          <w:rFonts w:ascii="Calibri" w:hAnsi="Calibri" w:cs="Calibri"/>
        </w:rPr>
        <w:t>Teaching staff should maintain an active role in facilitating peer assessment, modelling what effective peer feedback looks like and providing support for learners to navigate the social and emotional aspects of the practice</w:t>
      </w:r>
    </w:p>
    <w:p w14:paraId="45C083DB" w14:textId="4A051546" w:rsidR="00F06A7D" w:rsidRDefault="00734F17" w:rsidP="1D29E44A">
      <w:pPr>
        <w:spacing w:line="360" w:lineRule="auto"/>
        <w:jc w:val="both"/>
        <w:rPr>
          <w:rFonts w:ascii="Calibri" w:hAnsi="Calibri" w:cs="Calibri"/>
        </w:rPr>
      </w:pPr>
      <w:r w:rsidRPr="1D29E44A">
        <w:rPr>
          <w:rFonts w:ascii="Calibri" w:hAnsi="Calibri" w:cs="Calibri"/>
        </w:rPr>
        <w:t xml:space="preserve">While I feel this study provides valuable insights into the way </w:t>
      </w:r>
      <w:r w:rsidR="00F06A7D" w:rsidRPr="1D29E44A">
        <w:rPr>
          <w:rFonts w:ascii="Calibri" w:hAnsi="Calibri" w:cs="Calibri"/>
        </w:rPr>
        <w:t>peer assessment is regarded in higher education, it is limited by its reliance on secondary data. This is an area I would be keen to explore again in future practice</w:t>
      </w:r>
      <w:r w:rsidR="703F044A" w:rsidRPr="1D29E44A">
        <w:rPr>
          <w:rFonts w:ascii="Calibri" w:eastAsia="Calibri" w:hAnsi="Calibri" w:cs="Calibri"/>
        </w:rPr>
        <w:t>; however,</w:t>
      </w:r>
      <w:r w:rsidR="00F06A7D" w:rsidRPr="1D29E44A">
        <w:rPr>
          <w:rFonts w:ascii="Calibri" w:hAnsi="Calibri" w:cs="Calibri"/>
        </w:rPr>
        <w:t xml:space="preserve"> I </w:t>
      </w:r>
      <w:r w:rsidR="752F6F4E" w:rsidRPr="1D29E44A">
        <w:rPr>
          <w:rFonts w:ascii="Calibri" w:eastAsia="Calibri" w:hAnsi="Calibri" w:cs="Calibri"/>
        </w:rPr>
        <w:t>feel it</w:t>
      </w:r>
      <w:r w:rsidR="00F06A7D" w:rsidRPr="1D29E44A">
        <w:rPr>
          <w:rFonts w:ascii="Calibri" w:hAnsi="Calibri" w:cs="Calibri"/>
        </w:rPr>
        <w:t xml:space="preserve"> would be better served through primary research in a specific Welsh educational context and would give a truer </w:t>
      </w:r>
      <w:r w:rsidR="0E406232" w:rsidRPr="1D29E44A">
        <w:rPr>
          <w:rFonts w:ascii="Calibri" w:eastAsia="Calibri" w:hAnsi="Calibri" w:cs="Calibri"/>
        </w:rPr>
        <w:t>reflection.</w:t>
      </w:r>
      <w:r w:rsidR="00F06A7D" w:rsidRPr="1D29E44A">
        <w:rPr>
          <w:rFonts w:ascii="Calibri" w:hAnsi="Calibri" w:cs="Calibri"/>
        </w:rPr>
        <w:t xml:space="preserve"> I feel that taking this approach in future research would provide a deeper insight into how learner and teacher perceptions of peer assessment affect its effectiveness in real learning environments. </w:t>
      </w:r>
    </w:p>
    <w:p w14:paraId="0B168F8F" w14:textId="77777777" w:rsidR="00F06A7D" w:rsidRDefault="00F06A7D" w:rsidP="00F06A7D">
      <w:pPr>
        <w:spacing w:line="360" w:lineRule="auto"/>
        <w:jc w:val="both"/>
        <w:rPr>
          <w:rFonts w:ascii="Calibri" w:hAnsi="Calibri" w:cs="Calibri"/>
        </w:rPr>
      </w:pPr>
    </w:p>
    <w:p w14:paraId="17C8E7B5" w14:textId="77777777" w:rsidR="00F06A7D" w:rsidRPr="00F06A7D" w:rsidRDefault="00F06A7D" w:rsidP="00F06A7D">
      <w:pPr>
        <w:spacing w:line="360" w:lineRule="auto"/>
        <w:jc w:val="both"/>
        <w:rPr>
          <w:rFonts w:ascii="Calibri" w:hAnsi="Calibri" w:cs="Calibri"/>
        </w:rPr>
      </w:pPr>
    </w:p>
    <w:p w14:paraId="560E5DB7" w14:textId="77777777" w:rsidR="00426483" w:rsidRDefault="00426483" w:rsidP="2F5C32DE">
      <w:pPr>
        <w:pStyle w:val="Heading1"/>
      </w:pPr>
    </w:p>
    <w:p w14:paraId="062A9F22" w14:textId="77777777" w:rsidR="00426483" w:rsidRDefault="00426483" w:rsidP="2F5C32DE">
      <w:pPr>
        <w:pStyle w:val="Heading1"/>
      </w:pPr>
    </w:p>
    <w:p w14:paraId="02BC50CA" w14:textId="77777777" w:rsidR="00426483" w:rsidRDefault="00426483" w:rsidP="2F5C32DE">
      <w:pPr>
        <w:pStyle w:val="Heading1"/>
      </w:pPr>
    </w:p>
    <w:p w14:paraId="327C08C7" w14:textId="77777777" w:rsidR="00426483" w:rsidRDefault="00426483" w:rsidP="2F5C32DE">
      <w:pPr>
        <w:pStyle w:val="Heading1"/>
      </w:pPr>
    </w:p>
    <w:p w14:paraId="79960E5A" w14:textId="77777777" w:rsidR="00426483" w:rsidRPr="00426483" w:rsidRDefault="00426483" w:rsidP="00426483">
      <w:pPr>
        <w:rPr>
          <w:lang w:eastAsia="zh-CN"/>
        </w:rPr>
      </w:pPr>
    </w:p>
    <w:p w14:paraId="334ADB59" w14:textId="1BC36811" w:rsidR="139DF6EF" w:rsidRDefault="139DF6EF" w:rsidP="2F5C32DE">
      <w:pPr>
        <w:pStyle w:val="Heading1"/>
      </w:pPr>
      <w:r>
        <w:lastRenderedPageBreak/>
        <w:t>References</w:t>
      </w:r>
    </w:p>
    <w:p w14:paraId="28E2DF8A" w14:textId="38120EB5" w:rsidR="00607F8D" w:rsidRPr="00867828" w:rsidRDefault="00607F8D" w:rsidP="00607F8D">
      <w:pPr>
        <w:rPr>
          <w:rFonts w:ascii="Calibri" w:hAnsi="Calibri" w:cs="Calibri"/>
        </w:rPr>
      </w:pPr>
      <w:r w:rsidRPr="00867828">
        <w:rPr>
          <w:rFonts w:ascii="Calibri" w:hAnsi="Calibri" w:cs="Calibri"/>
        </w:rPr>
        <w:t xml:space="preserve">Adachi, C., Tai, J.H.-M. and Dawson, P. (2018a) “Academics’ perceptions of the benefits and challenges of self and peer assessment in higher education,” </w:t>
      </w:r>
      <w:r w:rsidRPr="00867828">
        <w:rPr>
          <w:rFonts w:ascii="Calibri" w:hAnsi="Calibri" w:cs="Calibri"/>
          <w:i/>
          <w:iCs/>
        </w:rPr>
        <w:t>Assessment and evaluation in higher education</w:t>
      </w:r>
      <w:r w:rsidRPr="00867828">
        <w:rPr>
          <w:rFonts w:ascii="Calibri" w:hAnsi="Calibri" w:cs="Calibri"/>
        </w:rPr>
        <w:t xml:space="preserve">, 43(2), pp. 294–306. Available at: </w:t>
      </w:r>
      <w:hyperlink r:id="rId7" w:history="1">
        <w:r w:rsidRPr="00867828">
          <w:rPr>
            <w:rStyle w:val="Hyperlink"/>
            <w:rFonts w:ascii="Calibri" w:hAnsi="Calibri" w:cs="Calibri"/>
          </w:rPr>
          <w:t>https://doi.org/10.1080/02602938.2017.1339775</w:t>
        </w:r>
      </w:hyperlink>
      <w:r w:rsidRPr="00867828">
        <w:rPr>
          <w:rFonts w:ascii="Calibri" w:hAnsi="Calibri" w:cs="Calibri"/>
        </w:rPr>
        <w:t>.</w:t>
      </w:r>
    </w:p>
    <w:p w14:paraId="5B40008B" w14:textId="301A1A52" w:rsidR="00607F8D" w:rsidRPr="00867828" w:rsidRDefault="00607F8D" w:rsidP="00607F8D">
      <w:pPr>
        <w:rPr>
          <w:rFonts w:ascii="Calibri" w:hAnsi="Calibri" w:cs="Calibri"/>
          <w:lang w:eastAsia="zh-CN"/>
        </w:rPr>
      </w:pPr>
    </w:p>
    <w:p w14:paraId="2FF22C1A" w14:textId="4EDC816B" w:rsidR="00562018" w:rsidRPr="00867828" w:rsidRDefault="00562018" w:rsidP="00562018">
      <w:pPr>
        <w:rPr>
          <w:rFonts w:ascii="Calibri" w:hAnsi="Calibri" w:cs="Calibri"/>
        </w:rPr>
      </w:pPr>
      <w:r w:rsidRPr="00867828">
        <w:rPr>
          <w:rFonts w:ascii="Calibri" w:hAnsi="Calibri" w:cs="Calibri"/>
        </w:rPr>
        <w:t xml:space="preserve">Ashenafi, M.M. (2017) “Peer-assessment in higher education - twenty-first century practices, challenges and the way forward,” </w:t>
      </w:r>
      <w:r w:rsidRPr="00867828">
        <w:rPr>
          <w:rFonts w:ascii="Calibri" w:hAnsi="Calibri" w:cs="Calibri"/>
          <w:i/>
          <w:iCs/>
        </w:rPr>
        <w:t>Assessment and evaluation in higher education</w:t>
      </w:r>
      <w:r w:rsidRPr="00867828">
        <w:rPr>
          <w:rFonts w:ascii="Calibri" w:hAnsi="Calibri" w:cs="Calibri"/>
        </w:rPr>
        <w:t xml:space="preserve">, 42(2), pp. 226–251. Available at: </w:t>
      </w:r>
      <w:hyperlink r:id="rId8" w:history="1">
        <w:r w:rsidRPr="00867828">
          <w:rPr>
            <w:rStyle w:val="Hyperlink"/>
            <w:rFonts w:ascii="Calibri" w:hAnsi="Calibri" w:cs="Calibri"/>
          </w:rPr>
          <w:t>https://doi.org/10.1080/02602938.2015.1100711</w:t>
        </w:r>
      </w:hyperlink>
      <w:r w:rsidRPr="00867828">
        <w:rPr>
          <w:rFonts w:ascii="Calibri" w:hAnsi="Calibri" w:cs="Calibri"/>
        </w:rPr>
        <w:t>.</w:t>
      </w:r>
    </w:p>
    <w:p w14:paraId="3ACFD504" w14:textId="77777777" w:rsidR="007A6AF5" w:rsidRPr="00867828" w:rsidRDefault="007A6AF5" w:rsidP="00562018">
      <w:pPr>
        <w:rPr>
          <w:rFonts w:ascii="Calibri" w:hAnsi="Calibri" w:cs="Calibri"/>
        </w:rPr>
      </w:pPr>
    </w:p>
    <w:p w14:paraId="1E9B776E" w14:textId="2463DE83" w:rsidR="00562018" w:rsidRPr="00867828" w:rsidRDefault="007A6AF5" w:rsidP="00562018">
      <w:pPr>
        <w:rPr>
          <w:rStyle w:val="eop"/>
          <w:rFonts w:ascii="Calibri" w:eastAsiaTheme="majorEastAsia" w:hAnsi="Calibri" w:cs="Calibri"/>
          <w:color w:val="000000"/>
          <w:shd w:val="clear" w:color="auto" w:fill="FFFFFF"/>
        </w:rPr>
      </w:pPr>
      <w:r w:rsidRPr="00867828">
        <w:rPr>
          <w:rStyle w:val="normaltextrun"/>
          <w:rFonts w:ascii="Calibri" w:eastAsiaTheme="majorEastAsia" w:hAnsi="Calibri" w:cs="Calibri"/>
          <w:color w:val="000000"/>
          <w:shd w:val="clear" w:color="auto" w:fill="FFFFFF"/>
        </w:rPr>
        <w:t>Baumfield, V., Hall, E. and Wall, K. (2013) </w:t>
      </w:r>
      <w:r w:rsidRPr="00867828">
        <w:rPr>
          <w:rStyle w:val="normaltextrun"/>
          <w:rFonts w:ascii="Calibri" w:eastAsiaTheme="majorEastAsia" w:hAnsi="Calibri" w:cs="Calibri"/>
          <w:i/>
          <w:iCs/>
          <w:color w:val="000000"/>
          <w:shd w:val="clear" w:color="auto" w:fill="FFFFFF"/>
        </w:rPr>
        <w:t>Action research in education: learning through practitioner enquiry</w:t>
      </w:r>
      <w:r w:rsidRPr="00867828">
        <w:rPr>
          <w:rStyle w:val="normaltextrun"/>
          <w:rFonts w:ascii="Calibri" w:eastAsiaTheme="majorEastAsia" w:hAnsi="Calibri" w:cs="Calibri"/>
          <w:color w:val="000000"/>
          <w:shd w:val="clear" w:color="auto" w:fill="FFFFFF"/>
        </w:rPr>
        <w:t>. Second edition. Los Angeles, SAGE.</w:t>
      </w:r>
      <w:r w:rsidRPr="00867828">
        <w:rPr>
          <w:rStyle w:val="eop"/>
          <w:rFonts w:ascii="Calibri" w:eastAsiaTheme="majorEastAsia" w:hAnsi="Calibri" w:cs="Calibri"/>
          <w:color w:val="000000"/>
          <w:shd w:val="clear" w:color="auto" w:fill="FFFFFF"/>
        </w:rPr>
        <w:t> </w:t>
      </w:r>
    </w:p>
    <w:p w14:paraId="0105F101" w14:textId="77777777" w:rsidR="007A6AF5" w:rsidRPr="00867828" w:rsidRDefault="007A6AF5" w:rsidP="00562018">
      <w:pPr>
        <w:rPr>
          <w:rFonts w:ascii="Calibri" w:hAnsi="Calibri" w:cs="Calibri"/>
        </w:rPr>
      </w:pPr>
    </w:p>
    <w:p w14:paraId="79FB18F5" w14:textId="2E8DBD46" w:rsidR="002447C4" w:rsidRPr="00867828" w:rsidRDefault="002447C4" w:rsidP="002447C4">
      <w:pPr>
        <w:rPr>
          <w:rStyle w:val="eop"/>
          <w:rFonts w:ascii="Calibri" w:eastAsiaTheme="majorEastAsia" w:hAnsi="Calibri" w:cs="Calibri"/>
          <w:color w:val="000000"/>
          <w:shd w:val="clear" w:color="auto" w:fill="FFFFFF"/>
        </w:rPr>
      </w:pPr>
      <w:r w:rsidRPr="00867828">
        <w:rPr>
          <w:rStyle w:val="normaltextrun"/>
          <w:rFonts w:ascii="Calibri" w:eastAsiaTheme="majorEastAsia" w:hAnsi="Calibri" w:cs="Calibri"/>
          <w:color w:val="000000"/>
          <w:shd w:val="clear" w:color="auto" w:fill="FFFFFF"/>
        </w:rPr>
        <w:t>Black, P. et al. (2003) </w:t>
      </w:r>
      <w:r w:rsidRPr="00867828">
        <w:rPr>
          <w:rStyle w:val="normaltextrun"/>
          <w:rFonts w:ascii="Calibri" w:eastAsiaTheme="majorEastAsia" w:hAnsi="Calibri" w:cs="Calibri"/>
          <w:i/>
          <w:iCs/>
          <w:color w:val="000000"/>
          <w:shd w:val="clear" w:color="auto" w:fill="FFFFFF"/>
        </w:rPr>
        <w:t>Assessment for Learning: putting it into practice.</w:t>
      </w:r>
      <w:r w:rsidRPr="00867828">
        <w:rPr>
          <w:rStyle w:val="normaltextrun"/>
          <w:rFonts w:ascii="Calibri" w:eastAsiaTheme="majorEastAsia" w:hAnsi="Calibri" w:cs="Calibri"/>
          <w:color w:val="000000"/>
          <w:shd w:val="clear" w:color="auto" w:fill="FFFFFF"/>
        </w:rPr>
        <w:t> Maidenhead: McGraw-Hill Education.  </w:t>
      </w:r>
      <w:r w:rsidRPr="00867828">
        <w:rPr>
          <w:rStyle w:val="eop"/>
          <w:rFonts w:ascii="Calibri" w:eastAsiaTheme="majorEastAsia" w:hAnsi="Calibri" w:cs="Calibri"/>
          <w:color w:val="000000"/>
          <w:shd w:val="clear" w:color="auto" w:fill="FFFFFF"/>
        </w:rPr>
        <w:t> </w:t>
      </w:r>
    </w:p>
    <w:p w14:paraId="06FE8441" w14:textId="77777777" w:rsidR="003300EA" w:rsidRPr="00867828" w:rsidRDefault="003300EA" w:rsidP="002447C4">
      <w:pPr>
        <w:rPr>
          <w:rFonts w:ascii="Calibri" w:hAnsi="Calibri" w:cs="Calibri"/>
          <w:lang w:eastAsia="zh-CN"/>
        </w:rPr>
      </w:pPr>
    </w:p>
    <w:p w14:paraId="39CDF464" w14:textId="7DADA2E8" w:rsidR="2F5C32DE" w:rsidRPr="00867828" w:rsidRDefault="002447C4" w:rsidP="2F5C32DE">
      <w:pPr>
        <w:rPr>
          <w:rStyle w:val="eop"/>
          <w:rFonts w:ascii="Calibri" w:eastAsiaTheme="majorEastAsia" w:hAnsi="Calibri" w:cs="Calibri"/>
          <w:color w:val="000000"/>
          <w:shd w:val="clear" w:color="auto" w:fill="FFFFFF"/>
        </w:rPr>
      </w:pPr>
      <w:r w:rsidRPr="00867828">
        <w:rPr>
          <w:rStyle w:val="normaltextrun"/>
          <w:rFonts w:ascii="Calibri" w:eastAsiaTheme="majorEastAsia" w:hAnsi="Calibri" w:cs="Calibri"/>
          <w:color w:val="000000"/>
          <w:shd w:val="clear" w:color="auto" w:fill="FFFFFF"/>
        </w:rPr>
        <w:t>Black and Wiliam. (1998). </w:t>
      </w:r>
      <w:r w:rsidRPr="00867828">
        <w:rPr>
          <w:rStyle w:val="normaltextrun"/>
          <w:rFonts w:ascii="Calibri" w:eastAsiaTheme="majorEastAsia" w:hAnsi="Calibri" w:cs="Calibri"/>
          <w:i/>
          <w:iCs/>
          <w:color w:val="000000"/>
          <w:shd w:val="clear" w:color="auto" w:fill="FFFFFF"/>
        </w:rPr>
        <w:t>Inside the black box: raising standards through classroom assessment.</w:t>
      </w:r>
      <w:r w:rsidRPr="00867828">
        <w:rPr>
          <w:rStyle w:val="normaltextrun"/>
          <w:rFonts w:ascii="Calibri" w:eastAsiaTheme="majorEastAsia" w:hAnsi="Calibri" w:cs="Calibri"/>
          <w:color w:val="000000"/>
          <w:shd w:val="clear" w:color="auto" w:fill="FFFFFF"/>
        </w:rPr>
        <w:t> GL Assessment. </w:t>
      </w:r>
      <w:r w:rsidRPr="00867828">
        <w:rPr>
          <w:rStyle w:val="eop"/>
          <w:rFonts w:ascii="Calibri" w:eastAsiaTheme="majorEastAsia" w:hAnsi="Calibri" w:cs="Calibri"/>
          <w:color w:val="000000"/>
          <w:shd w:val="clear" w:color="auto" w:fill="FFFFFF"/>
        </w:rPr>
        <w:t> </w:t>
      </w:r>
    </w:p>
    <w:p w14:paraId="1F32695D" w14:textId="77777777" w:rsidR="00C719EE" w:rsidRPr="00867828" w:rsidRDefault="00C719EE" w:rsidP="2F5C32DE">
      <w:pPr>
        <w:rPr>
          <w:rStyle w:val="eop"/>
          <w:rFonts w:ascii="Calibri" w:eastAsiaTheme="majorEastAsia" w:hAnsi="Calibri" w:cs="Calibri"/>
          <w:color w:val="000000"/>
          <w:shd w:val="clear" w:color="auto" w:fill="FFFFFF"/>
        </w:rPr>
      </w:pPr>
    </w:p>
    <w:p w14:paraId="79765150" w14:textId="56726237" w:rsidR="00C719EE" w:rsidRPr="00867828" w:rsidRDefault="00C719EE" w:rsidP="2F5C32DE">
      <w:pPr>
        <w:rPr>
          <w:rStyle w:val="eop"/>
          <w:rFonts w:ascii="Calibri" w:eastAsiaTheme="majorEastAsia" w:hAnsi="Calibri" w:cs="Calibri"/>
          <w:color w:val="000000"/>
          <w:shd w:val="clear" w:color="auto" w:fill="FFFFFF"/>
        </w:rPr>
      </w:pPr>
      <w:r w:rsidRPr="00867828">
        <w:rPr>
          <w:rStyle w:val="normaltextrun"/>
          <w:rFonts w:ascii="Calibri" w:eastAsiaTheme="majorEastAsia" w:hAnsi="Calibri" w:cs="Calibri"/>
          <w:color w:val="000000"/>
          <w:shd w:val="clear" w:color="auto" w:fill="FFFFFF"/>
        </w:rPr>
        <w:t>Braun, V. and Clarke, V. (2006) '</w:t>
      </w:r>
      <w:r w:rsidRPr="00867828">
        <w:rPr>
          <w:rStyle w:val="normaltextrun"/>
          <w:rFonts w:ascii="Calibri" w:eastAsiaTheme="majorEastAsia" w:hAnsi="Calibri" w:cs="Calibri"/>
          <w:i/>
          <w:iCs/>
          <w:color w:val="000000"/>
          <w:shd w:val="clear" w:color="auto" w:fill="FFFFFF"/>
        </w:rPr>
        <w:t>Using thematic analysis in psychology</w:t>
      </w:r>
      <w:r w:rsidRPr="00867828">
        <w:rPr>
          <w:rStyle w:val="normaltextrun"/>
          <w:rFonts w:ascii="Calibri" w:eastAsiaTheme="majorEastAsia" w:hAnsi="Calibri" w:cs="Calibri"/>
          <w:color w:val="000000"/>
          <w:shd w:val="clear" w:color="auto" w:fill="FFFFFF"/>
        </w:rPr>
        <w:t>', Qualitative research in psychology, 3(2), pp. 77–101. Available at: </w:t>
      </w:r>
      <w:hyperlink r:id="rId9" w:tgtFrame="_blank" w:history="1">
        <w:r w:rsidRPr="00867828">
          <w:rPr>
            <w:rStyle w:val="normaltextrun"/>
            <w:rFonts w:ascii="Calibri" w:eastAsiaTheme="majorEastAsia" w:hAnsi="Calibri" w:cs="Calibri"/>
            <w:color w:val="467886"/>
            <w:u w:val="single"/>
            <w:shd w:val="clear" w:color="auto" w:fill="FFFFFF"/>
          </w:rPr>
          <w:t>https://doi.org/10.1191/1478088706qp063oa</w:t>
        </w:r>
      </w:hyperlink>
      <w:r w:rsidRPr="00867828">
        <w:rPr>
          <w:rStyle w:val="normaltextrun"/>
          <w:rFonts w:ascii="Calibri" w:eastAsiaTheme="majorEastAsia" w:hAnsi="Calibri" w:cs="Calibri"/>
          <w:color w:val="000000"/>
          <w:shd w:val="clear" w:color="auto" w:fill="FFFFFF"/>
        </w:rPr>
        <w:t>. </w:t>
      </w:r>
      <w:r w:rsidRPr="00867828">
        <w:rPr>
          <w:rStyle w:val="eop"/>
          <w:rFonts w:ascii="Calibri" w:eastAsiaTheme="majorEastAsia" w:hAnsi="Calibri" w:cs="Calibri"/>
          <w:color w:val="000000"/>
          <w:shd w:val="clear" w:color="auto" w:fill="FFFFFF"/>
        </w:rPr>
        <w:t> </w:t>
      </w:r>
    </w:p>
    <w:p w14:paraId="5AA8E22B" w14:textId="77777777" w:rsidR="00C719EE" w:rsidRPr="00867828" w:rsidRDefault="00C719EE" w:rsidP="2F5C32DE">
      <w:pPr>
        <w:rPr>
          <w:rStyle w:val="eop"/>
          <w:rFonts w:ascii="Calibri" w:eastAsiaTheme="majorEastAsia" w:hAnsi="Calibri" w:cs="Calibri"/>
          <w:color w:val="000000"/>
          <w:shd w:val="clear" w:color="auto" w:fill="FFFFFF"/>
        </w:rPr>
      </w:pPr>
    </w:p>
    <w:p w14:paraId="4C511389" w14:textId="17B8449B" w:rsidR="00C719EE" w:rsidRPr="00867828" w:rsidRDefault="00C719EE" w:rsidP="2F5C32DE">
      <w:pPr>
        <w:rPr>
          <w:rStyle w:val="normaltextrun"/>
          <w:rFonts w:ascii="Calibri" w:eastAsiaTheme="majorEastAsia" w:hAnsi="Calibri" w:cs="Calibri"/>
          <w:color w:val="000000"/>
          <w:shd w:val="clear" w:color="auto" w:fill="FFFFFF"/>
        </w:rPr>
      </w:pPr>
      <w:r w:rsidRPr="00867828">
        <w:rPr>
          <w:rStyle w:val="normaltextrun"/>
          <w:rFonts w:ascii="Calibri" w:eastAsiaTheme="majorEastAsia" w:hAnsi="Calibri" w:cs="Calibri"/>
          <w:color w:val="000000"/>
          <w:shd w:val="clear" w:color="auto" w:fill="FFFFFF"/>
        </w:rPr>
        <w:t>Braun, V. and Clarke, V. (2019) '</w:t>
      </w:r>
      <w:r w:rsidRPr="00867828">
        <w:rPr>
          <w:rStyle w:val="normaltextrun"/>
          <w:rFonts w:ascii="Calibri" w:eastAsiaTheme="majorEastAsia" w:hAnsi="Calibri" w:cs="Calibri"/>
          <w:i/>
          <w:iCs/>
          <w:color w:val="000000"/>
          <w:shd w:val="clear" w:color="auto" w:fill="FFFFFF"/>
        </w:rPr>
        <w:t>Reflecting on reflexive thematic analysis', Qualitative research in sport, exercise and health</w:t>
      </w:r>
      <w:r w:rsidRPr="00867828">
        <w:rPr>
          <w:rStyle w:val="normaltextrun"/>
          <w:rFonts w:ascii="Calibri" w:eastAsiaTheme="majorEastAsia" w:hAnsi="Calibri" w:cs="Calibri"/>
          <w:color w:val="000000"/>
          <w:shd w:val="clear" w:color="auto" w:fill="FFFFFF"/>
        </w:rPr>
        <w:t>, 11(4), pp. 589–597. Available at: </w:t>
      </w:r>
      <w:hyperlink r:id="rId10" w:tgtFrame="_blank" w:history="1">
        <w:r w:rsidRPr="00867828">
          <w:rPr>
            <w:rStyle w:val="normaltextrun"/>
            <w:rFonts w:ascii="Calibri" w:eastAsiaTheme="majorEastAsia" w:hAnsi="Calibri" w:cs="Calibri"/>
            <w:color w:val="467886"/>
            <w:u w:val="single"/>
            <w:shd w:val="clear" w:color="auto" w:fill="FFFFFF"/>
          </w:rPr>
          <w:t>https://doi.org/10.1080/2159676X.2019.1628806</w:t>
        </w:r>
      </w:hyperlink>
      <w:r w:rsidRPr="00867828">
        <w:rPr>
          <w:rStyle w:val="normaltextrun"/>
          <w:rFonts w:ascii="Calibri" w:eastAsiaTheme="majorEastAsia" w:hAnsi="Calibri" w:cs="Calibri"/>
          <w:color w:val="000000"/>
          <w:shd w:val="clear" w:color="auto" w:fill="FFFFFF"/>
        </w:rPr>
        <w:t>.</w:t>
      </w:r>
    </w:p>
    <w:p w14:paraId="6B3DAA73" w14:textId="77777777" w:rsidR="00034DB4" w:rsidRPr="00867828" w:rsidRDefault="00034DB4" w:rsidP="2F5C32DE">
      <w:pPr>
        <w:rPr>
          <w:rStyle w:val="normaltextrun"/>
          <w:rFonts w:ascii="Calibri" w:eastAsiaTheme="majorEastAsia" w:hAnsi="Calibri" w:cs="Calibri"/>
          <w:color w:val="000000"/>
          <w:shd w:val="clear" w:color="auto" w:fill="FFFFFF"/>
        </w:rPr>
      </w:pPr>
    </w:p>
    <w:p w14:paraId="7FFF2D65" w14:textId="2D9FA844" w:rsidR="00034DB4" w:rsidRPr="00867828" w:rsidRDefault="00034DB4" w:rsidP="00034DB4">
      <w:pPr>
        <w:rPr>
          <w:rStyle w:val="normaltextrun"/>
          <w:rFonts w:ascii="Calibri" w:eastAsiaTheme="majorEastAsia" w:hAnsi="Calibri" w:cs="Calibri"/>
          <w:color w:val="000000"/>
          <w:shd w:val="clear" w:color="auto" w:fill="FFFFFF"/>
        </w:rPr>
      </w:pPr>
      <w:r w:rsidRPr="00867828">
        <w:rPr>
          <w:rStyle w:val="normaltextrun"/>
          <w:rFonts w:ascii="Calibri" w:eastAsiaTheme="majorEastAsia" w:hAnsi="Calibri" w:cs="Calibri"/>
          <w:color w:val="000000"/>
          <w:shd w:val="clear" w:color="auto" w:fill="FFFFFF"/>
        </w:rPr>
        <w:t xml:space="preserve">Cohen, L., Manion, L. and Morrison, K. (2018) Research methods in education. Eighth edition. </w:t>
      </w:r>
      <w:r w:rsidR="00D05F11" w:rsidRPr="00867828">
        <w:rPr>
          <w:rStyle w:val="normaltextrun"/>
          <w:rFonts w:ascii="Calibri" w:eastAsiaTheme="majorEastAsia" w:hAnsi="Calibri" w:cs="Calibri"/>
          <w:color w:val="000000"/>
          <w:shd w:val="clear" w:color="auto" w:fill="FFFFFF"/>
        </w:rPr>
        <w:t>London;</w:t>
      </w:r>
      <w:r w:rsidRPr="00867828">
        <w:rPr>
          <w:rStyle w:val="normaltextrun"/>
          <w:rFonts w:ascii="Calibri" w:eastAsiaTheme="majorEastAsia" w:hAnsi="Calibri" w:cs="Calibri"/>
          <w:color w:val="000000"/>
          <w:shd w:val="clear" w:color="auto" w:fill="FFFFFF"/>
        </w:rPr>
        <w:t xml:space="preserve"> Routledge.</w:t>
      </w:r>
    </w:p>
    <w:p w14:paraId="0BE21E3C" w14:textId="77777777" w:rsidR="00E67F5C" w:rsidRPr="00867828" w:rsidRDefault="00E67F5C" w:rsidP="00034DB4">
      <w:pPr>
        <w:rPr>
          <w:rStyle w:val="normaltextrun"/>
          <w:rFonts w:ascii="Calibri" w:eastAsiaTheme="majorEastAsia" w:hAnsi="Calibri" w:cs="Calibri"/>
          <w:color w:val="000000"/>
          <w:shd w:val="clear" w:color="auto" w:fill="FFFFFF"/>
        </w:rPr>
      </w:pPr>
    </w:p>
    <w:p w14:paraId="3250F1E4" w14:textId="77777777" w:rsidR="00E67F5C" w:rsidRPr="00867828" w:rsidRDefault="00E67F5C" w:rsidP="00E67F5C">
      <w:pPr>
        <w:rPr>
          <w:rFonts w:ascii="Calibri" w:hAnsi="Calibri" w:cs="Calibri"/>
        </w:rPr>
      </w:pPr>
      <w:r w:rsidRPr="00867828">
        <w:rPr>
          <w:rFonts w:ascii="Calibri" w:hAnsi="Calibri" w:cs="Calibri"/>
        </w:rPr>
        <w:t xml:space="preserve">Costa, J. (2024) “Mixed Methods in Educational Large-Scale Studies: Integrating Qualitative Perspectives into Secondary Data Analysis,” </w:t>
      </w:r>
      <w:r w:rsidRPr="00867828">
        <w:rPr>
          <w:rFonts w:ascii="Calibri" w:hAnsi="Calibri" w:cs="Calibri"/>
          <w:i/>
          <w:iCs/>
        </w:rPr>
        <w:t>Education sciences</w:t>
      </w:r>
      <w:r w:rsidRPr="00867828">
        <w:rPr>
          <w:rFonts w:ascii="Calibri" w:hAnsi="Calibri" w:cs="Calibri"/>
        </w:rPr>
        <w:t>, 14(12), p. 1347. Available at: https://doi.org/10.3390/educsci14121347.</w:t>
      </w:r>
    </w:p>
    <w:p w14:paraId="380C3E8F" w14:textId="77777777" w:rsidR="007A6AF5" w:rsidRPr="00867828" w:rsidRDefault="007A6AF5" w:rsidP="2F5C32DE">
      <w:pPr>
        <w:rPr>
          <w:rStyle w:val="normaltextrun"/>
          <w:rFonts w:ascii="Calibri" w:eastAsiaTheme="majorEastAsia" w:hAnsi="Calibri" w:cs="Calibri"/>
          <w:color w:val="000000"/>
          <w:shd w:val="clear" w:color="auto" w:fill="FFFFFF"/>
        </w:rPr>
      </w:pPr>
    </w:p>
    <w:p w14:paraId="57F66DCC" w14:textId="3FBA2AF7" w:rsidR="007A6AF5" w:rsidRPr="00867828" w:rsidRDefault="007A6AF5" w:rsidP="2F5C32DE">
      <w:pPr>
        <w:rPr>
          <w:rStyle w:val="normaltextrun"/>
          <w:rFonts w:ascii="Calibri" w:eastAsiaTheme="majorEastAsia" w:hAnsi="Calibri" w:cs="Calibri"/>
          <w:color w:val="000000"/>
          <w:shd w:val="clear" w:color="auto" w:fill="FFFFFF"/>
        </w:rPr>
      </w:pPr>
      <w:r w:rsidRPr="00867828">
        <w:rPr>
          <w:rStyle w:val="normaltextrun"/>
          <w:rFonts w:ascii="Calibri" w:eastAsiaTheme="majorEastAsia" w:hAnsi="Calibri" w:cs="Calibri"/>
          <w:color w:val="000000"/>
          <w:shd w:val="clear" w:color="auto" w:fill="FFFFFF"/>
        </w:rPr>
        <w:t>Costello, P.J.M. (2003) Action research. 1st ed. New York: Continuum.</w:t>
      </w:r>
      <w:r w:rsidRPr="00867828">
        <w:rPr>
          <w:rStyle w:val="eop"/>
          <w:rFonts w:ascii="Calibri" w:eastAsiaTheme="majorEastAsia" w:hAnsi="Calibri" w:cs="Calibri"/>
          <w:color w:val="000000"/>
          <w:shd w:val="clear" w:color="auto" w:fill="FFFFFF"/>
        </w:rPr>
        <w:t> </w:t>
      </w:r>
    </w:p>
    <w:p w14:paraId="623D131F" w14:textId="77777777" w:rsidR="007A6AF5" w:rsidRPr="00867828" w:rsidRDefault="007A6AF5" w:rsidP="2F5C32DE">
      <w:pPr>
        <w:rPr>
          <w:rStyle w:val="normaltextrun"/>
          <w:rFonts w:ascii="Calibri" w:eastAsiaTheme="majorEastAsia" w:hAnsi="Calibri" w:cs="Calibri"/>
          <w:color w:val="000000"/>
          <w:shd w:val="clear" w:color="auto" w:fill="FFFFFF"/>
        </w:rPr>
      </w:pPr>
    </w:p>
    <w:p w14:paraId="71CA67E3" w14:textId="2A77E35D" w:rsidR="007A6AF5" w:rsidRPr="00867828" w:rsidRDefault="007A6AF5" w:rsidP="2F5C32DE">
      <w:pPr>
        <w:rPr>
          <w:rStyle w:val="eop"/>
          <w:rFonts w:ascii="Calibri" w:eastAsiaTheme="majorEastAsia" w:hAnsi="Calibri" w:cs="Calibri"/>
          <w:color w:val="000000"/>
          <w:shd w:val="clear" w:color="auto" w:fill="FFFFFF"/>
        </w:rPr>
      </w:pPr>
      <w:r w:rsidRPr="00867828">
        <w:rPr>
          <w:rStyle w:val="normaltextrun"/>
          <w:rFonts w:ascii="Calibri" w:eastAsiaTheme="majorEastAsia" w:hAnsi="Calibri" w:cs="Calibri"/>
          <w:color w:val="000000"/>
          <w:shd w:val="clear" w:color="auto" w:fill="FFFFFF"/>
        </w:rPr>
        <w:t>Efron, S.E. and Ravid, R. (2020). </w:t>
      </w:r>
      <w:r w:rsidRPr="00867828">
        <w:rPr>
          <w:rStyle w:val="normaltextrun"/>
          <w:rFonts w:ascii="Calibri" w:eastAsiaTheme="majorEastAsia" w:hAnsi="Calibri" w:cs="Calibri"/>
          <w:i/>
          <w:iCs/>
          <w:color w:val="000000"/>
          <w:shd w:val="clear" w:color="auto" w:fill="FFFFFF"/>
        </w:rPr>
        <w:t>Action research in education: a practical guide</w:t>
      </w:r>
      <w:r w:rsidRPr="00867828">
        <w:rPr>
          <w:rStyle w:val="normaltextrun"/>
          <w:rFonts w:ascii="Calibri" w:eastAsiaTheme="majorEastAsia" w:hAnsi="Calibri" w:cs="Calibri"/>
          <w:color w:val="000000"/>
          <w:shd w:val="clear" w:color="auto" w:fill="FFFFFF"/>
        </w:rPr>
        <w:t>. New York: The Guilford Press.</w:t>
      </w:r>
      <w:r w:rsidRPr="00867828">
        <w:rPr>
          <w:rStyle w:val="eop"/>
          <w:rFonts w:ascii="Calibri" w:eastAsiaTheme="majorEastAsia" w:hAnsi="Calibri" w:cs="Calibri"/>
          <w:color w:val="000000"/>
          <w:shd w:val="clear" w:color="auto" w:fill="FFFFFF"/>
        </w:rPr>
        <w:t> </w:t>
      </w:r>
    </w:p>
    <w:p w14:paraId="53F6B91A" w14:textId="77777777" w:rsidR="003300EA" w:rsidRPr="00867828" w:rsidRDefault="003300EA" w:rsidP="2F5C32DE">
      <w:pPr>
        <w:rPr>
          <w:rStyle w:val="eop"/>
          <w:rFonts w:ascii="Calibri" w:hAnsi="Calibri" w:cs="Calibri"/>
          <w:color w:val="000000"/>
          <w:shd w:val="clear" w:color="auto" w:fill="FFFFFF"/>
        </w:rPr>
      </w:pPr>
    </w:p>
    <w:p w14:paraId="5D242F68" w14:textId="4B563D5D" w:rsidR="001C1D15" w:rsidRDefault="001C1D15" w:rsidP="000C219A">
      <w:pPr>
        <w:rPr>
          <w:rFonts w:ascii="Calibri" w:hAnsi="Calibri" w:cs="Calibri"/>
        </w:rPr>
      </w:pPr>
      <w:r w:rsidRPr="00867828">
        <w:rPr>
          <w:rFonts w:ascii="Calibri" w:hAnsi="Calibri" w:cs="Calibri"/>
        </w:rPr>
        <w:t xml:space="preserve">Falchikov, N. and Goldfinch, J. (2000) “Student Peer Assessment in Higher Education: A Meta-Analysis Comparing Peer and Teacher Marks,” </w:t>
      </w:r>
      <w:r w:rsidRPr="00867828">
        <w:rPr>
          <w:rFonts w:ascii="Calibri" w:hAnsi="Calibri" w:cs="Calibri"/>
          <w:i/>
          <w:iCs/>
        </w:rPr>
        <w:t>Review of educational research</w:t>
      </w:r>
      <w:r w:rsidRPr="00867828">
        <w:rPr>
          <w:rFonts w:ascii="Calibri" w:hAnsi="Calibri" w:cs="Calibri"/>
        </w:rPr>
        <w:t xml:space="preserve">, 70(3), pp. 287–322. Available at: </w:t>
      </w:r>
      <w:hyperlink r:id="rId11" w:history="1">
        <w:r w:rsidR="000C219A" w:rsidRPr="00867828">
          <w:rPr>
            <w:rStyle w:val="Hyperlink"/>
            <w:rFonts w:ascii="Calibri" w:hAnsi="Calibri" w:cs="Calibri"/>
          </w:rPr>
          <w:t>https://doi.org/10.3102/00346543070003287</w:t>
        </w:r>
      </w:hyperlink>
      <w:r w:rsidRPr="00867828">
        <w:rPr>
          <w:rFonts w:ascii="Calibri" w:hAnsi="Calibri" w:cs="Calibri"/>
        </w:rPr>
        <w:t>.</w:t>
      </w:r>
    </w:p>
    <w:p w14:paraId="2A71BC12" w14:textId="1A928DE5" w:rsidR="003300EA" w:rsidRPr="00867828" w:rsidRDefault="003300EA" w:rsidP="1D29E44A">
      <w:pPr>
        <w:rPr>
          <w:rFonts w:ascii="Calibri" w:hAnsi="Calibri" w:cs="Calibri"/>
        </w:rPr>
      </w:pPr>
    </w:p>
    <w:p w14:paraId="1997DF77" w14:textId="77777777" w:rsidR="00B86C3F" w:rsidRDefault="00B86C3F" w:rsidP="1D29E44A">
      <w:pPr>
        <w:rPr>
          <w:rFonts w:ascii="Calibri" w:hAnsi="Calibri" w:cs="Calibri"/>
        </w:rPr>
      </w:pPr>
    </w:p>
    <w:p w14:paraId="15D7B5DC" w14:textId="77777777" w:rsidR="00B86C3F" w:rsidRDefault="00B86C3F" w:rsidP="1D29E44A">
      <w:pPr>
        <w:rPr>
          <w:rFonts w:ascii="Calibri" w:hAnsi="Calibri" w:cs="Calibri"/>
        </w:rPr>
      </w:pPr>
    </w:p>
    <w:p w14:paraId="0B9AA8CE" w14:textId="7264888E" w:rsidR="007A6AF5" w:rsidRDefault="003300EA" w:rsidP="1D29E44A">
      <w:pPr>
        <w:rPr>
          <w:rFonts w:ascii="Calibri" w:hAnsi="Calibri" w:cs="Calibri"/>
        </w:rPr>
      </w:pPr>
      <w:r w:rsidRPr="1D29E44A">
        <w:rPr>
          <w:rFonts w:ascii="Calibri" w:hAnsi="Calibri" w:cs="Calibri"/>
        </w:rPr>
        <w:lastRenderedPageBreak/>
        <w:t xml:space="preserve">Fleckney, P., Thompson, J. and Vaz-Serra, P. (2025) “Designing effective peer assessment processes in higher education: a systematic review,” </w:t>
      </w:r>
      <w:r w:rsidRPr="1D29E44A">
        <w:rPr>
          <w:rFonts w:ascii="Calibri" w:hAnsi="Calibri" w:cs="Calibri"/>
          <w:i/>
          <w:iCs/>
        </w:rPr>
        <w:t>Higher education research and development</w:t>
      </w:r>
      <w:r w:rsidRPr="1D29E44A">
        <w:rPr>
          <w:rFonts w:ascii="Calibri" w:hAnsi="Calibri" w:cs="Calibri"/>
        </w:rPr>
        <w:t xml:space="preserve">, 44(2), pp. 386–401. Available at: </w:t>
      </w:r>
      <w:hyperlink r:id="rId12">
        <w:r w:rsidRPr="1D29E44A">
          <w:rPr>
            <w:rStyle w:val="Hyperlink"/>
            <w:rFonts w:ascii="Calibri" w:hAnsi="Calibri" w:cs="Calibri"/>
          </w:rPr>
          <w:t>https://doi.org/10.1080/07294360.2024.2407083</w:t>
        </w:r>
      </w:hyperlink>
      <w:r w:rsidRPr="1D29E44A">
        <w:rPr>
          <w:rFonts w:ascii="Calibri" w:hAnsi="Calibri" w:cs="Calibri"/>
        </w:rPr>
        <w:t xml:space="preserve">. </w:t>
      </w:r>
    </w:p>
    <w:p w14:paraId="58A1C216" w14:textId="77777777" w:rsidR="00B86C3F" w:rsidRPr="00867828" w:rsidRDefault="00B86C3F" w:rsidP="1D29E44A">
      <w:pPr>
        <w:rPr>
          <w:rFonts w:ascii="Calibri" w:hAnsi="Calibri" w:cs="Calibri"/>
        </w:rPr>
      </w:pPr>
    </w:p>
    <w:p w14:paraId="323554E4" w14:textId="59959557" w:rsidR="007A6AF5" w:rsidRPr="00867828" w:rsidRDefault="002C6154" w:rsidP="002C6154">
      <w:pPr>
        <w:rPr>
          <w:rFonts w:ascii="Calibri" w:hAnsi="Calibri" w:cs="Calibri"/>
        </w:rPr>
      </w:pPr>
      <w:r w:rsidRPr="1D29E44A">
        <w:rPr>
          <w:rFonts w:ascii="Calibri" w:hAnsi="Calibri" w:cs="Calibri"/>
        </w:rPr>
        <w:t xml:space="preserve">Han, Y. and Xu, Y. (2020) “The development of student feedback literacy: the influences of teacher feedback on peer feedback,” </w:t>
      </w:r>
      <w:r w:rsidRPr="1D29E44A">
        <w:rPr>
          <w:rFonts w:ascii="Calibri" w:hAnsi="Calibri" w:cs="Calibri"/>
          <w:i/>
          <w:iCs/>
        </w:rPr>
        <w:t>Assessment and evaluation in higher education</w:t>
      </w:r>
      <w:r w:rsidRPr="1D29E44A">
        <w:rPr>
          <w:rFonts w:ascii="Calibri" w:hAnsi="Calibri" w:cs="Calibri"/>
        </w:rPr>
        <w:t xml:space="preserve">, 45(5), pp. 680–696. Available at: </w:t>
      </w:r>
      <w:hyperlink r:id="rId13">
        <w:r w:rsidRPr="1D29E44A">
          <w:rPr>
            <w:rStyle w:val="Hyperlink"/>
            <w:rFonts w:ascii="Calibri" w:hAnsi="Calibri" w:cs="Calibri"/>
          </w:rPr>
          <w:t>https://doi.org/10.1080/02602938.2019.1689545</w:t>
        </w:r>
      </w:hyperlink>
      <w:r w:rsidR="00E67F5C" w:rsidRPr="1D29E44A">
        <w:rPr>
          <w:rFonts w:ascii="Calibri" w:hAnsi="Calibri" w:cs="Calibri"/>
        </w:rPr>
        <w:t>.</w:t>
      </w:r>
    </w:p>
    <w:p w14:paraId="2B5002B8" w14:textId="77777777" w:rsidR="00B9629D" w:rsidRPr="00867828" w:rsidRDefault="00B9629D" w:rsidP="002C6154">
      <w:pPr>
        <w:rPr>
          <w:rFonts w:ascii="Calibri" w:hAnsi="Calibri" w:cs="Calibri"/>
        </w:rPr>
      </w:pPr>
    </w:p>
    <w:p w14:paraId="059DADA0" w14:textId="1A0CF60F" w:rsidR="00B9629D" w:rsidRPr="00867828" w:rsidRDefault="00B9629D" w:rsidP="002C6154">
      <w:pPr>
        <w:rPr>
          <w:rFonts w:ascii="Calibri" w:hAnsi="Calibri" w:cs="Calibri"/>
        </w:rPr>
      </w:pPr>
      <w:r w:rsidRPr="00867828">
        <w:rPr>
          <w:rFonts w:ascii="Calibri" w:hAnsi="Calibri" w:cs="Calibri"/>
        </w:rPr>
        <w:t xml:space="preserve">Huisman, B. </w:t>
      </w:r>
      <w:r w:rsidRPr="00867828">
        <w:rPr>
          <w:rFonts w:ascii="Calibri" w:hAnsi="Calibri" w:cs="Calibri"/>
          <w:i/>
          <w:iCs/>
        </w:rPr>
        <w:t>et al.</w:t>
      </w:r>
      <w:r w:rsidRPr="00867828">
        <w:rPr>
          <w:rFonts w:ascii="Calibri" w:hAnsi="Calibri" w:cs="Calibri"/>
        </w:rPr>
        <w:t xml:space="preserve"> (2019) “The impact of formative peer feedback on higher education students’ academic writing: a Meta-Analysis,” </w:t>
      </w:r>
      <w:r w:rsidRPr="00867828">
        <w:rPr>
          <w:rFonts w:ascii="Calibri" w:hAnsi="Calibri" w:cs="Calibri"/>
          <w:i/>
          <w:iCs/>
        </w:rPr>
        <w:t>Assessment and evaluation in higher education</w:t>
      </w:r>
      <w:r w:rsidRPr="00867828">
        <w:rPr>
          <w:rFonts w:ascii="Calibri" w:hAnsi="Calibri" w:cs="Calibri"/>
        </w:rPr>
        <w:t xml:space="preserve">, 44(6), pp. 863–880. Available at: </w:t>
      </w:r>
      <w:hyperlink r:id="rId14" w:history="1">
        <w:r w:rsidRPr="00867828">
          <w:rPr>
            <w:rStyle w:val="Hyperlink"/>
            <w:rFonts w:ascii="Calibri" w:hAnsi="Calibri" w:cs="Calibri"/>
          </w:rPr>
          <w:t>https://doi.org/10.1080/02602938.2018.1545896</w:t>
        </w:r>
      </w:hyperlink>
      <w:r w:rsidRPr="00867828">
        <w:rPr>
          <w:rFonts w:ascii="Calibri" w:hAnsi="Calibri" w:cs="Calibri"/>
        </w:rPr>
        <w:t>.</w:t>
      </w:r>
    </w:p>
    <w:p w14:paraId="26863BA0" w14:textId="77777777" w:rsidR="000C219A" w:rsidRPr="00867828" w:rsidRDefault="000C219A" w:rsidP="002C6154">
      <w:pPr>
        <w:rPr>
          <w:rFonts w:ascii="Calibri" w:hAnsi="Calibri" w:cs="Calibri"/>
        </w:rPr>
      </w:pPr>
    </w:p>
    <w:p w14:paraId="2F9818A5" w14:textId="4550FC6C" w:rsidR="000C219A" w:rsidRPr="00867828" w:rsidRDefault="000C219A" w:rsidP="002C6154">
      <w:pPr>
        <w:rPr>
          <w:rFonts w:ascii="Calibri" w:hAnsi="Calibri" w:cs="Calibri"/>
        </w:rPr>
      </w:pPr>
      <w:r w:rsidRPr="00867828">
        <w:rPr>
          <w:rFonts w:ascii="Calibri" w:hAnsi="Calibri" w:cs="Calibri"/>
        </w:rPr>
        <w:t xml:space="preserve">Li, H. </w:t>
      </w:r>
      <w:r w:rsidRPr="00867828">
        <w:rPr>
          <w:rFonts w:ascii="Calibri" w:hAnsi="Calibri" w:cs="Calibri"/>
          <w:i/>
          <w:iCs/>
        </w:rPr>
        <w:t>et al.</w:t>
      </w:r>
      <w:r w:rsidRPr="00867828">
        <w:rPr>
          <w:rFonts w:ascii="Calibri" w:hAnsi="Calibri" w:cs="Calibri"/>
        </w:rPr>
        <w:t xml:space="preserve"> (2020) “Does peer assessment promote student learning? A meta-analysis,” </w:t>
      </w:r>
      <w:r w:rsidRPr="00867828">
        <w:rPr>
          <w:rFonts w:ascii="Calibri" w:hAnsi="Calibri" w:cs="Calibri"/>
          <w:i/>
          <w:iCs/>
        </w:rPr>
        <w:t>Assessment and evaluation in higher education</w:t>
      </w:r>
      <w:r w:rsidRPr="00867828">
        <w:rPr>
          <w:rFonts w:ascii="Calibri" w:hAnsi="Calibri" w:cs="Calibri"/>
        </w:rPr>
        <w:t xml:space="preserve">, 45(2), pp. 193–211. Available at: </w:t>
      </w:r>
      <w:hyperlink r:id="rId15" w:history="1">
        <w:r w:rsidRPr="00867828">
          <w:rPr>
            <w:rStyle w:val="Hyperlink"/>
            <w:rFonts w:ascii="Calibri" w:hAnsi="Calibri" w:cs="Calibri"/>
          </w:rPr>
          <w:t>https://doi.org/10.1080/02602938.2019.1620679</w:t>
        </w:r>
      </w:hyperlink>
      <w:r w:rsidRPr="00867828">
        <w:rPr>
          <w:rFonts w:ascii="Calibri" w:hAnsi="Calibri" w:cs="Calibri"/>
        </w:rPr>
        <w:t>.</w:t>
      </w:r>
    </w:p>
    <w:p w14:paraId="00B8EAF5" w14:textId="77777777" w:rsidR="001C1D15" w:rsidRPr="00867828" w:rsidRDefault="001C1D15" w:rsidP="002C6154">
      <w:pPr>
        <w:rPr>
          <w:rFonts w:ascii="Calibri" w:hAnsi="Calibri" w:cs="Calibri"/>
        </w:rPr>
      </w:pPr>
    </w:p>
    <w:p w14:paraId="4BEC4E10" w14:textId="5D0546BA" w:rsidR="002C6154" w:rsidRPr="00867828" w:rsidRDefault="002C6154" w:rsidP="002C6154">
      <w:pPr>
        <w:rPr>
          <w:rFonts w:ascii="Calibri" w:hAnsi="Calibri" w:cs="Calibri"/>
        </w:rPr>
      </w:pPr>
      <w:r w:rsidRPr="00867828">
        <w:rPr>
          <w:rFonts w:ascii="Calibri" w:hAnsi="Calibri" w:cs="Calibri"/>
        </w:rPr>
        <w:t xml:space="preserve">Little, T. </w:t>
      </w:r>
      <w:r w:rsidRPr="00867828">
        <w:rPr>
          <w:rFonts w:ascii="Calibri" w:hAnsi="Calibri" w:cs="Calibri"/>
          <w:i/>
          <w:iCs/>
        </w:rPr>
        <w:t>et al.</w:t>
      </w:r>
      <w:r w:rsidRPr="00867828">
        <w:rPr>
          <w:rFonts w:ascii="Calibri" w:hAnsi="Calibri" w:cs="Calibri"/>
        </w:rPr>
        <w:t xml:space="preserve"> (2025) “What does it take to provide effective peer </w:t>
      </w:r>
      <w:r w:rsidR="00D05F11" w:rsidRPr="00867828">
        <w:rPr>
          <w:rFonts w:ascii="Calibri" w:hAnsi="Calibri" w:cs="Calibri"/>
        </w:rPr>
        <w:t>feedback?</w:t>
      </w:r>
      <w:r w:rsidRPr="00867828">
        <w:rPr>
          <w:rFonts w:ascii="Calibri" w:hAnsi="Calibri" w:cs="Calibri"/>
        </w:rPr>
        <w:t xml:space="preserve">” </w:t>
      </w:r>
      <w:r w:rsidRPr="00867828">
        <w:rPr>
          <w:rFonts w:ascii="Calibri" w:hAnsi="Calibri" w:cs="Calibri"/>
          <w:i/>
          <w:iCs/>
        </w:rPr>
        <w:t>Assessment and evaluation in higher education</w:t>
      </w:r>
      <w:r w:rsidRPr="00867828">
        <w:rPr>
          <w:rFonts w:ascii="Calibri" w:hAnsi="Calibri" w:cs="Calibri"/>
        </w:rPr>
        <w:t xml:space="preserve">, 50(5), pp. 775–786. Available at: </w:t>
      </w:r>
      <w:hyperlink r:id="rId16" w:history="1">
        <w:r w:rsidRPr="00867828">
          <w:rPr>
            <w:rStyle w:val="Hyperlink"/>
            <w:rFonts w:ascii="Calibri" w:hAnsi="Calibri" w:cs="Calibri"/>
          </w:rPr>
          <w:t>https://doi.org/10.1080/02602938.2025.2475059</w:t>
        </w:r>
      </w:hyperlink>
      <w:r w:rsidRPr="00867828">
        <w:rPr>
          <w:rFonts w:ascii="Calibri" w:hAnsi="Calibri" w:cs="Calibri"/>
        </w:rPr>
        <w:t>.</w:t>
      </w:r>
    </w:p>
    <w:p w14:paraId="636777CD" w14:textId="77777777" w:rsidR="00193822" w:rsidRPr="00867828" w:rsidRDefault="00193822" w:rsidP="002C6154">
      <w:pPr>
        <w:rPr>
          <w:rFonts w:ascii="Calibri" w:hAnsi="Calibri" w:cs="Calibri"/>
        </w:rPr>
      </w:pPr>
    </w:p>
    <w:p w14:paraId="7F379992" w14:textId="07B23AD9" w:rsidR="00193822" w:rsidRPr="00867828" w:rsidRDefault="00193822" w:rsidP="00193822">
      <w:pPr>
        <w:rPr>
          <w:rFonts w:ascii="Calibri" w:hAnsi="Calibri" w:cs="Calibri"/>
        </w:rPr>
      </w:pPr>
      <w:r w:rsidRPr="00867828">
        <w:rPr>
          <w:rFonts w:ascii="Calibri" w:hAnsi="Calibri" w:cs="Calibri"/>
        </w:rPr>
        <w:t xml:space="preserve">McGarr, O. and Clifford, A.M. (2013) “Just enough to make you take it seriously: Exploring students attitudes towards peer assessment,” </w:t>
      </w:r>
      <w:r w:rsidRPr="00867828">
        <w:rPr>
          <w:rFonts w:ascii="Calibri" w:hAnsi="Calibri" w:cs="Calibri"/>
          <w:i/>
          <w:iCs/>
        </w:rPr>
        <w:t>Higher education</w:t>
      </w:r>
      <w:r w:rsidRPr="00867828">
        <w:rPr>
          <w:rFonts w:ascii="Calibri" w:hAnsi="Calibri" w:cs="Calibri"/>
        </w:rPr>
        <w:t xml:space="preserve">, 65(6), pp. 677–693. Available at: </w:t>
      </w:r>
      <w:hyperlink r:id="rId17" w:history="1">
        <w:r w:rsidRPr="00867828">
          <w:rPr>
            <w:rStyle w:val="Hyperlink"/>
            <w:rFonts w:ascii="Calibri" w:hAnsi="Calibri" w:cs="Calibri"/>
          </w:rPr>
          <w:t>https://doi.org/10.1007/s10734-012-9570-z</w:t>
        </w:r>
      </w:hyperlink>
      <w:r w:rsidRPr="00867828">
        <w:rPr>
          <w:rFonts w:ascii="Calibri" w:hAnsi="Calibri" w:cs="Calibri"/>
        </w:rPr>
        <w:t>.</w:t>
      </w:r>
    </w:p>
    <w:p w14:paraId="5914DBB7" w14:textId="77777777" w:rsidR="007A6AF5" w:rsidRPr="00867828" w:rsidRDefault="007A6AF5" w:rsidP="00193822">
      <w:pPr>
        <w:rPr>
          <w:rFonts w:ascii="Calibri" w:hAnsi="Calibri" w:cs="Calibri"/>
        </w:rPr>
      </w:pPr>
    </w:p>
    <w:p w14:paraId="2F0AFE04" w14:textId="35A51184" w:rsidR="007A6AF5" w:rsidRPr="00867828" w:rsidRDefault="007A6AF5" w:rsidP="00193822">
      <w:pPr>
        <w:rPr>
          <w:rFonts w:ascii="Calibri" w:hAnsi="Calibri" w:cs="Calibri"/>
        </w:rPr>
      </w:pPr>
      <w:r w:rsidRPr="00867828">
        <w:rPr>
          <w:rStyle w:val="normaltextrun"/>
          <w:rFonts w:ascii="Calibri" w:eastAsiaTheme="majorEastAsia" w:hAnsi="Calibri" w:cs="Calibri"/>
          <w:color w:val="000000"/>
          <w:shd w:val="clear" w:color="auto" w:fill="FFFFFF"/>
        </w:rPr>
        <w:t>Nicodemus, B., &amp; Swabey, L. (2015). </w:t>
      </w:r>
      <w:r w:rsidRPr="00867828">
        <w:rPr>
          <w:rStyle w:val="normaltextrun"/>
          <w:rFonts w:ascii="Calibri" w:eastAsiaTheme="majorEastAsia" w:hAnsi="Calibri" w:cs="Calibri"/>
          <w:i/>
          <w:iCs/>
          <w:color w:val="000000"/>
          <w:shd w:val="clear" w:color="auto" w:fill="FFFFFF"/>
        </w:rPr>
        <w:t>Action research</w:t>
      </w:r>
      <w:r w:rsidRPr="00867828">
        <w:rPr>
          <w:rStyle w:val="normaltextrun"/>
          <w:rFonts w:ascii="Calibri" w:eastAsiaTheme="majorEastAsia" w:hAnsi="Calibri" w:cs="Calibri"/>
          <w:color w:val="000000"/>
          <w:shd w:val="clear" w:color="auto" w:fill="FFFFFF"/>
        </w:rPr>
        <w:t>. In C. V. Angelelli and B. J. Baer (Eds.) Researching translation and interpreting. New York: Routledge.</w:t>
      </w:r>
      <w:r w:rsidRPr="00867828">
        <w:rPr>
          <w:rStyle w:val="eop"/>
          <w:rFonts w:ascii="Calibri" w:eastAsiaTheme="majorEastAsia" w:hAnsi="Calibri" w:cs="Calibri"/>
          <w:color w:val="000000"/>
          <w:shd w:val="clear" w:color="auto" w:fill="FFFFFF"/>
        </w:rPr>
        <w:t> </w:t>
      </w:r>
    </w:p>
    <w:p w14:paraId="3B91A3B1" w14:textId="77777777" w:rsidR="002C6154" w:rsidRPr="00867828" w:rsidRDefault="002C6154" w:rsidP="002C6154">
      <w:pPr>
        <w:rPr>
          <w:rStyle w:val="eop"/>
          <w:rFonts w:ascii="Calibri" w:hAnsi="Calibri" w:cs="Calibri"/>
        </w:rPr>
      </w:pPr>
    </w:p>
    <w:p w14:paraId="64DD6C78" w14:textId="2666E97B" w:rsidR="0058165E" w:rsidRPr="00867828" w:rsidRDefault="0058165E" w:rsidP="0058165E">
      <w:pPr>
        <w:rPr>
          <w:rFonts w:ascii="Calibri" w:hAnsi="Calibri" w:cs="Calibri"/>
        </w:rPr>
      </w:pPr>
      <w:r w:rsidRPr="00867828">
        <w:rPr>
          <w:rFonts w:ascii="Calibri" w:hAnsi="Calibri" w:cs="Calibri"/>
        </w:rPr>
        <w:t xml:space="preserve">Nicol, D., Thomson, A. and Breslin, C. (2014) “Rethinking feedback practices in higher education: a peer review perspective,” </w:t>
      </w:r>
      <w:r w:rsidRPr="00867828">
        <w:rPr>
          <w:rFonts w:ascii="Calibri" w:hAnsi="Calibri" w:cs="Calibri"/>
          <w:i/>
          <w:iCs/>
        </w:rPr>
        <w:t>Assessment and evaluation in higher education</w:t>
      </w:r>
      <w:r w:rsidRPr="00867828">
        <w:rPr>
          <w:rFonts w:ascii="Calibri" w:hAnsi="Calibri" w:cs="Calibri"/>
        </w:rPr>
        <w:t xml:space="preserve">, 39(1), pp. 102–122. Available at: </w:t>
      </w:r>
      <w:hyperlink r:id="rId18" w:history="1">
        <w:r w:rsidRPr="00867828">
          <w:rPr>
            <w:rStyle w:val="Hyperlink"/>
            <w:rFonts w:ascii="Calibri" w:hAnsi="Calibri" w:cs="Calibri"/>
          </w:rPr>
          <w:t>https://doi.org/10.1080/02602938.2013.795518</w:t>
        </w:r>
      </w:hyperlink>
      <w:r w:rsidRPr="00867828">
        <w:rPr>
          <w:rFonts w:ascii="Calibri" w:hAnsi="Calibri" w:cs="Calibri"/>
        </w:rPr>
        <w:t>.</w:t>
      </w:r>
    </w:p>
    <w:p w14:paraId="6C2ACA5C" w14:textId="77777777" w:rsidR="007A6AF5" w:rsidRPr="00867828" w:rsidRDefault="007A6AF5" w:rsidP="0058165E">
      <w:pPr>
        <w:rPr>
          <w:rFonts w:ascii="Calibri" w:hAnsi="Calibri" w:cs="Calibri"/>
        </w:rPr>
      </w:pPr>
    </w:p>
    <w:p w14:paraId="280EAF45" w14:textId="02305BDA" w:rsidR="007A6AF5" w:rsidRPr="00867828" w:rsidRDefault="007A6AF5" w:rsidP="0058165E">
      <w:pPr>
        <w:rPr>
          <w:rFonts w:ascii="Calibri" w:hAnsi="Calibri" w:cs="Calibri"/>
        </w:rPr>
      </w:pPr>
      <w:r w:rsidRPr="00867828">
        <w:rPr>
          <w:rStyle w:val="normaltextrun"/>
          <w:rFonts w:ascii="Calibri" w:eastAsiaTheme="majorEastAsia" w:hAnsi="Calibri" w:cs="Calibri"/>
          <w:color w:val="000000"/>
          <w:shd w:val="clear" w:color="auto" w:fill="FFFFFF"/>
        </w:rPr>
        <w:t>Nowell, L.S. et al. (2017) 'Thematic Analysis: Striving to Meet the Trustworthiness Criteria', International journal of qualitative methods, 16(1), pp. 1–13. Available at: https://doi.org/10.1177/1609406917733847.</w:t>
      </w:r>
      <w:r w:rsidRPr="00867828">
        <w:rPr>
          <w:rStyle w:val="eop"/>
          <w:rFonts w:ascii="Calibri" w:eastAsiaTheme="majorEastAsia" w:hAnsi="Calibri" w:cs="Calibri"/>
          <w:color w:val="000000"/>
          <w:shd w:val="clear" w:color="auto" w:fill="FFFFFF"/>
        </w:rPr>
        <w:t> </w:t>
      </w:r>
    </w:p>
    <w:p w14:paraId="5B11C08E" w14:textId="77777777" w:rsidR="00C61B0F" w:rsidRPr="00867828" w:rsidRDefault="00C61B0F" w:rsidP="0058165E">
      <w:pPr>
        <w:rPr>
          <w:rFonts w:ascii="Calibri" w:hAnsi="Calibri" w:cs="Calibri"/>
        </w:rPr>
      </w:pPr>
    </w:p>
    <w:p w14:paraId="5A0ADDBC" w14:textId="46066FAE" w:rsidR="00C61B0F" w:rsidRPr="00867828" w:rsidRDefault="00C61B0F" w:rsidP="00C61B0F">
      <w:pPr>
        <w:rPr>
          <w:rFonts w:ascii="Calibri" w:hAnsi="Calibri" w:cs="Calibri"/>
        </w:rPr>
      </w:pPr>
      <w:r w:rsidRPr="00867828">
        <w:rPr>
          <w:rFonts w:ascii="Calibri" w:hAnsi="Calibri" w:cs="Calibri"/>
        </w:rPr>
        <w:t xml:space="preserve">Panadero, E. and Alqassab, M. (2019) “An empirical review of anonymity effects in peer assessment, peer feedback, peer review, peer evaluation and peer grading,” </w:t>
      </w:r>
      <w:r w:rsidRPr="00867828">
        <w:rPr>
          <w:rFonts w:ascii="Calibri" w:hAnsi="Calibri" w:cs="Calibri"/>
          <w:i/>
          <w:iCs/>
        </w:rPr>
        <w:t>Assessment and evaluation in higher education</w:t>
      </w:r>
      <w:r w:rsidRPr="00867828">
        <w:rPr>
          <w:rFonts w:ascii="Calibri" w:hAnsi="Calibri" w:cs="Calibri"/>
        </w:rPr>
        <w:t xml:space="preserve">, 44(8), pp. 1253–1278. Available at: </w:t>
      </w:r>
      <w:hyperlink r:id="rId19" w:history="1">
        <w:r w:rsidRPr="00867828">
          <w:rPr>
            <w:rStyle w:val="Hyperlink"/>
            <w:rFonts w:ascii="Calibri" w:hAnsi="Calibri" w:cs="Calibri"/>
          </w:rPr>
          <w:t>https://doi.org/10.1080/02602938.2019.1600186</w:t>
        </w:r>
      </w:hyperlink>
      <w:r w:rsidRPr="00867828">
        <w:rPr>
          <w:rFonts w:ascii="Calibri" w:hAnsi="Calibri" w:cs="Calibri"/>
        </w:rPr>
        <w:t>.</w:t>
      </w:r>
    </w:p>
    <w:p w14:paraId="455C6EA7" w14:textId="77777777" w:rsidR="001C1216" w:rsidRPr="00867828" w:rsidRDefault="001C1216" w:rsidP="001C1216">
      <w:pPr>
        <w:rPr>
          <w:rFonts w:ascii="Calibri" w:hAnsi="Calibri" w:cs="Calibri"/>
        </w:rPr>
      </w:pPr>
    </w:p>
    <w:p w14:paraId="1FD3520C" w14:textId="12A9FC12" w:rsidR="001C1216" w:rsidRPr="00867828" w:rsidRDefault="001C1216" w:rsidP="001C1216">
      <w:pPr>
        <w:rPr>
          <w:rFonts w:ascii="Calibri" w:hAnsi="Calibri" w:cs="Calibri"/>
        </w:rPr>
      </w:pPr>
      <w:r w:rsidRPr="00867828">
        <w:rPr>
          <w:rFonts w:ascii="Calibri" w:hAnsi="Calibri" w:cs="Calibri"/>
        </w:rPr>
        <w:t xml:space="preserve">Pellegrini, M. (2020) “The effectiveness of peer assessment on students’ performance in higher education. Evidence of an overview of meta-analyses,” Form@re, 20(1), p. 128. Available at: </w:t>
      </w:r>
      <w:hyperlink r:id="rId20" w:history="1">
        <w:r w:rsidRPr="00867828">
          <w:rPr>
            <w:rStyle w:val="Hyperlink"/>
            <w:rFonts w:ascii="Calibri" w:hAnsi="Calibri" w:cs="Calibri"/>
          </w:rPr>
          <w:t>https://doi.org/10.13128/form-8339</w:t>
        </w:r>
      </w:hyperlink>
      <w:r w:rsidRPr="00867828">
        <w:rPr>
          <w:rFonts w:ascii="Calibri" w:hAnsi="Calibri" w:cs="Calibri"/>
        </w:rPr>
        <w:t>.</w:t>
      </w:r>
    </w:p>
    <w:p w14:paraId="37F85FA0" w14:textId="77777777" w:rsidR="000C2EFE" w:rsidRPr="00867828" w:rsidRDefault="000C2EFE" w:rsidP="0058165E">
      <w:pPr>
        <w:rPr>
          <w:rFonts w:ascii="Calibri" w:hAnsi="Calibri" w:cs="Calibri"/>
        </w:rPr>
      </w:pPr>
    </w:p>
    <w:p w14:paraId="6F01CFE6" w14:textId="6358D041" w:rsidR="000C2EFE" w:rsidRPr="00867828" w:rsidRDefault="000C2EFE" w:rsidP="000C2EFE">
      <w:pPr>
        <w:rPr>
          <w:rFonts w:ascii="Calibri" w:hAnsi="Calibri" w:cs="Calibri"/>
        </w:rPr>
      </w:pPr>
      <w:r w:rsidRPr="00867828">
        <w:rPr>
          <w:rFonts w:ascii="Calibri" w:hAnsi="Calibri" w:cs="Calibri"/>
        </w:rPr>
        <w:lastRenderedPageBreak/>
        <w:t xml:space="preserve">Reinholz, D. (2016) “The assessment cycle: a model for learning through peer assessment,” </w:t>
      </w:r>
      <w:r w:rsidRPr="00867828">
        <w:rPr>
          <w:rFonts w:ascii="Calibri" w:hAnsi="Calibri" w:cs="Calibri"/>
          <w:i/>
          <w:iCs/>
        </w:rPr>
        <w:t>Assessment and evaluation in higher education</w:t>
      </w:r>
      <w:r w:rsidRPr="00867828">
        <w:rPr>
          <w:rFonts w:ascii="Calibri" w:hAnsi="Calibri" w:cs="Calibri"/>
        </w:rPr>
        <w:t xml:space="preserve">, 41(2), pp. 301–315. Available at: </w:t>
      </w:r>
      <w:hyperlink r:id="rId21" w:history="1">
        <w:r w:rsidRPr="00867828">
          <w:rPr>
            <w:rStyle w:val="Hyperlink"/>
            <w:rFonts w:ascii="Calibri" w:hAnsi="Calibri" w:cs="Calibri"/>
          </w:rPr>
          <w:t>https://doi.org/10.1080/02602938.2015.1008982</w:t>
        </w:r>
      </w:hyperlink>
      <w:r w:rsidRPr="00867828">
        <w:rPr>
          <w:rFonts w:ascii="Calibri" w:hAnsi="Calibri" w:cs="Calibri"/>
        </w:rPr>
        <w:t>.</w:t>
      </w:r>
    </w:p>
    <w:p w14:paraId="5E322D51" w14:textId="77777777" w:rsidR="007A6AF5" w:rsidRPr="00867828" w:rsidRDefault="007A6AF5" w:rsidP="000C2EFE">
      <w:pPr>
        <w:rPr>
          <w:rFonts w:ascii="Calibri" w:hAnsi="Calibri" w:cs="Calibri"/>
        </w:rPr>
      </w:pPr>
    </w:p>
    <w:p w14:paraId="22A9EC82" w14:textId="4036AF9C" w:rsidR="1D29E44A" w:rsidRDefault="1D29E44A" w:rsidP="1D29E44A">
      <w:pPr>
        <w:rPr>
          <w:rFonts w:ascii="Calibri" w:hAnsi="Calibri" w:cs="Calibri"/>
        </w:rPr>
      </w:pPr>
    </w:p>
    <w:p w14:paraId="2DD103FF" w14:textId="3639FC33" w:rsidR="1D29E44A" w:rsidRDefault="1D29E44A" w:rsidP="1D29E44A">
      <w:pPr>
        <w:rPr>
          <w:rFonts w:ascii="Calibri" w:hAnsi="Calibri" w:cs="Calibri"/>
        </w:rPr>
      </w:pPr>
    </w:p>
    <w:p w14:paraId="3BDE85CF" w14:textId="535E01E2" w:rsidR="007A6AF5" w:rsidRPr="00867828" w:rsidRDefault="007A6AF5" w:rsidP="000C2EFE">
      <w:pPr>
        <w:rPr>
          <w:rFonts w:ascii="Calibri" w:hAnsi="Calibri" w:cs="Calibri"/>
        </w:rPr>
      </w:pPr>
      <w:r w:rsidRPr="00867828">
        <w:rPr>
          <w:rStyle w:val="normaltextrun"/>
          <w:rFonts w:ascii="Calibri" w:eastAsiaTheme="majorEastAsia" w:hAnsi="Calibri" w:cs="Calibri"/>
          <w:color w:val="000000"/>
          <w:shd w:val="clear" w:color="auto" w:fill="FFFFFF"/>
        </w:rPr>
        <w:t>Roberts, K., Dowell, A. and Nie, J.-B. (2019) ‘Attempting rigour and replicability in thematic analysis of qualitative research data; a case study of codebook development’, BMC medical research methodology, 19(1), pp. 66–66. Available at: </w:t>
      </w:r>
      <w:hyperlink r:id="rId22" w:tgtFrame="_blank" w:history="1">
        <w:r w:rsidRPr="00867828">
          <w:rPr>
            <w:rStyle w:val="normaltextrun"/>
            <w:rFonts w:ascii="Calibri" w:eastAsiaTheme="majorEastAsia" w:hAnsi="Calibri" w:cs="Calibri"/>
            <w:color w:val="467886"/>
            <w:u w:val="single"/>
            <w:shd w:val="clear" w:color="auto" w:fill="FFFFFF"/>
          </w:rPr>
          <w:t>https://doi.org/10.1186/s12874-019-0707-y</w:t>
        </w:r>
      </w:hyperlink>
      <w:r w:rsidRPr="00867828">
        <w:rPr>
          <w:rStyle w:val="normaltextrun"/>
          <w:rFonts w:ascii="Calibri" w:eastAsiaTheme="majorEastAsia" w:hAnsi="Calibri" w:cs="Calibri"/>
          <w:color w:val="000000"/>
          <w:shd w:val="clear" w:color="auto" w:fill="FFFFFF"/>
        </w:rPr>
        <w:t>.</w:t>
      </w:r>
      <w:r w:rsidRPr="00867828">
        <w:rPr>
          <w:rStyle w:val="eop"/>
          <w:rFonts w:ascii="Calibri" w:eastAsiaTheme="majorEastAsia" w:hAnsi="Calibri" w:cs="Calibri"/>
          <w:color w:val="000000"/>
          <w:shd w:val="clear" w:color="auto" w:fill="FFFFFF"/>
        </w:rPr>
        <w:t> </w:t>
      </w:r>
    </w:p>
    <w:p w14:paraId="1B7D390B" w14:textId="6D15FB66" w:rsidR="0058165E" w:rsidRPr="00867828" w:rsidRDefault="00CF1319" w:rsidP="0058165E">
      <w:pPr>
        <w:rPr>
          <w:rStyle w:val="eop"/>
          <w:rFonts w:ascii="Calibri" w:hAnsi="Calibri" w:cs="Calibri"/>
        </w:rPr>
      </w:pPr>
      <w:r w:rsidRPr="00867828">
        <w:rPr>
          <w:rFonts w:ascii="Calibri" w:hAnsi="Calibri" w:cs="Calibri"/>
        </w:rPr>
        <w:t xml:space="preserve"> </w:t>
      </w:r>
    </w:p>
    <w:p w14:paraId="7A300FAB" w14:textId="77777777" w:rsidR="00E67F5C" w:rsidRPr="00867828" w:rsidRDefault="00E67F5C" w:rsidP="00E67F5C">
      <w:pPr>
        <w:rPr>
          <w:rFonts w:ascii="Calibri" w:hAnsi="Calibri" w:cs="Calibri"/>
        </w:rPr>
      </w:pPr>
      <w:r w:rsidRPr="00867828">
        <w:rPr>
          <w:rFonts w:ascii="Calibri" w:hAnsi="Calibri" w:cs="Calibri"/>
        </w:rPr>
        <w:t xml:space="preserve">Smith, E. (2008) “PITFALLS AND PROMISES: THE USE OF SECONDARY DATA ANALYSIS IN EDUCATIONAL RESEARCH,” </w:t>
      </w:r>
      <w:r w:rsidRPr="00867828">
        <w:rPr>
          <w:rFonts w:ascii="Calibri" w:hAnsi="Calibri" w:cs="Calibri"/>
          <w:i/>
          <w:iCs/>
        </w:rPr>
        <w:t>British journal of educational studies</w:t>
      </w:r>
      <w:r w:rsidRPr="00867828">
        <w:rPr>
          <w:rFonts w:ascii="Calibri" w:hAnsi="Calibri" w:cs="Calibri"/>
        </w:rPr>
        <w:t>, 56(3), pp. 323–339. Available at: https://doi.org/10.1111/j.1467-8527.2008.00405.x.</w:t>
      </w:r>
    </w:p>
    <w:p w14:paraId="59B99DEE" w14:textId="77777777" w:rsidR="00E67F5C" w:rsidRPr="00867828" w:rsidRDefault="00E67F5C" w:rsidP="002447C4">
      <w:pPr>
        <w:rPr>
          <w:rFonts w:ascii="Calibri" w:hAnsi="Calibri" w:cs="Calibri"/>
        </w:rPr>
      </w:pPr>
    </w:p>
    <w:p w14:paraId="06614E9F" w14:textId="1D798395" w:rsidR="002447C4" w:rsidRPr="00867828" w:rsidRDefault="002447C4" w:rsidP="002447C4">
      <w:pPr>
        <w:rPr>
          <w:rFonts w:ascii="Calibri" w:hAnsi="Calibri" w:cs="Calibri"/>
        </w:rPr>
      </w:pPr>
      <w:r w:rsidRPr="00867828">
        <w:rPr>
          <w:rFonts w:ascii="Calibri" w:hAnsi="Calibri" w:cs="Calibri"/>
        </w:rPr>
        <w:t xml:space="preserve">Tai, J. et al. (2018) “Developing evaluative judgement: Enabling students to make decisions about the quality of work,” </w:t>
      </w:r>
      <w:r w:rsidRPr="00867828">
        <w:rPr>
          <w:rFonts w:ascii="Calibri" w:hAnsi="Calibri" w:cs="Calibri"/>
          <w:i/>
          <w:iCs/>
        </w:rPr>
        <w:t>Higher education</w:t>
      </w:r>
      <w:r w:rsidRPr="00867828">
        <w:rPr>
          <w:rFonts w:ascii="Calibri" w:hAnsi="Calibri" w:cs="Calibri"/>
        </w:rPr>
        <w:t xml:space="preserve">, 76(3), pp. 467–481. Available at: </w:t>
      </w:r>
      <w:hyperlink r:id="rId23" w:history="1">
        <w:r w:rsidR="002C6154" w:rsidRPr="00867828">
          <w:rPr>
            <w:rStyle w:val="Hyperlink"/>
            <w:rFonts w:ascii="Calibri" w:hAnsi="Calibri" w:cs="Calibri"/>
          </w:rPr>
          <w:t>https://doi.org/10.1007/s10734-017-0220-3</w:t>
        </w:r>
      </w:hyperlink>
      <w:r w:rsidRPr="00867828">
        <w:rPr>
          <w:rFonts w:ascii="Calibri" w:hAnsi="Calibri" w:cs="Calibri"/>
        </w:rPr>
        <w:t>.</w:t>
      </w:r>
    </w:p>
    <w:p w14:paraId="7F67D671" w14:textId="77777777" w:rsidR="00E94DDE" w:rsidRPr="00867828" w:rsidRDefault="00E94DDE" w:rsidP="002447C4">
      <w:pPr>
        <w:rPr>
          <w:rFonts w:ascii="Calibri" w:hAnsi="Calibri" w:cs="Calibri"/>
        </w:rPr>
      </w:pPr>
    </w:p>
    <w:p w14:paraId="08EC2B6D" w14:textId="3E15BA1D" w:rsidR="00E94DDE" w:rsidRPr="00867828" w:rsidRDefault="00E94DDE" w:rsidP="00E94DDE">
      <w:pPr>
        <w:rPr>
          <w:rFonts w:ascii="Calibri" w:hAnsi="Calibri" w:cs="Calibri"/>
        </w:rPr>
      </w:pPr>
      <w:r w:rsidRPr="00867828">
        <w:rPr>
          <w:rFonts w:ascii="Calibri" w:hAnsi="Calibri" w:cs="Calibri"/>
        </w:rPr>
        <w:t xml:space="preserve">To, J. and Panadero, E. (2019) “Peer assessment effects on the self-assessment process of first-year undergraduates,” </w:t>
      </w:r>
      <w:r w:rsidRPr="00867828">
        <w:rPr>
          <w:rFonts w:ascii="Calibri" w:hAnsi="Calibri" w:cs="Calibri"/>
          <w:i/>
          <w:iCs/>
        </w:rPr>
        <w:t>Assessment and evaluation in higher education</w:t>
      </w:r>
      <w:r w:rsidRPr="00867828">
        <w:rPr>
          <w:rFonts w:ascii="Calibri" w:hAnsi="Calibri" w:cs="Calibri"/>
        </w:rPr>
        <w:t xml:space="preserve">, 44(6), pp. 920–932. Available at: </w:t>
      </w:r>
      <w:hyperlink r:id="rId24" w:history="1">
        <w:r w:rsidRPr="00867828">
          <w:rPr>
            <w:rStyle w:val="Hyperlink"/>
            <w:rFonts w:ascii="Calibri" w:hAnsi="Calibri" w:cs="Calibri"/>
          </w:rPr>
          <w:t>https://doi.org/10.1080/02602938.2018.1548559</w:t>
        </w:r>
      </w:hyperlink>
      <w:r w:rsidRPr="00867828">
        <w:rPr>
          <w:rFonts w:ascii="Calibri" w:hAnsi="Calibri" w:cs="Calibri"/>
        </w:rPr>
        <w:t>.</w:t>
      </w:r>
    </w:p>
    <w:p w14:paraId="5B664A4D" w14:textId="77777777" w:rsidR="002C6154" w:rsidRPr="00867828" w:rsidRDefault="002C6154" w:rsidP="002447C4">
      <w:pPr>
        <w:pStyle w:val="paragraph"/>
        <w:spacing w:before="0" w:beforeAutospacing="0" w:after="0" w:afterAutospacing="0"/>
        <w:textAlignment w:val="baseline"/>
        <w:rPr>
          <w:rStyle w:val="normaltextrun"/>
          <w:rFonts w:ascii="Calibri" w:eastAsiaTheme="majorEastAsia" w:hAnsi="Calibri" w:cs="Calibri"/>
        </w:rPr>
      </w:pPr>
    </w:p>
    <w:p w14:paraId="664D7536" w14:textId="3F272293" w:rsidR="002447C4" w:rsidRPr="00867828" w:rsidRDefault="002447C4" w:rsidP="002447C4">
      <w:pPr>
        <w:pStyle w:val="paragraph"/>
        <w:spacing w:before="0" w:beforeAutospacing="0" w:after="0" w:afterAutospacing="0"/>
        <w:textAlignment w:val="baseline"/>
        <w:rPr>
          <w:rStyle w:val="eop"/>
          <w:rFonts w:ascii="Calibri" w:eastAsiaTheme="majorEastAsia" w:hAnsi="Calibri" w:cs="Calibri"/>
        </w:rPr>
      </w:pPr>
      <w:r w:rsidRPr="00867828">
        <w:rPr>
          <w:rStyle w:val="normaltextrun"/>
          <w:rFonts w:ascii="Calibri" w:eastAsiaTheme="majorEastAsia" w:hAnsi="Calibri" w:cs="Calibri"/>
        </w:rPr>
        <w:t>Topping, K.J. (2009) 'Peer Assessment', </w:t>
      </w:r>
      <w:r w:rsidRPr="00867828">
        <w:rPr>
          <w:rStyle w:val="normaltextrun"/>
          <w:rFonts w:ascii="Calibri" w:eastAsiaTheme="majorEastAsia" w:hAnsi="Calibri" w:cs="Calibri"/>
          <w:i/>
          <w:iCs/>
        </w:rPr>
        <w:t>Theory into practice</w:t>
      </w:r>
      <w:r w:rsidRPr="00867828">
        <w:rPr>
          <w:rStyle w:val="normaltextrun"/>
          <w:rFonts w:ascii="Calibri" w:eastAsiaTheme="majorEastAsia" w:hAnsi="Calibri" w:cs="Calibri"/>
        </w:rPr>
        <w:t>, 48(1), pp. 20–27. Available at: </w:t>
      </w:r>
      <w:hyperlink r:id="rId25" w:tgtFrame="_blank" w:history="1">
        <w:r w:rsidRPr="00867828">
          <w:rPr>
            <w:rStyle w:val="normaltextrun"/>
            <w:rFonts w:ascii="Calibri" w:eastAsiaTheme="majorEastAsia" w:hAnsi="Calibri" w:cs="Calibri"/>
            <w:color w:val="467886"/>
            <w:u w:val="single"/>
          </w:rPr>
          <w:t>https://doi.org/10.1080/00405840802577569</w:t>
        </w:r>
      </w:hyperlink>
      <w:r w:rsidRPr="00867828">
        <w:rPr>
          <w:rStyle w:val="normaltextrun"/>
          <w:rFonts w:ascii="Calibri" w:eastAsiaTheme="majorEastAsia" w:hAnsi="Calibri" w:cs="Calibri"/>
        </w:rPr>
        <w:t>.</w:t>
      </w:r>
      <w:r w:rsidRPr="00867828">
        <w:rPr>
          <w:rStyle w:val="eop"/>
          <w:rFonts w:ascii="Calibri" w:eastAsiaTheme="majorEastAsia" w:hAnsi="Calibri" w:cs="Calibri"/>
        </w:rPr>
        <w:t> </w:t>
      </w:r>
    </w:p>
    <w:p w14:paraId="675E1015" w14:textId="77777777" w:rsidR="002447C4" w:rsidRPr="00867828" w:rsidRDefault="002447C4" w:rsidP="002447C4">
      <w:pPr>
        <w:pStyle w:val="paragraph"/>
        <w:spacing w:before="0" w:beforeAutospacing="0" w:after="0" w:afterAutospacing="0"/>
        <w:textAlignment w:val="baseline"/>
        <w:rPr>
          <w:rStyle w:val="eop"/>
          <w:rFonts w:ascii="Calibri" w:eastAsiaTheme="majorEastAsia" w:hAnsi="Calibri" w:cs="Calibri"/>
        </w:rPr>
      </w:pPr>
    </w:p>
    <w:p w14:paraId="7F4AC395" w14:textId="16846BB7" w:rsidR="002447C4" w:rsidRPr="00867828" w:rsidRDefault="002447C4" w:rsidP="002447C4">
      <w:pPr>
        <w:pStyle w:val="paragraph"/>
        <w:spacing w:before="0" w:beforeAutospacing="0" w:after="0" w:afterAutospacing="0"/>
        <w:textAlignment w:val="baseline"/>
        <w:rPr>
          <w:rStyle w:val="eop"/>
          <w:rFonts w:ascii="Calibri" w:eastAsiaTheme="majorEastAsia" w:hAnsi="Calibri" w:cs="Calibri"/>
          <w:color w:val="000000"/>
          <w:shd w:val="clear" w:color="auto" w:fill="FFFFFF"/>
        </w:rPr>
      </w:pPr>
      <w:r w:rsidRPr="00867828">
        <w:rPr>
          <w:rStyle w:val="normaltextrun"/>
          <w:rFonts w:ascii="Calibri" w:eastAsiaTheme="majorEastAsia" w:hAnsi="Calibri" w:cs="Calibri"/>
          <w:color w:val="000000"/>
          <w:shd w:val="clear" w:color="auto" w:fill="FFFFFF"/>
        </w:rPr>
        <w:t>Wiliam, D. (2018). </w:t>
      </w:r>
      <w:r w:rsidRPr="00867828">
        <w:rPr>
          <w:rStyle w:val="normaltextrun"/>
          <w:rFonts w:ascii="Calibri" w:eastAsiaTheme="majorEastAsia" w:hAnsi="Calibri" w:cs="Calibri"/>
          <w:i/>
          <w:iCs/>
          <w:color w:val="000000"/>
          <w:shd w:val="clear" w:color="auto" w:fill="FFFFFF"/>
        </w:rPr>
        <w:t>Embedded formative assessment</w:t>
      </w:r>
      <w:r w:rsidRPr="00867828">
        <w:rPr>
          <w:rStyle w:val="normaltextrun"/>
          <w:rFonts w:ascii="Calibri" w:eastAsiaTheme="majorEastAsia" w:hAnsi="Calibri" w:cs="Calibri"/>
          <w:color w:val="000000"/>
          <w:shd w:val="clear" w:color="auto" w:fill="FFFFFF"/>
        </w:rPr>
        <w:t> (Second edition.). Solution Tree Press. </w:t>
      </w:r>
      <w:r w:rsidRPr="00867828">
        <w:rPr>
          <w:rStyle w:val="eop"/>
          <w:rFonts w:ascii="Calibri" w:eastAsiaTheme="majorEastAsia" w:hAnsi="Calibri" w:cs="Calibri"/>
          <w:color w:val="000000"/>
          <w:shd w:val="clear" w:color="auto" w:fill="FFFFFF"/>
        </w:rPr>
        <w:t> </w:t>
      </w:r>
    </w:p>
    <w:p w14:paraId="67256AD5" w14:textId="77777777" w:rsidR="00193822" w:rsidRPr="00867828" w:rsidRDefault="00193822" w:rsidP="002447C4">
      <w:pPr>
        <w:pStyle w:val="paragraph"/>
        <w:spacing w:before="0" w:beforeAutospacing="0" w:after="0" w:afterAutospacing="0"/>
        <w:textAlignment w:val="baseline"/>
        <w:rPr>
          <w:rStyle w:val="eop"/>
          <w:rFonts w:ascii="Calibri" w:eastAsiaTheme="majorEastAsia" w:hAnsi="Calibri" w:cs="Calibri"/>
          <w:color w:val="000000"/>
          <w:shd w:val="clear" w:color="auto" w:fill="FFFFFF"/>
        </w:rPr>
      </w:pPr>
    </w:p>
    <w:p w14:paraId="303EDC52" w14:textId="33499466" w:rsidR="00193822" w:rsidRDefault="00193822" w:rsidP="00193822">
      <w:pPr>
        <w:rPr>
          <w:rFonts w:ascii="Calibri" w:hAnsi="Calibri" w:cs="Calibri"/>
        </w:rPr>
      </w:pPr>
      <w:r w:rsidRPr="00867828">
        <w:rPr>
          <w:rFonts w:ascii="Calibri" w:hAnsi="Calibri" w:cs="Calibri"/>
        </w:rPr>
        <w:t xml:space="preserve">Zhan, Y. (2024) “Are they ready? An investigation of university students’ difficulties in peer assessment from dual perspectives,” </w:t>
      </w:r>
      <w:r w:rsidRPr="00867828">
        <w:rPr>
          <w:rFonts w:ascii="Calibri" w:hAnsi="Calibri" w:cs="Calibri"/>
          <w:i/>
          <w:iCs/>
        </w:rPr>
        <w:t>Teaching in higher education</w:t>
      </w:r>
      <w:r w:rsidRPr="00867828">
        <w:rPr>
          <w:rFonts w:ascii="Calibri" w:hAnsi="Calibri" w:cs="Calibri"/>
        </w:rPr>
        <w:t xml:space="preserve">, 29(4), pp. 823–840. Available at: </w:t>
      </w:r>
      <w:hyperlink r:id="rId26" w:history="1">
        <w:r w:rsidRPr="00867828">
          <w:rPr>
            <w:rStyle w:val="Hyperlink"/>
            <w:rFonts w:ascii="Calibri" w:hAnsi="Calibri" w:cs="Calibri"/>
          </w:rPr>
          <w:t>https://doi.org/10.1080/13562517.2021.2021393</w:t>
        </w:r>
      </w:hyperlink>
      <w:r>
        <w:rPr>
          <w:rFonts w:ascii="Calibri" w:hAnsi="Calibri" w:cs="Calibri"/>
        </w:rPr>
        <w:t>.</w:t>
      </w:r>
    </w:p>
    <w:p w14:paraId="5318206F" w14:textId="77777777" w:rsidR="00193822" w:rsidRPr="00193822" w:rsidRDefault="00193822" w:rsidP="00193822">
      <w:pPr>
        <w:rPr>
          <w:rFonts w:ascii="Calibri" w:hAnsi="Calibri" w:cs="Calibri"/>
        </w:rPr>
      </w:pPr>
    </w:p>
    <w:p w14:paraId="60114AD0" w14:textId="77777777" w:rsidR="00193822" w:rsidRPr="002447C4" w:rsidRDefault="00193822" w:rsidP="002447C4">
      <w:pPr>
        <w:pStyle w:val="paragraph"/>
        <w:spacing w:before="0" w:beforeAutospacing="0" w:after="0" w:afterAutospacing="0"/>
        <w:textAlignment w:val="baseline"/>
        <w:rPr>
          <w:rFonts w:ascii="Calibri" w:hAnsi="Calibri" w:cs="Calibri"/>
          <w:b/>
          <w:bCs/>
        </w:rPr>
      </w:pPr>
    </w:p>
    <w:p w14:paraId="449675AE" w14:textId="77777777" w:rsidR="002447C4" w:rsidRDefault="002447C4" w:rsidP="002447C4">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rPr>
        <w:t> </w:t>
      </w:r>
    </w:p>
    <w:p w14:paraId="02FA7671" w14:textId="0FEBF511" w:rsidR="2F5C32DE" w:rsidRDefault="2F5C32DE" w:rsidP="2F5C32DE">
      <w:pPr>
        <w:rPr>
          <w:rFonts w:ascii="Arial" w:eastAsia="Arial" w:hAnsi="Arial" w:cs="Arial"/>
          <w:color w:val="000000" w:themeColor="text1"/>
        </w:rPr>
      </w:pPr>
    </w:p>
    <w:p w14:paraId="5A9ECCCF" w14:textId="4345CF9C" w:rsidR="2F5C32DE" w:rsidRDefault="2F5C32DE" w:rsidP="2F5C32DE">
      <w:pPr>
        <w:rPr>
          <w:rFonts w:ascii="Arial" w:eastAsia="Arial" w:hAnsi="Arial" w:cs="Arial"/>
          <w:color w:val="000000" w:themeColor="text1"/>
        </w:rPr>
      </w:pPr>
    </w:p>
    <w:p w14:paraId="39D0DCCE" w14:textId="77777777" w:rsidR="00077FEE" w:rsidRPr="00077FEE" w:rsidRDefault="00077FEE" w:rsidP="00B04A6B">
      <w:pPr>
        <w:pStyle w:val="Heading2"/>
        <w:rPr>
          <w:rFonts w:asciiTheme="minorBidi" w:hAnsiTheme="minorBidi"/>
          <w:sz w:val="24"/>
          <w:szCs w:val="24"/>
        </w:rPr>
      </w:pPr>
    </w:p>
    <w:p w14:paraId="48858634" w14:textId="77777777" w:rsidR="00077FEE" w:rsidRPr="00077FEE" w:rsidRDefault="00077FEE" w:rsidP="00077FEE">
      <w:pPr>
        <w:rPr>
          <w:rFonts w:asciiTheme="minorBidi" w:hAnsiTheme="minorBidi"/>
          <w:b/>
          <w:bCs/>
          <w:u w:val="single"/>
        </w:rPr>
      </w:pPr>
    </w:p>
    <w:p w14:paraId="44CAD900" w14:textId="77777777" w:rsidR="00077FEE" w:rsidRPr="00077FEE" w:rsidRDefault="00077FEE" w:rsidP="004B33A7">
      <w:pPr>
        <w:rPr>
          <w:rFonts w:asciiTheme="minorBidi" w:hAnsiTheme="minorBidi"/>
          <w:b/>
          <w:bCs/>
          <w:u w:val="single"/>
        </w:rPr>
      </w:pPr>
    </w:p>
    <w:sectPr w:rsidR="00077FEE" w:rsidRPr="00077F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FA07FC"/>
    <w:multiLevelType w:val="hybridMultilevel"/>
    <w:tmpl w:val="ECE24B9E"/>
    <w:lvl w:ilvl="0" w:tplc="4056B118">
      <w:start w:val="1"/>
      <w:numFmt w:val="bullet"/>
      <w:lvlText w:val="•"/>
      <w:lvlJc w:val="left"/>
      <w:pPr>
        <w:tabs>
          <w:tab w:val="num" w:pos="720"/>
        </w:tabs>
        <w:ind w:left="720" w:hanging="360"/>
      </w:pPr>
      <w:rPr>
        <w:rFonts w:ascii="Arial" w:hAnsi="Arial" w:hint="default"/>
      </w:rPr>
    </w:lvl>
    <w:lvl w:ilvl="1" w:tplc="80860B76" w:tentative="1">
      <w:start w:val="1"/>
      <w:numFmt w:val="bullet"/>
      <w:lvlText w:val="•"/>
      <w:lvlJc w:val="left"/>
      <w:pPr>
        <w:tabs>
          <w:tab w:val="num" w:pos="1440"/>
        </w:tabs>
        <w:ind w:left="1440" w:hanging="360"/>
      </w:pPr>
      <w:rPr>
        <w:rFonts w:ascii="Arial" w:hAnsi="Arial" w:hint="default"/>
      </w:rPr>
    </w:lvl>
    <w:lvl w:ilvl="2" w:tplc="E9F63246" w:tentative="1">
      <w:start w:val="1"/>
      <w:numFmt w:val="bullet"/>
      <w:lvlText w:val="•"/>
      <w:lvlJc w:val="left"/>
      <w:pPr>
        <w:tabs>
          <w:tab w:val="num" w:pos="2160"/>
        </w:tabs>
        <w:ind w:left="2160" w:hanging="360"/>
      </w:pPr>
      <w:rPr>
        <w:rFonts w:ascii="Arial" w:hAnsi="Arial" w:hint="default"/>
      </w:rPr>
    </w:lvl>
    <w:lvl w:ilvl="3" w:tplc="19B475AE" w:tentative="1">
      <w:start w:val="1"/>
      <w:numFmt w:val="bullet"/>
      <w:lvlText w:val="•"/>
      <w:lvlJc w:val="left"/>
      <w:pPr>
        <w:tabs>
          <w:tab w:val="num" w:pos="2880"/>
        </w:tabs>
        <w:ind w:left="2880" w:hanging="360"/>
      </w:pPr>
      <w:rPr>
        <w:rFonts w:ascii="Arial" w:hAnsi="Arial" w:hint="default"/>
      </w:rPr>
    </w:lvl>
    <w:lvl w:ilvl="4" w:tplc="34FAB51E" w:tentative="1">
      <w:start w:val="1"/>
      <w:numFmt w:val="bullet"/>
      <w:lvlText w:val="•"/>
      <w:lvlJc w:val="left"/>
      <w:pPr>
        <w:tabs>
          <w:tab w:val="num" w:pos="3600"/>
        </w:tabs>
        <w:ind w:left="3600" w:hanging="360"/>
      </w:pPr>
      <w:rPr>
        <w:rFonts w:ascii="Arial" w:hAnsi="Arial" w:hint="default"/>
      </w:rPr>
    </w:lvl>
    <w:lvl w:ilvl="5" w:tplc="C55CE9FE" w:tentative="1">
      <w:start w:val="1"/>
      <w:numFmt w:val="bullet"/>
      <w:lvlText w:val="•"/>
      <w:lvlJc w:val="left"/>
      <w:pPr>
        <w:tabs>
          <w:tab w:val="num" w:pos="4320"/>
        </w:tabs>
        <w:ind w:left="4320" w:hanging="360"/>
      </w:pPr>
      <w:rPr>
        <w:rFonts w:ascii="Arial" w:hAnsi="Arial" w:hint="default"/>
      </w:rPr>
    </w:lvl>
    <w:lvl w:ilvl="6" w:tplc="3378E068" w:tentative="1">
      <w:start w:val="1"/>
      <w:numFmt w:val="bullet"/>
      <w:lvlText w:val="•"/>
      <w:lvlJc w:val="left"/>
      <w:pPr>
        <w:tabs>
          <w:tab w:val="num" w:pos="5040"/>
        </w:tabs>
        <w:ind w:left="5040" w:hanging="360"/>
      </w:pPr>
      <w:rPr>
        <w:rFonts w:ascii="Arial" w:hAnsi="Arial" w:hint="default"/>
      </w:rPr>
    </w:lvl>
    <w:lvl w:ilvl="7" w:tplc="7772CDC4" w:tentative="1">
      <w:start w:val="1"/>
      <w:numFmt w:val="bullet"/>
      <w:lvlText w:val="•"/>
      <w:lvlJc w:val="left"/>
      <w:pPr>
        <w:tabs>
          <w:tab w:val="num" w:pos="5760"/>
        </w:tabs>
        <w:ind w:left="5760" w:hanging="360"/>
      </w:pPr>
      <w:rPr>
        <w:rFonts w:ascii="Arial" w:hAnsi="Arial" w:hint="default"/>
      </w:rPr>
    </w:lvl>
    <w:lvl w:ilvl="8" w:tplc="5F7ED14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450812D8"/>
    <w:multiLevelType w:val="hybridMultilevel"/>
    <w:tmpl w:val="47947CBE"/>
    <w:lvl w:ilvl="0" w:tplc="1DFCB5DC">
      <w:start w:val="1"/>
      <w:numFmt w:val="bullet"/>
      <w:lvlText w:val="•"/>
      <w:lvlJc w:val="left"/>
      <w:pPr>
        <w:tabs>
          <w:tab w:val="num" w:pos="720"/>
        </w:tabs>
        <w:ind w:left="720" w:hanging="360"/>
      </w:pPr>
      <w:rPr>
        <w:rFonts w:ascii="Arial" w:hAnsi="Arial" w:hint="default"/>
      </w:rPr>
    </w:lvl>
    <w:lvl w:ilvl="1" w:tplc="55E6E6D2" w:tentative="1">
      <w:start w:val="1"/>
      <w:numFmt w:val="bullet"/>
      <w:lvlText w:val="•"/>
      <w:lvlJc w:val="left"/>
      <w:pPr>
        <w:tabs>
          <w:tab w:val="num" w:pos="1440"/>
        </w:tabs>
        <w:ind w:left="1440" w:hanging="360"/>
      </w:pPr>
      <w:rPr>
        <w:rFonts w:ascii="Arial" w:hAnsi="Arial" w:hint="default"/>
      </w:rPr>
    </w:lvl>
    <w:lvl w:ilvl="2" w:tplc="90A23554" w:tentative="1">
      <w:start w:val="1"/>
      <w:numFmt w:val="bullet"/>
      <w:lvlText w:val="•"/>
      <w:lvlJc w:val="left"/>
      <w:pPr>
        <w:tabs>
          <w:tab w:val="num" w:pos="2160"/>
        </w:tabs>
        <w:ind w:left="2160" w:hanging="360"/>
      </w:pPr>
      <w:rPr>
        <w:rFonts w:ascii="Arial" w:hAnsi="Arial" w:hint="default"/>
      </w:rPr>
    </w:lvl>
    <w:lvl w:ilvl="3" w:tplc="58FAE7AC" w:tentative="1">
      <w:start w:val="1"/>
      <w:numFmt w:val="bullet"/>
      <w:lvlText w:val="•"/>
      <w:lvlJc w:val="left"/>
      <w:pPr>
        <w:tabs>
          <w:tab w:val="num" w:pos="2880"/>
        </w:tabs>
        <w:ind w:left="2880" w:hanging="360"/>
      </w:pPr>
      <w:rPr>
        <w:rFonts w:ascii="Arial" w:hAnsi="Arial" w:hint="default"/>
      </w:rPr>
    </w:lvl>
    <w:lvl w:ilvl="4" w:tplc="3704114A" w:tentative="1">
      <w:start w:val="1"/>
      <w:numFmt w:val="bullet"/>
      <w:lvlText w:val="•"/>
      <w:lvlJc w:val="left"/>
      <w:pPr>
        <w:tabs>
          <w:tab w:val="num" w:pos="3600"/>
        </w:tabs>
        <w:ind w:left="3600" w:hanging="360"/>
      </w:pPr>
      <w:rPr>
        <w:rFonts w:ascii="Arial" w:hAnsi="Arial" w:hint="default"/>
      </w:rPr>
    </w:lvl>
    <w:lvl w:ilvl="5" w:tplc="9CAC1598" w:tentative="1">
      <w:start w:val="1"/>
      <w:numFmt w:val="bullet"/>
      <w:lvlText w:val="•"/>
      <w:lvlJc w:val="left"/>
      <w:pPr>
        <w:tabs>
          <w:tab w:val="num" w:pos="4320"/>
        </w:tabs>
        <w:ind w:left="4320" w:hanging="360"/>
      </w:pPr>
      <w:rPr>
        <w:rFonts w:ascii="Arial" w:hAnsi="Arial" w:hint="default"/>
      </w:rPr>
    </w:lvl>
    <w:lvl w:ilvl="6" w:tplc="A740CCAE" w:tentative="1">
      <w:start w:val="1"/>
      <w:numFmt w:val="bullet"/>
      <w:lvlText w:val="•"/>
      <w:lvlJc w:val="left"/>
      <w:pPr>
        <w:tabs>
          <w:tab w:val="num" w:pos="5040"/>
        </w:tabs>
        <w:ind w:left="5040" w:hanging="360"/>
      </w:pPr>
      <w:rPr>
        <w:rFonts w:ascii="Arial" w:hAnsi="Arial" w:hint="default"/>
      </w:rPr>
    </w:lvl>
    <w:lvl w:ilvl="7" w:tplc="B42E00DC" w:tentative="1">
      <w:start w:val="1"/>
      <w:numFmt w:val="bullet"/>
      <w:lvlText w:val="•"/>
      <w:lvlJc w:val="left"/>
      <w:pPr>
        <w:tabs>
          <w:tab w:val="num" w:pos="5760"/>
        </w:tabs>
        <w:ind w:left="5760" w:hanging="360"/>
      </w:pPr>
      <w:rPr>
        <w:rFonts w:ascii="Arial" w:hAnsi="Arial" w:hint="default"/>
      </w:rPr>
    </w:lvl>
    <w:lvl w:ilvl="8" w:tplc="5F187F2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66050CD3"/>
    <w:multiLevelType w:val="hybridMultilevel"/>
    <w:tmpl w:val="6304F2A8"/>
    <w:lvl w:ilvl="0" w:tplc="C8B8D7AC">
      <w:start w:val="1"/>
      <w:numFmt w:val="bullet"/>
      <w:lvlText w:val=""/>
      <w:lvlJc w:val="left"/>
      <w:pPr>
        <w:ind w:left="720" w:hanging="360"/>
      </w:pPr>
      <w:rPr>
        <w:rFonts w:ascii="Symbol" w:hAnsi="Symbol" w:hint="default"/>
      </w:rPr>
    </w:lvl>
    <w:lvl w:ilvl="1" w:tplc="70586312">
      <w:start w:val="1"/>
      <w:numFmt w:val="bullet"/>
      <w:lvlText w:val="o"/>
      <w:lvlJc w:val="left"/>
      <w:pPr>
        <w:ind w:left="1440" w:hanging="360"/>
      </w:pPr>
      <w:rPr>
        <w:rFonts w:ascii="Courier New" w:hAnsi="Courier New" w:hint="default"/>
      </w:rPr>
    </w:lvl>
    <w:lvl w:ilvl="2" w:tplc="2A52EA02">
      <w:start w:val="1"/>
      <w:numFmt w:val="bullet"/>
      <w:lvlText w:val=""/>
      <w:lvlJc w:val="left"/>
      <w:pPr>
        <w:ind w:left="2160" w:hanging="360"/>
      </w:pPr>
      <w:rPr>
        <w:rFonts w:ascii="Wingdings" w:hAnsi="Wingdings" w:hint="default"/>
      </w:rPr>
    </w:lvl>
    <w:lvl w:ilvl="3" w:tplc="FB6E6428">
      <w:start w:val="1"/>
      <w:numFmt w:val="bullet"/>
      <w:lvlText w:val=""/>
      <w:lvlJc w:val="left"/>
      <w:pPr>
        <w:ind w:left="2880" w:hanging="360"/>
      </w:pPr>
      <w:rPr>
        <w:rFonts w:ascii="Symbol" w:hAnsi="Symbol" w:hint="default"/>
      </w:rPr>
    </w:lvl>
    <w:lvl w:ilvl="4" w:tplc="BEA0B86A">
      <w:start w:val="1"/>
      <w:numFmt w:val="bullet"/>
      <w:lvlText w:val="o"/>
      <w:lvlJc w:val="left"/>
      <w:pPr>
        <w:ind w:left="3600" w:hanging="360"/>
      </w:pPr>
      <w:rPr>
        <w:rFonts w:ascii="Courier New" w:hAnsi="Courier New" w:hint="default"/>
      </w:rPr>
    </w:lvl>
    <w:lvl w:ilvl="5" w:tplc="56AED0A0">
      <w:start w:val="1"/>
      <w:numFmt w:val="bullet"/>
      <w:lvlText w:val=""/>
      <w:lvlJc w:val="left"/>
      <w:pPr>
        <w:ind w:left="4320" w:hanging="360"/>
      </w:pPr>
      <w:rPr>
        <w:rFonts w:ascii="Wingdings" w:hAnsi="Wingdings" w:hint="default"/>
      </w:rPr>
    </w:lvl>
    <w:lvl w:ilvl="6" w:tplc="39CEF146">
      <w:start w:val="1"/>
      <w:numFmt w:val="bullet"/>
      <w:lvlText w:val=""/>
      <w:lvlJc w:val="left"/>
      <w:pPr>
        <w:ind w:left="5040" w:hanging="360"/>
      </w:pPr>
      <w:rPr>
        <w:rFonts w:ascii="Symbol" w:hAnsi="Symbol" w:hint="default"/>
      </w:rPr>
    </w:lvl>
    <w:lvl w:ilvl="7" w:tplc="A3660CA4">
      <w:start w:val="1"/>
      <w:numFmt w:val="bullet"/>
      <w:lvlText w:val="o"/>
      <w:lvlJc w:val="left"/>
      <w:pPr>
        <w:ind w:left="5760" w:hanging="360"/>
      </w:pPr>
      <w:rPr>
        <w:rFonts w:ascii="Courier New" w:hAnsi="Courier New" w:hint="default"/>
      </w:rPr>
    </w:lvl>
    <w:lvl w:ilvl="8" w:tplc="47F61DA4">
      <w:start w:val="1"/>
      <w:numFmt w:val="bullet"/>
      <w:lvlText w:val=""/>
      <w:lvlJc w:val="left"/>
      <w:pPr>
        <w:ind w:left="6480" w:hanging="360"/>
      </w:pPr>
      <w:rPr>
        <w:rFonts w:ascii="Wingdings" w:hAnsi="Wingdings" w:hint="default"/>
      </w:rPr>
    </w:lvl>
  </w:abstractNum>
  <w:abstractNum w:abstractNumId="3" w15:restartNumberingAfterBreak="0">
    <w:nsid w:val="6B8510B3"/>
    <w:multiLevelType w:val="hybridMultilevel"/>
    <w:tmpl w:val="986040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681787E"/>
    <w:multiLevelType w:val="hybridMultilevel"/>
    <w:tmpl w:val="87707584"/>
    <w:lvl w:ilvl="0" w:tplc="E7D6B992">
      <w:start w:val="1"/>
      <w:numFmt w:val="bullet"/>
      <w:lvlText w:val="•"/>
      <w:lvlJc w:val="left"/>
      <w:pPr>
        <w:tabs>
          <w:tab w:val="num" w:pos="720"/>
        </w:tabs>
        <w:ind w:left="720" w:hanging="360"/>
      </w:pPr>
      <w:rPr>
        <w:rFonts w:ascii="Arial" w:hAnsi="Arial" w:hint="default"/>
      </w:rPr>
    </w:lvl>
    <w:lvl w:ilvl="1" w:tplc="B824DE24" w:tentative="1">
      <w:start w:val="1"/>
      <w:numFmt w:val="bullet"/>
      <w:lvlText w:val="•"/>
      <w:lvlJc w:val="left"/>
      <w:pPr>
        <w:tabs>
          <w:tab w:val="num" w:pos="1440"/>
        </w:tabs>
        <w:ind w:left="1440" w:hanging="360"/>
      </w:pPr>
      <w:rPr>
        <w:rFonts w:ascii="Arial" w:hAnsi="Arial" w:hint="default"/>
      </w:rPr>
    </w:lvl>
    <w:lvl w:ilvl="2" w:tplc="B7E2FFA2" w:tentative="1">
      <w:start w:val="1"/>
      <w:numFmt w:val="bullet"/>
      <w:lvlText w:val="•"/>
      <w:lvlJc w:val="left"/>
      <w:pPr>
        <w:tabs>
          <w:tab w:val="num" w:pos="2160"/>
        </w:tabs>
        <w:ind w:left="2160" w:hanging="360"/>
      </w:pPr>
      <w:rPr>
        <w:rFonts w:ascii="Arial" w:hAnsi="Arial" w:hint="default"/>
      </w:rPr>
    </w:lvl>
    <w:lvl w:ilvl="3" w:tplc="97B699FA" w:tentative="1">
      <w:start w:val="1"/>
      <w:numFmt w:val="bullet"/>
      <w:lvlText w:val="•"/>
      <w:lvlJc w:val="left"/>
      <w:pPr>
        <w:tabs>
          <w:tab w:val="num" w:pos="2880"/>
        </w:tabs>
        <w:ind w:left="2880" w:hanging="360"/>
      </w:pPr>
      <w:rPr>
        <w:rFonts w:ascii="Arial" w:hAnsi="Arial" w:hint="default"/>
      </w:rPr>
    </w:lvl>
    <w:lvl w:ilvl="4" w:tplc="77EAE366" w:tentative="1">
      <w:start w:val="1"/>
      <w:numFmt w:val="bullet"/>
      <w:lvlText w:val="•"/>
      <w:lvlJc w:val="left"/>
      <w:pPr>
        <w:tabs>
          <w:tab w:val="num" w:pos="3600"/>
        </w:tabs>
        <w:ind w:left="3600" w:hanging="360"/>
      </w:pPr>
      <w:rPr>
        <w:rFonts w:ascii="Arial" w:hAnsi="Arial" w:hint="default"/>
      </w:rPr>
    </w:lvl>
    <w:lvl w:ilvl="5" w:tplc="51E07FA6" w:tentative="1">
      <w:start w:val="1"/>
      <w:numFmt w:val="bullet"/>
      <w:lvlText w:val="•"/>
      <w:lvlJc w:val="left"/>
      <w:pPr>
        <w:tabs>
          <w:tab w:val="num" w:pos="4320"/>
        </w:tabs>
        <w:ind w:left="4320" w:hanging="360"/>
      </w:pPr>
      <w:rPr>
        <w:rFonts w:ascii="Arial" w:hAnsi="Arial" w:hint="default"/>
      </w:rPr>
    </w:lvl>
    <w:lvl w:ilvl="6" w:tplc="68563060" w:tentative="1">
      <w:start w:val="1"/>
      <w:numFmt w:val="bullet"/>
      <w:lvlText w:val="•"/>
      <w:lvlJc w:val="left"/>
      <w:pPr>
        <w:tabs>
          <w:tab w:val="num" w:pos="5040"/>
        </w:tabs>
        <w:ind w:left="5040" w:hanging="360"/>
      </w:pPr>
      <w:rPr>
        <w:rFonts w:ascii="Arial" w:hAnsi="Arial" w:hint="default"/>
      </w:rPr>
    </w:lvl>
    <w:lvl w:ilvl="7" w:tplc="2822FC4A" w:tentative="1">
      <w:start w:val="1"/>
      <w:numFmt w:val="bullet"/>
      <w:lvlText w:val="•"/>
      <w:lvlJc w:val="left"/>
      <w:pPr>
        <w:tabs>
          <w:tab w:val="num" w:pos="5760"/>
        </w:tabs>
        <w:ind w:left="5760" w:hanging="360"/>
      </w:pPr>
      <w:rPr>
        <w:rFonts w:ascii="Arial" w:hAnsi="Arial" w:hint="default"/>
      </w:rPr>
    </w:lvl>
    <w:lvl w:ilvl="8" w:tplc="683C4090" w:tentative="1">
      <w:start w:val="1"/>
      <w:numFmt w:val="bullet"/>
      <w:lvlText w:val="•"/>
      <w:lvlJc w:val="left"/>
      <w:pPr>
        <w:tabs>
          <w:tab w:val="num" w:pos="6480"/>
        </w:tabs>
        <w:ind w:left="6480" w:hanging="360"/>
      </w:pPr>
      <w:rPr>
        <w:rFonts w:ascii="Arial" w:hAnsi="Arial" w:hint="default"/>
      </w:rPr>
    </w:lvl>
  </w:abstractNum>
  <w:num w:numId="1" w16cid:durableId="890461404">
    <w:abstractNumId w:val="1"/>
  </w:num>
  <w:num w:numId="2" w16cid:durableId="145633754">
    <w:abstractNumId w:val="0"/>
  </w:num>
  <w:num w:numId="3" w16cid:durableId="308170316">
    <w:abstractNumId w:val="4"/>
  </w:num>
  <w:num w:numId="4" w16cid:durableId="719402158">
    <w:abstractNumId w:val="2"/>
  </w:num>
  <w:num w:numId="5" w16cid:durableId="35469169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33A7"/>
    <w:rsid w:val="00021334"/>
    <w:rsid w:val="00034DB4"/>
    <w:rsid w:val="00053D41"/>
    <w:rsid w:val="00077FEE"/>
    <w:rsid w:val="00091382"/>
    <w:rsid w:val="000B22F8"/>
    <w:rsid w:val="000C219A"/>
    <w:rsid w:val="000C2EFE"/>
    <w:rsid w:val="000C33A6"/>
    <w:rsid w:val="000D348B"/>
    <w:rsid w:val="00105C50"/>
    <w:rsid w:val="001063A2"/>
    <w:rsid w:val="001350CB"/>
    <w:rsid w:val="0014295A"/>
    <w:rsid w:val="001602FB"/>
    <w:rsid w:val="001617A0"/>
    <w:rsid w:val="00165136"/>
    <w:rsid w:val="00193822"/>
    <w:rsid w:val="00193DE4"/>
    <w:rsid w:val="001B2071"/>
    <w:rsid w:val="001C0EE5"/>
    <w:rsid w:val="001C1216"/>
    <w:rsid w:val="001C1D15"/>
    <w:rsid w:val="00200287"/>
    <w:rsid w:val="00203B61"/>
    <w:rsid w:val="00225F90"/>
    <w:rsid w:val="00235A66"/>
    <w:rsid w:val="002447C4"/>
    <w:rsid w:val="0026027F"/>
    <w:rsid w:val="002A2AC5"/>
    <w:rsid w:val="002A68AB"/>
    <w:rsid w:val="002C6154"/>
    <w:rsid w:val="002E37A7"/>
    <w:rsid w:val="003300EA"/>
    <w:rsid w:val="003509E8"/>
    <w:rsid w:val="0035572A"/>
    <w:rsid w:val="003666AF"/>
    <w:rsid w:val="00380EE7"/>
    <w:rsid w:val="00385B11"/>
    <w:rsid w:val="00390E12"/>
    <w:rsid w:val="003B093F"/>
    <w:rsid w:val="003C41E8"/>
    <w:rsid w:val="003C77DF"/>
    <w:rsid w:val="003D3419"/>
    <w:rsid w:val="004053B9"/>
    <w:rsid w:val="004065F2"/>
    <w:rsid w:val="004123FB"/>
    <w:rsid w:val="00426483"/>
    <w:rsid w:val="0044049C"/>
    <w:rsid w:val="00464A46"/>
    <w:rsid w:val="004B002F"/>
    <w:rsid w:val="004B33A7"/>
    <w:rsid w:val="004B5879"/>
    <w:rsid w:val="004C63C4"/>
    <w:rsid w:val="004E6B58"/>
    <w:rsid w:val="005306D0"/>
    <w:rsid w:val="00532080"/>
    <w:rsid w:val="00535E31"/>
    <w:rsid w:val="005467F7"/>
    <w:rsid w:val="00556C7B"/>
    <w:rsid w:val="00562018"/>
    <w:rsid w:val="0058165E"/>
    <w:rsid w:val="00593743"/>
    <w:rsid w:val="00596448"/>
    <w:rsid w:val="005A416F"/>
    <w:rsid w:val="005D46AC"/>
    <w:rsid w:val="005E2ACB"/>
    <w:rsid w:val="005E7D37"/>
    <w:rsid w:val="005F3341"/>
    <w:rsid w:val="006016B4"/>
    <w:rsid w:val="00604931"/>
    <w:rsid w:val="0060610C"/>
    <w:rsid w:val="00607F8D"/>
    <w:rsid w:val="00617AF5"/>
    <w:rsid w:val="00624218"/>
    <w:rsid w:val="00624539"/>
    <w:rsid w:val="0062653C"/>
    <w:rsid w:val="00640B4F"/>
    <w:rsid w:val="006427A7"/>
    <w:rsid w:val="00650128"/>
    <w:rsid w:val="00651F3E"/>
    <w:rsid w:val="006BFF40"/>
    <w:rsid w:val="006C7328"/>
    <w:rsid w:val="006C7A2F"/>
    <w:rsid w:val="006D23D4"/>
    <w:rsid w:val="006D6F9B"/>
    <w:rsid w:val="006E1074"/>
    <w:rsid w:val="00703557"/>
    <w:rsid w:val="0070389B"/>
    <w:rsid w:val="00703E2E"/>
    <w:rsid w:val="00707A95"/>
    <w:rsid w:val="007261FC"/>
    <w:rsid w:val="00734F17"/>
    <w:rsid w:val="007372D8"/>
    <w:rsid w:val="0073770D"/>
    <w:rsid w:val="00744BF2"/>
    <w:rsid w:val="00763CF5"/>
    <w:rsid w:val="007853B2"/>
    <w:rsid w:val="00786C03"/>
    <w:rsid w:val="007A6AF5"/>
    <w:rsid w:val="007D4DC3"/>
    <w:rsid w:val="007E1DA6"/>
    <w:rsid w:val="00813078"/>
    <w:rsid w:val="008652D3"/>
    <w:rsid w:val="00867828"/>
    <w:rsid w:val="0087013B"/>
    <w:rsid w:val="008B1878"/>
    <w:rsid w:val="008B70AF"/>
    <w:rsid w:val="008C14D0"/>
    <w:rsid w:val="008C202B"/>
    <w:rsid w:val="008C6A8A"/>
    <w:rsid w:val="008D6914"/>
    <w:rsid w:val="0093738A"/>
    <w:rsid w:val="00955B8A"/>
    <w:rsid w:val="00964419"/>
    <w:rsid w:val="00966FC0"/>
    <w:rsid w:val="00983027"/>
    <w:rsid w:val="00991194"/>
    <w:rsid w:val="00991C30"/>
    <w:rsid w:val="009C6D55"/>
    <w:rsid w:val="009D575D"/>
    <w:rsid w:val="00A0044D"/>
    <w:rsid w:val="00A13BDF"/>
    <w:rsid w:val="00A26C8D"/>
    <w:rsid w:val="00A42CA6"/>
    <w:rsid w:val="00A47F31"/>
    <w:rsid w:val="00A775C0"/>
    <w:rsid w:val="00A77637"/>
    <w:rsid w:val="00AA709D"/>
    <w:rsid w:val="00AD3DC2"/>
    <w:rsid w:val="00AD7964"/>
    <w:rsid w:val="00AF5E8F"/>
    <w:rsid w:val="00B04A6B"/>
    <w:rsid w:val="00B151DD"/>
    <w:rsid w:val="00B31DBE"/>
    <w:rsid w:val="00B36425"/>
    <w:rsid w:val="00B51BFF"/>
    <w:rsid w:val="00B55E3E"/>
    <w:rsid w:val="00B6284F"/>
    <w:rsid w:val="00B6650C"/>
    <w:rsid w:val="00B6767F"/>
    <w:rsid w:val="00B86C3F"/>
    <w:rsid w:val="00B912B4"/>
    <w:rsid w:val="00B9629D"/>
    <w:rsid w:val="00BA3336"/>
    <w:rsid w:val="00BB7957"/>
    <w:rsid w:val="00BB7ED8"/>
    <w:rsid w:val="00BC29AC"/>
    <w:rsid w:val="00BC3E5C"/>
    <w:rsid w:val="00BC47B2"/>
    <w:rsid w:val="00BC7E26"/>
    <w:rsid w:val="00BD079C"/>
    <w:rsid w:val="00BD12A5"/>
    <w:rsid w:val="00BE2901"/>
    <w:rsid w:val="00BE3F4E"/>
    <w:rsid w:val="00BE54D8"/>
    <w:rsid w:val="00C13537"/>
    <w:rsid w:val="00C23566"/>
    <w:rsid w:val="00C25C5A"/>
    <w:rsid w:val="00C35FC4"/>
    <w:rsid w:val="00C37A6A"/>
    <w:rsid w:val="00C4661B"/>
    <w:rsid w:val="00C53BCF"/>
    <w:rsid w:val="00C605C6"/>
    <w:rsid w:val="00C61B0F"/>
    <w:rsid w:val="00C64DBA"/>
    <w:rsid w:val="00C719EE"/>
    <w:rsid w:val="00C71EEC"/>
    <w:rsid w:val="00C77616"/>
    <w:rsid w:val="00C97254"/>
    <w:rsid w:val="00CC2277"/>
    <w:rsid w:val="00CC3327"/>
    <w:rsid w:val="00CF1319"/>
    <w:rsid w:val="00CF3D5C"/>
    <w:rsid w:val="00D05F11"/>
    <w:rsid w:val="00D445A2"/>
    <w:rsid w:val="00D73F15"/>
    <w:rsid w:val="00D87BA0"/>
    <w:rsid w:val="00D938F3"/>
    <w:rsid w:val="00D94179"/>
    <w:rsid w:val="00DA75AB"/>
    <w:rsid w:val="00DB1CE7"/>
    <w:rsid w:val="00DF4FF1"/>
    <w:rsid w:val="00E03B00"/>
    <w:rsid w:val="00E228E3"/>
    <w:rsid w:val="00E67564"/>
    <w:rsid w:val="00E67F5C"/>
    <w:rsid w:val="00E70AAC"/>
    <w:rsid w:val="00E72666"/>
    <w:rsid w:val="00E72FCC"/>
    <w:rsid w:val="00E81EB7"/>
    <w:rsid w:val="00E872DC"/>
    <w:rsid w:val="00E94DDE"/>
    <w:rsid w:val="00EA1538"/>
    <w:rsid w:val="00EB6117"/>
    <w:rsid w:val="00EC7651"/>
    <w:rsid w:val="00EF6439"/>
    <w:rsid w:val="00F06A7D"/>
    <w:rsid w:val="00F453F8"/>
    <w:rsid w:val="00F84B06"/>
    <w:rsid w:val="00F87729"/>
    <w:rsid w:val="00FB722E"/>
    <w:rsid w:val="00FE1C6F"/>
    <w:rsid w:val="00FE35B8"/>
    <w:rsid w:val="00FF490B"/>
    <w:rsid w:val="0272014F"/>
    <w:rsid w:val="02BB32B5"/>
    <w:rsid w:val="02C8FC30"/>
    <w:rsid w:val="033F1241"/>
    <w:rsid w:val="03ADA693"/>
    <w:rsid w:val="0547DDA7"/>
    <w:rsid w:val="055CB91C"/>
    <w:rsid w:val="0595E91F"/>
    <w:rsid w:val="05C92AE4"/>
    <w:rsid w:val="05EAEB3D"/>
    <w:rsid w:val="068E97BD"/>
    <w:rsid w:val="079BCE26"/>
    <w:rsid w:val="08B6B354"/>
    <w:rsid w:val="09038DE5"/>
    <w:rsid w:val="09568D2D"/>
    <w:rsid w:val="09581FBB"/>
    <w:rsid w:val="09F5610A"/>
    <w:rsid w:val="0A9F2587"/>
    <w:rsid w:val="0B79E6A0"/>
    <w:rsid w:val="0C511E7D"/>
    <w:rsid w:val="0DA4850C"/>
    <w:rsid w:val="0E3B03F0"/>
    <w:rsid w:val="0E406232"/>
    <w:rsid w:val="0E7A8ACC"/>
    <w:rsid w:val="0F23E785"/>
    <w:rsid w:val="0F3270E3"/>
    <w:rsid w:val="0F50ED2D"/>
    <w:rsid w:val="0F57708A"/>
    <w:rsid w:val="0F7AA8E6"/>
    <w:rsid w:val="0FC32B95"/>
    <w:rsid w:val="108CEEF3"/>
    <w:rsid w:val="10BC4176"/>
    <w:rsid w:val="10FF1B90"/>
    <w:rsid w:val="11E785DA"/>
    <w:rsid w:val="12DDB3D0"/>
    <w:rsid w:val="139DF6EF"/>
    <w:rsid w:val="13AB6B6B"/>
    <w:rsid w:val="153B712F"/>
    <w:rsid w:val="15D2C02D"/>
    <w:rsid w:val="15FA8B9B"/>
    <w:rsid w:val="16AED012"/>
    <w:rsid w:val="16CCAAF7"/>
    <w:rsid w:val="17001CA5"/>
    <w:rsid w:val="173D4D8C"/>
    <w:rsid w:val="175A3391"/>
    <w:rsid w:val="17856369"/>
    <w:rsid w:val="187C8ED6"/>
    <w:rsid w:val="1A636A6B"/>
    <w:rsid w:val="1A9EA5AD"/>
    <w:rsid w:val="1ACB6F11"/>
    <w:rsid w:val="1B1FE04D"/>
    <w:rsid w:val="1BEE36C0"/>
    <w:rsid w:val="1C3FEE0D"/>
    <w:rsid w:val="1C817DC9"/>
    <w:rsid w:val="1D29E44A"/>
    <w:rsid w:val="1E460E80"/>
    <w:rsid w:val="1F39869C"/>
    <w:rsid w:val="204E0B2B"/>
    <w:rsid w:val="20762A07"/>
    <w:rsid w:val="20CCD9DF"/>
    <w:rsid w:val="2146CE17"/>
    <w:rsid w:val="218ACB6C"/>
    <w:rsid w:val="22165C4C"/>
    <w:rsid w:val="22A8BABF"/>
    <w:rsid w:val="22AC6CD7"/>
    <w:rsid w:val="22BDCFA6"/>
    <w:rsid w:val="23C7B9DB"/>
    <w:rsid w:val="24B1B94B"/>
    <w:rsid w:val="24C4916D"/>
    <w:rsid w:val="2596D781"/>
    <w:rsid w:val="260F56F7"/>
    <w:rsid w:val="26708DF2"/>
    <w:rsid w:val="26B30BDA"/>
    <w:rsid w:val="26D8846E"/>
    <w:rsid w:val="27467A63"/>
    <w:rsid w:val="279D241D"/>
    <w:rsid w:val="27A5B296"/>
    <w:rsid w:val="28317FAD"/>
    <w:rsid w:val="284D95B5"/>
    <w:rsid w:val="286A9487"/>
    <w:rsid w:val="2875860E"/>
    <w:rsid w:val="28C03D84"/>
    <w:rsid w:val="2946762C"/>
    <w:rsid w:val="2971038B"/>
    <w:rsid w:val="29BFD147"/>
    <w:rsid w:val="29CA0FDC"/>
    <w:rsid w:val="2B0FAE17"/>
    <w:rsid w:val="2B1FC8C8"/>
    <w:rsid w:val="2BD734F6"/>
    <w:rsid w:val="2BD9E1BD"/>
    <w:rsid w:val="2D54E3F2"/>
    <w:rsid w:val="2DA04E8A"/>
    <w:rsid w:val="2DBD37A9"/>
    <w:rsid w:val="2DBD513A"/>
    <w:rsid w:val="2E160415"/>
    <w:rsid w:val="2ECDD186"/>
    <w:rsid w:val="2F49C7B2"/>
    <w:rsid w:val="2F5C32DE"/>
    <w:rsid w:val="301A6F99"/>
    <w:rsid w:val="302138FE"/>
    <w:rsid w:val="302D0423"/>
    <w:rsid w:val="305A8313"/>
    <w:rsid w:val="311020D1"/>
    <w:rsid w:val="31B0D925"/>
    <w:rsid w:val="31C0BEC8"/>
    <w:rsid w:val="323CA44E"/>
    <w:rsid w:val="33473D7C"/>
    <w:rsid w:val="34C2D7BA"/>
    <w:rsid w:val="34C8614B"/>
    <w:rsid w:val="35B8F483"/>
    <w:rsid w:val="36F2C677"/>
    <w:rsid w:val="3705C353"/>
    <w:rsid w:val="376887B1"/>
    <w:rsid w:val="377F1871"/>
    <w:rsid w:val="38415131"/>
    <w:rsid w:val="38ED8FC8"/>
    <w:rsid w:val="394A4A71"/>
    <w:rsid w:val="3AE7E160"/>
    <w:rsid w:val="3B06E1AA"/>
    <w:rsid w:val="3B1E35E2"/>
    <w:rsid w:val="3C3E2B17"/>
    <w:rsid w:val="3C8051CB"/>
    <w:rsid w:val="3D644D06"/>
    <w:rsid w:val="3DB2A47F"/>
    <w:rsid w:val="3E88DCB9"/>
    <w:rsid w:val="3EA15B2E"/>
    <w:rsid w:val="411B0732"/>
    <w:rsid w:val="42CE2D61"/>
    <w:rsid w:val="43546BDA"/>
    <w:rsid w:val="4383C8B0"/>
    <w:rsid w:val="43E9D054"/>
    <w:rsid w:val="43EB79C3"/>
    <w:rsid w:val="444CF416"/>
    <w:rsid w:val="456ED0F4"/>
    <w:rsid w:val="46673149"/>
    <w:rsid w:val="46852E3B"/>
    <w:rsid w:val="46A42C43"/>
    <w:rsid w:val="46B52B08"/>
    <w:rsid w:val="471C1956"/>
    <w:rsid w:val="49999030"/>
    <w:rsid w:val="4A10847D"/>
    <w:rsid w:val="4A8D7BEA"/>
    <w:rsid w:val="4A903E75"/>
    <w:rsid w:val="4B9B237B"/>
    <w:rsid w:val="4BA9C27D"/>
    <w:rsid w:val="4C3BB0E3"/>
    <w:rsid w:val="4DBEAFA8"/>
    <w:rsid w:val="4DDBD778"/>
    <w:rsid w:val="4F9F0CEF"/>
    <w:rsid w:val="5018E314"/>
    <w:rsid w:val="5194463B"/>
    <w:rsid w:val="538F62C0"/>
    <w:rsid w:val="538FE0CA"/>
    <w:rsid w:val="540DFD18"/>
    <w:rsid w:val="5431A0AD"/>
    <w:rsid w:val="555DAB97"/>
    <w:rsid w:val="55DD3674"/>
    <w:rsid w:val="5684FCCF"/>
    <w:rsid w:val="587990CA"/>
    <w:rsid w:val="58B615D7"/>
    <w:rsid w:val="5910A07E"/>
    <w:rsid w:val="59BFA503"/>
    <w:rsid w:val="59D28DA4"/>
    <w:rsid w:val="5A5E951D"/>
    <w:rsid w:val="5AB16395"/>
    <w:rsid w:val="5B0F35DB"/>
    <w:rsid w:val="5C8F4E39"/>
    <w:rsid w:val="5CA01C85"/>
    <w:rsid w:val="5CE83DF7"/>
    <w:rsid w:val="5D8DD13E"/>
    <w:rsid w:val="5D9D6D22"/>
    <w:rsid w:val="5E3E6A55"/>
    <w:rsid w:val="5E5FA2F5"/>
    <w:rsid w:val="6018FBA6"/>
    <w:rsid w:val="607A8394"/>
    <w:rsid w:val="6183A80C"/>
    <w:rsid w:val="62337F20"/>
    <w:rsid w:val="6281C80D"/>
    <w:rsid w:val="637E5894"/>
    <w:rsid w:val="650FB417"/>
    <w:rsid w:val="65186558"/>
    <w:rsid w:val="65709D33"/>
    <w:rsid w:val="657F4250"/>
    <w:rsid w:val="661C15BB"/>
    <w:rsid w:val="66BC67B8"/>
    <w:rsid w:val="672B42BE"/>
    <w:rsid w:val="6782E8DC"/>
    <w:rsid w:val="6853140C"/>
    <w:rsid w:val="695F19CA"/>
    <w:rsid w:val="69B547B0"/>
    <w:rsid w:val="6A4C4A74"/>
    <w:rsid w:val="6B1B0337"/>
    <w:rsid w:val="6BB8CE70"/>
    <w:rsid w:val="6C3B7377"/>
    <w:rsid w:val="6C93B76C"/>
    <w:rsid w:val="6D263C1B"/>
    <w:rsid w:val="6DF53892"/>
    <w:rsid w:val="6E180264"/>
    <w:rsid w:val="6EC008AC"/>
    <w:rsid w:val="6FBA7D1D"/>
    <w:rsid w:val="703F044A"/>
    <w:rsid w:val="70DDA6BA"/>
    <w:rsid w:val="71E8DBE3"/>
    <w:rsid w:val="7219850F"/>
    <w:rsid w:val="73456F47"/>
    <w:rsid w:val="73A48134"/>
    <w:rsid w:val="74494607"/>
    <w:rsid w:val="752F6F4E"/>
    <w:rsid w:val="758A6390"/>
    <w:rsid w:val="75BCD55D"/>
    <w:rsid w:val="766A353C"/>
    <w:rsid w:val="76CCD187"/>
    <w:rsid w:val="76DD497D"/>
    <w:rsid w:val="77212A9E"/>
    <w:rsid w:val="77786284"/>
    <w:rsid w:val="77A65D0A"/>
    <w:rsid w:val="78147056"/>
    <w:rsid w:val="788ECFB5"/>
    <w:rsid w:val="78C24D86"/>
    <w:rsid w:val="78EFDA85"/>
    <w:rsid w:val="797CFA6A"/>
    <w:rsid w:val="7AD65F6C"/>
    <w:rsid w:val="7AF79233"/>
    <w:rsid w:val="7C028711"/>
    <w:rsid w:val="7C846C91"/>
    <w:rsid w:val="7CB079F8"/>
    <w:rsid w:val="7D4C635F"/>
    <w:rsid w:val="7EE7F89E"/>
    <w:rsid w:val="7F86A275"/>
    <w:rsid w:val="7FB3ACD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7C3916"/>
  <w15:chartTrackingRefBased/>
  <w15:docId w15:val="{A133BC34-3EDE-4873-851B-1E7D7D6778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3822"/>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4B33A7"/>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zh-CN"/>
      <w14:ligatures w14:val="standardContextual"/>
    </w:rPr>
  </w:style>
  <w:style w:type="paragraph" w:styleId="Heading2">
    <w:name w:val="heading 2"/>
    <w:basedOn w:val="Normal"/>
    <w:next w:val="Normal"/>
    <w:link w:val="Heading2Char"/>
    <w:uiPriority w:val="9"/>
    <w:unhideWhenUsed/>
    <w:qFormat/>
    <w:rsid w:val="004B33A7"/>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zh-CN"/>
      <w14:ligatures w14:val="standardContextual"/>
    </w:rPr>
  </w:style>
  <w:style w:type="paragraph" w:styleId="Heading3">
    <w:name w:val="heading 3"/>
    <w:basedOn w:val="Normal"/>
    <w:next w:val="Normal"/>
    <w:link w:val="Heading3Char"/>
    <w:uiPriority w:val="9"/>
    <w:unhideWhenUsed/>
    <w:qFormat/>
    <w:rsid w:val="004B33A7"/>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zh-CN"/>
      <w14:ligatures w14:val="standardContextual"/>
    </w:rPr>
  </w:style>
  <w:style w:type="paragraph" w:styleId="Heading4">
    <w:name w:val="heading 4"/>
    <w:basedOn w:val="Normal"/>
    <w:next w:val="Normal"/>
    <w:link w:val="Heading4Char"/>
    <w:uiPriority w:val="9"/>
    <w:semiHidden/>
    <w:unhideWhenUsed/>
    <w:qFormat/>
    <w:rsid w:val="004B33A7"/>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zh-CN"/>
      <w14:ligatures w14:val="standardContextual"/>
    </w:rPr>
  </w:style>
  <w:style w:type="paragraph" w:styleId="Heading5">
    <w:name w:val="heading 5"/>
    <w:basedOn w:val="Normal"/>
    <w:next w:val="Normal"/>
    <w:link w:val="Heading5Char"/>
    <w:uiPriority w:val="9"/>
    <w:semiHidden/>
    <w:unhideWhenUsed/>
    <w:qFormat/>
    <w:rsid w:val="004B33A7"/>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zh-CN"/>
      <w14:ligatures w14:val="standardContextual"/>
    </w:rPr>
  </w:style>
  <w:style w:type="paragraph" w:styleId="Heading6">
    <w:name w:val="heading 6"/>
    <w:basedOn w:val="Normal"/>
    <w:next w:val="Normal"/>
    <w:link w:val="Heading6Char"/>
    <w:uiPriority w:val="9"/>
    <w:semiHidden/>
    <w:unhideWhenUsed/>
    <w:qFormat/>
    <w:rsid w:val="004B33A7"/>
    <w:pPr>
      <w:keepNext/>
      <w:keepLines/>
      <w:spacing w:before="40" w:line="278" w:lineRule="auto"/>
      <w:outlineLvl w:val="5"/>
    </w:pPr>
    <w:rPr>
      <w:rFonts w:asciiTheme="minorHAnsi" w:eastAsiaTheme="majorEastAsia" w:hAnsiTheme="minorHAnsi" w:cstheme="majorBidi"/>
      <w:i/>
      <w:iCs/>
      <w:color w:val="595959" w:themeColor="text1" w:themeTint="A6"/>
      <w:kern w:val="2"/>
      <w:lang w:eastAsia="zh-CN"/>
      <w14:ligatures w14:val="standardContextual"/>
    </w:rPr>
  </w:style>
  <w:style w:type="paragraph" w:styleId="Heading7">
    <w:name w:val="heading 7"/>
    <w:basedOn w:val="Normal"/>
    <w:next w:val="Normal"/>
    <w:link w:val="Heading7Char"/>
    <w:uiPriority w:val="9"/>
    <w:semiHidden/>
    <w:unhideWhenUsed/>
    <w:qFormat/>
    <w:rsid w:val="004B33A7"/>
    <w:pPr>
      <w:keepNext/>
      <w:keepLines/>
      <w:spacing w:before="40" w:line="278" w:lineRule="auto"/>
      <w:outlineLvl w:val="6"/>
    </w:pPr>
    <w:rPr>
      <w:rFonts w:asciiTheme="minorHAnsi" w:eastAsiaTheme="majorEastAsia" w:hAnsiTheme="minorHAnsi" w:cstheme="majorBidi"/>
      <w:color w:val="595959" w:themeColor="text1" w:themeTint="A6"/>
      <w:kern w:val="2"/>
      <w:lang w:eastAsia="zh-CN"/>
      <w14:ligatures w14:val="standardContextual"/>
    </w:rPr>
  </w:style>
  <w:style w:type="paragraph" w:styleId="Heading8">
    <w:name w:val="heading 8"/>
    <w:basedOn w:val="Normal"/>
    <w:next w:val="Normal"/>
    <w:link w:val="Heading8Char"/>
    <w:uiPriority w:val="9"/>
    <w:semiHidden/>
    <w:unhideWhenUsed/>
    <w:qFormat/>
    <w:rsid w:val="004B33A7"/>
    <w:pPr>
      <w:keepNext/>
      <w:keepLines/>
      <w:spacing w:line="278" w:lineRule="auto"/>
      <w:outlineLvl w:val="7"/>
    </w:pPr>
    <w:rPr>
      <w:rFonts w:asciiTheme="minorHAnsi" w:eastAsiaTheme="majorEastAsia" w:hAnsiTheme="minorHAnsi" w:cstheme="majorBidi"/>
      <w:i/>
      <w:iCs/>
      <w:color w:val="272727" w:themeColor="text1" w:themeTint="D8"/>
      <w:kern w:val="2"/>
      <w:lang w:eastAsia="zh-CN"/>
      <w14:ligatures w14:val="standardContextual"/>
    </w:rPr>
  </w:style>
  <w:style w:type="paragraph" w:styleId="Heading9">
    <w:name w:val="heading 9"/>
    <w:basedOn w:val="Normal"/>
    <w:next w:val="Normal"/>
    <w:link w:val="Heading9Char"/>
    <w:uiPriority w:val="9"/>
    <w:semiHidden/>
    <w:unhideWhenUsed/>
    <w:qFormat/>
    <w:rsid w:val="004B33A7"/>
    <w:pPr>
      <w:keepNext/>
      <w:keepLines/>
      <w:spacing w:line="278" w:lineRule="auto"/>
      <w:outlineLvl w:val="8"/>
    </w:pPr>
    <w:rPr>
      <w:rFonts w:asciiTheme="minorHAnsi" w:eastAsiaTheme="majorEastAsia" w:hAnsiTheme="minorHAnsi" w:cstheme="majorBidi"/>
      <w:color w:val="272727" w:themeColor="text1" w:themeTint="D8"/>
      <w:kern w:val="2"/>
      <w:lang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33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B33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B33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B33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B33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B33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33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33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33A7"/>
    <w:rPr>
      <w:rFonts w:eastAsiaTheme="majorEastAsia" w:cstheme="majorBidi"/>
      <w:color w:val="272727" w:themeColor="text1" w:themeTint="D8"/>
    </w:rPr>
  </w:style>
  <w:style w:type="paragraph" w:styleId="Title">
    <w:name w:val="Title"/>
    <w:basedOn w:val="Normal"/>
    <w:next w:val="Normal"/>
    <w:link w:val="TitleChar"/>
    <w:uiPriority w:val="10"/>
    <w:qFormat/>
    <w:rsid w:val="004B33A7"/>
    <w:pPr>
      <w:spacing w:after="80"/>
      <w:contextualSpacing/>
    </w:pPr>
    <w:rPr>
      <w:rFonts w:asciiTheme="majorHAnsi" w:eastAsiaTheme="majorEastAsia" w:hAnsiTheme="majorHAnsi" w:cstheme="majorBidi"/>
      <w:spacing w:val="-10"/>
      <w:kern w:val="28"/>
      <w:sz w:val="56"/>
      <w:szCs w:val="56"/>
      <w:lang w:eastAsia="zh-CN"/>
      <w14:ligatures w14:val="standardContextual"/>
    </w:rPr>
  </w:style>
  <w:style w:type="character" w:customStyle="1" w:styleId="TitleChar">
    <w:name w:val="Title Char"/>
    <w:basedOn w:val="DefaultParagraphFont"/>
    <w:link w:val="Title"/>
    <w:uiPriority w:val="10"/>
    <w:rsid w:val="004B33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33A7"/>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zh-CN"/>
      <w14:ligatures w14:val="standardContextual"/>
    </w:rPr>
  </w:style>
  <w:style w:type="character" w:customStyle="1" w:styleId="SubtitleChar">
    <w:name w:val="Subtitle Char"/>
    <w:basedOn w:val="DefaultParagraphFont"/>
    <w:link w:val="Subtitle"/>
    <w:uiPriority w:val="11"/>
    <w:rsid w:val="004B33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33A7"/>
    <w:pPr>
      <w:spacing w:before="160" w:after="160" w:line="278" w:lineRule="auto"/>
      <w:jc w:val="center"/>
    </w:pPr>
    <w:rPr>
      <w:rFonts w:asciiTheme="minorHAnsi" w:eastAsiaTheme="minorEastAsia" w:hAnsiTheme="minorHAnsi" w:cstheme="minorBidi"/>
      <w:i/>
      <w:iCs/>
      <w:color w:val="404040" w:themeColor="text1" w:themeTint="BF"/>
      <w:kern w:val="2"/>
      <w:lang w:eastAsia="zh-CN"/>
      <w14:ligatures w14:val="standardContextual"/>
    </w:rPr>
  </w:style>
  <w:style w:type="character" w:customStyle="1" w:styleId="QuoteChar">
    <w:name w:val="Quote Char"/>
    <w:basedOn w:val="DefaultParagraphFont"/>
    <w:link w:val="Quote"/>
    <w:uiPriority w:val="29"/>
    <w:rsid w:val="004B33A7"/>
    <w:rPr>
      <w:i/>
      <w:iCs/>
      <w:color w:val="404040" w:themeColor="text1" w:themeTint="BF"/>
    </w:rPr>
  </w:style>
  <w:style w:type="paragraph" w:styleId="ListParagraph">
    <w:name w:val="List Paragraph"/>
    <w:basedOn w:val="Normal"/>
    <w:uiPriority w:val="34"/>
    <w:qFormat/>
    <w:rsid w:val="004B33A7"/>
    <w:pPr>
      <w:spacing w:after="160" w:line="278" w:lineRule="auto"/>
      <w:ind w:left="720"/>
      <w:contextualSpacing/>
    </w:pPr>
    <w:rPr>
      <w:rFonts w:asciiTheme="minorHAnsi" w:eastAsiaTheme="minorEastAsia" w:hAnsiTheme="minorHAnsi" w:cstheme="minorBidi"/>
      <w:kern w:val="2"/>
      <w:lang w:eastAsia="zh-CN"/>
      <w14:ligatures w14:val="standardContextual"/>
    </w:rPr>
  </w:style>
  <w:style w:type="character" w:styleId="IntenseEmphasis">
    <w:name w:val="Intense Emphasis"/>
    <w:basedOn w:val="DefaultParagraphFont"/>
    <w:uiPriority w:val="21"/>
    <w:qFormat/>
    <w:rsid w:val="004B33A7"/>
    <w:rPr>
      <w:i/>
      <w:iCs/>
      <w:color w:val="0F4761" w:themeColor="accent1" w:themeShade="BF"/>
    </w:rPr>
  </w:style>
  <w:style w:type="paragraph" w:styleId="IntenseQuote">
    <w:name w:val="Intense Quote"/>
    <w:basedOn w:val="Normal"/>
    <w:next w:val="Normal"/>
    <w:link w:val="IntenseQuoteChar"/>
    <w:uiPriority w:val="30"/>
    <w:qFormat/>
    <w:rsid w:val="004B33A7"/>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EastAsia" w:hAnsiTheme="minorHAnsi" w:cstheme="minorBidi"/>
      <w:i/>
      <w:iCs/>
      <w:color w:val="0F4761" w:themeColor="accent1" w:themeShade="BF"/>
      <w:kern w:val="2"/>
      <w:lang w:eastAsia="zh-CN"/>
      <w14:ligatures w14:val="standardContextual"/>
    </w:rPr>
  </w:style>
  <w:style w:type="character" w:customStyle="1" w:styleId="IntenseQuoteChar">
    <w:name w:val="Intense Quote Char"/>
    <w:basedOn w:val="DefaultParagraphFont"/>
    <w:link w:val="IntenseQuote"/>
    <w:uiPriority w:val="30"/>
    <w:rsid w:val="004B33A7"/>
    <w:rPr>
      <w:i/>
      <w:iCs/>
      <w:color w:val="0F4761" w:themeColor="accent1" w:themeShade="BF"/>
    </w:rPr>
  </w:style>
  <w:style w:type="character" w:styleId="IntenseReference">
    <w:name w:val="Intense Reference"/>
    <w:basedOn w:val="DefaultParagraphFont"/>
    <w:uiPriority w:val="32"/>
    <w:qFormat/>
    <w:rsid w:val="004B33A7"/>
    <w:rPr>
      <w:b/>
      <w:bCs/>
      <w:smallCaps/>
      <w:color w:val="0F4761" w:themeColor="accent1" w:themeShade="BF"/>
      <w:spacing w:val="5"/>
    </w:rPr>
  </w:style>
  <w:style w:type="character" w:customStyle="1" w:styleId="normaltextrun">
    <w:name w:val="normaltextrun"/>
    <w:basedOn w:val="DefaultParagraphFont"/>
    <w:rsid w:val="004B5879"/>
  </w:style>
  <w:style w:type="character" w:customStyle="1" w:styleId="eop">
    <w:name w:val="eop"/>
    <w:basedOn w:val="DefaultParagraphFont"/>
    <w:rsid w:val="004B5879"/>
  </w:style>
  <w:style w:type="character" w:styleId="Hyperlink">
    <w:name w:val="Hyperlink"/>
    <w:basedOn w:val="DefaultParagraphFont"/>
    <w:uiPriority w:val="99"/>
    <w:unhideWhenUsed/>
    <w:rsid w:val="00A13BDF"/>
    <w:rPr>
      <w:color w:val="467886"/>
      <w:u w:val="single"/>
    </w:rPr>
  </w:style>
  <w:style w:type="paragraph" w:styleId="NormalWeb">
    <w:name w:val="Normal (Web)"/>
    <w:basedOn w:val="Normal"/>
    <w:uiPriority w:val="99"/>
    <w:semiHidden/>
    <w:unhideWhenUsed/>
    <w:rsid w:val="001C0EE5"/>
    <w:pPr>
      <w:spacing w:before="100" w:beforeAutospacing="1" w:after="100" w:afterAutospacing="1"/>
    </w:pPr>
  </w:style>
  <w:style w:type="paragraph" w:customStyle="1" w:styleId="paragraph">
    <w:name w:val="paragraph"/>
    <w:basedOn w:val="Normal"/>
    <w:rsid w:val="002447C4"/>
    <w:pPr>
      <w:spacing w:before="100" w:beforeAutospacing="1" w:after="100" w:afterAutospacing="1"/>
    </w:pPr>
  </w:style>
  <w:style w:type="character" w:styleId="UnresolvedMention">
    <w:name w:val="Unresolved Mention"/>
    <w:basedOn w:val="DefaultParagraphFont"/>
    <w:uiPriority w:val="99"/>
    <w:semiHidden/>
    <w:unhideWhenUsed/>
    <w:rsid w:val="0058165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8785447">
      <w:bodyDiv w:val="1"/>
      <w:marLeft w:val="0"/>
      <w:marRight w:val="0"/>
      <w:marTop w:val="0"/>
      <w:marBottom w:val="0"/>
      <w:divBdr>
        <w:top w:val="none" w:sz="0" w:space="0" w:color="auto"/>
        <w:left w:val="none" w:sz="0" w:space="0" w:color="auto"/>
        <w:bottom w:val="none" w:sz="0" w:space="0" w:color="auto"/>
        <w:right w:val="none" w:sz="0" w:space="0" w:color="auto"/>
      </w:divBdr>
      <w:divsChild>
        <w:div w:id="1390617976">
          <w:marLeft w:val="0"/>
          <w:marRight w:val="0"/>
          <w:marTop w:val="0"/>
          <w:marBottom w:val="0"/>
          <w:divBdr>
            <w:top w:val="none" w:sz="0" w:space="0" w:color="auto"/>
            <w:left w:val="none" w:sz="0" w:space="0" w:color="auto"/>
            <w:bottom w:val="none" w:sz="0" w:space="0" w:color="auto"/>
            <w:right w:val="none" w:sz="0" w:space="0" w:color="auto"/>
          </w:divBdr>
          <w:divsChild>
            <w:div w:id="909123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107748">
      <w:bodyDiv w:val="1"/>
      <w:marLeft w:val="0"/>
      <w:marRight w:val="0"/>
      <w:marTop w:val="0"/>
      <w:marBottom w:val="0"/>
      <w:divBdr>
        <w:top w:val="none" w:sz="0" w:space="0" w:color="auto"/>
        <w:left w:val="none" w:sz="0" w:space="0" w:color="auto"/>
        <w:bottom w:val="none" w:sz="0" w:space="0" w:color="auto"/>
        <w:right w:val="none" w:sz="0" w:space="0" w:color="auto"/>
      </w:divBdr>
      <w:divsChild>
        <w:div w:id="651522226">
          <w:marLeft w:val="0"/>
          <w:marRight w:val="0"/>
          <w:marTop w:val="0"/>
          <w:marBottom w:val="0"/>
          <w:divBdr>
            <w:top w:val="none" w:sz="0" w:space="0" w:color="auto"/>
            <w:left w:val="none" w:sz="0" w:space="0" w:color="auto"/>
            <w:bottom w:val="none" w:sz="0" w:space="0" w:color="auto"/>
            <w:right w:val="none" w:sz="0" w:space="0" w:color="auto"/>
          </w:divBdr>
          <w:divsChild>
            <w:div w:id="1952741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653741">
      <w:bodyDiv w:val="1"/>
      <w:marLeft w:val="0"/>
      <w:marRight w:val="0"/>
      <w:marTop w:val="0"/>
      <w:marBottom w:val="0"/>
      <w:divBdr>
        <w:top w:val="none" w:sz="0" w:space="0" w:color="auto"/>
        <w:left w:val="none" w:sz="0" w:space="0" w:color="auto"/>
        <w:bottom w:val="none" w:sz="0" w:space="0" w:color="auto"/>
        <w:right w:val="none" w:sz="0" w:space="0" w:color="auto"/>
      </w:divBdr>
      <w:divsChild>
        <w:div w:id="1252425180">
          <w:marLeft w:val="0"/>
          <w:marRight w:val="0"/>
          <w:marTop w:val="0"/>
          <w:marBottom w:val="0"/>
          <w:divBdr>
            <w:top w:val="none" w:sz="0" w:space="0" w:color="auto"/>
            <w:left w:val="none" w:sz="0" w:space="0" w:color="auto"/>
            <w:bottom w:val="none" w:sz="0" w:space="0" w:color="auto"/>
            <w:right w:val="none" w:sz="0" w:space="0" w:color="auto"/>
          </w:divBdr>
          <w:divsChild>
            <w:div w:id="1190339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205599">
      <w:bodyDiv w:val="1"/>
      <w:marLeft w:val="0"/>
      <w:marRight w:val="0"/>
      <w:marTop w:val="0"/>
      <w:marBottom w:val="0"/>
      <w:divBdr>
        <w:top w:val="none" w:sz="0" w:space="0" w:color="auto"/>
        <w:left w:val="none" w:sz="0" w:space="0" w:color="auto"/>
        <w:bottom w:val="none" w:sz="0" w:space="0" w:color="auto"/>
        <w:right w:val="none" w:sz="0" w:space="0" w:color="auto"/>
      </w:divBdr>
      <w:divsChild>
        <w:div w:id="1463038353">
          <w:marLeft w:val="0"/>
          <w:marRight w:val="0"/>
          <w:marTop w:val="0"/>
          <w:marBottom w:val="0"/>
          <w:divBdr>
            <w:top w:val="none" w:sz="0" w:space="0" w:color="auto"/>
            <w:left w:val="none" w:sz="0" w:space="0" w:color="auto"/>
            <w:bottom w:val="none" w:sz="0" w:space="0" w:color="auto"/>
            <w:right w:val="none" w:sz="0" w:space="0" w:color="auto"/>
          </w:divBdr>
          <w:divsChild>
            <w:div w:id="1066496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9829989">
      <w:bodyDiv w:val="1"/>
      <w:marLeft w:val="0"/>
      <w:marRight w:val="0"/>
      <w:marTop w:val="0"/>
      <w:marBottom w:val="0"/>
      <w:divBdr>
        <w:top w:val="none" w:sz="0" w:space="0" w:color="auto"/>
        <w:left w:val="none" w:sz="0" w:space="0" w:color="auto"/>
        <w:bottom w:val="none" w:sz="0" w:space="0" w:color="auto"/>
        <w:right w:val="none" w:sz="0" w:space="0" w:color="auto"/>
      </w:divBdr>
    </w:div>
    <w:div w:id="392512225">
      <w:bodyDiv w:val="1"/>
      <w:marLeft w:val="0"/>
      <w:marRight w:val="0"/>
      <w:marTop w:val="0"/>
      <w:marBottom w:val="0"/>
      <w:divBdr>
        <w:top w:val="none" w:sz="0" w:space="0" w:color="auto"/>
        <w:left w:val="none" w:sz="0" w:space="0" w:color="auto"/>
        <w:bottom w:val="none" w:sz="0" w:space="0" w:color="auto"/>
        <w:right w:val="none" w:sz="0" w:space="0" w:color="auto"/>
      </w:divBdr>
      <w:divsChild>
        <w:div w:id="1141773561">
          <w:marLeft w:val="0"/>
          <w:marRight w:val="0"/>
          <w:marTop w:val="0"/>
          <w:marBottom w:val="0"/>
          <w:divBdr>
            <w:top w:val="none" w:sz="0" w:space="0" w:color="auto"/>
            <w:left w:val="none" w:sz="0" w:space="0" w:color="auto"/>
            <w:bottom w:val="none" w:sz="0" w:space="0" w:color="auto"/>
            <w:right w:val="none" w:sz="0" w:space="0" w:color="auto"/>
          </w:divBdr>
          <w:divsChild>
            <w:div w:id="503401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4329365">
      <w:bodyDiv w:val="1"/>
      <w:marLeft w:val="0"/>
      <w:marRight w:val="0"/>
      <w:marTop w:val="0"/>
      <w:marBottom w:val="0"/>
      <w:divBdr>
        <w:top w:val="none" w:sz="0" w:space="0" w:color="auto"/>
        <w:left w:val="none" w:sz="0" w:space="0" w:color="auto"/>
        <w:bottom w:val="none" w:sz="0" w:space="0" w:color="auto"/>
        <w:right w:val="none" w:sz="0" w:space="0" w:color="auto"/>
      </w:divBdr>
      <w:divsChild>
        <w:div w:id="1462963712">
          <w:marLeft w:val="144"/>
          <w:marRight w:val="0"/>
          <w:marTop w:val="240"/>
          <w:marBottom w:val="160"/>
          <w:divBdr>
            <w:top w:val="none" w:sz="0" w:space="0" w:color="auto"/>
            <w:left w:val="none" w:sz="0" w:space="0" w:color="auto"/>
            <w:bottom w:val="none" w:sz="0" w:space="0" w:color="auto"/>
            <w:right w:val="none" w:sz="0" w:space="0" w:color="auto"/>
          </w:divBdr>
        </w:div>
        <w:div w:id="2002733311">
          <w:marLeft w:val="144"/>
          <w:marRight w:val="0"/>
          <w:marTop w:val="240"/>
          <w:marBottom w:val="160"/>
          <w:divBdr>
            <w:top w:val="none" w:sz="0" w:space="0" w:color="auto"/>
            <w:left w:val="none" w:sz="0" w:space="0" w:color="auto"/>
            <w:bottom w:val="none" w:sz="0" w:space="0" w:color="auto"/>
            <w:right w:val="none" w:sz="0" w:space="0" w:color="auto"/>
          </w:divBdr>
        </w:div>
        <w:div w:id="303585363">
          <w:marLeft w:val="144"/>
          <w:marRight w:val="0"/>
          <w:marTop w:val="240"/>
          <w:marBottom w:val="160"/>
          <w:divBdr>
            <w:top w:val="none" w:sz="0" w:space="0" w:color="auto"/>
            <w:left w:val="none" w:sz="0" w:space="0" w:color="auto"/>
            <w:bottom w:val="none" w:sz="0" w:space="0" w:color="auto"/>
            <w:right w:val="none" w:sz="0" w:space="0" w:color="auto"/>
          </w:divBdr>
        </w:div>
      </w:divsChild>
    </w:div>
    <w:div w:id="452596255">
      <w:bodyDiv w:val="1"/>
      <w:marLeft w:val="0"/>
      <w:marRight w:val="0"/>
      <w:marTop w:val="0"/>
      <w:marBottom w:val="0"/>
      <w:divBdr>
        <w:top w:val="none" w:sz="0" w:space="0" w:color="auto"/>
        <w:left w:val="none" w:sz="0" w:space="0" w:color="auto"/>
        <w:bottom w:val="none" w:sz="0" w:space="0" w:color="auto"/>
        <w:right w:val="none" w:sz="0" w:space="0" w:color="auto"/>
      </w:divBdr>
      <w:divsChild>
        <w:div w:id="889683667">
          <w:marLeft w:val="0"/>
          <w:marRight w:val="0"/>
          <w:marTop w:val="0"/>
          <w:marBottom w:val="0"/>
          <w:divBdr>
            <w:top w:val="none" w:sz="0" w:space="0" w:color="auto"/>
            <w:left w:val="none" w:sz="0" w:space="0" w:color="auto"/>
            <w:bottom w:val="none" w:sz="0" w:space="0" w:color="auto"/>
            <w:right w:val="none" w:sz="0" w:space="0" w:color="auto"/>
          </w:divBdr>
          <w:divsChild>
            <w:div w:id="362361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5457178">
      <w:bodyDiv w:val="1"/>
      <w:marLeft w:val="0"/>
      <w:marRight w:val="0"/>
      <w:marTop w:val="0"/>
      <w:marBottom w:val="0"/>
      <w:divBdr>
        <w:top w:val="none" w:sz="0" w:space="0" w:color="auto"/>
        <w:left w:val="none" w:sz="0" w:space="0" w:color="auto"/>
        <w:bottom w:val="none" w:sz="0" w:space="0" w:color="auto"/>
        <w:right w:val="none" w:sz="0" w:space="0" w:color="auto"/>
      </w:divBdr>
      <w:divsChild>
        <w:div w:id="1645239333">
          <w:marLeft w:val="0"/>
          <w:marRight w:val="0"/>
          <w:marTop w:val="0"/>
          <w:marBottom w:val="0"/>
          <w:divBdr>
            <w:top w:val="none" w:sz="0" w:space="0" w:color="auto"/>
            <w:left w:val="none" w:sz="0" w:space="0" w:color="auto"/>
            <w:bottom w:val="none" w:sz="0" w:space="0" w:color="auto"/>
            <w:right w:val="none" w:sz="0" w:space="0" w:color="auto"/>
          </w:divBdr>
          <w:divsChild>
            <w:div w:id="874006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8269091">
      <w:bodyDiv w:val="1"/>
      <w:marLeft w:val="0"/>
      <w:marRight w:val="0"/>
      <w:marTop w:val="0"/>
      <w:marBottom w:val="0"/>
      <w:divBdr>
        <w:top w:val="none" w:sz="0" w:space="0" w:color="auto"/>
        <w:left w:val="none" w:sz="0" w:space="0" w:color="auto"/>
        <w:bottom w:val="none" w:sz="0" w:space="0" w:color="auto"/>
        <w:right w:val="none" w:sz="0" w:space="0" w:color="auto"/>
      </w:divBdr>
      <w:divsChild>
        <w:div w:id="1596210218">
          <w:marLeft w:val="0"/>
          <w:marRight w:val="0"/>
          <w:marTop w:val="0"/>
          <w:marBottom w:val="0"/>
          <w:divBdr>
            <w:top w:val="none" w:sz="0" w:space="0" w:color="auto"/>
            <w:left w:val="none" w:sz="0" w:space="0" w:color="auto"/>
            <w:bottom w:val="none" w:sz="0" w:space="0" w:color="auto"/>
            <w:right w:val="none" w:sz="0" w:space="0" w:color="auto"/>
          </w:divBdr>
          <w:divsChild>
            <w:div w:id="386537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9646546">
      <w:bodyDiv w:val="1"/>
      <w:marLeft w:val="0"/>
      <w:marRight w:val="0"/>
      <w:marTop w:val="0"/>
      <w:marBottom w:val="0"/>
      <w:divBdr>
        <w:top w:val="none" w:sz="0" w:space="0" w:color="auto"/>
        <w:left w:val="none" w:sz="0" w:space="0" w:color="auto"/>
        <w:bottom w:val="none" w:sz="0" w:space="0" w:color="auto"/>
        <w:right w:val="none" w:sz="0" w:space="0" w:color="auto"/>
      </w:divBdr>
      <w:divsChild>
        <w:div w:id="1678802740">
          <w:marLeft w:val="0"/>
          <w:marRight w:val="0"/>
          <w:marTop w:val="0"/>
          <w:marBottom w:val="0"/>
          <w:divBdr>
            <w:top w:val="none" w:sz="0" w:space="0" w:color="auto"/>
            <w:left w:val="none" w:sz="0" w:space="0" w:color="auto"/>
            <w:bottom w:val="none" w:sz="0" w:space="0" w:color="auto"/>
            <w:right w:val="none" w:sz="0" w:space="0" w:color="auto"/>
          </w:divBdr>
          <w:divsChild>
            <w:div w:id="1554582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9317503">
      <w:bodyDiv w:val="1"/>
      <w:marLeft w:val="0"/>
      <w:marRight w:val="0"/>
      <w:marTop w:val="0"/>
      <w:marBottom w:val="0"/>
      <w:divBdr>
        <w:top w:val="none" w:sz="0" w:space="0" w:color="auto"/>
        <w:left w:val="none" w:sz="0" w:space="0" w:color="auto"/>
        <w:bottom w:val="none" w:sz="0" w:space="0" w:color="auto"/>
        <w:right w:val="none" w:sz="0" w:space="0" w:color="auto"/>
      </w:divBdr>
      <w:divsChild>
        <w:div w:id="1518813774">
          <w:marLeft w:val="0"/>
          <w:marRight w:val="0"/>
          <w:marTop w:val="0"/>
          <w:marBottom w:val="0"/>
          <w:divBdr>
            <w:top w:val="none" w:sz="0" w:space="0" w:color="auto"/>
            <w:left w:val="none" w:sz="0" w:space="0" w:color="auto"/>
            <w:bottom w:val="none" w:sz="0" w:space="0" w:color="auto"/>
            <w:right w:val="none" w:sz="0" w:space="0" w:color="auto"/>
          </w:divBdr>
          <w:divsChild>
            <w:div w:id="297615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0329617">
      <w:bodyDiv w:val="1"/>
      <w:marLeft w:val="0"/>
      <w:marRight w:val="0"/>
      <w:marTop w:val="0"/>
      <w:marBottom w:val="0"/>
      <w:divBdr>
        <w:top w:val="none" w:sz="0" w:space="0" w:color="auto"/>
        <w:left w:val="none" w:sz="0" w:space="0" w:color="auto"/>
        <w:bottom w:val="none" w:sz="0" w:space="0" w:color="auto"/>
        <w:right w:val="none" w:sz="0" w:space="0" w:color="auto"/>
      </w:divBdr>
      <w:divsChild>
        <w:div w:id="1900507162">
          <w:marLeft w:val="0"/>
          <w:marRight w:val="0"/>
          <w:marTop w:val="0"/>
          <w:marBottom w:val="0"/>
          <w:divBdr>
            <w:top w:val="none" w:sz="0" w:space="0" w:color="auto"/>
            <w:left w:val="none" w:sz="0" w:space="0" w:color="auto"/>
            <w:bottom w:val="none" w:sz="0" w:space="0" w:color="auto"/>
            <w:right w:val="none" w:sz="0" w:space="0" w:color="auto"/>
          </w:divBdr>
          <w:divsChild>
            <w:div w:id="673192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6456634">
      <w:bodyDiv w:val="1"/>
      <w:marLeft w:val="0"/>
      <w:marRight w:val="0"/>
      <w:marTop w:val="0"/>
      <w:marBottom w:val="0"/>
      <w:divBdr>
        <w:top w:val="none" w:sz="0" w:space="0" w:color="auto"/>
        <w:left w:val="none" w:sz="0" w:space="0" w:color="auto"/>
        <w:bottom w:val="none" w:sz="0" w:space="0" w:color="auto"/>
        <w:right w:val="none" w:sz="0" w:space="0" w:color="auto"/>
      </w:divBdr>
      <w:divsChild>
        <w:div w:id="1910921432">
          <w:marLeft w:val="144"/>
          <w:marRight w:val="0"/>
          <w:marTop w:val="240"/>
          <w:marBottom w:val="160"/>
          <w:divBdr>
            <w:top w:val="none" w:sz="0" w:space="0" w:color="auto"/>
            <w:left w:val="none" w:sz="0" w:space="0" w:color="auto"/>
            <w:bottom w:val="none" w:sz="0" w:space="0" w:color="auto"/>
            <w:right w:val="none" w:sz="0" w:space="0" w:color="auto"/>
          </w:divBdr>
        </w:div>
        <w:div w:id="698089724">
          <w:marLeft w:val="144"/>
          <w:marRight w:val="0"/>
          <w:marTop w:val="240"/>
          <w:marBottom w:val="160"/>
          <w:divBdr>
            <w:top w:val="none" w:sz="0" w:space="0" w:color="auto"/>
            <w:left w:val="none" w:sz="0" w:space="0" w:color="auto"/>
            <w:bottom w:val="none" w:sz="0" w:space="0" w:color="auto"/>
            <w:right w:val="none" w:sz="0" w:space="0" w:color="auto"/>
          </w:divBdr>
        </w:div>
      </w:divsChild>
    </w:div>
    <w:div w:id="1180781206">
      <w:bodyDiv w:val="1"/>
      <w:marLeft w:val="0"/>
      <w:marRight w:val="0"/>
      <w:marTop w:val="0"/>
      <w:marBottom w:val="0"/>
      <w:divBdr>
        <w:top w:val="none" w:sz="0" w:space="0" w:color="auto"/>
        <w:left w:val="none" w:sz="0" w:space="0" w:color="auto"/>
        <w:bottom w:val="none" w:sz="0" w:space="0" w:color="auto"/>
        <w:right w:val="none" w:sz="0" w:space="0" w:color="auto"/>
      </w:divBdr>
      <w:divsChild>
        <w:div w:id="1895236736">
          <w:marLeft w:val="144"/>
          <w:marRight w:val="0"/>
          <w:marTop w:val="240"/>
          <w:marBottom w:val="160"/>
          <w:divBdr>
            <w:top w:val="none" w:sz="0" w:space="0" w:color="auto"/>
            <w:left w:val="none" w:sz="0" w:space="0" w:color="auto"/>
            <w:bottom w:val="none" w:sz="0" w:space="0" w:color="auto"/>
            <w:right w:val="none" w:sz="0" w:space="0" w:color="auto"/>
          </w:divBdr>
        </w:div>
        <w:div w:id="716710646">
          <w:marLeft w:val="144"/>
          <w:marRight w:val="0"/>
          <w:marTop w:val="240"/>
          <w:marBottom w:val="160"/>
          <w:divBdr>
            <w:top w:val="none" w:sz="0" w:space="0" w:color="auto"/>
            <w:left w:val="none" w:sz="0" w:space="0" w:color="auto"/>
            <w:bottom w:val="none" w:sz="0" w:space="0" w:color="auto"/>
            <w:right w:val="none" w:sz="0" w:space="0" w:color="auto"/>
          </w:divBdr>
        </w:div>
      </w:divsChild>
    </w:div>
    <w:div w:id="1210267454">
      <w:bodyDiv w:val="1"/>
      <w:marLeft w:val="0"/>
      <w:marRight w:val="0"/>
      <w:marTop w:val="0"/>
      <w:marBottom w:val="0"/>
      <w:divBdr>
        <w:top w:val="none" w:sz="0" w:space="0" w:color="auto"/>
        <w:left w:val="none" w:sz="0" w:space="0" w:color="auto"/>
        <w:bottom w:val="none" w:sz="0" w:space="0" w:color="auto"/>
        <w:right w:val="none" w:sz="0" w:space="0" w:color="auto"/>
      </w:divBdr>
      <w:divsChild>
        <w:div w:id="1786657147">
          <w:marLeft w:val="0"/>
          <w:marRight w:val="0"/>
          <w:marTop w:val="0"/>
          <w:marBottom w:val="0"/>
          <w:divBdr>
            <w:top w:val="none" w:sz="0" w:space="0" w:color="auto"/>
            <w:left w:val="none" w:sz="0" w:space="0" w:color="auto"/>
            <w:bottom w:val="none" w:sz="0" w:space="0" w:color="auto"/>
            <w:right w:val="none" w:sz="0" w:space="0" w:color="auto"/>
          </w:divBdr>
          <w:divsChild>
            <w:div w:id="1005595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8950993">
      <w:bodyDiv w:val="1"/>
      <w:marLeft w:val="0"/>
      <w:marRight w:val="0"/>
      <w:marTop w:val="0"/>
      <w:marBottom w:val="0"/>
      <w:divBdr>
        <w:top w:val="none" w:sz="0" w:space="0" w:color="auto"/>
        <w:left w:val="none" w:sz="0" w:space="0" w:color="auto"/>
        <w:bottom w:val="none" w:sz="0" w:space="0" w:color="auto"/>
        <w:right w:val="none" w:sz="0" w:space="0" w:color="auto"/>
      </w:divBdr>
      <w:divsChild>
        <w:div w:id="240529643">
          <w:marLeft w:val="0"/>
          <w:marRight w:val="0"/>
          <w:marTop w:val="0"/>
          <w:marBottom w:val="0"/>
          <w:divBdr>
            <w:top w:val="none" w:sz="0" w:space="0" w:color="auto"/>
            <w:left w:val="none" w:sz="0" w:space="0" w:color="auto"/>
            <w:bottom w:val="none" w:sz="0" w:space="0" w:color="auto"/>
            <w:right w:val="none" w:sz="0" w:space="0" w:color="auto"/>
          </w:divBdr>
          <w:divsChild>
            <w:div w:id="280765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6380581">
      <w:bodyDiv w:val="1"/>
      <w:marLeft w:val="0"/>
      <w:marRight w:val="0"/>
      <w:marTop w:val="0"/>
      <w:marBottom w:val="0"/>
      <w:divBdr>
        <w:top w:val="none" w:sz="0" w:space="0" w:color="auto"/>
        <w:left w:val="none" w:sz="0" w:space="0" w:color="auto"/>
        <w:bottom w:val="none" w:sz="0" w:space="0" w:color="auto"/>
        <w:right w:val="none" w:sz="0" w:space="0" w:color="auto"/>
      </w:divBdr>
      <w:divsChild>
        <w:div w:id="475536768">
          <w:marLeft w:val="0"/>
          <w:marRight w:val="0"/>
          <w:marTop w:val="0"/>
          <w:marBottom w:val="0"/>
          <w:divBdr>
            <w:top w:val="none" w:sz="0" w:space="0" w:color="auto"/>
            <w:left w:val="none" w:sz="0" w:space="0" w:color="auto"/>
            <w:bottom w:val="none" w:sz="0" w:space="0" w:color="auto"/>
            <w:right w:val="none" w:sz="0" w:space="0" w:color="auto"/>
          </w:divBdr>
          <w:divsChild>
            <w:div w:id="528759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0110821">
      <w:bodyDiv w:val="1"/>
      <w:marLeft w:val="0"/>
      <w:marRight w:val="0"/>
      <w:marTop w:val="0"/>
      <w:marBottom w:val="0"/>
      <w:divBdr>
        <w:top w:val="none" w:sz="0" w:space="0" w:color="auto"/>
        <w:left w:val="none" w:sz="0" w:space="0" w:color="auto"/>
        <w:bottom w:val="none" w:sz="0" w:space="0" w:color="auto"/>
        <w:right w:val="none" w:sz="0" w:space="0" w:color="auto"/>
      </w:divBdr>
      <w:divsChild>
        <w:div w:id="1808666805">
          <w:marLeft w:val="0"/>
          <w:marRight w:val="0"/>
          <w:marTop w:val="0"/>
          <w:marBottom w:val="0"/>
          <w:divBdr>
            <w:top w:val="none" w:sz="0" w:space="0" w:color="auto"/>
            <w:left w:val="none" w:sz="0" w:space="0" w:color="auto"/>
            <w:bottom w:val="none" w:sz="0" w:space="0" w:color="auto"/>
            <w:right w:val="none" w:sz="0" w:space="0" w:color="auto"/>
          </w:divBdr>
        </w:div>
        <w:div w:id="124473882">
          <w:marLeft w:val="0"/>
          <w:marRight w:val="0"/>
          <w:marTop w:val="0"/>
          <w:marBottom w:val="0"/>
          <w:divBdr>
            <w:top w:val="none" w:sz="0" w:space="0" w:color="auto"/>
            <w:left w:val="none" w:sz="0" w:space="0" w:color="auto"/>
            <w:bottom w:val="none" w:sz="0" w:space="0" w:color="auto"/>
            <w:right w:val="none" w:sz="0" w:space="0" w:color="auto"/>
          </w:divBdr>
        </w:div>
      </w:divsChild>
    </w:div>
    <w:div w:id="1572236153">
      <w:bodyDiv w:val="1"/>
      <w:marLeft w:val="0"/>
      <w:marRight w:val="0"/>
      <w:marTop w:val="0"/>
      <w:marBottom w:val="0"/>
      <w:divBdr>
        <w:top w:val="none" w:sz="0" w:space="0" w:color="auto"/>
        <w:left w:val="none" w:sz="0" w:space="0" w:color="auto"/>
        <w:bottom w:val="none" w:sz="0" w:space="0" w:color="auto"/>
        <w:right w:val="none" w:sz="0" w:space="0" w:color="auto"/>
      </w:divBdr>
      <w:divsChild>
        <w:div w:id="971864275">
          <w:marLeft w:val="0"/>
          <w:marRight w:val="0"/>
          <w:marTop w:val="0"/>
          <w:marBottom w:val="0"/>
          <w:divBdr>
            <w:top w:val="none" w:sz="0" w:space="0" w:color="auto"/>
            <w:left w:val="none" w:sz="0" w:space="0" w:color="auto"/>
            <w:bottom w:val="none" w:sz="0" w:space="0" w:color="auto"/>
            <w:right w:val="none" w:sz="0" w:space="0" w:color="auto"/>
          </w:divBdr>
          <w:divsChild>
            <w:div w:id="1922137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9607993">
      <w:bodyDiv w:val="1"/>
      <w:marLeft w:val="0"/>
      <w:marRight w:val="0"/>
      <w:marTop w:val="0"/>
      <w:marBottom w:val="0"/>
      <w:divBdr>
        <w:top w:val="none" w:sz="0" w:space="0" w:color="auto"/>
        <w:left w:val="none" w:sz="0" w:space="0" w:color="auto"/>
        <w:bottom w:val="none" w:sz="0" w:space="0" w:color="auto"/>
        <w:right w:val="none" w:sz="0" w:space="0" w:color="auto"/>
      </w:divBdr>
      <w:divsChild>
        <w:div w:id="1420173003">
          <w:marLeft w:val="0"/>
          <w:marRight w:val="0"/>
          <w:marTop w:val="0"/>
          <w:marBottom w:val="0"/>
          <w:divBdr>
            <w:top w:val="none" w:sz="0" w:space="0" w:color="auto"/>
            <w:left w:val="none" w:sz="0" w:space="0" w:color="auto"/>
            <w:bottom w:val="none" w:sz="0" w:space="0" w:color="auto"/>
            <w:right w:val="none" w:sz="0" w:space="0" w:color="auto"/>
          </w:divBdr>
          <w:divsChild>
            <w:div w:id="1824274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9882041">
      <w:bodyDiv w:val="1"/>
      <w:marLeft w:val="0"/>
      <w:marRight w:val="0"/>
      <w:marTop w:val="0"/>
      <w:marBottom w:val="0"/>
      <w:divBdr>
        <w:top w:val="none" w:sz="0" w:space="0" w:color="auto"/>
        <w:left w:val="none" w:sz="0" w:space="0" w:color="auto"/>
        <w:bottom w:val="none" w:sz="0" w:space="0" w:color="auto"/>
        <w:right w:val="none" w:sz="0" w:space="0" w:color="auto"/>
      </w:divBdr>
      <w:divsChild>
        <w:div w:id="1244486101">
          <w:marLeft w:val="0"/>
          <w:marRight w:val="0"/>
          <w:marTop w:val="0"/>
          <w:marBottom w:val="0"/>
          <w:divBdr>
            <w:top w:val="none" w:sz="0" w:space="0" w:color="auto"/>
            <w:left w:val="none" w:sz="0" w:space="0" w:color="auto"/>
            <w:bottom w:val="none" w:sz="0" w:space="0" w:color="auto"/>
            <w:right w:val="none" w:sz="0" w:space="0" w:color="auto"/>
          </w:divBdr>
          <w:divsChild>
            <w:div w:id="113596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3810983">
      <w:bodyDiv w:val="1"/>
      <w:marLeft w:val="0"/>
      <w:marRight w:val="0"/>
      <w:marTop w:val="0"/>
      <w:marBottom w:val="0"/>
      <w:divBdr>
        <w:top w:val="none" w:sz="0" w:space="0" w:color="auto"/>
        <w:left w:val="none" w:sz="0" w:space="0" w:color="auto"/>
        <w:bottom w:val="none" w:sz="0" w:space="0" w:color="auto"/>
        <w:right w:val="none" w:sz="0" w:space="0" w:color="auto"/>
      </w:divBdr>
      <w:divsChild>
        <w:div w:id="72962262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68507908">
      <w:bodyDiv w:val="1"/>
      <w:marLeft w:val="0"/>
      <w:marRight w:val="0"/>
      <w:marTop w:val="0"/>
      <w:marBottom w:val="0"/>
      <w:divBdr>
        <w:top w:val="none" w:sz="0" w:space="0" w:color="auto"/>
        <w:left w:val="none" w:sz="0" w:space="0" w:color="auto"/>
        <w:bottom w:val="none" w:sz="0" w:space="0" w:color="auto"/>
        <w:right w:val="none" w:sz="0" w:space="0" w:color="auto"/>
      </w:divBdr>
      <w:divsChild>
        <w:div w:id="696855978">
          <w:marLeft w:val="0"/>
          <w:marRight w:val="0"/>
          <w:marTop w:val="0"/>
          <w:marBottom w:val="0"/>
          <w:divBdr>
            <w:top w:val="none" w:sz="0" w:space="0" w:color="auto"/>
            <w:left w:val="none" w:sz="0" w:space="0" w:color="auto"/>
            <w:bottom w:val="none" w:sz="0" w:space="0" w:color="auto"/>
            <w:right w:val="none" w:sz="0" w:space="0" w:color="auto"/>
          </w:divBdr>
          <w:divsChild>
            <w:div w:id="307782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6414231">
      <w:bodyDiv w:val="1"/>
      <w:marLeft w:val="0"/>
      <w:marRight w:val="0"/>
      <w:marTop w:val="0"/>
      <w:marBottom w:val="0"/>
      <w:divBdr>
        <w:top w:val="none" w:sz="0" w:space="0" w:color="auto"/>
        <w:left w:val="none" w:sz="0" w:space="0" w:color="auto"/>
        <w:bottom w:val="none" w:sz="0" w:space="0" w:color="auto"/>
        <w:right w:val="none" w:sz="0" w:space="0" w:color="auto"/>
      </w:divBdr>
      <w:divsChild>
        <w:div w:id="1516069327">
          <w:marLeft w:val="0"/>
          <w:marRight w:val="0"/>
          <w:marTop w:val="0"/>
          <w:marBottom w:val="0"/>
          <w:divBdr>
            <w:top w:val="none" w:sz="0" w:space="0" w:color="auto"/>
            <w:left w:val="none" w:sz="0" w:space="0" w:color="auto"/>
            <w:bottom w:val="none" w:sz="0" w:space="0" w:color="auto"/>
            <w:right w:val="none" w:sz="0" w:space="0" w:color="auto"/>
          </w:divBdr>
          <w:divsChild>
            <w:div w:id="545799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4676223">
      <w:bodyDiv w:val="1"/>
      <w:marLeft w:val="0"/>
      <w:marRight w:val="0"/>
      <w:marTop w:val="0"/>
      <w:marBottom w:val="0"/>
      <w:divBdr>
        <w:top w:val="none" w:sz="0" w:space="0" w:color="auto"/>
        <w:left w:val="none" w:sz="0" w:space="0" w:color="auto"/>
        <w:bottom w:val="none" w:sz="0" w:space="0" w:color="auto"/>
        <w:right w:val="none" w:sz="0" w:space="0" w:color="auto"/>
      </w:divBdr>
      <w:divsChild>
        <w:div w:id="1533957790">
          <w:marLeft w:val="0"/>
          <w:marRight w:val="0"/>
          <w:marTop w:val="0"/>
          <w:marBottom w:val="0"/>
          <w:divBdr>
            <w:top w:val="none" w:sz="0" w:space="0" w:color="auto"/>
            <w:left w:val="none" w:sz="0" w:space="0" w:color="auto"/>
            <w:bottom w:val="none" w:sz="0" w:space="0" w:color="auto"/>
            <w:right w:val="none" w:sz="0" w:space="0" w:color="auto"/>
          </w:divBdr>
          <w:divsChild>
            <w:div w:id="2059893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2602938.2015.1100711" TargetMode="External"/><Relationship Id="rId13" Type="http://schemas.openxmlformats.org/officeDocument/2006/relationships/hyperlink" Target="https://doi.org/10.1080/02602938.2019.1689545" TargetMode="External"/><Relationship Id="rId18" Type="http://schemas.openxmlformats.org/officeDocument/2006/relationships/hyperlink" Target="https://doi.org/10.1080/02602938.2013.795518" TargetMode="External"/><Relationship Id="rId26" Type="http://schemas.openxmlformats.org/officeDocument/2006/relationships/hyperlink" Target="https://doi.org/10.1080/13562517.2021.2021393" TargetMode="External"/><Relationship Id="rId3" Type="http://schemas.openxmlformats.org/officeDocument/2006/relationships/styles" Target="styles.xml"/><Relationship Id="rId21" Type="http://schemas.openxmlformats.org/officeDocument/2006/relationships/hyperlink" Target="https://doi.org/10.1080/02602938.2015.1008982" TargetMode="External"/><Relationship Id="rId7" Type="http://schemas.openxmlformats.org/officeDocument/2006/relationships/hyperlink" Target="https://doi.org/10.1080/02602938.2017.1339775" TargetMode="External"/><Relationship Id="rId12" Type="http://schemas.openxmlformats.org/officeDocument/2006/relationships/hyperlink" Target="https://doi.org/10.1080/07294360.2024.2407083" TargetMode="External"/><Relationship Id="rId17" Type="http://schemas.openxmlformats.org/officeDocument/2006/relationships/hyperlink" Target="https://doi.org/10.1007/s10734-012-9570-z" TargetMode="External"/><Relationship Id="rId25" Type="http://schemas.openxmlformats.org/officeDocument/2006/relationships/hyperlink" Target="https://doi.org/10.1080/00405840802577569" TargetMode="External"/><Relationship Id="rId2" Type="http://schemas.openxmlformats.org/officeDocument/2006/relationships/numbering" Target="numbering.xml"/><Relationship Id="rId16" Type="http://schemas.openxmlformats.org/officeDocument/2006/relationships/hyperlink" Target="https://doi.org/10.1080/02602938.2025.2475059" TargetMode="External"/><Relationship Id="rId20" Type="http://schemas.openxmlformats.org/officeDocument/2006/relationships/hyperlink" Target="https://doi.org/10.13128/form-8339"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oi.org/10.3102/00346543070003287" TargetMode="External"/><Relationship Id="rId24" Type="http://schemas.openxmlformats.org/officeDocument/2006/relationships/hyperlink" Target="https://doi.org/10.1080/02602938.2018.1548559" TargetMode="External"/><Relationship Id="rId5" Type="http://schemas.openxmlformats.org/officeDocument/2006/relationships/webSettings" Target="webSettings.xml"/><Relationship Id="rId15" Type="http://schemas.openxmlformats.org/officeDocument/2006/relationships/hyperlink" Target="https://doi.org/10.1080/02602938.2019.1620679" TargetMode="External"/><Relationship Id="rId23" Type="http://schemas.openxmlformats.org/officeDocument/2006/relationships/hyperlink" Target="https://doi.org/10.1007/s10734-017-0220-3" TargetMode="External"/><Relationship Id="rId28" Type="http://schemas.openxmlformats.org/officeDocument/2006/relationships/theme" Target="theme/theme1.xml"/><Relationship Id="rId10" Type="http://schemas.openxmlformats.org/officeDocument/2006/relationships/hyperlink" Target="https://doi.org/10.1080/2159676X.2019.1628806" TargetMode="External"/><Relationship Id="rId19" Type="http://schemas.openxmlformats.org/officeDocument/2006/relationships/hyperlink" Target="https://doi.org/10.1080/02602938.2019.1600186" TargetMode="External"/><Relationship Id="rId4" Type="http://schemas.openxmlformats.org/officeDocument/2006/relationships/settings" Target="settings.xml"/><Relationship Id="rId9" Type="http://schemas.openxmlformats.org/officeDocument/2006/relationships/hyperlink" Target="https://doi.org/10.1191/1478088706qp063oa" TargetMode="External"/><Relationship Id="rId14" Type="http://schemas.openxmlformats.org/officeDocument/2006/relationships/hyperlink" Target="https://doi.org/10.1080/02602938.2018.1545896" TargetMode="External"/><Relationship Id="rId22" Type="http://schemas.openxmlformats.org/officeDocument/2006/relationships/hyperlink" Target="https://doi.org/10.1186/s12874-019-0707-y"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A0ED14F-6E69-9045-A9C5-0DFDB3882F99}">
  <we:reference id="wa200001011" version="1.4.0.0" store="en-GB" storeType="OMEX"/>
  <we:alternateReferences>
    <we:reference id="wa200001011" version="1.4.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136FD1-CB8B-6B4A-A234-59C38F93AA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20</Pages>
  <Words>6184</Words>
  <Characters>35250</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41352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Gardner</dc:creator>
  <cp:keywords/>
  <dc:description/>
  <cp:lastModifiedBy>Daniel Ashby (2114240)</cp:lastModifiedBy>
  <cp:revision>2</cp:revision>
  <dcterms:created xsi:type="dcterms:W3CDTF">2026-03-22T19:56:00Z</dcterms:created>
  <dcterms:modified xsi:type="dcterms:W3CDTF">2026-03-22T19:56:00Z</dcterms:modified>
</cp:coreProperties>
</file>