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3172056"/>
        <w:docPartObj>
          <w:docPartGallery w:val="Cover Pages"/>
          <w:docPartUnique/>
        </w:docPartObj>
      </w:sdtPr>
      <w:sdtEndPr>
        <w:rPr>
          <w:rStyle w:val="Strong"/>
          <w:rFonts w:ascii="Arial" w:eastAsiaTheme="minorHAnsi" w:hAnsi="Arial" w:cs="Arial"/>
          <w:b/>
          <w:bCs/>
          <w:color w:val="1D2125"/>
          <w:kern w:val="2"/>
          <w:sz w:val="36"/>
          <w:szCs w:val="36"/>
          <w:lang w:eastAsia="en-US"/>
          <w14:ligatures w14:val="standardContextual"/>
        </w:rPr>
      </w:sdtEndPr>
      <w:sdtContent>
        <w:p w14:paraId="59D098BA" w14:textId="112AF4C3" w:rsidR="00D96B27" w:rsidRDefault="00A64BE7">
          <w:pPr>
            <w:pStyle w:val="NoSpacing"/>
          </w:pPr>
          <w:r>
            <w:rPr>
              <w:noProof/>
            </w:rPr>
            <w:drawing>
              <wp:inline distT="0" distB="0" distL="0" distR="0" wp14:anchorId="04F69731" wp14:editId="6CB9BF64">
                <wp:extent cx="1841398" cy="890270"/>
                <wp:effectExtent l="0" t="0" r="6985" b="5080"/>
                <wp:docPr id="6935648"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0871" cy="948032"/>
                        </a:xfrm>
                        <a:prstGeom prst="rect">
                          <a:avLst/>
                        </a:prstGeom>
                        <a:noFill/>
                        <a:ln>
                          <a:noFill/>
                        </a:ln>
                      </pic:spPr>
                    </pic:pic>
                  </a:graphicData>
                </a:graphic>
              </wp:inline>
            </w:drawing>
          </w:r>
          <w:r w:rsidR="00D96B27">
            <w:rPr>
              <w:noProof/>
            </w:rPr>
            <mc:AlternateContent>
              <mc:Choice Requires="wpg">
                <w:drawing>
                  <wp:anchor distT="0" distB="0" distL="114300" distR="114300" simplePos="0" relativeHeight="251659264" behindDoc="1" locked="0" layoutInCell="1" allowOverlap="1" wp14:anchorId="32800C3C" wp14:editId="75622C8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3T00:00:00Z">
                                      <w:dateFormat w:val="dd/MM/yyyy"/>
                                      <w:lid w:val="en-GB"/>
                                      <w:storeMappedDataAs w:val="dateTime"/>
                                      <w:calendar w:val="gregorian"/>
                                    </w:date>
                                  </w:sdtPr>
                                  <w:sdtContent>
                                    <w:p w14:paraId="2557899B" w14:textId="68302CD5" w:rsidR="00D96B27" w:rsidRDefault="001C0F03">
                                      <w:pPr>
                                        <w:pStyle w:val="NoSpacing"/>
                                        <w:jc w:val="right"/>
                                        <w:rPr>
                                          <w:color w:val="FFFFFF" w:themeColor="background1"/>
                                          <w:sz w:val="28"/>
                                          <w:szCs w:val="28"/>
                                        </w:rPr>
                                      </w:pPr>
                                      <w:r>
                                        <w:rPr>
                                          <w:color w:val="FFFFFF" w:themeColor="background1"/>
                                          <w:sz w:val="28"/>
                                          <w:szCs w:val="28"/>
                                        </w:rPr>
                                        <w:t>13/08/2026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800C3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3T00:00:00Z">
                                <w:dateFormat w:val="dd/MM/yyyy"/>
                                <w:lid w:val="en-GB"/>
                                <w:storeMappedDataAs w:val="dateTime"/>
                                <w:calendar w:val="gregorian"/>
                              </w:date>
                            </w:sdtPr>
                            <w:sdtContent>
                              <w:p w14:paraId="2557899B" w14:textId="68302CD5" w:rsidR="00D96B27" w:rsidRDefault="001C0F03">
                                <w:pPr>
                                  <w:pStyle w:val="NoSpacing"/>
                                  <w:jc w:val="right"/>
                                  <w:rPr>
                                    <w:color w:val="FFFFFF" w:themeColor="background1"/>
                                    <w:sz w:val="28"/>
                                    <w:szCs w:val="28"/>
                                  </w:rPr>
                                </w:pPr>
                                <w:r>
                                  <w:rPr>
                                    <w:color w:val="FFFFFF" w:themeColor="background1"/>
                                    <w:sz w:val="28"/>
                                    <w:szCs w:val="28"/>
                                  </w:rPr>
                                  <w:t>13/08/2026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96B27">
            <w:rPr>
              <w:noProof/>
            </w:rPr>
            <mc:AlternateContent>
              <mc:Choice Requires="wps">
                <w:drawing>
                  <wp:anchor distT="0" distB="0" distL="114300" distR="114300" simplePos="0" relativeHeight="251660288" behindDoc="0" locked="0" layoutInCell="1" allowOverlap="1" wp14:anchorId="5379B264" wp14:editId="3FCA6A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2149C" w14:textId="01B80C5A" w:rsidR="00D96B27" w:rsidRDefault="00D96B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21899">
                                      <w:rPr>
                                        <w:rFonts w:asciiTheme="majorHAnsi" w:eastAsiaTheme="majorEastAsia" w:hAnsiTheme="majorHAnsi" w:cstheme="majorBidi"/>
                                        <w:color w:val="262626" w:themeColor="text1" w:themeTint="D9"/>
                                        <w:sz w:val="72"/>
                                        <w:szCs w:val="72"/>
                                      </w:rPr>
                                      <w:t>Individual Report</w:t>
                                    </w:r>
                                  </w:sdtContent>
                                </w:sdt>
                              </w:p>
                              <w:p w14:paraId="2E4D7E83" w14:textId="48551177" w:rsidR="00D96B27" w:rsidRDefault="00D96B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43F7">
                                      <w:rPr>
                                        <w:color w:val="404040" w:themeColor="text1" w:themeTint="BF"/>
                                        <w:sz w:val="36"/>
                                        <w:szCs w:val="36"/>
                                      </w:rPr>
                                      <w:t>Component</w:t>
                                    </w:r>
                                    <w:r w:rsidR="00081E52">
                                      <w:rPr>
                                        <w:color w:val="404040" w:themeColor="text1" w:themeTint="BF"/>
                                        <w:sz w:val="36"/>
                                        <w:szCs w:val="36"/>
                                      </w:rPr>
                                      <w:t xml:space="preserve">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79B264"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A32149C" w14:textId="01B80C5A" w:rsidR="00D96B27" w:rsidRDefault="00D96B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21899">
                                <w:rPr>
                                  <w:rFonts w:asciiTheme="majorHAnsi" w:eastAsiaTheme="majorEastAsia" w:hAnsiTheme="majorHAnsi" w:cstheme="majorBidi"/>
                                  <w:color w:val="262626" w:themeColor="text1" w:themeTint="D9"/>
                                  <w:sz w:val="72"/>
                                  <w:szCs w:val="72"/>
                                </w:rPr>
                                <w:t>Individual Report</w:t>
                              </w:r>
                            </w:sdtContent>
                          </w:sdt>
                        </w:p>
                        <w:p w14:paraId="2E4D7E83" w14:textId="48551177" w:rsidR="00D96B27" w:rsidRDefault="00D96B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43F7">
                                <w:rPr>
                                  <w:color w:val="404040" w:themeColor="text1" w:themeTint="BF"/>
                                  <w:sz w:val="36"/>
                                  <w:szCs w:val="36"/>
                                </w:rPr>
                                <w:t>Component</w:t>
                              </w:r>
                              <w:r w:rsidR="00081E52">
                                <w:rPr>
                                  <w:color w:val="404040" w:themeColor="text1" w:themeTint="BF"/>
                                  <w:sz w:val="36"/>
                                  <w:szCs w:val="36"/>
                                </w:rPr>
                                <w:t xml:space="preserve"> 2</w:t>
                              </w:r>
                            </w:sdtContent>
                          </w:sdt>
                        </w:p>
                      </w:txbxContent>
                    </v:textbox>
                    <w10:wrap anchorx="page" anchory="page"/>
                  </v:shape>
                </w:pict>
              </mc:Fallback>
            </mc:AlternateContent>
          </w:r>
        </w:p>
        <w:p w14:paraId="1F80D3CB" w14:textId="29343AD5" w:rsidR="00D96B27" w:rsidRDefault="008C1D67">
          <w:pPr>
            <w:spacing w:line="278" w:lineRule="auto"/>
            <w:jc w:val="left"/>
            <w:rPr>
              <w:rStyle w:val="Strong"/>
              <w:rFonts w:cs="Arial"/>
              <w:color w:val="1D2125"/>
              <w:sz w:val="36"/>
              <w:szCs w:val="36"/>
            </w:rPr>
          </w:pPr>
          <w:r w:rsidRPr="008C1D67">
            <w:rPr>
              <w:rStyle w:val="Strong"/>
              <w:rFonts w:cs="Arial"/>
              <w:noProof/>
              <w:color w:val="1D2125"/>
              <w:sz w:val="36"/>
              <w:szCs w:val="36"/>
            </w:rPr>
            <mc:AlternateContent>
              <mc:Choice Requires="wps">
                <w:drawing>
                  <wp:anchor distT="182880" distB="182880" distL="114300" distR="114300" simplePos="0" relativeHeight="251664384" behindDoc="0" locked="0" layoutInCell="1" allowOverlap="1" wp14:anchorId="53C1C742" wp14:editId="07012D8E">
                    <wp:simplePos x="0" y="0"/>
                    <wp:positionH relativeFrom="margin">
                      <wp:posOffset>1724025</wp:posOffset>
                    </wp:positionH>
                    <wp:positionV relativeFrom="bottomMargin">
                      <wp:posOffset>305081</wp:posOffset>
                    </wp:positionV>
                    <wp:extent cx="2867025" cy="432789"/>
                    <wp:effectExtent l="0" t="0" r="0" b="0"/>
                    <wp:wrapTopAndBottom/>
                    <wp:docPr id="2129031181" name="Rectangle 8" descr="Color-block pull quote"/>
                    <wp:cNvGraphicFramePr/>
                    <a:graphic xmlns:a="http://schemas.openxmlformats.org/drawingml/2006/main">
                      <a:graphicData uri="http://schemas.microsoft.com/office/word/2010/wordprocessingShape">
                        <wps:wsp>
                          <wps:cNvSpPr/>
                          <wps:spPr>
                            <a:xfrm>
                              <a:off x="0" y="0"/>
                              <a:ext cx="2867025" cy="4327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F94F6A" w14:textId="77777777" w:rsidR="00C17570" w:rsidRDefault="00C17570" w:rsidP="00C17570">
                                <w:pPr>
                                  <w:rPr>
                                    <w:color w:val="156082" w:themeColor="accent1"/>
                                  </w:rPr>
                                </w:pPr>
                                <w:r>
                                  <w:rPr>
                                    <w:color w:val="156082" w:themeColor="accent1"/>
                                  </w:rPr>
                                  <w:t>No AI was used in this report</w:t>
                                </w:r>
                              </w:p>
                              <w:p w14:paraId="5A9F3800" w14:textId="46C5F296" w:rsidR="008C1D67" w:rsidRDefault="008C1D67" w:rsidP="00977F91">
                                <w:pPr>
                                  <w:rPr>
                                    <w:color w:val="FFFFFF" w:themeColor="background1"/>
                                  </w:rPr>
                                </w:pPr>
                              </w:p>
                            </w:txbxContent>
                          </wps:txbx>
                          <wps:bodyPr rot="0" spcFirstLastPara="0" vertOverflow="overflow" horzOverflow="overflow" vert="horz" wrap="square" lIns="365760" tIns="91440" rIns="36576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1C742" id="Rectangle 8" o:spid="_x0000_s1056" alt="Color-block pull quote" style="position:absolute;margin-left:135.75pt;margin-top:24pt;width:225.75pt;height:34.1pt;z-index:251664384;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" filled="f" stroked="f" strokeweight="1pt">
                    <v:textbox inset="28.8pt,7.2pt,28.8pt,7.2pt">
                      <w:txbxContent>
                        <w:p w14:paraId="5DF94F6A" w14:textId="77777777" w:rsidR="00C17570" w:rsidRDefault="00C17570" w:rsidP="00C17570">
                          <w:pPr>
                            <w:rPr>
                              <w:color w:val="156082" w:themeColor="accent1"/>
                            </w:rPr>
                          </w:pPr>
                          <w:r>
                            <w:rPr>
                              <w:color w:val="156082" w:themeColor="accent1"/>
                            </w:rPr>
                            <w:t>No AI was used in this report</w:t>
                          </w:r>
                        </w:p>
                        <w:p w14:paraId="5A9F3800" w14:textId="46C5F296" w:rsidR="008C1D67" w:rsidRDefault="008C1D67" w:rsidP="00977F91">
                          <w:pPr>
                            <w:rPr>
                              <w:color w:val="FFFFFF" w:themeColor="background1"/>
                            </w:rPr>
                          </w:pPr>
                        </w:p>
                      </w:txbxContent>
                    </v:textbox>
                    <w10:wrap type="topAndBottom" anchorx="margin" anchory="margin"/>
                  </v:rect>
                </w:pict>
              </mc:Fallback>
            </mc:AlternateContent>
          </w:r>
          <w:r w:rsidR="004C08D5">
            <w:rPr>
              <w:noProof/>
            </w:rPr>
            <mc:AlternateContent>
              <mc:Choice Requires="wps">
                <w:drawing>
                  <wp:anchor distT="0" distB="0" distL="114300" distR="114300" simplePos="0" relativeHeight="251661312" behindDoc="0" locked="0" layoutInCell="1" allowOverlap="1" wp14:anchorId="5252B22C" wp14:editId="159737A8">
                    <wp:simplePos x="0" y="0"/>
                    <wp:positionH relativeFrom="page">
                      <wp:posOffset>4429125</wp:posOffset>
                    </wp:positionH>
                    <wp:positionV relativeFrom="page">
                      <wp:posOffset>8571865</wp:posOffset>
                    </wp:positionV>
                    <wp:extent cx="2695575" cy="390525"/>
                    <wp:effectExtent l="0" t="0" r="9525" b="9525"/>
                    <wp:wrapNone/>
                    <wp:docPr id="32" name="Text Box 28"/>
                    <wp:cNvGraphicFramePr/>
                    <a:graphic xmlns:a="http://schemas.openxmlformats.org/drawingml/2006/main">
                      <a:graphicData uri="http://schemas.microsoft.com/office/word/2010/wordprocessingShape">
                        <wps:wsp>
                          <wps:cNvSpPr txBox="1"/>
                          <wps:spPr>
                            <a:xfrm>
                              <a:off x="0" y="0"/>
                              <a:ext cx="2695575"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F83ED" w14:textId="4C1E2F23" w:rsidR="00D96B27" w:rsidRDefault="007B5305">
                                <w:pPr>
                                  <w:pStyle w:val="NoSpacing"/>
                                  <w:rPr>
                                    <w:color w:val="156082" w:themeColor="accent1"/>
                                    <w:sz w:val="26"/>
                                    <w:szCs w:val="26"/>
                                  </w:rPr>
                                </w:pPr>
                                <w:sdt>
                                  <w:sdtPr>
                                    <w:rPr>
                                      <w:rFonts w:ascii="DengXian" w:hAnsi="DengXi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B5305">
                                      <w:rPr>
                                        <w:rFonts w:ascii="DengXian" w:hAnsi="DengXian"/>
                                        <w:color w:val="156082" w:themeColor="accent1"/>
                                        <w:sz w:val="26"/>
                                        <w:szCs w:val="26"/>
                                      </w:rPr>
                                      <w:t>University of Wales Trinity Saint David</w:t>
                                    </w:r>
                                  </w:sdtContent>
                                </w:sdt>
                              </w:p>
                              <w:p w14:paraId="5AB51E72" w14:textId="46C55EF3" w:rsidR="00D96B27" w:rsidRDefault="0072606E">
                                <w:pPr>
                                  <w:pStyle w:val="NoSpacing"/>
                                  <w:rPr>
                                    <w:color w:val="595959" w:themeColor="text1" w:themeTint="A6"/>
                                    <w:sz w:val="20"/>
                                    <w:szCs w:val="20"/>
                                  </w:rPr>
                                </w:pPr>
                                <w:sdt>
                                  <w:sdtPr>
                                    <w:rPr>
                                      <w:rFonts w:ascii="DengXian" w:hAnsi="DengXi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72606E">
                                      <w:rPr>
                                        <w:rFonts w:ascii="DengXian" w:hAnsi="DengXian"/>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52B22C" id="Text Box 28" o:spid="_x0000_s1057" type="#_x0000_t202" style="position:absolute;margin-left:348.75pt;margin-top:674.95pt;width:212.25pt;height:30.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" filled="f" stroked="f" strokeweight=".5pt">
                    <v:textbox inset="0,0,0,0">
                      <w:txbxContent>
                        <w:p w14:paraId="773F83ED" w14:textId="4C1E2F23" w:rsidR="00D96B27" w:rsidRDefault="007B5305">
                          <w:pPr>
                            <w:pStyle w:val="NoSpacing"/>
                            <w:rPr>
                              <w:color w:val="156082" w:themeColor="accent1"/>
                              <w:sz w:val="26"/>
                              <w:szCs w:val="26"/>
                            </w:rPr>
                          </w:pPr>
                          <w:sdt>
                            <w:sdtPr>
                              <w:rPr>
                                <w:rFonts w:ascii="DengXian" w:hAnsi="DengXi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B5305">
                                <w:rPr>
                                  <w:rFonts w:ascii="DengXian" w:hAnsi="DengXian"/>
                                  <w:color w:val="156082" w:themeColor="accent1"/>
                                  <w:sz w:val="26"/>
                                  <w:szCs w:val="26"/>
                                </w:rPr>
                                <w:t>University of Wales Trinity Saint David</w:t>
                              </w:r>
                            </w:sdtContent>
                          </w:sdt>
                        </w:p>
                        <w:p w14:paraId="5AB51E72" w14:textId="46C55EF3" w:rsidR="00D96B27" w:rsidRDefault="0072606E">
                          <w:pPr>
                            <w:pStyle w:val="NoSpacing"/>
                            <w:rPr>
                              <w:color w:val="595959" w:themeColor="text1" w:themeTint="A6"/>
                              <w:sz w:val="20"/>
                              <w:szCs w:val="20"/>
                            </w:rPr>
                          </w:pPr>
                          <w:sdt>
                            <w:sdtPr>
                              <w:rPr>
                                <w:rFonts w:ascii="DengXian" w:hAnsi="DengXi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72606E">
                                <w:rPr>
                                  <w:rFonts w:ascii="DengXian" w:hAnsi="DengXian"/>
                                  <w:caps/>
                                  <w:color w:val="595959" w:themeColor="text1" w:themeTint="A6"/>
                                  <w:sz w:val="20"/>
                                  <w:szCs w:val="20"/>
                                </w:rPr>
                                <w:t>LONDON CAMPUS</w:t>
                              </w:r>
                            </w:sdtContent>
                          </w:sdt>
                        </w:p>
                      </w:txbxContent>
                    </v:textbox>
                    <w10:wrap anchorx="page" anchory="page"/>
                  </v:shape>
                </w:pict>
              </mc:Fallback>
            </mc:AlternateContent>
          </w:r>
          <w:r w:rsidR="00C40E80">
            <w:rPr>
              <w:rFonts w:cs="Arial"/>
              <w:b/>
              <w:bCs/>
              <w:noProof/>
              <w:color w:val="1D2125"/>
              <w:sz w:val="36"/>
              <w:szCs w:val="36"/>
            </w:rPr>
            <mc:AlternateContent>
              <mc:Choice Requires="wps">
                <w:drawing>
                  <wp:anchor distT="0" distB="0" distL="114300" distR="114300" simplePos="0" relativeHeight="251662336" behindDoc="0" locked="0" layoutInCell="1" allowOverlap="1" wp14:anchorId="451C13F9" wp14:editId="190F4897">
                    <wp:simplePos x="0" y="0"/>
                    <wp:positionH relativeFrom="column">
                      <wp:posOffset>-361951</wp:posOffset>
                    </wp:positionH>
                    <wp:positionV relativeFrom="paragraph">
                      <wp:posOffset>1476375</wp:posOffset>
                    </wp:positionV>
                    <wp:extent cx="6867525" cy="3067050"/>
                    <wp:effectExtent l="0" t="0" r="0" b="0"/>
                    <wp:wrapNone/>
                    <wp:docPr id="1617016015" name="Text Box 1"/>
                    <wp:cNvGraphicFramePr/>
                    <a:graphic xmlns:a="http://schemas.openxmlformats.org/drawingml/2006/main">
                      <a:graphicData uri="http://schemas.microsoft.com/office/word/2010/wordprocessingShape">
                        <wps:wsp>
                          <wps:cNvSpPr txBox="1"/>
                          <wps:spPr>
                            <a:xfrm>
                              <a:off x="0" y="0"/>
                              <a:ext cx="6867525" cy="3067050"/>
                            </a:xfrm>
                            <a:prstGeom prst="rect">
                              <a:avLst/>
                            </a:prstGeom>
                            <a:noFill/>
                            <a:ln w="6350">
                              <a:noFill/>
                            </a:ln>
                          </wps:spPr>
                          <wps:txbx>
                            <w:txbxContent>
                              <w:p w14:paraId="71EE18C8" w14:textId="77777777" w:rsidR="003E33E4" w:rsidRDefault="003E33E4" w:rsidP="00735DF0">
                                <w:pPr>
                                  <w:rPr>
                                    <w:rStyle w:val="Strong"/>
                                    <w:rFonts w:cs="Arial"/>
                                    <w:color w:val="1D2125"/>
                                    <w:sz w:val="32"/>
                                    <w:szCs w:val="32"/>
                                  </w:rPr>
                                </w:pPr>
                              </w:p>
                              <w:p w14:paraId="5FE18EF3" w14:textId="476677D5" w:rsidR="003E33E4" w:rsidRPr="007C0C15" w:rsidRDefault="003E33E4" w:rsidP="00524BC5">
                                <w:pPr>
                                  <w:jc w:val="center"/>
                                  <w:rPr>
                                    <w:rStyle w:val="Strong"/>
                                    <w:rFonts w:cs="Arial"/>
                                    <w:color w:val="1D2125"/>
                                    <w:sz w:val="36"/>
                                    <w:szCs w:val="36"/>
                                  </w:rPr>
                                </w:pPr>
                                <w:r w:rsidRPr="000264A1">
                                  <w:rPr>
                                    <w:rStyle w:val="Strong"/>
                                    <w:rFonts w:cs="Arial"/>
                                    <w:color w:val="1D2125"/>
                                    <w:sz w:val="36"/>
                                    <w:szCs w:val="36"/>
                                  </w:rPr>
                                  <w:t>BMHP6029-Psychopathological</w:t>
                                </w:r>
                                <w:r w:rsidR="00651164">
                                  <w:rPr>
                                    <w:rStyle w:val="Strong"/>
                                    <w:rFonts w:cs="Arial"/>
                                    <w:color w:val="1D2125"/>
                                    <w:sz w:val="36"/>
                                    <w:szCs w:val="36"/>
                                  </w:rPr>
                                  <w:t xml:space="preserve"> </w:t>
                                </w:r>
                                <w:r w:rsidRPr="000264A1">
                                  <w:rPr>
                                    <w:rStyle w:val="Strong"/>
                                    <w:rFonts w:cs="Arial"/>
                                    <w:color w:val="1D2125"/>
                                    <w:sz w:val="36"/>
                                    <w:szCs w:val="36"/>
                                  </w:rPr>
                                  <w:t>Classifications and Provisions</w:t>
                                </w:r>
                              </w:p>
                              <w:p w14:paraId="59F77DC4" w14:textId="0E8A04A9" w:rsidR="00735DF0" w:rsidRDefault="00735DF0" w:rsidP="00735DF0">
                                <w:pPr>
                                  <w:rPr>
                                    <w:rStyle w:val="Strong"/>
                                    <w:rFonts w:cs="Arial"/>
                                    <w:color w:val="1D2125"/>
                                    <w:sz w:val="32"/>
                                    <w:szCs w:val="32"/>
                                  </w:rPr>
                                </w:pPr>
                                <w:r>
                                  <w:rPr>
                                    <w:rStyle w:val="Strong"/>
                                    <w:rFonts w:cs="Arial"/>
                                    <w:color w:val="1D2125"/>
                                    <w:sz w:val="32"/>
                                    <w:szCs w:val="32"/>
                                  </w:rPr>
                                  <w:t>Student name: Gisele Silva North</w:t>
                                </w:r>
                              </w:p>
                              <w:p w14:paraId="06A0BFB8" w14:textId="77777777" w:rsidR="00735DF0" w:rsidRDefault="00735DF0" w:rsidP="00735DF0">
                                <w:pPr>
                                  <w:rPr>
                                    <w:rStyle w:val="Strong"/>
                                    <w:rFonts w:cs="Arial"/>
                                    <w:color w:val="1D2125"/>
                                    <w:sz w:val="32"/>
                                    <w:szCs w:val="32"/>
                                  </w:rPr>
                                </w:pPr>
                                <w:r>
                                  <w:rPr>
                                    <w:rStyle w:val="Strong"/>
                                    <w:rFonts w:cs="Arial"/>
                                    <w:color w:val="1D2125"/>
                                    <w:sz w:val="32"/>
                                    <w:szCs w:val="32"/>
                                  </w:rPr>
                                  <w:t>Student number: 2337102</w:t>
                                </w:r>
                              </w:p>
                              <w:p w14:paraId="455CEF97" w14:textId="1A897F0E" w:rsidR="00C40E80" w:rsidRDefault="00735DF0" w:rsidP="00735DF0">
                                <w:r>
                                  <w:rPr>
                                    <w:rStyle w:val="Strong"/>
                                    <w:rFonts w:cs="Arial"/>
                                    <w:color w:val="1D2125"/>
                                    <w:sz w:val="32"/>
                                    <w:szCs w:val="32"/>
                                  </w:rPr>
                                  <w:t xml:space="preserve">Lecturer’s </w:t>
                                </w:r>
                                <w:r w:rsidR="00C12B90">
                                  <w:rPr>
                                    <w:rStyle w:val="Strong"/>
                                    <w:rFonts w:cs="Arial"/>
                                    <w:color w:val="1D2125"/>
                                    <w:sz w:val="32"/>
                                    <w:szCs w:val="32"/>
                                  </w:rPr>
                                  <w:t>name: Bianca</w:t>
                                </w:r>
                                <w:r w:rsidR="00FD69FD">
                                  <w:rPr>
                                    <w:rStyle w:val="Strong"/>
                                    <w:rFonts w:cs="Arial"/>
                                    <w:color w:val="1D2125"/>
                                    <w:sz w:val="32"/>
                                    <w:szCs w:val="32"/>
                                  </w:rPr>
                                  <w:t xml:space="preserve"> San</w:t>
                                </w:r>
                                <w:r w:rsidR="00C12B90">
                                  <w:rPr>
                                    <w:rStyle w:val="Strong"/>
                                    <w:rFonts w:cs="Arial"/>
                                    <w:color w:val="1D2125"/>
                                    <w:sz w:val="32"/>
                                    <w:szCs w:val="32"/>
                                  </w:rPr>
                                  <w:t>filippo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C13F9" id="Text Box 1" o:spid="_x0000_s1058" type="#_x0000_t202" style="position:absolute;margin-left:-28.5pt;margin-top:116.25pt;width:540.75pt;height:2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" filled="f" stroked="f" strokeweight=".5pt">
                    <v:textbox>
                      <w:txbxContent>
                        <w:p w14:paraId="71EE18C8" w14:textId="77777777" w:rsidR="003E33E4" w:rsidRDefault="003E33E4" w:rsidP="00735DF0">
                          <w:pPr>
                            <w:rPr>
                              <w:rStyle w:val="Strong"/>
                              <w:rFonts w:cs="Arial"/>
                              <w:color w:val="1D2125"/>
                              <w:sz w:val="32"/>
                              <w:szCs w:val="32"/>
                            </w:rPr>
                          </w:pPr>
                        </w:p>
                        <w:p w14:paraId="5FE18EF3" w14:textId="476677D5" w:rsidR="003E33E4" w:rsidRPr="007C0C15" w:rsidRDefault="003E33E4" w:rsidP="00524BC5">
                          <w:pPr>
                            <w:jc w:val="center"/>
                            <w:rPr>
                              <w:rStyle w:val="Strong"/>
                              <w:rFonts w:cs="Arial"/>
                              <w:color w:val="1D2125"/>
                              <w:sz w:val="36"/>
                              <w:szCs w:val="36"/>
                            </w:rPr>
                          </w:pPr>
                          <w:r w:rsidRPr="000264A1">
                            <w:rPr>
                              <w:rStyle w:val="Strong"/>
                              <w:rFonts w:cs="Arial"/>
                              <w:color w:val="1D2125"/>
                              <w:sz w:val="36"/>
                              <w:szCs w:val="36"/>
                            </w:rPr>
                            <w:t>BMHP6029-Psychopathological</w:t>
                          </w:r>
                          <w:r w:rsidR="00651164">
                            <w:rPr>
                              <w:rStyle w:val="Strong"/>
                              <w:rFonts w:cs="Arial"/>
                              <w:color w:val="1D2125"/>
                              <w:sz w:val="36"/>
                              <w:szCs w:val="36"/>
                            </w:rPr>
                            <w:t xml:space="preserve"> </w:t>
                          </w:r>
                          <w:r w:rsidRPr="000264A1">
                            <w:rPr>
                              <w:rStyle w:val="Strong"/>
                              <w:rFonts w:cs="Arial"/>
                              <w:color w:val="1D2125"/>
                              <w:sz w:val="36"/>
                              <w:szCs w:val="36"/>
                            </w:rPr>
                            <w:t>Classifications and Provisions</w:t>
                          </w:r>
                        </w:p>
                        <w:p w14:paraId="59F77DC4" w14:textId="0E8A04A9" w:rsidR="00735DF0" w:rsidRDefault="00735DF0" w:rsidP="00735DF0">
                          <w:pPr>
                            <w:rPr>
                              <w:rStyle w:val="Strong"/>
                              <w:rFonts w:cs="Arial"/>
                              <w:color w:val="1D2125"/>
                              <w:sz w:val="32"/>
                              <w:szCs w:val="32"/>
                            </w:rPr>
                          </w:pPr>
                          <w:r>
                            <w:rPr>
                              <w:rStyle w:val="Strong"/>
                              <w:rFonts w:cs="Arial"/>
                              <w:color w:val="1D2125"/>
                              <w:sz w:val="32"/>
                              <w:szCs w:val="32"/>
                            </w:rPr>
                            <w:t>Student name: Gisele Silva North</w:t>
                          </w:r>
                        </w:p>
                        <w:p w14:paraId="06A0BFB8" w14:textId="77777777" w:rsidR="00735DF0" w:rsidRDefault="00735DF0" w:rsidP="00735DF0">
                          <w:pPr>
                            <w:rPr>
                              <w:rStyle w:val="Strong"/>
                              <w:rFonts w:cs="Arial"/>
                              <w:color w:val="1D2125"/>
                              <w:sz w:val="32"/>
                              <w:szCs w:val="32"/>
                            </w:rPr>
                          </w:pPr>
                          <w:r>
                            <w:rPr>
                              <w:rStyle w:val="Strong"/>
                              <w:rFonts w:cs="Arial"/>
                              <w:color w:val="1D2125"/>
                              <w:sz w:val="32"/>
                              <w:szCs w:val="32"/>
                            </w:rPr>
                            <w:t>Student number: 2337102</w:t>
                          </w:r>
                        </w:p>
                        <w:p w14:paraId="455CEF97" w14:textId="1A897F0E" w:rsidR="00C40E80" w:rsidRDefault="00735DF0" w:rsidP="00735DF0">
                          <w:r>
                            <w:rPr>
                              <w:rStyle w:val="Strong"/>
                              <w:rFonts w:cs="Arial"/>
                              <w:color w:val="1D2125"/>
                              <w:sz w:val="32"/>
                              <w:szCs w:val="32"/>
                            </w:rPr>
                            <w:t xml:space="preserve">Lecturer’s </w:t>
                          </w:r>
                          <w:r w:rsidR="00C12B90">
                            <w:rPr>
                              <w:rStyle w:val="Strong"/>
                              <w:rFonts w:cs="Arial"/>
                              <w:color w:val="1D2125"/>
                              <w:sz w:val="32"/>
                              <w:szCs w:val="32"/>
                            </w:rPr>
                            <w:t>name: Bianca</w:t>
                          </w:r>
                          <w:r w:rsidR="00FD69FD">
                            <w:rPr>
                              <w:rStyle w:val="Strong"/>
                              <w:rFonts w:cs="Arial"/>
                              <w:color w:val="1D2125"/>
                              <w:sz w:val="32"/>
                              <w:szCs w:val="32"/>
                            </w:rPr>
                            <w:t xml:space="preserve"> San</w:t>
                          </w:r>
                          <w:r w:rsidR="00C12B90">
                            <w:rPr>
                              <w:rStyle w:val="Strong"/>
                              <w:rFonts w:cs="Arial"/>
                              <w:color w:val="1D2125"/>
                              <w:sz w:val="32"/>
                              <w:szCs w:val="32"/>
                            </w:rPr>
                            <w:t>filippo</w:t>
                          </w:r>
                        </w:p>
                      </w:txbxContent>
                    </v:textbox>
                  </v:shape>
                </w:pict>
              </mc:Fallback>
            </mc:AlternateContent>
          </w:r>
          <w:r w:rsidR="00D96B27">
            <w:rPr>
              <w:rStyle w:val="Strong"/>
              <w:rFonts w:cs="Arial"/>
              <w:color w:val="1D2125"/>
              <w:sz w:val="36"/>
              <w:szCs w:val="36"/>
            </w:rPr>
            <w:br w:type="page"/>
          </w:r>
        </w:p>
      </w:sdtContent>
    </w:sdt>
    <w:sdt>
      <w:sdtPr>
        <w:rPr>
          <w:rFonts w:ascii="Arial" w:eastAsiaTheme="minorHAnsi" w:hAnsi="Arial" w:cstheme="minorBidi"/>
          <w:color w:val="auto"/>
          <w:kern w:val="2"/>
          <w:sz w:val="22"/>
          <w:szCs w:val="24"/>
          <w:lang w:eastAsia="en-US"/>
          <w14:ligatures w14:val="standardContextual"/>
        </w:rPr>
        <w:id w:val="28391105"/>
        <w:docPartObj>
          <w:docPartGallery w:val="Table of Contents"/>
          <w:docPartUnique/>
        </w:docPartObj>
      </w:sdtPr>
      <w:sdtEndPr>
        <w:rPr>
          <w:b/>
          <w:bCs/>
        </w:rPr>
      </w:sdtEndPr>
      <w:sdtContent>
        <w:p w14:paraId="2757267E" w14:textId="77777777" w:rsidR="00483FAA" w:rsidRDefault="00483FAA" w:rsidP="00483FAA">
          <w:pPr>
            <w:pStyle w:val="TOCHeading"/>
          </w:pPr>
          <w:r>
            <w:t>Contents</w:t>
          </w:r>
        </w:p>
        <w:p w14:paraId="08CBA174" w14:textId="39BBC180" w:rsidR="00483FAA" w:rsidRDefault="00483FAA">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37376836" w:history="1">
            <w:r w:rsidRPr="007636DF">
              <w:rPr>
                <w:rStyle w:val="Hyperlink"/>
                <w:noProof/>
              </w:rPr>
              <w:t>1. Introduction</w:t>
            </w:r>
            <w:r>
              <w:rPr>
                <w:noProof/>
                <w:webHidden/>
              </w:rPr>
              <w:tab/>
            </w:r>
            <w:r>
              <w:rPr>
                <w:noProof/>
                <w:webHidden/>
              </w:rPr>
              <w:fldChar w:fldCharType="begin"/>
            </w:r>
            <w:r>
              <w:rPr>
                <w:noProof/>
                <w:webHidden/>
              </w:rPr>
              <w:instrText xml:space="preserve"> PAGEREF _Toc237376836 \h </w:instrText>
            </w:r>
            <w:r>
              <w:rPr>
                <w:noProof/>
                <w:webHidden/>
              </w:rPr>
            </w:r>
            <w:r>
              <w:rPr>
                <w:noProof/>
                <w:webHidden/>
              </w:rPr>
              <w:fldChar w:fldCharType="separate"/>
            </w:r>
            <w:r>
              <w:rPr>
                <w:noProof/>
                <w:webHidden/>
              </w:rPr>
              <w:t>3</w:t>
            </w:r>
            <w:r>
              <w:rPr>
                <w:noProof/>
                <w:webHidden/>
              </w:rPr>
              <w:fldChar w:fldCharType="end"/>
            </w:r>
          </w:hyperlink>
        </w:p>
        <w:p w14:paraId="06FDA521" w14:textId="27B78D93" w:rsidR="00483FAA" w:rsidRDefault="00483FAA">
          <w:pPr>
            <w:pStyle w:val="TOC1"/>
            <w:tabs>
              <w:tab w:val="right" w:leader="dot" w:pos="9016"/>
            </w:tabs>
            <w:rPr>
              <w:rFonts w:asciiTheme="minorHAnsi" w:eastAsiaTheme="minorEastAsia" w:hAnsiTheme="minorHAnsi"/>
              <w:noProof/>
              <w:sz w:val="24"/>
              <w:lang w:eastAsia="en-GB"/>
            </w:rPr>
          </w:pPr>
          <w:hyperlink w:anchor="_Toc237376837" w:history="1">
            <w:r w:rsidRPr="007636DF">
              <w:rPr>
                <w:rStyle w:val="Hyperlink"/>
                <w:noProof/>
              </w:rPr>
              <w:t>2. Classification and Diagnosis</w:t>
            </w:r>
            <w:r>
              <w:rPr>
                <w:noProof/>
                <w:webHidden/>
              </w:rPr>
              <w:tab/>
            </w:r>
            <w:r>
              <w:rPr>
                <w:noProof/>
                <w:webHidden/>
              </w:rPr>
              <w:fldChar w:fldCharType="begin"/>
            </w:r>
            <w:r>
              <w:rPr>
                <w:noProof/>
                <w:webHidden/>
              </w:rPr>
              <w:instrText xml:space="preserve"> PAGEREF _Toc237376837 \h </w:instrText>
            </w:r>
            <w:r>
              <w:rPr>
                <w:noProof/>
                <w:webHidden/>
              </w:rPr>
            </w:r>
            <w:r>
              <w:rPr>
                <w:noProof/>
                <w:webHidden/>
              </w:rPr>
              <w:fldChar w:fldCharType="separate"/>
            </w:r>
            <w:r>
              <w:rPr>
                <w:noProof/>
                <w:webHidden/>
              </w:rPr>
              <w:t>3</w:t>
            </w:r>
            <w:r>
              <w:rPr>
                <w:noProof/>
                <w:webHidden/>
              </w:rPr>
              <w:fldChar w:fldCharType="end"/>
            </w:r>
          </w:hyperlink>
        </w:p>
        <w:p w14:paraId="4BB48920" w14:textId="03FACC47" w:rsidR="00483FAA" w:rsidRDefault="00483FAA">
          <w:pPr>
            <w:pStyle w:val="TOC1"/>
            <w:tabs>
              <w:tab w:val="right" w:leader="dot" w:pos="9016"/>
            </w:tabs>
            <w:rPr>
              <w:rFonts w:asciiTheme="minorHAnsi" w:eastAsiaTheme="minorEastAsia" w:hAnsiTheme="minorHAnsi"/>
              <w:noProof/>
              <w:sz w:val="24"/>
              <w:lang w:eastAsia="en-GB"/>
            </w:rPr>
          </w:pPr>
          <w:hyperlink w:anchor="_Toc237376838" w:history="1">
            <w:r w:rsidRPr="007636DF">
              <w:rPr>
                <w:rStyle w:val="Hyperlink"/>
                <w:noProof/>
              </w:rPr>
              <w:t>3. Treatment and Rehabilitation</w:t>
            </w:r>
            <w:r>
              <w:rPr>
                <w:noProof/>
                <w:webHidden/>
              </w:rPr>
              <w:tab/>
            </w:r>
            <w:r>
              <w:rPr>
                <w:noProof/>
                <w:webHidden/>
              </w:rPr>
              <w:fldChar w:fldCharType="begin"/>
            </w:r>
            <w:r>
              <w:rPr>
                <w:noProof/>
                <w:webHidden/>
              </w:rPr>
              <w:instrText xml:space="preserve"> PAGEREF _Toc237376838 \h </w:instrText>
            </w:r>
            <w:r>
              <w:rPr>
                <w:noProof/>
                <w:webHidden/>
              </w:rPr>
            </w:r>
            <w:r>
              <w:rPr>
                <w:noProof/>
                <w:webHidden/>
              </w:rPr>
              <w:fldChar w:fldCharType="separate"/>
            </w:r>
            <w:r>
              <w:rPr>
                <w:noProof/>
                <w:webHidden/>
              </w:rPr>
              <w:t>4</w:t>
            </w:r>
            <w:r>
              <w:rPr>
                <w:noProof/>
                <w:webHidden/>
              </w:rPr>
              <w:fldChar w:fldCharType="end"/>
            </w:r>
          </w:hyperlink>
        </w:p>
        <w:p w14:paraId="67FD7BEC" w14:textId="636CCD7B" w:rsidR="00483FAA" w:rsidRDefault="00483FAA">
          <w:pPr>
            <w:pStyle w:val="TOC1"/>
            <w:tabs>
              <w:tab w:val="right" w:leader="dot" w:pos="9016"/>
            </w:tabs>
            <w:rPr>
              <w:rFonts w:asciiTheme="minorHAnsi" w:eastAsiaTheme="minorEastAsia" w:hAnsiTheme="minorHAnsi"/>
              <w:noProof/>
              <w:sz w:val="24"/>
              <w:lang w:eastAsia="en-GB"/>
            </w:rPr>
          </w:pPr>
          <w:hyperlink w:anchor="_Toc237376839" w:history="1">
            <w:r w:rsidRPr="007636DF">
              <w:rPr>
                <w:rStyle w:val="Hyperlink"/>
                <w:noProof/>
              </w:rPr>
              <w:t>4. Current Debates and Emerging Issues</w:t>
            </w:r>
            <w:r>
              <w:rPr>
                <w:noProof/>
                <w:webHidden/>
              </w:rPr>
              <w:tab/>
            </w:r>
            <w:r>
              <w:rPr>
                <w:noProof/>
                <w:webHidden/>
              </w:rPr>
              <w:fldChar w:fldCharType="begin"/>
            </w:r>
            <w:r>
              <w:rPr>
                <w:noProof/>
                <w:webHidden/>
              </w:rPr>
              <w:instrText xml:space="preserve"> PAGEREF _Toc237376839 \h </w:instrText>
            </w:r>
            <w:r>
              <w:rPr>
                <w:noProof/>
                <w:webHidden/>
              </w:rPr>
            </w:r>
            <w:r>
              <w:rPr>
                <w:noProof/>
                <w:webHidden/>
              </w:rPr>
              <w:fldChar w:fldCharType="separate"/>
            </w:r>
            <w:r>
              <w:rPr>
                <w:noProof/>
                <w:webHidden/>
              </w:rPr>
              <w:t>6</w:t>
            </w:r>
            <w:r>
              <w:rPr>
                <w:noProof/>
                <w:webHidden/>
              </w:rPr>
              <w:fldChar w:fldCharType="end"/>
            </w:r>
          </w:hyperlink>
        </w:p>
        <w:p w14:paraId="0287EAC6" w14:textId="74F3554F" w:rsidR="00483FAA" w:rsidRDefault="00483FAA">
          <w:pPr>
            <w:pStyle w:val="TOC1"/>
            <w:tabs>
              <w:tab w:val="right" w:leader="dot" w:pos="9016"/>
            </w:tabs>
            <w:rPr>
              <w:rFonts w:asciiTheme="minorHAnsi" w:eastAsiaTheme="minorEastAsia" w:hAnsiTheme="minorHAnsi"/>
              <w:noProof/>
              <w:sz w:val="24"/>
              <w:lang w:eastAsia="en-GB"/>
            </w:rPr>
          </w:pPr>
          <w:hyperlink w:anchor="_Toc237376840" w:history="1">
            <w:r w:rsidRPr="007636DF">
              <w:rPr>
                <w:rStyle w:val="Hyperlink"/>
                <w:noProof/>
              </w:rPr>
              <w:t>5. Recommendations</w:t>
            </w:r>
            <w:r>
              <w:rPr>
                <w:noProof/>
                <w:webHidden/>
              </w:rPr>
              <w:tab/>
            </w:r>
            <w:r>
              <w:rPr>
                <w:noProof/>
                <w:webHidden/>
              </w:rPr>
              <w:fldChar w:fldCharType="begin"/>
            </w:r>
            <w:r>
              <w:rPr>
                <w:noProof/>
                <w:webHidden/>
              </w:rPr>
              <w:instrText xml:space="preserve"> PAGEREF _Toc237376840 \h </w:instrText>
            </w:r>
            <w:r>
              <w:rPr>
                <w:noProof/>
                <w:webHidden/>
              </w:rPr>
            </w:r>
            <w:r>
              <w:rPr>
                <w:noProof/>
                <w:webHidden/>
              </w:rPr>
              <w:fldChar w:fldCharType="separate"/>
            </w:r>
            <w:r>
              <w:rPr>
                <w:noProof/>
                <w:webHidden/>
              </w:rPr>
              <w:t>7</w:t>
            </w:r>
            <w:r>
              <w:rPr>
                <w:noProof/>
                <w:webHidden/>
              </w:rPr>
              <w:fldChar w:fldCharType="end"/>
            </w:r>
          </w:hyperlink>
        </w:p>
        <w:p w14:paraId="33465FD5" w14:textId="05523B7B" w:rsidR="00483FAA" w:rsidRDefault="00483FAA">
          <w:pPr>
            <w:pStyle w:val="TOC1"/>
            <w:tabs>
              <w:tab w:val="right" w:leader="dot" w:pos="9016"/>
            </w:tabs>
            <w:rPr>
              <w:rFonts w:asciiTheme="minorHAnsi" w:eastAsiaTheme="minorEastAsia" w:hAnsiTheme="minorHAnsi"/>
              <w:noProof/>
              <w:sz w:val="24"/>
              <w:lang w:eastAsia="en-GB"/>
            </w:rPr>
          </w:pPr>
          <w:hyperlink w:anchor="_Toc237376841" w:history="1">
            <w:r w:rsidRPr="007636DF">
              <w:rPr>
                <w:rStyle w:val="Hyperlink"/>
                <w:noProof/>
              </w:rPr>
              <w:t>6. Conclusion</w:t>
            </w:r>
            <w:r>
              <w:rPr>
                <w:noProof/>
                <w:webHidden/>
              </w:rPr>
              <w:tab/>
            </w:r>
            <w:r>
              <w:rPr>
                <w:noProof/>
                <w:webHidden/>
              </w:rPr>
              <w:fldChar w:fldCharType="begin"/>
            </w:r>
            <w:r>
              <w:rPr>
                <w:noProof/>
                <w:webHidden/>
              </w:rPr>
              <w:instrText xml:space="preserve"> PAGEREF _Toc237376841 \h </w:instrText>
            </w:r>
            <w:r>
              <w:rPr>
                <w:noProof/>
                <w:webHidden/>
              </w:rPr>
            </w:r>
            <w:r>
              <w:rPr>
                <w:noProof/>
                <w:webHidden/>
              </w:rPr>
              <w:fldChar w:fldCharType="separate"/>
            </w:r>
            <w:r>
              <w:rPr>
                <w:noProof/>
                <w:webHidden/>
              </w:rPr>
              <w:t>9</w:t>
            </w:r>
            <w:r>
              <w:rPr>
                <w:noProof/>
                <w:webHidden/>
              </w:rPr>
              <w:fldChar w:fldCharType="end"/>
            </w:r>
          </w:hyperlink>
        </w:p>
        <w:p w14:paraId="2DD7472C" w14:textId="7D53FAA4" w:rsidR="00483FAA" w:rsidRDefault="00483FAA">
          <w:pPr>
            <w:pStyle w:val="TOC1"/>
            <w:tabs>
              <w:tab w:val="right" w:leader="dot" w:pos="9016"/>
            </w:tabs>
            <w:rPr>
              <w:rFonts w:asciiTheme="minorHAnsi" w:eastAsiaTheme="minorEastAsia" w:hAnsiTheme="minorHAnsi"/>
              <w:noProof/>
              <w:sz w:val="24"/>
              <w:lang w:eastAsia="en-GB"/>
            </w:rPr>
          </w:pPr>
          <w:hyperlink w:anchor="_Toc237376842" w:history="1">
            <w:r w:rsidRPr="007636DF">
              <w:rPr>
                <w:rStyle w:val="Hyperlink"/>
                <w:noProof/>
              </w:rPr>
              <w:t>References</w:t>
            </w:r>
            <w:r>
              <w:rPr>
                <w:noProof/>
                <w:webHidden/>
              </w:rPr>
              <w:tab/>
            </w:r>
            <w:r>
              <w:rPr>
                <w:noProof/>
                <w:webHidden/>
              </w:rPr>
              <w:fldChar w:fldCharType="begin"/>
            </w:r>
            <w:r>
              <w:rPr>
                <w:noProof/>
                <w:webHidden/>
              </w:rPr>
              <w:instrText xml:space="preserve"> PAGEREF _Toc237376842 \h </w:instrText>
            </w:r>
            <w:r>
              <w:rPr>
                <w:noProof/>
                <w:webHidden/>
              </w:rPr>
            </w:r>
            <w:r>
              <w:rPr>
                <w:noProof/>
                <w:webHidden/>
              </w:rPr>
              <w:fldChar w:fldCharType="separate"/>
            </w:r>
            <w:r>
              <w:rPr>
                <w:noProof/>
                <w:webHidden/>
              </w:rPr>
              <w:t>10</w:t>
            </w:r>
            <w:r>
              <w:rPr>
                <w:noProof/>
                <w:webHidden/>
              </w:rPr>
              <w:fldChar w:fldCharType="end"/>
            </w:r>
          </w:hyperlink>
        </w:p>
        <w:p w14:paraId="02E86248" w14:textId="36D236D4" w:rsidR="00483FAA" w:rsidRDefault="00483FAA" w:rsidP="00483FAA">
          <w:r>
            <w:rPr>
              <w:b/>
              <w:bCs/>
            </w:rPr>
            <w:fldChar w:fldCharType="end"/>
          </w:r>
        </w:p>
      </w:sdtContent>
    </w:sdt>
    <w:p w14:paraId="280F0BDF" w14:textId="77777777" w:rsidR="00483FAA" w:rsidRDefault="00483FAA" w:rsidP="00483FAA">
      <w:pPr>
        <w:spacing w:line="278" w:lineRule="auto"/>
        <w:jc w:val="left"/>
        <w:rPr>
          <w:rFonts w:asciiTheme="majorHAnsi" w:eastAsiaTheme="majorEastAsia" w:hAnsiTheme="majorHAnsi" w:cstheme="majorBidi"/>
          <w:color w:val="0F4761" w:themeColor="accent1" w:themeShade="BF"/>
          <w:sz w:val="40"/>
          <w:szCs w:val="40"/>
        </w:rPr>
      </w:pPr>
      <w:r>
        <w:br w:type="page"/>
      </w:r>
    </w:p>
    <w:p w14:paraId="644727D4" w14:textId="77777777" w:rsidR="00483FAA" w:rsidRPr="00140C4B" w:rsidRDefault="00483FAA" w:rsidP="00483FAA">
      <w:pPr>
        <w:pStyle w:val="Heading1"/>
      </w:pPr>
      <w:bookmarkStart w:id="0" w:name="_Toc237376836"/>
      <w:r w:rsidRPr="00140C4B">
        <w:lastRenderedPageBreak/>
        <w:t>1. Introduction</w:t>
      </w:r>
      <w:bookmarkEnd w:id="0"/>
    </w:p>
    <w:p w14:paraId="18CFDB3E" w14:textId="77777777" w:rsidR="00483FAA" w:rsidRPr="00140C4B" w:rsidRDefault="00483FAA" w:rsidP="00347ECC">
      <w:pPr>
        <w:ind w:firstLine="720"/>
      </w:pPr>
      <w:r w:rsidRPr="00140C4B">
        <w:t xml:space="preserve">Autism spectrum disorder (ASD) is a lifelong neurodevelopmental condition characterised by differences in reciprocal social communication together with restricted, repetitive or inflexible patterns of behaviour, interests and sensory responses. </w:t>
      </w:r>
      <w:r>
        <w:t>In the World Health Organisation (WHO) (2024)</w:t>
      </w:r>
      <w:r w:rsidRPr="00140C4B">
        <w:t xml:space="preserve"> ICD-11, autism is classified under mental, behavioural or neurodevelopmental disorders as code 6A02. The classification has important clinical and social consequences because diagnosis can enable access to health, education and social-care support, while the terminology used can also shape how autistic people are understood. </w:t>
      </w:r>
      <w:r>
        <w:t>Pellicano and den Houting (2022) state that c</w:t>
      </w:r>
      <w:r w:rsidRPr="00140C4B">
        <w:t>ontemporary autism practice therefore sits between two perspectives: a medical model that identifies clinically significant impairment and a neurodiversity model that regards autistic cognition as part of natural human variation. This matters because classification affects identity, service eligibility and the goals regarded as legitimate in intervention.</w:t>
      </w:r>
    </w:p>
    <w:p w14:paraId="791A8A39" w14:textId="77777777" w:rsidR="00483FAA" w:rsidRPr="00140C4B" w:rsidRDefault="00483FAA" w:rsidP="003B5E79">
      <w:pPr>
        <w:ind w:firstLine="720"/>
      </w:pPr>
      <w:r w:rsidRPr="00140C4B">
        <w:t>This report critically evaluates ICD-11 classification and diagnosis, standard treatment and rehabilitation approaches, and current debates concerning neurodivergence. It argues that ICD-11 improves on earlier categorical models by recognising a broad spectrum and by specifying intellectual and functional-language characteristics, but it remains strongly deficit-focused. Effective practice should consequently retain diagnosis where it facilitates rights and services while moving treatment away from normalisation and towards personalised, evidence-based support, autonomy, participation and quality of life.</w:t>
      </w:r>
    </w:p>
    <w:p w14:paraId="0A35AF76" w14:textId="77777777" w:rsidR="00483FAA" w:rsidRPr="00140C4B" w:rsidRDefault="00483FAA" w:rsidP="00483FAA">
      <w:pPr>
        <w:pStyle w:val="Heading1"/>
      </w:pPr>
      <w:bookmarkStart w:id="1" w:name="_Toc237376837"/>
      <w:r w:rsidRPr="00140C4B">
        <w:t>2. Classification and Diagnosis</w:t>
      </w:r>
      <w:bookmarkEnd w:id="1"/>
    </w:p>
    <w:p w14:paraId="10DEC59E" w14:textId="77777777" w:rsidR="004E1684" w:rsidRDefault="00483FAA" w:rsidP="003B5E79">
      <w:pPr>
        <w:ind w:firstLine="360"/>
      </w:pPr>
      <w:r w:rsidRPr="00140C4B">
        <w:t xml:space="preserve">ICD-11 </w:t>
      </w:r>
      <w:r>
        <w:t xml:space="preserve">(2024) </w:t>
      </w:r>
      <w:r w:rsidRPr="00140C4B">
        <w:t xml:space="preserve">places ASD within neurodevelopmental disorders and defines two required domains: </w:t>
      </w:r>
    </w:p>
    <w:p w14:paraId="4898F3FE" w14:textId="2CA01A17" w:rsidR="00483FAA" w:rsidRDefault="00483FAA" w:rsidP="004E1684">
      <w:pPr>
        <w:pStyle w:val="ListParagraph"/>
        <w:numPr>
          <w:ilvl w:val="0"/>
          <w:numId w:val="26"/>
        </w:numPr>
      </w:pPr>
      <w:r>
        <w:t>P</w:t>
      </w:r>
      <w:r w:rsidRPr="00140C4B">
        <w:t>ersistent difficulties in initiating and sustaining reciprocal social communication and interaction</w:t>
      </w:r>
      <w:r w:rsidR="000274CC">
        <w:t>.</w:t>
      </w:r>
    </w:p>
    <w:p w14:paraId="2ED544F8" w14:textId="5AFDEE8D" w:rsidR="00483FAA" w:rsidRDefault="00483FAA" w:rsidP="00483FAA">
      <w:pPr>
        <w:pStyle w:val="ListParagraph"/>
        <w:numPr>
          <w:ilvl w:val="0"/>
          <w:numId w:val="26"/>
        </w:numPr>
      </w:pPr>
      <w:r>
        <w:t>P</w:t>
      </w:r>
      <w:r w:rsidRPr="00140C4B">
        <w:t xml:space="preserve">ersistent restricted, repetitive and inflexible behaviours, interests or activities. </w:t>
      </w:r>
    </w:p>
    <w:p w14:paraId="46C3B4F0" w14:textId="77777777" w:rsidR="00483FAA" w:rsidRPr="00140C4B" w:rsidRDefault="00483FAA" w:rsidP="003B5E79">
      <w:pPr>
        <w:ind w:firstLine="360"/>
      </w:pPr>
      <w:r w:rsidRPr="00140C4B">
        <w:t>These features must originate during the developmental period and lead to significant impairment in important areas of functioning. Importantly, symptoms may become fully apparent only when social demands exceed an individual’s capacity, allowing later diagnosis when childhood differences were masked or compensated for</w:t>
      </w:r>
      <w:r>
        <w:t xml:space="preserve">. </w:t>
      </w:r>
      <w:r w:rsidRPr="00140C4B">
        <w:t>The classification also recognises sensory hyper- or hyposensitivity and acknowledges variation across age, culture and context.</w:t>
      </w:r>
    </w:p>
    <w:p w14:paraId="5D0122AB" w14:textId="1ED1B10F" w:rsidR="00483FAA" w:rsidRPr="00140C4B" w:rsidRDefault="00483FAA" w:rsidP="003B5E79">
      <w:pPr>
        <w:ind w:firstLine="360"/>
      </w:pPr>
      <w:r w:rsidRPr="00140C4B">
        <w:lastRenderedPageBreak/>
        <w:t xml:space="preserve">A major change from earlier classifications is the consolidation of autistic presentations within a single spectrum rather than maintaining separate diagnoses such as Asperger syndrome. ICD-11 then differentiates presentations through specifiers for co-occurring disorder of intellectual development and degree of functional-language impairment. Codes 6A02.0–6A02.5 therefore provide more clinically relevant information than a single severity label, while additional qualifiers identify loss of previously acquired skills. ICD-11 also provides “other specified” and “unspecified” categories when information is incomplete and excludes Rett syndrome. </w:t>
      </w:r>
      <w:r w:rsidR="00772520">
        <w:t>Lord et al. (2020) state that t</w:t>
      </w:r>
      <w:r w:rsidRPr="00140C4B">
        <w:t>his reflects the substantial heterogeneity of autism, although intellectual ability and functional language alone do not capture adaptive functioning, sensory needs, masking, mental health or support requirements.</w:t>
      </w:r>
    </w:p>
    <w:p w14:paraId="0F9BDEE7" w14:textId="31656158" w:rsidR="00483FAA" w:rsidRPr="00140C4B" w:rsidRDefault="00483FAA" w:rsidP="005903E9">
      <w:pPr>
        <w:ind w:firstLine="360"/>
      </w:pPr>
      <w:r w:rsidRPr="00140C4B">
        <w:t>Diagnosis remains clinical rather than based on a biomarker. NICE recommends a comprehensive developmental history, direct observation, assessment of functioning and coexisting conditions, and consideration of differential diagnoses.</w:t>
      </w:r>
      <w:r w:rsidR="002B4E04">
        <w:t xml:space="preserve"> Nice (2011, 2012) recommends that i</w:t>
      </w:r>
      <w:r w:rsidRPr="00140C4B">
        <w:t xml:space="preserve">n children, </w:t>
      </w:r>
      <w:r w:rsidR="002B4E04">
        <w:t xml:space="preserve">a </w:t>
      </w:r>
      <w:r w:rsidRPr="00140C4B">
        <w:t xml:space="preserve">multidisciplinary assessment is </w:t>
      </w:r>
      <w:r w:rsidR="002B4E04">
        <w:t>conducted</w:t>
      </w:r>
      <w:r w:rsidRPr="00140C4B">
        <w:t xml:space="preserve"> where possible</w:t>
      </w:r>
      <w:r w:rsidR="009A14D7">
        <w:t xml:space="preserve"> and that </w:t>
      </w:r>
      <w:r w:rsidRPr="00140C4B">
        <w:t xml:space="preserve">adult assessment similarly requires </w:t>
      </w:r>
      <w:r w:rsidR="009A14D7">
        <w:t xml:space="preserve">an </w:t>
      </w:r>
      <w:r w:rsidRPr="00140C4B">
        <w:t>evaluation of childhood-onset features and current functioning</w:t>
      </w:r>
      <w:r w:rsidR="009A14D7">
        <w:t xml:space="preserve">. </w:t>
      </w:r>
      <w:r w:rsidRPr="00140C4B">
        <w:t xml:space="preserve">Standardised instruments such as the ADOS or structured developmental interviews may support judgement but should not replace clinical formulation. Differential diagnosis is essential because ASD may overlap with ADHD, developmental language disorder, intellectual disability, social anxiety, obsessive-compulsive disorder and other conditions; importantly, several of these may also co-occur rather than being mutually exclusive. </w:t>
      </w:r>
      <w:r w:rsidR="007A30A8">
        <w:t xml:space="preserve">Bargiela, Steward and Mandy (2016) and Cook et al. (2021) </w:t>
      </w:r>
      <w:r w:rsidR="00E45909">
        <w:t>conclude that t</w:t>
      </w:r>
      <w:r w:rsidRPr="00140C4B">
        <w:t>his is particularly important because camouflaging can reduce the visibility of traits, especially among women and some adults</w:t>
      </w:r>
      <w:r w:rsidR="00E45909">
        <w:t xml:space="preserve">. </w:t>
      </w:r>
      <w:r w:rsidRPr="00140C4B">
        <w:t>NHS England similarly states that autism assessment tools provide useful information but are not diagnostic independently of professional clinical assessment.</w:t>
      </w:r>
    </w:p>
    <w:p w14:paraId="69C30328" w14:textId="77777777" w:rsidR="00483FAA" w:rsidRPr="00140C4B" w:rsidRDefault="00483FAA" w:rsidP="003B5E79">
      <w:pPr>
        <w:ind w:firstLine="720"/>
      </w:pPr>
      <w:r w:rsidRPr="00140C4B">
        <w:t>The language of ICD-11 remains medicalised: “disorder”, “deficits”, “impairment” and “symptoms” are central to the diagnostic threshold. Such terminology supports consistency and eligibility for services but can imply that autistic difference is inherently pathological. This tension is central to current debates about whether classification should describe disability and support need without defining the person primarily through deficit.</w:t>
      </w:r>
    </w:p>
    <w:p w14:paraId="795CFB0E" w14:textId="77777777" w:rsidR="00483FAA" w:rsidRPr="00140C4B" w:rsidRDefault="00483FAA" w:rsidP="00483FAA">
      <w:pPr>
        <w:pStyle w:val="Heading1"/>
      </w:pPr>
      <w:bookmarkStart w:id="2" w:name="_Toc237376838"/>
      <w:r w:rsidRPr="00140C4B">
        <w:t>3. Treatment and Rehabilitation</w:t>
      </w:r>
      <w:bookmarkEnd w:id="2"/>
    </w:p>
    <w:p w14:paraId="7F184D01" w14:textId="6CE4A93E" w:rsidR="00483FAA" w:rsidRPr="00140C4B" w:rsidRDefault="00483FAA" w:rsidP="003B5E79">
      <w:pPr>
        <w:ind w:firstLine="720"/>
      </w:pPr>
      <w:r w:rsidRPr="00140C4B">
        <w:t>There is no medication that treats the core features of autism, and NICE</w:t>
      </w:r>
      <w:r w:rsidR="00E45909">
        <w:t xml:space="preserve"> (2012, 2013)</w:t>
      </w:r>
      <w:r w:rsidRPr="00140C4B">
        <w:t xml:space="preserve"> advises against using antipsychotics, antidepressants or anticonvulsants specifically for this purpos</w:t>
      </w:r>
      <w:r w:rsidR="00E45909">
        <w:t>e</w:t>
      </w:r>
      <w:r w:rsidRPr="00140C4B">
        <w:t xml:space="preserve">. Treatment is therefore better understood as individualised support for </w:t>
      </w:r>
      <w:r w:rsidRPr="00140C4B">
        <w:lastRenderedPageBreak/>
        <w:t xml:space="preserve">communication, participation, distress, co-occurring conditions and functional needs. For children, recommended approaches include play-based and parent or carer-mediated social-communication interventions that aim to improve shared attention, communication and reciprocal interaction. </w:t>
      </w:r>
      <w:r w:rsidR="00E91864">
        <w:t>Pick</w:t>
      </w:r>
      <w:r w:rsidR="00275D78">
        <w:t>l</w:t>
      </w:r>
      <w:r w:rsidR="00E91864">
        <w:t xml:space="preserve">es et al (2016) </w:t>
      </w:r>
      <w:r w:rsidR="00275D78">
        <w:t>performed a l</w:t>
      </w:r>
      <w:r w:rsidRPr="00140C4B">
        <w:t xml:space="preserve">ong-term follow-up of the PACT trial </w:t>
      </w:r>
      <w:r w:rsidR="00275D78">
        <w:t xml:space="preserve">and </w:t>
      </w:r>
      <w:r w:rsidRPr="00140C4B">
        <w:t xml:space="preserve">found sustained improvement in autism symptom measures following a parent-mediated communication intervention, although effects were not equivalent to eliminating autistic characteristics. Meta-analytic evidence </w:t>
      </w:r>
      <w:r w:rsidR="00275D78">
        <w:t xml:space="preserve">studied by Nevill, Lecavalier and Stratis (2018) and Sandbank et al. (2023) </w:t>
      </w:r>
      <w:r w:rsidRPr="00140C4B">
        <w:t>similarly suggests that early interventions can produce benefits, but average effects are often small and vary by intervention type, outcome and study quality</w:t>
      </w:r>
      <w:r w:rsidR="007A11F9">
        <w:t xml:space="preserve">. </w:t>
      </w:r>
      <w:r w:rsidRPr="00140C4B">
        <w:t>This variability argues against identical intervention packages and supports matching goals to developmental stage, communication profile and individual preferences.</w:t>
      </w:r>
    </w:p>
    <w:p w14:paraId="624F288E" w14:textId="77777777" w:rsidR="00483FAA" w:rsidRPr="00140C4B" w:rsidRDefault="00483FAA" w:rsidP="007D57DE">
      <w:pPr>
        <w:ind w:firstLine="720"/>
      </w:pPr>
      <w:r w:rsidRPr="00140C4B">
        <w:t>Behaviourally informed interventions remain influential, particularly for developing communication, daily living skills and managing behaviours that create risk. However, evidence should be interpreted critically. Sandbank et al. (2023) found substantial variation in the quality of early-intervention research and noted that estimates can be affected by study design and risk of bias. Consequently, intensity should not be assumed to equal effectiveness, and goals based mainly on making children appear non-autistic are difficult to justify ethically. Functional assessment is more defensible when it identifies triggers such as pain, anxiety, communication barriers, sensory overload or environmental demands and then modifies these causes rather than simply suppressing behaviour.</w:t>
      </w:r>
    </w:p>
    <w:p w14:paraId="11D3BFE8" w14:textId="16FC60AD" w:rsidR="00483FAA" w:rsidRPr="00140C4B" w:rsidRDefault="00483FAA" w:rsidP="007D57DE">
      <w:pPr>
        <w:ind w:firstLine="720"/>
      </w:pPr>
      <w:r w:rsidRPr="00140C4B">
        <w:t xml:space="preserve">ICD-11 itself does not set out a rehabilitation protocol; its purpose is diagnostic classification. Rehabilitation in practice is therefore broader than the ICD-11 diagnostic description and must be interpreted through clinical guidelines, disability support and multidisciplinary care. It may include speech and language therapy, augmentative and alternative communication, occupational therapy, environmental and sensory adaptations, educational support, social-care input, supported employment, transition planning and family support. NICE </w:t>
      </w:r>
      <w:r w:rsidR="007A11F9">
        <w:t xml:space="preserve">(2012, 2013) </w:t>
      </w:r>
      <w:r w:rsidRPr="00140C4B">
        <w:t>also recommends adapted psychological interventions for co-occurring problems, for example making cognitive behavioural therapy more concrete, structured and visually supported</w:t>
      </w:r>
      <w:r w:rsidR="007A11F9">
        <w:t xml:space="preserve">. </w:t>
      </w:r>
      <w:r w:rsidRPr="00140C4B">
        <w:t xml:space="preserve">NHS England </w:t>
      </w:r>
      <w:r w:rsidR="007A11F9">
        <w:t xml:space="preserve">(2023) </w:t>
      </w:r>
      <w:r w:rsidRPr="00140C4B">
        <w:t xml:space="preserve">further frames autism pathways as including </w:t>
      </w:r>
      <w:r w:rsidR="004E1684" w:rsidRPr="00140C4B">
        <w:t>pre-</w:t>
      </w:r>
      <w:r w:rsidRPr="00140C4B">
        <w:t xml:space="preserve"> and post-assessment support rather than diagnosis alone.</w:t>
      </w:r>
    </w:p>
    <w:p w14:paraId="0375E57A" w14:textId="77777777" w:rsidR="00483FAA" w:rsidRPr="00140C4B" w:rsidRDefault="00483FAA" w:rsidP="007D57DE">
      <w:pPr>
        <w:ind w:firstLine="720"/>
      </w:pPr>
      <w:r w:rsidRPr="00140C4B">
        <w:t>The main limitation is uneven access and an evidence base that does not represent the full spectrum equally. Evidence is less secure for long-term adult outcomes and people with complex communication or intellectual disabilities; effectiveness also depends on workforce capacity, service continuity and environmental adjustments. Outcomes valued by services</w:t>
      </w:r>
      <w:r>
        <w:t xml:space="preserve">, </w:t>
      </w:r>
      <w:r w:rsidRPr="00140C4B">
        <w:t>such as reduced observable autistic behaviour</w:t>
      </w:r>
      <w:r>
        <w:t xml:space="preserve">, </w:t>
      </w:r>
      <w:r w:rsidRPr="00140C4B">
        <w:t xml:space="preserve">may differ from outcomes valued by </w:t>
      </w:r>
      <w:r w:rsidRPr="00140C4B">
        <w:lastRenderedPageBreak/>
        <w:t>autistic people, including reduced distress, autonomy and meaningful participation. Rehabilitation should therefore be needs-led, lifespan-based and judged by quality of life rather than conformity to neurotypical behaviour.</w:t>
      </w:r>
    </w:p>
    <w:p w14:paraId="5CF123A7" w14:textId="77777777" w:rsidR="00483FAA" w:rsidRPr="00140C4B" w:rsidRDefault="00483FAA" w:rsidP="00483FAA">
      <w:pPr>
        <w:pStyle w:val="Heading1"/>
      </w:pPr>
      <w:bookmarkStart w:id="3" w:name="_Toc237376839"/>
      <w:r w:rsidRPr="00140C4B">
        <w:t>4. Current Debates and Emerging Issues</w:t>
      </w:r>
      <w:bookmarkEnd w:id="3"/>
    </w:p>
    <w:p w14:paraId="29F1AF90" w14:textId="7B6273C3" w:rsidR="00483FAA" w:rsidRPr="00140C4B" w:rsidRDefault="00483FAA" w:rsidP="007D57DE">
      <w:pPr>
        <w:ind w:firstLine="720"/>
      </w:pPr>
      <w:r w:rsidRPr="00140C4B">
        <w:t xml:space="preserve">The central debate is whether autism should primarily be conceptualised as a disorder or as neurodivergence. </w:t>
      </w:r>
      <w:r w:rsidR="007A11F9">
        <w:t>Pellicano and den Houting (20</w:t>
      </w:r>
      <w:r w:rsidR="00292F23">
        <w:t>22) suggest that t</w:t>
      </w:r>
      <w:r w:rsidRPr="00140C4B">
        <w:t>he neurodiversity paradigm does not deny that autistic people can experience substantial disability; instead, it challenges the assumption that difference itself is pathological and argues that disability can arise through interaction between neurological characteristics and inaccessible environments. Chapman and Botha (2023) similarly propose neurodivergence-informed therapy, in which intervention addresses distress and functional difficulty while respecting neurotype, identity and autonomy. This creates a productive challenge to ICD-11: diagnostic thresholds remain necessary for clinical communication and access to resources, yet deficit-focused wording can reinforce stigma if it is treated as a complete description of autistic experience.</w:t>
      </w:r>
    </w:p>
    <w:p w14:paraId="37E8DE63" w14:textId="0B000750" w:rsidR="00483FAA" w:rsidRPr="00140C4B" w:rsidRDefault="00483FAA" w:rsidP="007D57DE">
      <w:pPr>
        <w:ind w:firstLine="720"/>
      </w:pPr>
      <w:r w:rsidRPr="00140C4B">
        <w:t>A related debate concerns what outcomes treatment should pursue. Traditional intervention research has often prioritised reductions in “autism symptoms” whereas autistic advocates increasingly question goals such as forced eye contact, suppression of harmless repetitive movements or social conformity. The strongest compromise is not to reject intervention, but to distinguish between reducing harmful distress and erasing autistic difference. Communication support, safety, self-care, education and treatment of epilepsy, anxiety, depression or sleep problems may be highly beneficial, whereas interventions primarily targeting normal appearance require stronger ethical justification and evidence of meaningful benefit. Contemporary reviews of intervention evidence support caution about assuming that greater treatment intensity necessarily produces greater developmental benefit.</w:t>
      </w:r>
    </w:p>
    <w:p w14:paraId="7BA842D8" w14:textId="178B38B0" w:rsidR="00483FAA" w:rsidRPr="00140C4B" w:rsidRDefault="00483FAA" w:rsidP="005903E9">
      <w:pPr>
        <w:ind w:firstLine="720"/>
      </w:pPr>
      <w:r w:rsidRPr="00140C4B">
        <w:t xml:space="preserve">Diagnostic equity is another major concern. </w:t>
      </w:r>
      <w:r w:rsidR="00CC57B3">
        <w:t xml:space="preserve">Bargiela, Steward and Mandy (2016) </w:t>
      </w:r>
      <w:r w:rsidR="00316FA6">
        <w:t>showed that r</w:t>
      </w:r>
      <w:r w:rsidRPr="00140C4B">
        <w:t>esearch on late-diagnosed autistic women describes histories of missed recognition, imitation of peers and masking</w:t>
      </w:r>
      <w:r w:rsidR="00316FA6">
        <w:t>. Hull et al. (2017) conclude that c</w:t>
      </w:r>
      <w:r w:rsidRPr="00140C4B">
        <w:t>amouflaging may facilitate short-term social inclusion but is associated with exhaustion and poorer wellbeing. ICD-11 explicitly acknowledges compensation and sex-related differences, yet diagnostic services may still rely on historically male-centred prototypes. Cultural norms also affect eye contact, communication and behaviour, creating potential for both under- and over-identification when clinicians do not interpret traits within sociocultural context.</w:t>
      </w:r>
    </w:p>
    <w:p w14:paraId="0119523B" w14:textId="169865F5" w:rsidR="00483FAA" w:rsidRPr="00140C4B" w:rsidRDefault="00483FAA" w:rsidP="007D57DE">
      <w:pPr>
        <w:ind w:firstLine="720"/>
      </w:pPr>
      <w:r w:rsidRPr="00140C4B">
        <w:lastRenderedPageBreak/>
        <w:t xml:space="preserve">There are also reclassification questions. A single spectrum improves continuity and avoids questionable divisions between “types” of autism, but the breadth of ASD can conceal major differences in communication, intellectual ability, adaptive functioning and care needs. The ICD-11 specifier system partly addresses this, but a diagnosis should be supplemented by an individual functional profile rather than functioning labels such as “high” or “low functioning”. </w:t>
      </w:r>
      <w:r w:rsidR="00D17D16">
        <w:t>Work by Crompton et al (2020) studying th</w:t>
      </w:r>
      <w:r w:rsidRPr="00140C4B">
        <w:t>e double-empathy literature further suggests that social communication breakdown can be bidirectional between autistic and non-autistic people, challenging interpretations that locate all social difficulty within the autistic individual. This reframes some difficulty as an interaction between people with different communication expectations.</w:t>
      </w:r>
    </w:p>
    <w:p w14:paraId="43745B5A" w14:textId="58F2A772" w:rsidR="00483FAA" w:rsidRPr="00140C4B" w:rsidRDefault="00483FAA" w:rsidP="007D57DE">
      <w:pPr>
        <w:ind w:firstLine="720"/>
      </w:pPr>
      <w:r w:rsidRPr="00140C4B">
        <w:t xml:space="preserve">For policy, these debates imply that services must combine diagnostic reliability with rights-based, neurodiversity-informed practice. Debates also shape training, commissioning and communication. NHS England’s </w:t>
      </w:r>
      <w:r w:rsidR="00C83704">
        <w:t xml:space="preserve">(2023) </w:t>
      </w:r>
      <w:r w:rsidRPr="00140C4B">
        <w:t>all-age framework calls for ethical, accessible, evidence-based and co-designed assessment services, illustrating a policy shift from diagnosis as an endpoint towards diagnosis embedded within ongoing support. However, NHS England has also acknowledged that demand for autism assessment has outstripped capacity, demonstrating that progressive policy principles do not automatically translate into timely access to services.</w:t>
      </w:r>
    </w:p>
    <w:p w14:paraId="61E17532" w14:textId="77777777" w:rsidR="00483FAA" w:rsidRPr="00140C4B" w:rsidRDefault="00483FAA" w:rsidP="00483FAA">
      <w:pPr>
        <w:pStyle w:val="Heading1"/>
      </w:pPr>
      <w:bookmarkStart w:id="4" w:name="_Toc237376840"/>
      <w:r w:rsidRPr="00140C4B">
        <w:t>5. Recommendations</w:t>
      </w:r>
      <w:bookmarkEnd w:id="4"/>
    </w:p>
    <w:p w14:paraId="2159DAE1" w14:textId="74D0A125" w:rsidR="00483FAA" w:rsidRPr="00140C4B" w:rsidRDefault="00483FAA" w:rsidP="007D57DE">
      <w:pPr>
        <w:ind w:firstLine="720"/>
      </w:pPr>
      <w:r w:rsidRPr="00140C4B">
        <w:t xml:space="preserve">First, ICD-11 classification should be implemented alongside a structured functional profile that records adaptive skills, sensory needs, communication preferences, mental-health needs, environmental barriers, strengths and required reasonable adjustments. Intellectual development and functional language are important, but they are insufficient proxies for everyday support </w:t>
      </w:r>
      <w:r w:rsidR="00B47555">
        <w:t>needs</w:t>
      </w:r>
      <w:r w:rsidRPr="00140C4B">
        <w:t>. Fluent speech and average intelligence can coexist with substantial support needs, while limited speech should not be assumed to indicate limited understanding.</w:t>
      </w:r>
    </w:p>
    <w:p w14:paraId="0F2EA9CE" w14:textId="77777777" w:rsidR="00483FAA" w:rsidRPr="00140C4B" w:rsidRDefault="00483FAA" w:rsidP="007D57DE">
      <w:pPr>
        <w:ind w:firstLine="720"/>
      </w:pPr>
      <w:r w:rsidRPr="00140C4B">
        <w:t>Second, diagnostic pathways should become more equitable. Multidisciplinary teams require training in female and gender-diverse presentations, camouflaging, cultural variation, intellectual disability and adult diagnosis. Standardised tools should support rather than determine diagnosis, and services should actively seek developmental information while recognising that retrospective childhood evidence can be incomplete. NHS commissioning should also connect assessment with pre- and post-diagnostic support, rather than requiring people to wait for a diagnostic label before reasonable needs are addressed (NHS England, 2023).</w:t>
      </w:r>
    </w:p>
    <w:p w14:paraId="0C3502EE" w14:textId="54834877" w:rsidR="00483FAA" w:rsidRPr="00140C4B" w:rsidRDefault="00483FAA" w:rsidP="007D57DE">
      <w:pPr>
        <w:ind w:firstLine="720"/>
      </w:pPr>
      <w:r w:rsidRPr="00140C4B">
        <w:lastRenderedPageBreak/>
        <w:t xml:space="preserve">Third, treatment and rehabilitation should use neurodiversity-informed goals agreed with the autistic person wherever possible. Outcomes should prioritise communication, safety, emotional wellbeing, autonomy, participation, relationships, education, employment and quality of life. Harmless autistic behaviours should not be targeted merely because they appear atypical. Co-occurring physical and mental-health conditions, however, should receive timely evidence-based treatment with appropriate adaptations. </w:t>
      </w:r>
      <w:r w:rsidR="00504135">
        <w:t>Chapman and Botha (2023) suggest t</w:t>
      </w:r>
      <w:r w:rsidRPr="00140C4B">
        <w:t>his approach is consistent with proposals for neurodivergence-informed therapy, which distinguish support for disability from attempts to eliminate neurological difference.</w:t>
      </w:r>
    </w:p>
    <w:p w14:paraId="68BE15B0" w14:textId="0FBC6AC7" w:rsidR="00483FAA" w:rsidRPr="00140C4B" w:rsidRDefault="00483FAA" w:rsidP="007D57DE">
      <w:pPr>
        <w:ind w:firstLine="720"/>
      </w:pPr>
      <w:r w:rsidRPr="00140C4B">
        <w:t xml:space="preserve">Finally, future research should be co-produced with autistic people and should report adverse effects, long-term outcomes and outcomes that matter to service users, not only clinician-rated symptom change. Greater inclusion of minimally speaking people, individuals with intellectual disability, women, ethnic minorities and older adults is required. Commissioners should monitor waiting times and access inequalities to guide workforce and service investment. Services should publish clear post-diagnostic support pathways. These changes would preserve the practical value of diagnosis while reducing unnecessary pathologisation and improving fairness, relevance and accountability. NHS England </w:t>
      </w:r>
      <w:r w:rsidR="00504135">
        <w:t xml:space="preserve">(2023) </w:t>
      </w:r>
      <w:r w:rsidRPr="00140C4B">
        <w:t>already identifies accessibility, co-design, multidisciplinary working and attention to health inequalities as principles for autism assessment, providing a basis for implementation.</w:t>
      </w:r>
    </w:p>
    <w:p w14:paraId="3119B942" w14:textId="77777777" w:rsidR="00483FAA" w:rsidRDefault="00483FAA">
      <w:pPr>
        <w:spacing w:line="278" w:lineRule="auto"/>
        <w:jc w:val="left"/>
        <w:rPr>
          <w:rFonts w:asciiTheme="majorHAnsi" w:eastAsiaTheme="majorEastAsia" w:hAnsiTheme="majorHAnsi" w:cstheme="majorBidi"/>
          <w:color w:val="0F4761" w:themeColor="accent1" w:themeShade="BF"/>
          <w:sz w:val="40"/>
          <w:szCs w:val="40"/>
        </w:rPr>
      </w:pPr>
      <w:r>
        <w:br w:type="page"/>
      </w:r>
    </w:p>
    <w:p w14:paraId="5F52E7BD" w14:textId="184F310F" w:rsidR="00483FAA" w:rsidRPr="00140C4B" w:rsidRDefault="00483FAA" w:rsidP="00483FAA">
      <w:pPr>
        <w:pStyle w:val="Heading1"/>
      </w:pPr>
      <w:bookmarkStart w:id="5" w:name="_Toc237376841"/>
      <w:r w:rsidRPr="00140C4B">
        <w:lastRenderedPageBreak/>
        <w:t>6. Conclusion</w:t>
      </w:r>
      <w:bookmarkEnd w:id="5"/>
    </w:p>
    <w:p w14:paraId="0A911F98" w14:textId="77777777" w:rsidR="00483FAA" w:rsidRPr="00140C4B" w:rsidRDefault="00483FAA" w:rsidP="007D57DE">
      <w:pPr>
        <w:ind w:firstLine="720"/>
      </w:pPr>
      <w:r w:rsidRPr="00140C4B">
        <w:t>ICD-11 represents an important development in autism classification because it replaces narrower categorical subtypes with a spectrum and uses specifiers for intellectual development, functional language and regression. Its diagnostic requirements appropriately recognise lifelong developmental onset, heterogeneity, cultural context, compensation and clinically significant impairment. Nevertheless, the language remains predominantly deficit-based, and the diagnostic codes provide only a partial account of the support needs and strengths of autistic people.</w:t>
      </w:r>
    </w:p>
    <w:p w14:paraId="7C75CD34" w14:textId="3796BEC2" w:rsidR="00483FAA" w:rsidRPr="00140C4B" w:rsidRDefault="00483FAA" w:rsidP="007D57DE">
      <w:pPr>
        <w:ind w:firstLine="720"/>
      </w:pPr>
      <w:r w:rsidRPr="00140C4B">
        <w:t>Evidence indicates that autism intervention can improve selected communication, developmental and functional outcomes, but effects are heterogeneous and the methodological quality of parts of the evidence base remains limited. Rehabilitation is therefore most effective when individualised and embedded across health, education, social care, family life and employment rather than framed as a cure for autism. Neurodiversity debates strengthen this position by distinguishing support for disability and distress from attempts to normalise identity.</w:t>
      </w:r>
    </w:p>
    <w:p w14:paraId="4E4E2C91" w14:textId="77777777" w:rsidR="00483FAA" w:rsidRPr="00140C4B" w:rsidRDefault="00483FAA" w:rsidP="00483FAA">
      <w:r w:rsidRPr="00140C4B">
        <w:t>Future practice should retain a clinically robust diagnosis while expanding functional assessment, improving gender and cultural competence, ensuring timely post-diagnostic support and adopting co-produced, quality-of-life outcomes. Such an approach would align classification with contemporary evidence and enable services to respond to autistic people as individuals with different profiles, rights, strengths and support requirements. This balance supports ethical, person-centred autism care.</w:t>
      </w:r>
    </w:p>
    <w:p w14:paraId="28108713" w14:textId="77777777" w:rsidR="00483FAA" w:rsidRDefault="00483FAA" w:rsidP="00483FAA">
      <w:pPr>
        <w:spacing w:line="278" w:lineRule="auto"/>
        <w:jc w:val="left"/>
        <w:rPr>
          <w:b/>
          <w:bCs/>
        </w:rPr>
      </w:pPr>
      <w:r>
        <w:rPr>
          <w:b/>
          <w:bCs/>
        </w:rPr>
        <w:br w:type="page"/>
      </w:r>
    </w:p>
    <w:p w14:paraId="1D1AB9EC" w14:textId="77777777" w:rsidR="00483FAA" w:rsidRPr="00140C4B" w:rsidRDefault="00483FAA" w:rsidP="00483FAA">
      <w:pPr>
        <w:pStyle w:val="Heading1"/>
      </w:pPr>
      <w:bookmarkStart w:id="6" w:name="_Toc237376842"/>
      <w:r w:rsidRPr="00140C4B">
        <w:lastRenderedPageBreak/>
        <w:t>References</w:t>
      </w:r>
      <w:bookmarkEnd w:id="6"/>
    </w:p>
    <w:p w14:paraId="255B5A4B" w14:textId="76FCFB93" w:rsidR="00483FAA" w:rsidRDefault="00483FAA" w:rsidP="00483FAA">
      <w:pPr>
        <w:spacing w:line="278" w:lineRule="auto"/>
      </w:pPr>
      <w:r w:rsidRPr="004C64C6">
        <w:t xml:space="preserve">Bargiela, S., Steward, R. and Mandy, W. (2016) “The Experiences of Late-diagnosed Women with Autism Spectrum Conditions: An Investigation of the Female Autism Phenotype,” </w:t>
      </w:r>
      <w:r w:rsidRPr="004C64C6">
        <w:rPr>
          <w:i/>
          <w:iCs/>
        </w:rPr>
        <w:t xml:space="preserve">Journal of autism and </w:t>
      </w:r>
      <w:r w:rsidR="00720364">
        <w:rPr>
          <w:i/>
          <w:iCs/>
        </w:rPr>
        <w:t>Developmental Disorders</w:t>
      </w:r>
      <w:r w:rsidRPr="004C64C6">
        <w:t xml:space="preserve">, 46(10), pp. 3281–3294. Available at: </w:t>
      </w:r>
      <w:hyperlink r:id="rId10" w:history="1">
        <w:r w:rsidRPr="00A76EE9">
          <w:rPr>
            <w:rStyle w:val="Hyperlink"/>
          </w:rPr>
          <w:t>https://doi.org/10.1007/s10803-016-2872-8</w:t>
        </w:r>
      </w:hyperlink>
      <w:r w:rsidRPr="004C64C6">
        <w:t>.</w:t>
      </w:r>
    </w:p>
    <w:p w14:paraId="3CA3B4A1" w14:textId="73F1ADB1" w:rsidR="00483FAA" w:rsidRDefault="00483FAA" w:rsidP="00483FAA">
      <w:pPr>
        <w:spacing w:line="278" w:lineRule="auto"/>
      </w:pPr>
      <w:r w:rsidRPr="00B13987">
        <w:t>Chapman, R. and Botha, M. (2023) “Neurodivergence</w:t>
      </w:r>
      <w:r w:rsidRPr="00B13987">
        <w:rPr>
          <w:rFonts w:ascii="Cambria Math" w:hAnsi="Cambria Math" w:cs="Cambria Math"/>
        </w:rPr>
        <w:t>‐</w:t>
      </w:r>
      <w:r w:rsidRPr="00B13987">
        <w:t>informed therapy,</w:t>
      </w:r>
      <w:r w:rsidRPr="00B13987">
        <w:rPr>
          <w:rFonts w:cs="Arial"/>
        </w:rPr>
        <w:t>”</w:t>
      </w:r>
      <w:r w:rsidRPr="00B13987">
        <w:t xml:space="preserve"> </w:t>
      </w:r>
      <w:r w:rsidRPr="00B13987">
        <w:rPr>
          <w:i/>
          <w:iCs/>
        </w:rPr>
        <w:t xml:space="preserve">Developmental </w:t>
      </w:r>
      <w:r w:rsidR="00720364">
        <w:rPr>
          <w:i/>
          <w:iCs/>
        </w:rPr>
        <w:t>Medicine &amp; Child Neurology</w:t>
      </w:r>
      <w:r w:rsidRPr="00B13987">
        <w:t xml:space="preserve">, 65(3), pp. 310–317. Available at: </w:t>
      </w:r>
      <w:hyperlink r:id="rId11" w:history="1">
        <w:r w:rsidRPr="00A76EE9">
          <w:rPr>
            <w:rStyle w:val="Hyperlink"/>
          </w:rPr>
          <w:t>https://doi.org/10.1111/dmcn.15384</w:t>
        </w:r>
      </w:hyperlink>
      <w:r w:rsidRPr="00B13987">
        <w:t>.</w:t>
      </w:r>
    </w:p>
    <w:p w14:paraId="6F5565F8" w14:textId="3A9C9D20" w:rsidR="00483FAA" w:rsidRDefault="00483FAA" w:rsidP="00483FAA">
      <w:pPr>
        <w:spacing w:line="278" w:lineRule="auto"/>
      </w:pPr>
      <w:r w:rsidRPr="004F7DE1">
        <w:t xml:space="preserve">Cook, J. </w:t>
      </w:r>
      <w:r w:rsidRPr="004F7DE1">
        <w:rPr>
          <w:i/>
          <w:iCs/>
        </w:rPr>
        <w:t>et al.</w:t>
      </w:r>
      <w:r w:rsidRPr="004F7DE1">
        <w:t xml:space="preserve"> (2021) “Camouflaging in autism: A systematic review,” </w:t>
      </w:r>
      <w:r w:rsidRPr="004F7DE1">
        <w:rPr>
          <w:i/>
          <w:iCs/>
        </w:rPr>
        <w:t xml:space="preserve">Clinical </w:t>
      </w:r>
      <w:r w:rsidR="00720364">
        <w:rPr>
          <w:i/>
          <w:iCs/>
        </w:rPr>
        <w:t>Psychology Review</w:t>
      </w:r>
      <w:r w:rsidRPr="004F7DE1">
        <w:t xml:space="preserve">, 89. Available at: </w:t>
      </w:r>
      <w:hyperlink r:id="rId12" w:history="1">
        <w:r w:rsidRPr="00A76EE9">
          <w:rPr>
            <w:rStyle w:val="Hyperlink"/>
          </w:rPr>
          <w:t>https://doi.org/10.1016/j.cpr.2021.102080</w:t>
        </w:r>
      </w:hyperlink>
      <w:r w:rsidRPr="004F7DE1">
        <w:t>.</w:t>
      </w:r>
    </w:p>
    <w:p w14:paraId="3A35C0FF" w14:textId="167D6779" w:rsidR="00483FAA" w:rsidRDefault="00483FAA" w:rsidP="00483FAA">
      <w:pPr>
        <w:spacing w:line="278" w:lineRule="auto"/>
      </w:pPr>
      <w:r w:rsidRPr="003F4A6A">
        <w:t xml:space="preserve">Crompton, C.J. </w:t>
      </w:r>
      <w:r w:rsidRPr="003F4A6A">
        <w:rPr>
          <w:i/>
          <w:iCs/>
        </w:rPr>
        <w:t>et al.</w:t>
      </w:r>
      <w:r w:rsidRPr="003F4A6A">
        <w:t xml:space="preserve"> (2020) “Autistic peer-to-peer information transfer is highly effective,” </w:t>
      </w:r>
      <w:r w:rsidRPr="003F4A6A">
        <w:rPr>
          <w:i/>
          <w:iCs/>
        </w:rPr>
        <w:t xml:space="preserve">Autism: </w:t>
      </w:r>
      <w:r w:rsidR="00720364">
        <w:rPr>
          <w:i/>
          <w:iCs/>
        </w:rPr>
        <w:t>The International Journal</w:t>
      </w:r>
      <w:r w:rsidRPr="003F4A6A">
        <w:rPr>
          <w:i/>
          <w:iCs/>
        </w:rPr>
        <w:t xml:space="preserve"> of </w:t>
      </w:r>
      <w:r w:rsidR="00720364">
        <w:rPr>
          <w:i/>
          <w:iCs/>
        </w:rPr>
        <w:t>Research</w:t>
      </w:r>
      <w:r w:rsidRPr="003F4A6A">
        <w:rPr>
          <w:i/>
          <w:iCs/>
        </w:rPr>
        <w:t xml:space="preserve"> and </w:t>
      </w:r>
      <w:r w:rsidR="00720364">
        <w:rPr>
          <w:i/>
          <w:iCs/>
        </w:rPr>
        <w:t>Practice</w:t>
      </w:r>
      <w:r w:rsidRPr="003F4A6A">
        <w:t xml:space="preserve">, 24(7), pp. 1704–1712. Available at: </w:t>
      </w:r>
      <w:hyperlink r:id="rId13" w:history="1">
        <w:r w:rsidRPr="00A76EE9">
          <w:rPr>
            <w:rStyle w:val="Hyperlink"/>
          </w:rPr>
          <w:t>https://doi.org/10.1177/1362361320919286</w:t>
        </w:r>
      </w:hyperlink>
      <w:r w:rsidRPr="003F4A6A">
        <w:t>.</w:t>
      </w:r>
    </w:p>
    <w:p w14:paraId="3B39D1AD" w14:textId="77777777" w:rsidR="00483FAA" w:rsidRDefault="00483FAA" w:rsidP="00483FAA">
      <w:pPr>
        <w:spacing w:line="278" w:lineRule="auto"/>
      </w:pPr>
      <w:r w:rsidRPr="001A33EA">
        <w:t xml:space="preserve">Hull, L. </w:t>
      </w:r>
      <w:r w:rsidRPr="001A33EA">
        <w:rPr>
          <w:i/>
          <w:iCs/>
        </w:rPr>
        <w:t>et al.</w:t>
      </w:r>
      <w:r w:rsidRPr="001A33EA">
        <w:t xml:space="preserve"> (2017) “‘Putting on My Best Normal’: Social Camouflaging in Adults with Autism Spectrum Conditions,” </w:t>
      </w:r>
      <w:r w:rsidRPr="001A33EA">
        <w:rPr>
          <w:i/>
          <w:iCs/>
        </w:rPr>
        <w:t xml:space="preserve">Journal of autism and </w:t>
      </w:r>
      <w:r>
        <w:rPr>
          <w:i/>
          <w:iCs/>
        </w:rPr>
        <w:t>Developmental Disorders</w:t>
      </w:r>
      <w:r w:rsidRPr="001A33EA">
        <w:t xml:space="preserve">, 47(8), pp. 2519–2534. Available at: </w:t>
      </w:r>
      <w:hyperlink r:id="rId14" w:history="1">
        <w:r w:rsidRPr="00A76EE9">
          <w:rPr>
            <w:rStyle w:val="Hyperlink"/>
          </w:rPr>
          <w:t>https://doi.org/10.1007/s10803-017-3166-5</w:t>
        </w:r>
      </w:hyperlink>
      <w:r w:rsidRPr="001A33EA">
        <w:t>.</w:t>
      </w:r>
    </w:p>
    <w:p w14:paraId="342DA7ED" w14:textId="79D66A23" w:rsidR="00483FAA" w:rsidRDefault="00483FAA" w:rsidP="00483FAA">
      <w:pPr>
        <w:spacing w:line="278" w:lineRule="auto"/>
      </w:pPr>
      <w:r w:rsidRPr="006E1D86">
        <w:t xml:space="preserve">Lord, C. </w:t>
      </w:r>
      <w:r w:rsidRPr="006E1D86">
        <w:rPr>
          <w:i/>
          <w:iCs/>
        </w:rPr>
        <w:t>et al.</w:t>
      </w:r>
      <w:r w:rsidRPr="006E1D86">
        <w:t xml:space="preserve"> (2020) “Autism spectrum disorder,” </w:t>
      </w:r>
      <w:r w:rsidRPr="006E1D86">
        <w:rPr>
          <w:i/>
          <w:iCs/>
        </w:rPr>
        <w:t xml:space="preserve">Nature </w:t>
      </w:r>
      <w:r w:rsidR="005D3ED1">
        <w:rPr>
          <w:i/>
          <w:iCs/>
        </w:rPr>
        <w:t>Reviews</w:t>
      </w:r>
      <w:r w:rsidRPr="006E1D86">
        <w:rPr>
          <w:i/>
          <w:iCs/>
        </w:rPr>
        <w:t>. Disease primers</w:t>
      </w:r>
      <w:r w:rsidRPr="006E1D86">
        <w:t xml:space="preserve">, 6(1). Available at: </w:t>
      </w:r>
      <w:hyperlink r:id="rId15" w:history="1">
        <w:r w:rsidRPr="00A76EE9">
          <w:rPr>
            <w:rStyle w:val="Hyperlink"/>
          </w:rPr>
          <w:t>https://doi.org/10.1038/s41572-019-0138-4</w:t>
        </w:r>
      </w:hyperlink>
      <w:r w:rsidRPr="006E1D86">
        <w:t>.</w:t>
      </w:r>
    </w:p>
    <w:p w14:paraId="568FECEA" w14:textId="77777777" w:rsidR="00483FAA" w:rsidRPr="00140C4B" w:rsidRDefault="00483FAA" w:rsidP="00483FAA">
      <w:pPr>
        <w:spacing w:line="278" w:lineRule="auto"/>
      </w:pPr>
      <w:r w:rsidRPr="00140C4B">
        <w:t xml:space="preserve">National Institute for Health and Care Excellence (NICE) (2011) </w:t>
      </w:r>
      <w:r w:rsidRPr="00140C4B">
        <w:rPr>
          <w:i/>
          <w:iCs/>
        </w:rPr>
        <w:t>Autism spectrum disorder in under 19s: Recognition, referral and diagnosis</w:t>
      </w:r>
      <w:r w:rsidRPr="00140C4B">
        <w:t>. Clinical Guideline CG128. London: NICE.</w:t>
      </w:r>
    </w:p>
    <w:p w14:paraId="6A80A13A" w14:textId="77777777" w:rsidR="00483FAA" w:rsidRPr="00140C4B" w:rsidRDefault="00483FAA" w:rsidP="00483FAA">
      <w:pPr>
        <w:spacing w:line="278" w:lineRule="auto"/>
      </w:pPr>
      <w:r w:rsidRPr="00140C4B">
        <w:t xml:space="preserve">National Institute for Health and Care Excellence (NICE) (2012) </w:t>
      </w:r>
      <w:r w:rsidRPr="00140C4B">
        <w:rPr>
          <w:i/>
          <w:iCs/>
        </w:rPr>
        <w:t>Autism spectrum disorder in adults: Diagnosis and management</w:t>
      </w:r>
      <w:r w:rsidRPr="00140C4B">
        <w:t>. Clinical Guideline CG142. London: NICE.</w:t>
      </w:r>
    </w:p>
    <w:p w14:paraId="63B60E34" w14:textId="77777777" w:rsidR="00483FAA" w:rsidRPr="00140C4B" w:rsidRDefault="00483FAA" w:rsidP="00483FAA">
      <w:pPr>
        <w:spacing w:line="278" w:lineRule="auto"/>
      </w:pPr>
      <w:r w:rsidRPr="00140C4B">
        <w:t xml:space="preserve">National Institute for Health and Care Excellence (NICE) (2013) </w:t>
      </w:r>
      <w:r w:rsidRPr="00140C4B">
        <w:rPr>
          <w:i/>
          <w:iCs/>
        </w:rPr>
        <w:t>Autism spectrum disorder in under 19s: Support and management</w:t>
      </w:r>
      <w:r w:rsidRPr="00140C4B">
        <w:t>. Clinical Guideline CG170. London: NICE.</w:t>
      </w:r>
    </w:p>
    <w:p w14:paraId="5A4BBC74" w14:textId="719A4A98" w:rsidR="00483FAA" w:rsidRDefault="00483FAA" w:rsidP="00483FAA">
      <w:pPr>
        <w:spacing w:line="278" w:lineRule="auto"/>
      </w:pPr>
      <w:r w:rsidRPr="004E6D6B">
        <w:t xml:space="preserve">Nevill, R.E., Lecavalier, L. and Stratis, E.A. (2018) “Meta-analysis of parent-mediated interventions for young children with autism spectrum disorder,” </w:t>
      </w:r>
      <w:r w:rsidRPr="004E6D6B">
        <w:rPr>
          <w:i/>
          <w:iCs/>
        </w:rPr>
        <w:t>Autism: the international journal of research and practice</w:t>
      </w:r>
      <w:r w:rsidRPr="004E6D6B">
        <w:t xml:space="preserve">, 22(2), pp. 84–98. Available at: </w:t>
      </w:r>
      <w:hyperlink r:id="rId16" w:history="1">
        <w:r w:rsidRPr="00A76EE9">
          <w:rPr>
            <w:rStyle w:val="Hyperlink"/>
          </w:rPr>
          <w:t>https://doi.org/10.1177/1362361316677838</w:t>
        </w:r>
      </w:hyperlink>
      <w:r w:rsidRPr="004E6D6B">
        <w:t>.</w:t>
      </w:r>
    </w:p>
    <w:p w14:paraId="268986A2" w14:textId="77777777" w:rsidR="00483FAA" w:rsidRPr="00140C4B" w:rsidRDefault="00483FAA" w:rsidP="00483FAA">
      <w:pPr>
        <w:spacing w:line="278" w:lineRule="auto"/>
      </w:pPr>
      <w:r w:rsidRPr="00140C4B">
        <w:t xml:space="preserve">NHS England (2023) </w:t>
      </w:r>
      <w:r w:rsidRPr="00140C4B">
        <w:rPr>
          <w:i/>
          <w:iCs/>
        </w:rPr>
        <w:t>A national framework to deliver improved outcomes in all-age autism assessment pathways: Guidance for integrated care boards</w:t>
      </w:r>
      <w:r w:rsidRPr="00140C4B">
        <w:t>. London: NHS England.</w:t>
      </w:r>
    </w:p>
    <w:p w14:paraId="04FEBC30" w14:textId="4EBD1D62" w:rsidR="00483FAA" w:rsidRDefault="00483FAA" w:rsidP="00483FAA">
      <w:pPr>
        <w:spacing w:line="278" w:lineRule="auto"/>
      </w:pPr>
      <w:r w:rsidRPr="001223DC">
        <w:t xml:space="preserve">Pellicano, E. and Houting, J. (2022) “Annual Research Review: Shifting from ‘normal science’ to neurodiversity in autism science,” </w:t>
      </w:r>
      <w:r w:rsidRPr="001223DC">
        <w:rPr>
          <w:i/>
          <w:iCs/>
        </w:rPr>
        <w:t xml:space="preserve">Journal of </w:t>
      </w:r>
      <w:r w:rsidR="005D3ED1">
        <w:rPr>
          <w:i/>
          <w:iCs/>
        </w:rPr>
        <w:t>Child Psychology</w:t>
      </w:r>
      <w:r w:rsidRPr="001223DC">
        <w:rPr>
          <w:i/>
          <w:iCs/>
        </w:rPr>
        <w:t xml:space="preserve"> and </w:t>
      </w:r>
      <w:r w:rsidR="005D3ED1">
        <w:rPr>
          <w:i/>
          <w:iCs/>
        </w:rPr>
        <w:t>Psychiatry</w:t>
      </w:r>
      <w:r w:rsidRPr="001223DC">
        <w:t xml:space="preserve">, 63(4), pp. 381–396. Available at: </w:t>
      </w:r>
      <w:hyperlink r:id="rId17" w:history="1">
        <w:r w:rsidRPr="00A76EE9">
          <w:rPr>
            <w:rStyle w:val="Hyperlink"/>
          </w:rPr>
          <w:t>https://doi.org/10.1111/jcpp.13534</w:t>
        </w:r>
      </w:hyperlink>
      <w:r w:rsidRPr="001223DC">
        <w:t>.</w:t>
      </w:r>
    </w:p>
    <w:p w14:paraId="3B862DEB" w14:textId="77777777" w:rsidR="00483FAA" w:rsidRDefault="00483FAA" w:rsidP="00483FAA">
      <w:pPr>
        <w:spacing w:line="278" w:lineRule="auto"/>
      </w:pPr>
      <w:r w:rsidRPr="0063549E">
        <w:t xml:space="preserve">Pickles, A. </w:t>
      </w:r>
      <w:r w:rsidRPr="0063549E">
        <w:rPr>
          <w:i/>
          <w:iCs/>
        </w:rPr>
        <w:t>et al.</w:t>
      </w:r>
      <w:r w:rsidRPr="0063549E">
        <w:t xml:space="preserve"> (2016) “Parent-mediated social communication therapy for young children with autism (PACT): long-term follow-up of a randomised controlled trial,” </w:t>
      </w:r>
      <w:r w:rsidRPr="0063549E">
        <w:rPr>
          <w:i/>
          <w:iCs/>
        </w:rPr>
        <w:t>The Lancet (British edition)</w:t>
      </w:r>
      <w:r w:rsidRPr="0063549E">
        <w:t xml:space="preserve">, 388(10059), pp. 2501–2509. Available at: </w:t>
      </w:r>
      <w:hyperlink r:id="rId18" w:history="1">
        <w:r w:rsidRPr="00A76EE9">
          <w:rPr>
            <w:rStyle w:val="Hyperlink"/>
          </w:rPr>
          <w:t>https://doi.org/10.1016/S0140-6736(16)31229-6</w:t>
        </w:r>
      </w:hyperlink>
      <w:r w:rsidRPr="0063549E">
        <w:t>.</w:t>
      </w:r>
    </w:p>
    <w:p w14:paraId="259C57DB" w14:textId="77777777" w:rsidR="00483FAA" w:rsidRDefault="00483FAA" w:rsidP="00483FAA">
      <w:pPr>
        <w:spacing w:line="278" w:lineRule="auto"/>
      </w:pPr>
      <w:r w:rsidRPr="006B5DB3">
        <w:rPr>
          <w:i/>
          <w:iCs/>
        </w:rPr>
        <w:lastRenderedPageBreak/>
        <w:t>BMJ. British Medical Journal (Clinical Research Ed.)</w:t>
      </w:r>
      <w:r w:rsidRPr="006B5DB3">
        <w:t xml:space="preserve"> (2026) “Autism intervention meta-analysis of early childhood studies (Project AIM): updated systematic review and secondary analysis,” 393, p. s887. Available at: </w:t>
      </w:r>
      <w:hyperlink r:id="rId19" w:history="1">
        <w:r w:rsidRPr="00A76EE9">
          <w:rPr>
            <w:rStyle w:val="Hyperlink"/>
          </w:rPr>
          <w:t>https://doi.org/10.1136/bmj.s887</w:t>
        </w:r>
      </w:hyperlink>
      <w:r w:rsidRPr="006B5DB3">
        <w:t>.</w:t>
      </w:r>
    </w:p>
    <w:p w14:paraId="79E32AF8" w14:textId="77777777" w:rsidR="00483FAA" w:rsidRPr="00140C4B" w:rsidRDefault="00483FAA" w:rsidP="00483FAA">
      <w:pPr>
        <w:spacing w:line="278" w:lineRule="auto"/>
      </w:pPr>
      <w:r w:rsidRPr="00140C4B">
        <w:t xml:space="preserve">World Health Organization (WHO) (2024) </w:t>
      </w:r>
      <w:r w:rsidRPr="00140C4B">
        <w:rPr>
          <w:i/>
          <w:iCs/>
        </w:rPr>
        <w:t>Clinical descriptions and diagnostic requirements for ICD-11 mental, behavioural and neurodevelopmental disorders</w:t>
      </w:r>
      <w:r w:rsidRPr="00140C4B">
        <w:t>. Geneva: World Health Organization.</w:t>
      </w:r>
    </w:p>
    <w:p w14:paraId="670BE296" w14:textId="77777777" w:rsidR="000264A1" w:rsidRDefault="000264A1" w:rsidP="000264A1">
      <w:pPr>
        <w:rPr>
          <w:rFonts w:cs="Arial"/>
          <w:sz w:val="36"/>
          <w:szCs w:val="36"/>
        </w:rPr>
      </w:pPr>
    </w:p>
    <w:sectPr w:rsidR="000264A1" w:rsidSect="00D96B27">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A1729" w14:textId="77777777" w:rsidR="00E84E48" w:rsidRDefault="00E84E48" w:rsidP="000264A1">
      <w:pPr>
        <w:spacing w:after="0" w:line="240" w:lineRule="auto"/>
      </w:pPr>
      <w:r>
        <w:separator/>
      </w:r>
    </w:p>
  </w:endnote>
  <w:endnote w:type="continuationSeparator" w:id="0">
    <w:p w14:paraId="0B04DFD9" w14:textId="77777777" w:rsidR="00E84E48" w:rsidRDefault="00E84E4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8A7E5" w14:textId="77777777" w:rsidR="00E84E48" w:rsidRDefault="00E84E48" w:rsidP="000264A1">
      <w:pPr>
        <w:spacing w:after="0" w:line="240" w:lineRule="auto"/>
      </w:pPr>
      <w:r>
        <w:separator/>
      </w:r>
    </w:p>
  </w:footnote>
  <w:footnote w:type="continuationSeparator" w:id="0">
    <w:p w14:paraId="42C98FD3" w14:textId="77777777" w:rsidR="00E84E48" w:rsidRDefault="00E84E48"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204"/>
    <w:multiLevelType w:val="multilevel"/>
    <w:tmpl w:val="1FEE5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65AAB"/>
    <w:multiLevelType w:val="multilevel"/>
    <w:tmpl w:val="24BE1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A79B8"/>
    <w:multiLevelType w:val="multilevel"/>
    <w:tmpl w:val="AE1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3290E"/>
    <w:multiLevelType w:val="multilevel"/>
    <w:tmpl w:val="7F6C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31D75"/>
    <w:multiLevelType w:val="multilevel"/>
    <w:tmpl w:val="AA10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92058"/>
    <w:multiLevelType w:val="multilevel"/>
    <w:tmpl w:val="01A4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3D1450"/>
    <w:multiLevelType w:val="multilevel"/>
    <w:tmpl w:val="EBCC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6F17D7"/>
    <w:multiLevelType w:val="multilevel"/>
    <w:tmpl w:val="AA06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F2444"/>
    <w:multiLevelType w:val="multilevel"/>
    <w:tmpl w:val="1BCA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83C04"/>
    <w:multiLevelType w:val="multilevel"/>
    <w:tmpl w:val="513C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13F9C"/>
    <w:multiLevelType w:val="multilevel"/>
    <w:tmpl w:val="0592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406FB8"/>
    <w:multiLevelType w:val="multilevel"/>
    <w:tmpl w:val="8CE2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2D3AB2"/>
    <w:multiLevelType w:val="multilevel"/>
    <w:tmpl w:val="EBCC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5844A2"/>
    <w:multiLevelType w:val="multilevel"/>
    <w:tmpl w:val="7AA8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423B2E"/>
    <w:multiLevelType w:val="multilevel"/>
    <w:tmpl w:val="34F2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B4D5D"/>
    <w:multiLevelType w:val="multilevel"/>
    <w:tmpl w:val="6BB2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7A099A"/>
    <w:multiLevelType w:val="multilevel"/>
    <w:tmpl w:val="FA02D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D6157B"/>
    <w:multiLevelType w:val="multilevel"/>
    <w:tmpl w:val="86D0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F4D8E"/>
    <w:multiLevelType w:val="hybridMultilevel"/>
    <w:tmpl w:val="29786E2A"/>
    <w:lvl w:ilvl="0" w:tplc="D43204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6C5331"/>
    <w:multiLevelType w:val="multilevel"/>
    <w:tmpl w:val="690A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7A6D46"/>
    <w:multiLevelType w:val="multilevel"/>
    <w:tmpl w:val="A84E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C359DF"/>
    <w:multiLevelType w:val="hybridMultilevel"/>
    <w:tmpl w:val="F90AB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D4E40"/>
    <w:multiLevelType w:val="hybridMultilevel"/>
    <w:tmpl w:val="35128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713162"/>
    <w:multiLevelType w:val="multilevel"/>
    <w:tmpl w:val="7164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FD1A3B"/>
    <w:multiLevelType w:val="multilevel"/>
    <w:tmpl w:val="ED46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D53D4C"/>
    <w:multiLevelType w:val="multilevel"/>
    <w:tmpl w:val="745A3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395401">
    <w:abstractNumId w:val="14"/>
  </w:num>
  <w:num w:numId="2" w16cid:durableId="940181651">
    <w:abstractNumId w:val="17"/>
  </w:num>
  <w:num w:numId="3" w16cid:durableId="1138835104">
    <w:abstractNumId w:val="1"/>
  </w:num>
  <w:num w:numId="4" w16cid:durableId="321396706">
    <w:abstractNumId w:val="0"/>
  </w:num>
  <w:num w:numId="5" w16cid:durableId="789587399">
    <w:abstractNumId w:val="20"/>
  </w:num>
  <w:num w:numId="6" w16cid:durableId="1420713103">
    <w:abstractNumId w:val="5"/>
  </w:num>
  <w:num w:numId="7" w16cid:durableId="2117940775">
    <w:abstractNumId w:val="8"/>
  </w:num>
  <w:num w:numId="8" w16cid:durableId="1762066912">
    <w:abstractNumId w:val="24"/>
  </w:num>
  <w:num w:numId="9" w16cid:durableId="2119636006">
    <w:abstractNumId w:val="3"/>
  </w:num>
  <w:num w:numId="10" w16cid:durableId="996346510">
    <w:abstractNumId w:val="6"/>
  </w:num>
  <w:num w:numId="11" w16cid:durableId="2112818294">
    <w:abstractNumId w:val="2"/>
  </w:num>
  <w:num w:numId="12" w16cid:durableId="785853973">
    <w:abstractNumId w:val="16"/>
  </w:num>
  <w:num w:numId="13" w16cid:durableId="608897304">
    <w:abstractNumId w:val="13"/>
  </w:num>
  <w:num w:numId="14" w16cid:durableId="983201095">
    <w:abstractNumId w:val="4"/>
  </w:num>
  <w:num w:numId="15" w16cid:durableId="103888962">
    <w:abstractNumId w:val="25"/>
  </w:num>
  <w:num w:numId="16" w16cid:durableId="338196003">
    <w:abstractNumId w:val="23"/>
  </w:num>
  <w:num w:numId="17" w16cid:durableId="227810590">
    <w:abstractNumId w:val="19"/>
  </w:num>
  <w:num w:numId="18" w16cid:durableId="652566065">
    <w:abstractNumId w:val="10"/>
  </w:num>
  <w:num w:numId="19" w16cid:durableId="1972444409">
    <w:abstractNumId w:val="15"/>
  </w:num>
  <w:num w:numId="20" w16cid:durableId="1909029633">
    <w:abstractNumId w:val="9"/>
  </w:num>
  <w:num w:numId="21" w16cid:durableId="585072009">
    <w:abstractNumId w:val="7"/>
  </w:num>
  <w:num w:numId="22" w16cid:durableId="315955696">
    <w:abstractNumId w:val="11"/>
  </w:num>
  <w:num w:numId="23" w16cid:durableId="893539242">
    <w:abstractNumId w:val="21"/>
  </w:num>
  <w:num w:numId="24" w16cid:durableId="1489902581">
    <w:abstractNumId w:val="12"/>
  </w:num>
  <w:num w:numId="25" w16cid:durableId="928929930">
    <w:abstractNumId w:val="18"/>
  </w:num>
  <w:num w:numId="26" w16cid:durableId="10050872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590B"/>
    <w:rsid w:val="000066E0"/>
    <w:rsid w:val="000112C8"/>
    <w:rsid w:val="00012D05"/>
    <w:rsid w:val="00016A2C"/>
    <w:rsid w:val="00016CD8"/>
    <w:rsid w:val="000264A1"/>
    <w:rsid w:val="000274CC"/>
    <w:rsid w:val="000433DC"/>
    <w:rsid w:val="00043F38"/>
    <w:rsid w:val="000501C8"/>
    <w:rsid w:val="00053595"/>
    <w:rsid w:val="00060FB4"/>
    <w:rsid w:val="0006378A"/>
    <w:rsid w:val="00081E52"/>
    <w:rsid w:val="00093092"/>
    <w:rsid w:val="000A5B7C"/>
    <w:rsid w:val="000B3240"/>
    <w:rsid w:val="000B4EE9"/>
    <w:rsid w:val="000B779A"/>
    <w:rsid w:val="000E2D6B"/>
    <w:rsid w:val="000F552E"/>
    <w:rsid w:val="000F6342"/>
    <w:rsid w:val="00126C5A"/>
    <w:rsid w:val="00144FE7"/>
    <w:rsid w:val="00182D8E"/>
    <w:rsid w:val="00185317"/>
    <w:rsid w:val="00185AA8"/>
    <w:rsid w:val="00187065"/>
    <w:rsid w:val="00190A42"/>
    <w:rsid w:val="00194DAE"/>
    <w:rsid w:val="00195896"/>
    <w:rsid w:val="00195930"/>
    <w:rsid w:val="001B09C7"/>
    <w:rsid w:val="001C0F03"/>
    <w:rsid w:val="001C3741"/>
    <w:rsid w:val="001D1534"/>
    <w:rsid w:val="001D1D06"/>
    <w:rsid w:val="001D2CA5"/>
    <w:rsid w:val="001E333D"/>
    <w:rsid w:val="001E69BC"/>
    <w:rsid w:val="001F09A9"/>
    <w:rsid w:val="001F3838"/>
    <w:rsid w:val="001F7863"/>
    <w:rsid w:val="001F7907"/>
    <w:rsid w:val="00206A22"/>
    <w:rsid w:val="00210CAB"/>
    <w:rsid w:val="002140F3"/>
    <w:rsid w:val="0022132E"/>
    <w:rsid w:val="0022143C"/>
    <w:rsid w:val="002216D8"/>
    <w:rsid w:val="00226624"/>
    <w:rsid w:val="0023312E"/>
    <w:rsid w:val="00235718"/>
    <w:rsid w:val="00235EF7"/>
    <w:rsid w:val="00241AE0"/>
    <w:rsid w:val="002440AC"/>
    <w:rsid w:val="00275D78"/>
    <w:rsid w:val="00286B49"/>
    <w:rsid w:val="00290883"/>
    <w:rsid w:val="00292F23"/>
    <w:rsid w:val="002A06D2"/>
    <w:rsid w:val="002A0A07"/>
    <w:rsid w:val="002A2492"/>
    <w:rsid w:val="002B4E04"/>
    <w:rsid w:val="002B501C"/>
    <w:rsid w:val="002B605A"/>
    <w:rsid w:val="002C25D8"/>
    <w:rsid w:val="002C2E9E"/>
    <w:rsid w:val="002D19BD"/>
    <w:rsid w:val="002E0D42"/>
    <w:rsid w:val="002E7A15"/>
    <w:rsid w:val="002F023A"/>
    <w:rsid w:val="002F1E98"/>
    <w:rsid w:val="00311E1B"/>
    <w:rsid w:val="00316FA6"/>
    <w:rsid w:val="0032072F"/>
    <w:rsid w:val="00321E73"/>
    <w:rsid w:val="00323CF1"/>
    <w:rsid w:val="00335F63"/>
    <w:rsid w:val="00347ECC"/>
    <w:rsid w:val="003540DE"/>
    <w:rsid w:val="00363E94"/>
    <w:rsid w:val="003837B0"/>
    <w:rsid w:val="003845FE"/>
    <w:rsid w:val="00396049"/>
    <w:rsid w:val="003A4989"/>
    <w:rsid w:val="003A637F"/>
    <w:rsid w:val="003B104E"/>
    <w:rsid w:val="003B5E79"/>
    <w:rsid w:val="003C6C92"/>
    <w:rsid w:val="003D4DFC"/>
    <w:rsid w:val="003D53A7"/>
    <w:rsid w:val="003E0285"/>
    <w:rsid w:val="003E0E42"/>
    <w:rsid w:val="003E33E4"/>
    <w:rsid w:val="003E7FE9"/>
    <w:rsid w:val="003F4315"/>
    <w:rsid w:val="00401510"/>
    <w:rsid w:val="00427095"/>
    <w:rsid w:val="004307DE"/>
    <w:rsid w:val="00440804"/>
    <w:rsid w:val="00455271"/>
    <w:rsid w:val="00456386"/>
    <w:rsid w:val="00480095"/>
    <w:rsid w:val="00483FAA"/>
    <w:rsid w:val="004848E1"/>
    <w:rsid w:val="00485898"/>
    <w:rsid w:val="004879BD"/>
    <w:rsid w:val="004A71C5"/>
    <w:rsid w:val="004B65D1"/>
    <w:rsid w:val="004B6DB2"/>
    <w:rsid w:val="004C08D5"/>
    <w:rsid w:val="004C48EC"/>
    <w:rsid w:val="004D5E5B"/>
    <w:rsid w:val="004E1684"/>
    <w:rsid w:val="004F014E"/>
    <w:rsid w:val="004F1F03"/>
    <w:rsid w:val="004F4BCF"/>
    <w:rsid w:val="004F4D2D"/>
    <w:rsid w:val="00501533"/>
    <w:rsid w:val="00504135"/>
    <w:rsid w:val="00514C3E"/>
    <w:rsid w:val="00515397"/>
    <w:rsid w:val="00515724"/>
    <w:rsid w:val="00520063"/>
    <w:rsid w:val="00520250"/>
    <w:rsid w:val="005234E5"/>
    <w:rsid w:val="00524BC5"/>
    <w:rsid w:val="00547928"/>
    <w:rsid w:val="00556503"/>
    <w:rsid w:val="0057635F"/>
    <w:rsid w:val="005903E9"/>
    <w:rsid w:val="005951A2"/>
    <w:rsid w:val="005A1E59"/>
    <w:rsid w:val="005B2BD3"/>
    <w:rsid w:val="005C2CAB"/>
    <w:rsid w:val="005D3ED1"/>
    <w:rsid w:val="005F0AAB"/>
    <w:rsid w:val="0060144D"/>
    <w:rsid w:val="00621881"/>
    <w:rsid w:val="00630346"/>
    <w:rsid w:val="00637171"/>
    <w:rsid w:val="006473D8"/>
    <w:rsid w:val="00651164"/>
    <w:rsid w:val="00657820"/>
    <w:rsid w:val="0066404A"/>
    <w:rsid w:val="00665611"/>
    <w:rsid w:val="006805B1"/>
    <w:rsid w:val="006874BC"/>
    <w:rsid w:val="00690BE1"/>
    <w:rsid w:val="00690DE7"/>
    <w:rsid w:val="00692914"/>
    <w:rsid w:val="006A003C"/>
    <w:rsid w:val="006A0DDE"/>
    <w:rsid w:val="006B2AA0"/>
    <w:rsid w:val="006C6D26"/>
    <w:rsid w:val="006D786B"/>
    <w:rsid w:val="006F3DFB"/>
    <w:rsid w:val="00710A7C"/>
    <w:rsid w:val="00720364"/>
    <w:rsid w:val="00722ABC"/>
    <w:rsid w:val="0072606E"/>
    <w:rsid w:val="00730A93"/>
    <w:rsid w:val="00732E97"/>
    <w:rsid w:val="00734F5C"/>
    <w:rsid w:val="00735DF0"/>
    <w:rsid w:val="00735E0A"/>
    <w:rsid w:val="00740A80"/>
    <w:rsid w:val="007445AF"/>
    <w:rsid w:val="00752D1D"/>
    <w:rsid w:val="00753EFB"/>
    <w:rsid w:val="00754B3E"/>
    <w:rsid w:val="00763124"/>
    <w:rsid w:val="00772520"/>
    <w:rsid w:val="007A11F9"/>
    <w:rsid w:val="007A2BB5"/>
    <w:rsid w:val="007A30A8"/>
    <w:rsid w:val="007A7286"/>
    <w:rsid w:val="007B2E65"/>
    <w:rsid w:val="007B30D7"/>
    <w:rsid w:val="007B46E5"/>
    <w:rsid w:val="007B5305"/>
    <w:rsid w:val="007C0C15"/>
    <w:rsid w:val="007D33BC"/>
    <w:rsid w:val="007D57DE"/>
    <w:rsid w:val="007F536B"/>
    <w:rsid w:val="00800B3E"/>
    <w:rsid w:val="00843325"/>
    <w:rsid w:val="008460E2"/>
    <w:rsid w:val="008465CF"/>
    <w:rsid w:val="00853016"/>
    <w:rsid w:val="00853E0A"/>
    <w:rsid w:val="008610AE"/>
    <w:rsid w:val="00873AD2"/>
    <w:rsid w:val="008746E0"/>
    <w:rsid w:val="008833AE"/>
    <w:rsid w:val="0089059C"/>
    <w:rsid w:val="008A1E3C"/>
    <w:rsid w:val="008A6D32"/>
    <w:rsid w:val="008B2996"/>
    <w:rsid w:val="008B5251"/>
    <w:rsid w:val="008C1D67"/>
    <w:rsid w:val="008D328F"/>
    <w:rsid w:val="008D5007"/>
    <w:rsid w:val="008F6FBF"/>
    <w:rsid w:val="008F70DA"/>
    <w:rsid w:val="00914FF1"/>
    <w:rsid w:val="00921899"/>
    <w:rsid w:val="009232BB"/>
    <w:rsid w:val="00930C7E"/>
    <w:rsid w:val="0094404D"/>
    <w:rsid w:val="00944EB4"/>
    <w:rsid w:val="0095175E"/>
    <w:rsid w:val="009606AC"/>
    <w:rsid w:val="00962355"/>
    <w:rsid w:val="009709F0"/>
    <w:rsid w:val="00975D5F"/>
    <w:rsid w:val="00977F4F"/>
    <w:rsid w:val="00977F91"/>
    <w:rsid w:val="0098189C"/>
    <w:rsid w:val="00997B76"/>
    <w:rsid w:val="009A14D7"/>
    <w:rsid w:val="009A4594"/>
    <w:rsid w:val="009B40AC"/>
    <w:rsid w:val="00A27461"/>
    <w:rsid w:val="00A33E29"/>
    <w:rsid w:val="00A34B52"/>
    <w:rsid w:val="00A51AA3"/>
    <w:rsid w:val="00A521A2"/>
    <w:rsid w:val="00A54BE1"/>
    <w:rsid w:val="00A63B56"/>
    <w:rsid w:val="00A64BE7"/>
    <w:rsid w:val="00A652ED"/>
    <w:rsid w:val="00A6653E"/>
    <w:rsid w:val="00A66636"/>
    <w:rsid w:val="00A73ACF"/>
    <w:rsid w:val="00AA39FF"/>
    <w:rsid w:val="00AC3968"/>
    <w:rsid w:val="00AD3777"/>
    <w:rsid w:val="00AD3B85"/>
    <w:rsid w:val="00AE13B6"/>
    <w:rsid w:val="00AE4B8E"/>
    <w:rsid w:val="00AE7730"/>
    <w:rsid w:val="00AF0527"/>
    <w:rsid w:val="00AF113C"/>
    <w:rsid w:val="00B01783"/>
    <w:rsid w:val="00B12ED2"/>
    <w:rsid w:val="00B17CA0"/>
    <w:rsid w:val="00B24985"/>
    <w:rsid w:val="00B3087A"/>
    <w:rsid w:val="00B37EB9"/>
    <w:rsid w:val="00B41BB9"/>
    <w:rsid w:val="00B47555"/>
    <w:rsid w:val="00B75F17"/>
    <w:rsid w:val="00B81AE7"/>
    <w:rsid w:val="00B8464C"/>
    <w:rsid w:val="00BA37C9"/>
    <w:rsid w:val="00BB5D72"/>
    <w:rsid w:val="00BB6019"/>
    <w:rsid w:val="00BC13E6"/>
    <w:rsid w:val="00BD0B28"/>
    <w:rsid w:val="00BF6271"/>
    <w:rsid w:val="00C12B90"/>
    <w:rsid w:val="00C17570"/>
    <w:rsid w:val="00C229A5"/>
    <w:rsid w:val="00C23369"/>
    <w:rsid w:val="00C2630E"/>
    <w:rsid w:val="00C343F7"/>
    <w:rsid w:val="00C40E80"/>
    <w:rsid w:val="00C52FF2"/>
    <w:rsid w:val="00C777B6"/>
    <w:rsid w:val="00C83704"/>
    <w:rsid w:val="00CA5999"/>
    <w:rsid w:val="00CB36D8"/>
    <w:rsid w:val="00CC57B3"/>
    <w:rsid w:val="00CC5DF7"/>
    <w:rsid w:val="00CC6BD4"/>
    <w:rsid w:val="00CD3E60"/>
    <w:rsid w:val="00CF2B82"/>
    <w:rsid w:val="00CF6B3B"/>
    <w:rsid w:val="00D11B87"/>
    <w:rsid w:val="00D17D16"/>
    <w:rsid w:val="00D2398F"/>
    <w:rsid w:val="00D30DCE"/>
    <w:rsid w:val="00D3192C"/>
    <w:rsid w:val="00D3699C"/>
    <w:rsid w:val="00D55FE2"/>
    <w:rsid w:val="00D5712B"/>
    <w:rsid w:val="00D57E35"/>
    <w:rsid w:val="00D61F75"/>
    <w:rsid w:val="00D62625"/>
    <w:rsid w:val="00D91CF8"/>
    <w:rsid w:val="00D93AB7"/>
    <w:rsid w:val="00D9507B"/>
    <w:rsid w:val="00D96B27"/>
    <w:rsid w:val="00DA66D2"/>
    <w:rsid w:val="00DB2096"/>
    <w:rsid w:val="00DB2C7E"/>
    <w:rsid w:val="00DC2B4C"/>
    <w:rsid w:val="00DD1A17"/>
    <w:rsid w:val="00DD5F4D"/>
    <w:rsid w:val="00DD6223"/>
    <w:rsid w:val="00DF206E"/>
    <w:rsid w:val="00E05514"/>
    <w:rsid w:val="00E42912"/>
    <w:rsid w:val="00E45909"/>
    <w:rsid w:val="00E47703"/>
    <w:rsid w:val="00E53E02"/>
    <w:rsid w:val="00E71176"/>
    <w:rsid w:val="00E75B6C"/>
    <w:rsid w:val="00E809F9"/>
    <w:rsid w:val="00E83A72"/>
    <w:rsid w:val="00E84E48"/>
    <w:rsid w:val="00E86935"/>
    <w:rsid w:val="00E91864"/>
    <w:rsid w:val="00E920A2"/>
    <w:rsid w:val="00EB1149"/>
    <w:rsid w:val="00EB7A32"/>
    <w:rsid w:val="00EC2C82"/>
    <w:rsid w:val="00EE4DAB"/>
    <w:rsid w:val="00EE58A1"/>
    <w:rsid w:val="00EE7571"/>
    <w:rsid w:val="00EF1206"/>
    <w:rsid w:val="00EF1297"/>
    <w:rsid w:val="00EF1C75"/>
    <w:rsid w:val="00EF65AE"/>
    <w:rsid w:val="00F039C6"/>
    <w:rsid w:val="00F03EAF"/>
    <w:rsid w:val="00F1314E"/>
    <w:rsid w:val="00F56FD2"/>
    <w:rsid w:val="00F6021A"/>
    <w:rsid w:val="00F60F8E"/>
    <w:rsid w:val="00F87F4A"/>
    <w:rsid w:val="00FA0BB6"/>
    <w:rsid w:val="00FB16E9"/>
    <w:rsid w:val="00FB22D2"/>
    <w:rsid w:val="00FB5885"/>
    <w:rsid w:val="00FB5B05"/>
    <w:rsid w:val="00FB7D74"/>
    <w:rsid w:val="00FD059B"/>
    <w:rsid w:val="00FD5F51"/>
    <w:rsid w:val="00FD69FD"/>
    <w:rsid w:val="00FE5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03C"/>
    <w:pPr>
      <w:spacing w:line="360" w:lineRule="auto"/>
      <w:jc w:val="both"/>
    </w:pPr>
    <w:rPr>
      <w:rFonts w:ascii="Arial" w:hAnsi="Arial"/>
      <w:sz w:val="22"/>
    </w:rPr>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NoSpacing">
    <w:name w:val="No Spacing"/>
    <w:link w:val="NoSpacingChar"/>
    <w:uiPriority w:val="1"/>
    <w:qFormat/>
    <w:rsid w:val="001C374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C3741"/>
    <w:rPr>
      <w:rFonts w:eastAsiaTheme="minorEastAsia"/>
      <w:kern w:val="0"/>
      <w:sz w:val="22"/>
      <w:szCs w:val="22"/>
      <w:lang w:eastAsia="en-GB"/>
      <w14:ligatures w14:val="none"/>
    </w:rPr>
  </w:style>
  <w:style w:type="character" w:styleId="Hyperlink">
    <w:name w:val="Hyperlink"/>
    <w:basedOn w:val="DefaultParagraphFont"/>
    <w:uiPriority w:val="99"/>
    <w:unhideWhenUsed/>
    <w:rsid w:val="00F039C6"/>
    <w:rPr>
      <w:color w:val="467886" w:themeColor="hyperlink"/>
      <w:u w:val="single"/>
    </w:rPr>
  </w:style>
  <w:style w:type="character" w:styleId="UnresolvedMention">
    <w:name w:val="Unresolved Mention"/>
    <w:basedOn w:val="DefaultParagraphFont"/>
    <w:uiPriority w:val="99"/>
    <w:semiHidden/>
    <w:unhideWhenUsed/>
    <w:rsid w:val="00F039C6"/>
    <w:rPr>
      <w:color w:val="605E5C"/>
      <w:shd w:val="clear" w:color="auto" w:fill="E1DFDD"/>
    </w:rPr>
  </w:style>
  <w:style w:type="table" w:styleId="GridTable5Dark-Accent4">
    <w:name w:val="Grid Table 5 Dark Accent 4"/>
    <w:basedOn w:val="TableNormal"/>
    <w:uiPriority w:val="50"/>
    <w:rsid w:val="008465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6">
    <w:name w:val="Grid Table 5 Dark Accent 6"/>
    <w:basedOn w:val="TableNormal"/>
    <w:uiPriority w:val="50"/>
    <w:rsid w:val="008465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ListTable7ColourfulAccent6">
    <w:name w:val="List Table 7 Colorful Accent 6"/>
    <w:basedOn w:val="TableNormal"/>
    <w:uiPriority w:val="52"/>
    <w:rsid w:val="00DA66D2"/>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DA66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leGrid">
    <w:name w:val="Table Grid"/>
    <w:basedOn w:val="TableNormal"/>
    <w:uiPriority w:val="39"/>
    <w:rsid w:val="00F03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03EA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1">
    <w:name w:val="List Table 1 Light Accent 1"/>
    <w:basedOn w:val="TableNormal"/>
    <w:uiPriority w:val="46"/>
    <w:rsid w:val="00190A42"/>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
    <w:name w:val="Grid Table 5 Dark"/>
    <w:basedOn w:val="TableNormal"/>
    <w:uiPriority w:val="50"/>
    <w:rsid w:val="003207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207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Accent4">
    <w:name w:val="Grid Table 3 Accent 4"/>
    <w:basedOn w:val="TableNormal"/>
    <w:uiPriority w:val="48"/>
    <w:rsid w:val="0060144D"/>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
    <w:name w:val="Grid Table 3"/>
    <w:basedOn w:val="TableNormal"/>
    <w:uiPriority w:val="48"/>
    <w:rsid w:val="00E53E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093092"/>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093092"/>
    <w:pPr>
      <w:spacing w:after="100"/>
    </w:pPr>
  </w:style>
  <w:style w:type="paragraph" w:styleId="TOC2">
    <w:name w:val="toc 2"/>
    <w:basedOn w:val="Normal"/>
    <w:next w:val="Normal"/>
    <w:autoRedefine/>
    <w:uiPriority w:val="39"/>
    <w:unhideWhenUsed/>
    <w:rsid w:val="00093092"/>
    <w:pPr>
      <w:spacing w:after="100"/>
      <w:ind w:left="220"/>
    </w:pPr>
  </w:style>
  <w:style w:type="paragraph" w:styleId="TOC3">
    <w:name w:val="toc 3"/>
    <w:basedOn w:val="Normal"/>
    <w:next w:val="Normal"/>
    <w:autoRedefine/>
    <w:uiPriority w:val="39"/>
    <w:unhideWhenUsed/>
    <w:rsid w:val="00093092"/>
    <w:pPr>
      <w:spacing w:after="100" w:line="278" w:lineRule="auto"/>
      <w:ind w:left="480"/>
      <w:jc w:val="left"/>
    </w:pPr>
    <w:rPr>
      <w:rFonts w:asciiTheme="minorHAnsi" w:eastAsiaTheme="minorEastAsia" w:hAnsiTheme="minorHAnsi"/>
      <w:sz w:val="24"/>
      <w:lang w:eastAsia="en-GB"/>
    </w:rPr>
  </w:style>
  <w:style w:type="paragraph" w:styleId="TOC4">
    <w:name w:val="toc 4"/>
    <w:basedOn w:val="Normal"/>
    <w:next w:val="Normal"/>
    <w:autoRedefine/>
    <w:uiPriority w:val="39"/>
    <w:unhideWhenUsed/>
    <w:rsid w:val="00093092"/>
    <w:pPr>
      <w:spacing w:after="100" w:line="278" w:lineRule="auto"/>
      <w:ind w:left="72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093092"/>
    <w:pPr>
      <w:spacing w:after="100" w:line="278" w:lineRule="auto"/>
      <w:ind w:left="96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093092"/>
    <w:pPr>
      <w:spacing w:after="100" w:line="278" w:lineRule="auto"/>
      <w:ind w:left="12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093092"/>
    <w:pPr>
      <w:spacing w:after="100" w:line="278" w:lineRule="auto"/>
      <w:ind w:left="144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093092"/>
    <w:pPr>
      <w:spacing w:after="100" w:line="278" w:lineRule="auto"/>
      <w:ind w:left="168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093092"/>
    <w:pPr>
      <w:spacing w:after="100" w:line="278" w:lineRule="auto"/>
      <w:ind w:left="1920"/>
      <w:jc w:val="left"/>
    </w:pPr>
    <w:rPr>
      <w:rFonts w:asciiTheme="minorHAnsi" w:eastAsiaTheme="minorEastAsia" w:hAnsiTheme="minorHAnsi"/>
      <w:sz w:val="24"/>
      <w:lang w:eastAsia="en-GB"/>
    </w:rPr>
  </w:style>
  <w:style w:type="character" w:styleId="FollowedHyperlink">
    <w:name w:val="FollowedHyperlink"/>
    <w:basedOn w:val="DefaultParagraphFont"/>
    <w:uiPriority w:val="99"/>
    <w:semiHidden/>
    <w:unhideWhenUsed/>
    <w:rsid w:val="007A30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1362361320919286" TargetMode="External"/><Relationship Id="rId18" Type="http://schemas.openxmlformats.org/officeDocument/2006/relationships/hyperlink" Target="https://doi.org/10.1016/S0140-6736(16)31229-6"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i.org/10.1016/j.cpr.2021.102080" TargetMode="External"/><Relationship Id="rId17" Type="http://schemas.openxmlformats.org/officeDocument/2006/relationships/hyperlink" Target="https://doi.org/10.1111/jcpp.13534" TargetMode="External"/><Relationship Id="rId2" Type="http://schemas.openxmlformats.org/officeDocument/2006/relationships/customXml" Target="../customXml/item2.xml"/><Relationship Id="rId16" Type="http://schemas.openxmlformats.org/officeDocument/2006/relationships/hyperlink" Target="https://doi.org/10.1177/136236131667783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dmcn.15384" TargetMode="External"/><Relationship Id="rId5" Type="http://schemas.openxmlformats.org/officeDocument/2006/relationships/settings" Target="settings.xml"/><Relationship Id="rId15" Type="http://schemas.openxmlformats.org/officeDocument/2006/relationships/hyperlink" Target="https://doi.org/10.1038/s41572-019-0138-4" TargetMode="External"/><Relationship Id="rId23" Type="http://schemas.openxmlformats.org/officeDocument/2006/relationships/theme" Target="theme/theme1.xml"/><Relationship Id="rId10" Type="http://schemas.openxmlformats.org/officeDocument/2006/relationships/hyperlink" Target="https://doi.org/10.1007/s10803-016-2872-8" TargetMode="External"/><Relationship Id="rId19" Type="http://schemas.openxmlformats.org/officeDocument/2006/relationships/hyperlink" Target="https://doi.org/10.1136/bmj.s887"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1007/s10803-017-3166-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E7BF60-112E-45AF-9A93-EC9D8E0B3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3201</Words>
  <Characters>18247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Component 2</dc:subject>
  <dc:creator>University of Wales Trinity Saint David</dc:creator>
  <cp:keywords/>
  <dc:description/>
  <cp:lastModifiedBy>Gisele north</cp:lastModifiedBy>
  <cp:revision>33</cp:revision>
  <dcterms:created xsi:type="dcterms:W3CDTF">2026-08-12T20:17:00Z</dcterms:created>
  <dcterms:modified xsi:type="dcterms:W3CDTF">2026-08-13T11:31:00Z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bf8e23c3-b0e8-430b-8f2e-d77cceddc3f8</vt:lpwstr>
  </property>
</Properties>
</file>