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85245358"/>
        <w:docPartObj>
          <w:docPartGallery w:val="Cover Pages"/>
          <w:docPartUnique/>
        </w:docPartObj>
      </w:sdtPr>
      <w:sdtEndPr/>
      <w:sdtContent>
        <w:p w14:paraId="66CCB9B6" w14:textId="1CA9AD45" w:rsidR="008C7654" w:rsidRDefault="008C7654" w:rsidP="00D25C58">
          <w:pPr>
            <w:jc w:val="both"/>
          </w:pPr>
          <w:r>
            <w:rPr>
              <w:noProof/>
            </w:rPr>
            <mc:AlternateContent>
              <mc:Choice Requires="wps">
                <w:drawing>
                  <wp:anchor distT="0" distB="0" distL="114300" distR="114300" simplePos="0" relativeHeight="251659264" behindDoc="1" locked="0" layoutInCell="1" allowOverlap="0" wp14:anchorId="56FD691C" wp14:editId="66718F72">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4090"/>
                                </w:tblGrid>
                                <w:tr w:rsidR="001F6844" w14:paraId="497674CF" w14:textId="77777777" w:rsidTr="00910DF3">
                                  <w:trPr>
                                    <w:trHeight w:hRule="exact" w:val="7230"/>
                                  </w:trPr>
                                  <w:tc>
                                    <w:tcPr>
                                      <w:tcW w:w="5000" w:type="pct"/>
                                    </w:tcPr>
                                    <w:p w14:paraId="238892DA" w14:textId="77777777" w:rsidR="001F6844" w:rsidRDefault="001F6844">
                                      <w:r>
                                        <w:rPr>
                                          <w:noProof/>
                                        </w:rPr>
                                        <w:drawing>
                                          <wp:inline distT="0" distB="0" distL="0" distR="0" wp14:anchorId="1B40C4FB" wp14:editId="2BB44B57">
                                            <wp:extent cx="6858000" cy="4635062"/>
                                            <wp:effectExtent l="0" t="0" r="0" b="0"/>
                                            <wp:docPr id="3" name="Picture 4"/>
                                            <wp:cNvGraphicFramePr/>
                                            <a:graphic xmlns:a="http://schemas.openxmlformats.org/drawingml/2006/main">
                                              <a:graphicData uri="http://schemas.openxmlformats.org/drawingml/2006/picture">
                                                <pic:pic xmlns:pic="http://schemas.openxmlformats.org/drawingml/2006/picture">
                                                  <pic:nvPicPr>
                                                    <pic:cNvPr id="3" name="Picture 4"/>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bwMode="auto">
                                                    <a:xfrm>
                                                      <a:off x="0" y="0"/>
                                                      <a:ext cx="6875571" cy="4646938"/>
                                                    </a:xfrm>
                                                    <a:prstGeom prst="rect">
                                                      <a:avLst/>
                                                    </a:prstGeom>
                                                    <a:ln>
                                                      <a:noFill/>
                                                    </a:ln>
                                                    <a:extLst>
                                                      <a:ext uri="{53640926-AAD7-44D8-BBD7-CCE9431645EC}">
                                                        <a14:shadowObscured xmlns:a14="http://schemas.microsoft.com/office/drawing/2010/main"/>
                                                      </a:ext>
                                                    </a:extLst>
                                                  </pic:spPr>
                                                </pic:pic>
                                              </a:graphicData>
                                            </a:graphic>
                                          </wp:inline>
                                        </w:drawing>
                                      </w:r>
                                    </w:p>
                                  </w:tc>
                                </w:tr>
                                <w:tr w:rsidR="001F6844" w14:paraId="335267CF" w14:textId="77777777" w:rsidTr="00910DF3">
                                  <w:trPr>
                                    <w:trHeight w:hRule="exact" w:val="5664"/>
                                  </w:trPr>
                                  <w:tc>
                                    <w:tcPr>
                                      <w:tcW w:w="5000" w:type="pct"/>
                                      <w:shd w:val="clear" w:color="auto" w:fill="0F6FC6" w:themeFill="accent1"/>
                                      <w:vAlign w:val="center"/>
                                    </w:tcPr>
                                    <w:p w14:paraId="606C0B34" w14:textId="7F1F66C3" w:rsidR="001F6844" w:rsidRDefault="004E2D79">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1F6844">
                                            <w:rPr>
                                              <w:rFonts w:asciiTheme="majorHAnsi" w:hAnsiTheme="majorHAnsi"/>
                                              <w:color w:val="FFFFFF" w:themeColor="background1"/>
                                              <w:sz w:val="96"/>
                                              <w:szCs w:val="96"/>
                                            </w:rPr>
                                            <w:t>Strategic Management in Policing</w:t>
                                          </w:r>
                                        </w:sdtContent>
                                      </w:sdt>
                                    </w:p>
                                    <w:p w14:paraId="485FFA83" w14:textId="77777777" w:rsidR="001F6844" w:rsidRDefault="001F6844" w:rsidP="00910DF3">
                                      <w:pPr>
                                        <w:pStyle w:val="NoSpacing"/>
                                        <w:spacing w:before="240"/>
                                        <w:ind w:left="720" w:right="720"/>
                                        <w:rPr>
                                          <w:color w:val="FFFFFF" w:themeColor="background1"/>
                                          <w:sz w:val="44"/>
                                          <w:szCs w:val="44"/>
                                        </w:rPr>
                                      </w:pPr>
                                      <w:r w:rsidRPr="00910DF3">
                                        <w:rPr>
                                          <w:color w:val="FFFFFF" w:themeColor="background1"/>
                                          <w:sz w:val="44"/>
                                          <w:szCs w:val="44"/>
                                        </w:rPr>
                                        <w:t xml:space="preserve">UWTSD </w:t>
                                      </w:r>
                                    </w:p>
                                    <w:p w14:paraId="2A3F2E8E" w14:textId="328C387E" w:rsidR="001F6844" w:rsidRPr="00910DF3" w:rsidRDefault="001F6844" w:rsidP="00910DF3">
                                      <w:pPr>
                                        <w:pStyle w:val="NoSpacing"/>
                                        <w:spacing w:before="240"/>
                                        <w:ind w:left="720" w:right="720"/>
                                        <w:rPr>
                                          <w:color w:val="FFFFFF" w:themeColor="background1"/>
                                          <w:sz w:val="44"/>
                                          <w:szCs w:val="44"/>
                                        </w:rPr>
                                      </w:pPr>
                                      <w:r w:rsidRPr="00910DF3">
                                        <w:rPr>
                                          <w:color w:val="FFFFFF" w:themeColor="background1"/>
                                          <w:sz w:val="44"/>
                                          <w:szCs w:val="44"/>
                                        </w:rPr>
                                        <w:t>Lecturer: Dr Jonathan Edwards</w:t>
                                      </w:r>
                                    </w:p>
                                    <w:p w14:paraId="2BF6BA36" w14:textId="56558794" w:rsidR="001F6844" w:rsidRDefault="001F6844" w:rsidP="00910DF3">
                                      <w:pPr>
                                        <w:pStyle w:val="NoSpacing"/>
                                        <w:spacing w:before="240"/>
                                        <w:ind w:left="720" w:right="720"/>
                                        <w:rPr>
                                          <w:color w:val="FFFFFF" w:themeColor="background1"/>
                                          <w:sz w:val="32"/>
                                          <w:szCs w:val="32"/>
                                        </w:rPr>
                                      </w:pPr>
                                      <w:r>
                                        <w:rPr>
                                          <w:color w:val="FFFFFF" w:themeColor="background1"/>
                                        </w:rPr>
                                        <w:t xml:space="preserve"> </w:t>
                                      </w:r>
                                      <w:sdt>
                                        <w:sdtPr>
                                          <w:rPr>
                                            <w:color w:val="FFFFFF" w:themeColor="background1"/>
                                            <w:sz w:val="40"/>
                                            <w:szCs w:val="40"/>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r w:rsidRPr="00910DF3">
                                            <w:rPr>
                                              <w:color w:val="FFFFFF" w:themeColor="background1"/>
                                              <w:sz w:val="40"/>
                                              <w:szCs w:val="40"/>
                                            </w:rPr>
                                            <w:t>MSc Policing (Operational and Strategic Leadership)</w:t>
                                          </w:r>
                                        </w:sdtContent>
                                      </w:sdt>
                                    </w:p>
                                  </w:tc>
                                </w:tr>
                                <w:tr w:rsidR="001F6844" w14:paraId="46D75F91" w14:textId="77777777" w:rsidTr="00910DF3">
                                  <w:trPr>
                                    <w:trHeight w:hRule="exact" w:val="1280"/>
                                  </w:trPr>
                                  <w:tc>
                                    <w:tcPr>
                                      <w:tcW w:w="5000" w:type="pct"/>
                                      <w:shd w:val="clear" w:color="auto" w:fill="A5C249" w:themeFill="accent6"/>
                                    </w:tcPr>
                                    <w:tbl>
                                      <w:tblPr>
                                        <w:tblW w:w="14090" w:type="dxa"/>
                                        <w:tblCellMar>
                                          <w:left w:w="0" w:type="dxa"/>
                                          <w:right w:w="0" w:type="dxa"/>
                                        </w:tblCellMar>
                                        <w:tblLook w:val="04A0" w:firstRow="1" w:lastRow="0" w:firstColumn="1" w:lastColumn="0" w:noHBand="0" w:noVBand="1"/>
                                        <w:tblDescription w:val="Cover page info"/>
                                      </w:tblPr>
                                      <w:tblGrid>
                                        <w:gridCol w:w="4962"/>
                                        <w:gridCol w:w="5528"/>
                                        <w:gridCol w:w="3600"/>
                                      </w:tblGrid>
                                      <w:tr w:rsidR="001F6844" w14:paraId="4CDF4522" w14:textId="77777777" w:rsidTr="00910DF3">
                                        <w:trPr>
                                          <w:trHeight w:hRule="exact" w:val="720"/>
                                        </w:trPr>
                                        <w:sdt>
                                          <w:sdtPr>
                                            <w:rPr>
                                              <w:color w:val="FFFFFF" w:themeColor="background1"/>
                                              <w:sz w:val="32"/>
                                              <w:szCs w:val="32"/>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4962" w:type="dxa"/>
                                                <w:vAlign w:val="center"/>
                                              </w:tcPr>
                                              <w:p w14:paraId="7B6540E5" w14:textId="703A3A44" w:rsidR="001F6844" w:rsidRDefault="001F6844">
                                                <w:pPr>
                                                  <w:pStyle w:val="NoSpacing"/>
                                                  <w:ind w:left="144" w:right="144"/>
                                                  <w:jc w:val="center"/>
                                                  <w:rPr>
                                                    <w:color w:val="FFFFFF" w:themeColor="background1"/>
                                                  </w:rPr>
                                                </w:pPr>
                                                <w:r w:rsidRPr="00910DF3">
                                                  <w:rPr>
                                                    <w:color w:val="FFFFFF" w:themeColor="background1"/>
                                                    <w:sz w:val="32"/>
                                                    <w:szCs w:val="32"/>
                                                  </w:rPr>
                                                  <w:t>Author: Teresa Ciano 2011302</w:t>
                                                </w:r>
                                              </w:p>
                                            </w:tc>
                                          </w:sdtContent>
                                        </w:sdt>
                                        <w:tc>
                                          <w:tcPr>
                                            <w:tcW w:w="5528" w:type="dxa"/>
                                            <w:vAlign w:val="center"/>
                                          </w:tcPr>
                                          <w:p w14:paraId="76778314" w14:textId="16ECCB22" w:rsidR="001F6844" w:rsidRDefault="001F6844">
                                            <w:pPr>
                                              <w:pStyle w:val="NoSpacing"/>
                                              <w:ind w:left="144" w:right="144"/>
                                              <w:jc w:val="center"/>
                                              <w:rPr>
                                                <w:color w:val="FFFFFF" w:themeColor="background1"/>
                                              </w:rPr>
                                            </w:pPr>
                                            <w:r>
                                              <w:rPr>
                                                <w:color w:val="FFFFFF" w:themeColor="background1"/>
                                              </w:rPr>
                                              <w:t xml:space="preserve">                                                                </w:t>
                                            </w:r>
                                            <w:r w:rsidRPr="00910DF3">
                                              <w:rPr>
                                                <w:color w:val="FFFFFF" w:themeColor="background1"/>
                                                <w:sz w:val="32"/>
                                                <w:szCs w:val="32"/>
                                              </w:rPr>
                                              <w:t xml:space="preserve">   January 2022</w:t>
                                            </w:r>
                                          </w:p>
                                        </w:tc>
                                        <w:tc>
                                          <w:tcPr>
                                            <w:tcW w:w="3600" w:type="dxa"/>
                                            <w:vAlign w:val="center"/>
                                          </w:tcPr>
                                          <w:p w14:paraId="61EC9A10" w14:textId="197C7235" w:rsidR="001F6844" w:rsidRDefault="001F6844">
                                            <w:pPr>
                                              <w:pStyle w:val="NoSpacing"/>
                                              <w:ind w:left="144" w:right="720"/>
                                              <w:jc w:val="right"/>
                                              <w:rPr>
                                                <w:color w:val="FFFFFF" w:themeColor="background1"/>
                                              </w:rPr>
                                            </w:pPr>
                                          </w:p>
                                        </w:tc>
                                      </w:tr>
                                      <w:tr w:rsidR="001F6844" w14:paraId="45205FB0" w14:textId="77777777" w:rsidTr="00910DF3">
                                        <w:trPr>
                                          <w:trHeight w:hRule="exact" w:val="720"/>
                                        </w:trPr>
                                        <w:tc>
                                          <w:tcPr>
                                            <w:tcW w:w="4962" w:type="dxa"/>
                                            <w:vAlign w:val="center"/>
                                          </w:tcPr>
                                          <w:p w14:paraId="0EDCC300" w14:textId="77777777" w:rsidR="001F6844" w:rsidRDefault="001F6844">
                                            <w:pPr>
                                              <w:pStyle w:val="NoSpacing"/>
                                              <w:ind w:left="144" w:right="144"/>
                                              <w:jc w:val="center"/>
                                              <w:rPr>
                                                <w:color w:val="FFFFFF" w:themeColor="background1"/>
                                              </w:rPr>
                                            </w:pPr>
                                          </w:p>
                                        </w:tc>
                                        <w:tc>
                                          <w:tcPr>
                                            <w:tcW w:w="5528" w:type="dxa"/>
                                            <w:vAlign w:val="center"/>
                                          </w:tcPr>
                                          <w:p w14:paraId="46317D70" w14:textId="77777777" w:rsidR="001F6844" w:rsidRDefault="001F6844">
                                            <w:pPr>
                                              <w:pStyle w:val="NoSpacing"/>
                                              <w:ind w:left="144" w:right="144"/>
                                              <w:jc w:val="center"/>
                                              <w:rPr>
                                                <w:color w:val="FFFFFF" w:themeColor="background1"/>
                                              </w:rPr>
                                            </w:pPr>
                                          </w:p>
                                        </w:tc>
                                        <w:tc>
                                          <w:tcPr>
                                            <w:tcW w:w="3600" w:type="dxa"/>
                                            <w:vAlign w:val="center"/>
                                          </w:tcPr>
                                          <w:p w14:paraId="73A6127E" w14:textId="77777777" w:rsidR="001F6844" w:rsidRDefault="001F6844">
                                            <w:pPr>
                                              <w:pStyle w:val="NoSpacing"/>
                                              <w:ind w:left="144" w:right="720"/>
                                              <w:jc w:val="right"/>
                                              <w:rPr>
                                                <w:color w:val="FFFFFF" w:themeColor="background1"/>
                                              </w:rPr>
                                            </w:pPr>
                                          </w:p>
                                        </w:tc>
                                      </w:tr>
                                    </w:tbl>
                                    <w:p w14:paraId="2C6C03B7" w14:textId="77777777" w:rsidR="001F6844" w:rsidRDefault="001F6844"/>
                                  </w:tc>
                                </w:tr>
                              </w:tbl>
                              <w:p w14:paraId="4F7A2095" w14:textId="77777777" w:rsidR="001F6844" w:rsidRDefault="001F6844"/>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6FD691C" id="_x0000_t202" coordsize="21600,21600" o:spt="202" path="m,l,21600r21600,l21600,xe">
                    <v:stroke joinstyle="miter"/>
                    <v:path gradientshapeok="t" o:connecttype="rect"/>
                  </v:shapetype>
                  <v:shape id="Text Box 8" o:spid="_x0000_s1026" type="#_x0000_t202" alt="Cover page layout" style="position:absolute;left:0;text-align:left;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4090"/>
                          </w:tblGrid>
                          <w:tr w:rsidR="001F6844" w14:paraId="497674CF" w14:textId="77777777" w:rsidTr="00910DF3">
                            <w:trPr>
                              <w:trHeight w:hRule="exact" w:val="7230"/>
                            </w:trPr>
                            <w:tc>
                              <w:tcPr>
                                <w:tcW w:w="5000" w:type="pct"/>
                              </w:tcPr>
                              <w:p w14:paraId="238892DA" w14:textId="77777777" w:rsidR="001F6844" w:rsidRDefault="001F6844">
                                <w:r>
                                  <w:rPr>
                                    <w:noProof/>
                                  </w:rPr>
                                  <w:drawing>
                                    <wp:inline distT="0" distB="0" distL="0" distR="0" wp14:anchorId="1B40C4FB" wp14:editId="2BB44B57">
                                      <wp:extent cx="6858000" cy="4635062"/>
                                      <wp:effectExtent l="0" t="0" r="0" b="0"/>
                                      <wp:docPr id="3" name="Picture 4"/>
                                      <wp:cNvGraphicFramePr/>
                                      <a:graphic xmlns:a="http://schemas.openxmlformats.org/drawingml/2006/main">
                                        <a:graphicData uri="http://schemas.openxmlformats.org/drawingml/2006/picture">
                                          <pic:pic xmlns:pic="http://schemas.openxmlformats.org/drawingml/2006/picture">
                                            <pic:nvPicPr>
                                              <pic:cNvPr id="3" name="Picture 4"/>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bwMode="auto">
                                              <a:xfrm>
                                                <a:off x="0" y="0"/>
                                                <a:ext cx="6875571" cy="4646938"/>
                                              </a:xfrm>
                                              <a:prstGeom prst="rect">
                                                <a:avLst/>
                                              </a:prstGeom>
                                              <a:ln>
                                                <a:noFill/>
                                              </a:ln>
                                              <a:extLst>
                                                <a:ext uri="{53640926-AAD7-44D8-BBD7-CCE9431645EC}">
                                                  <a14:shadowObscured xmlns:a14="http://schemas.microsoft.com/office/drawing/2010/main"/>
                                                </a:ext>
                                              </a:extLst>
                                            </pic:spPr>
                                          </pic:pic>
                                        </a:graphicData>
                                      </a:graphic>
                                    </wp:inline>
                                  </w:drawing>
                                </w:r>
                              </w:p>
                            </w:tc>
                          </w:tr>
                          <w:tr w:rsidR="001F6844" w14:paraId="335267CF" w14:textId="77777777" w:rsidTr="00910DF3">
                            <w:trPr>
                              <w:trHeight w:hRule="exact" w:val="5664"/>
                            </w:trPr>
                            <w:tc>
                              <w:tcPr>
                                <w:tcW w:w="5000" w:type="pct"/>
                                <w:shd w:val="clear" w:color="auto" w:fill="0F6FC6" w:themeFill="accent1"/>
                                <w:vAlign w:val="center"/>
                              </w:tcPr>
                              <w:p w14:paraId="606C0B34" w14:textId="7F1F66C3" w:rsidR="001F6844" w:rsidRDefault="004E2D79">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1F6844">
                                      <w:rPr>
                                        <w:rFonts w:asciiTheme="majorHAnsi" w:hAnsiTheme="majorHAnsi"/>
                                        <w:color w:val="FFFFFF" w:themeColor="background1"/>
                                        <w:sz w:val="96"/>
                                        <w:szCs w:val="96"/>
                                      </w:rPr>
                                      <w:t>Strategic Management in Policing</w:t>
                                    </w:r>
                                  </w:sdtContent>
                                </w:sdt>
                              </w:p>
                              <w:p w14:paraId="485FFA83" w14:textId="77777777" w:rsidR="001F6844" w:rsidRDefault="001F6844" w:rsidP="00910DF3">
                                <w:pPr>
                                  <w:pStyle w:val="NoSpacing"/>
                                  <w:spacing w:before="240"/>
                                  <w:ind w:left="720" w:right="720"/>
                                  <w:rPr>
                                    <w:color w:val="FFFFFF" w:themeColor="background1"/>
                                    <w:sz w:val="44"/>
                                    <w:szCs w:val="44"/>
                                  </w:rPr>
                                </w:pPr>
                                <w:r w:rsidRPr="00910DF3">
                                  <w:rPr>
                                    <w:color w:val="FFFFFF" w:themeColor="background1"/>
                                    <w:sz w:val="44"/>
                                    <w:szCs w:val="44"/>
                                  </w:rPr>
                                  <w:t xml:space="preserve">UWTSD </w:t>
                                </w:r>
                              </w:p>
                              <w:p w14:paraId="2A3F2E8E" w14:textId="328C387E" w:rsidR="001F6844" w:rsidRPr="00910DF3" w:rsidRDefault="001F6844" w:rsidP="00910DF3">
                                <w:pPr>
                                  <w:pStyle w:val="NoSpacing"/>
                                  <w:spacing w:before="240"/>
                                  <w:ind w:left="720" w:right="720"/>
                                  <w:rPr>
                                    <w:color w:val="FFFFFF" w:themeColor="background1"/>
                                    <w:sz w:val="44"/>
                                    <w:szCs w:val="44"/>
                                  </w:rPr>
                                </w:pPr>
                                <w:r w:rsidRPr="00910DF3">
                                  <w:rPr>
                                    <w:color w:val="FFFFFF" w:themeColor="background1"/>
                                    <w:sz w:val="44"/>
                                    <w:szCs w:val="44"/>
                                  </w:rPr>
                                  <w:t>Lecturer: Dr Jonathan Edwards</w:t>
                                </w:r>
                              </w:p>
                              <w:p w14:paraId="2BF6BA36" w14:textId="56558794" w:rsidR="001F6844" w:rsidRDefault="001F6844" w:rsidP="00910DF3">
                                <w:pPr>
                                  <w:pStyle w:val="NoSpacing"/>
                                  <w:spacing w:before="240"/>
                                  <w:ind w:left="720" w:right="720"/>
                                  <w:rPr>
                                    <w:color w:val="FFFFFF" w:themeColor="background1"/>
                                    <w:sz w:val="32"/>
                                    <w:szCs w:val="32"/>
                                  </w:rPr>
                                </w:pPr>
                                <w:r>
                                  <w:rPr>
                                    <w:color w:val="FFFFFF" w:themeColor="background1"/>
                                  </w:rPr>
                                  <w:t xml:space="preserve"> </w:t>
                                </w:r>
                                <w:sdt>
                                  <w:sdtPr>
                                    <w:rPr>
                                      <w:color w:val="FFFFFF" w:themeColor="background1"/>
                                      <w:sz w:val="40"/>
                                      <w:szCs w:val="40"/>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r w:rsidRPr="00910DF3">
                                      <w:rPr>
                                        <w:color w:val="FFFFFF" w:themeColor="background1"/>
                                        <w:sz w:val="40"/>
                                        <w:szCs w:val="40"/>
                                      </w:rPr>
                                      <w:t>MSc Policing (Operational and Strategic Leadership)</w:t>
                                    </w:r>
                                  </w:sdtContent>
                                </w:sdt>
                              </w:p>
                            </w:tc>
                          </w:tr>
                          <w:tr w:rsidR="001F6844" w14:paraId="46D75F91" w14:textId="77777777" w:rsidTr="00910DF3">
                            <w:trPr>
                              <w:trHeight w:hRule="exact" w:val="1280"/>
                            </w:trPr>
                            <w:tc>
                              <w:tcPr>
                                <w:tcW w:w="5000" w:type="pct"/>
                                <w:shd w:val="clear" w:color="auto" w:fill="A5C249" w:themeFill="accent6"/>
                              </w:tcPr>
                              <w:tbl>
                                <w:tblPr>
                                  <w:tblW w:w="14090" w:type="dxa"/>
                                  <w:tblCellMar>
                                    <w:left w:w="0" w:type="dxa"/>
                                    <w:right w:w="0" w:type="dxa"/>
                                  </w:tblCellMar>
                                  <w:tblLook w:val="04A0" w:firstRow="1" w:lastRow="0" w:firstColumn="1" w:lastColumn="0" w:noHBand="0" w:noVBand="1"/>
                                  <w:tblDescription w:val="Cover page info"/>
                                </w:tblPr>
                                <w:tblGrid>
                                  <w:gridCol w:w="4962"/>
                                  <w:gridCol w:w="5528"/>
                                  <w:gridCol w:w="3600"/>
                                </w:tblGrid>
                                <w:tr w:rsidR="001F6844" w14:paraId="4CDF4522" w14:textId="77777777" w:rsidTr="00910DF3">
                                  <w:trPr>
                                    <w:trHeight w:hRule="exact" w:val="720"/>
                                  </w:trPr>
                                  <w:sdt>
                                    <w:sdtPr>
                                      <w:rPr>
                                        <w:color w:val="FFFFFF" w:themeColor="background1"/>
                                        <w:sz w:val="32"/>
                                        <w:szCs w:val="32"/>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4962" w:type="dxa"/>
                                          <w:vAlign w:val="center"/>
                                        </w:tcPr>
                                        <w:p w14:paraId="7B6540E5" w14:textId="703A3A44" w:rsidR="001F6844" w:rsidRDefault="001F6844">
                                          <w:pPr>
                                            <w:pStyle w:val="NoSpacing"/>
                                            <w:ind w:left="144" w:right="144"/>
                                            <w:jc w:val="center"/>
                                            <w:rPr>
                                              <w:color w:val="FFFFFF" w:themeColor="background1"/>
                                            </w:rPr>
                                          </w:pPr>
                                          <w:r w:rsidRPr="00910DF3">
                                            <w:rPr>
                                              <w:color w:val="FFFFFF" w:themeColor="background1"/>
                                              <w:sz w:val="32"/>
                                              <w:szCs w:val="32"/>
                                            </w:rPr>
                                            <w:t>Author: Teresa Ciano 2011302</w:t>
                                          </w:r>
                                        </w:p>
                                      </w:tc>
                                    </w:sdtContent>
                                  </w:sdt>
                                  <w:tc>
                                    <w:tcPr>
                                      <w:tcW w:w="5528" w:type="dxa"/>
                                      <w:vAlign w:val="center"/>
                                    </w:tcPr>
                                    <w:p w14:paraId="76778314" w14:textId="16ECCB22" w:rsidR="001F6844" w:rsidRDefault="001F6844">
                                      <w:pPr>
                                        <w:pStyle w:val="NoSpacing"/>
                                        <w:ind w:left="144" w:right="144"/>
                                        <w:jc w:val="center"/>
                                        <w:rPr>
                                          <w:color w:val="FFFFFF" w:themeColor="background1"/>
                                        </w:rPr>
                                      </w:pPr>
                                      <w:r>
                                        <w:rPr>
                                          <w:color w:val="FFFFFF" w:themeColor="background1"/>
                                        </w:rPr>
                                        <w:t xml:space="preserve">                                                                </w:t>
                                      </w:r>
                                      <w:r w:rsidRPr="00910DF3">
                                        <w:rPr>
                                          <w:color w:val="FFFFFF" w:themeColor="background1"/>
                                          <w:sz w:val="32"/>
                                          <w:szCs w:val="32"/>
                                        </w:rPr>
                                        <w:t xml:space="preserve">   January 2022</w:t>
                                      </w:r>
                                    </w:p>
                                  </w:tc>
                                  <w:tc>
                                    <w:tcPr>
                                      <w:tcW w:w="3600" w:type="dxa"/>
                                      <w:vAlign w:val="center"/>
                                    </w:tcPr>
                                    <w:p w14:paraId="61EC9A10" w14:textId="197C7235" w:rsidR="001F6844" w:rsidRDefault="001F6844">
                                      <w:pPr>
                                        <w:pStyle w:val="NoSpacing"/>
                                        <w:ind w:left="144" w:right="720"/>
                                        <w:jc w:val="right"/>
                                        <w:rPr>
                                          <w:color w:val="FFFFFF" w:themeColor="background1"/>
                                        </w:rPr>
                                      </w:pPr>
                                    </w:p>
                                  </w:tc>
                                </w:tr>
                                <w:tr w:rsidR="001F6844" w14:paraId="45205FB0" w14:textId="77777777" w:rsidTr="00910DF3">
                                  <w:trPr>
                                    <w:trHeight w:hRule="exact" w:val="720"/>
                                  </w:trPr>
                                  <w:tc>
                                    <w:tcPr>
                                      <w:tcW w:w="4962" w:type="dxa"/>
                                      <w:vAlign w:val="center"/>
                                    </w:tcPr>
                                    <w:p w14:paraId="0EDCC300" w14:textId="77777777" w:rsidR="001F6844" w:rsidRDefault="001F6844">
                                      <w:pPr>
                                        <w:pStyle w:val="NoSpacing"/>
                                        <w:ind w:left="144" w:right="144"/>
                                        <w:jc w:val="center"/>
                                        <w:rPr>
                                          <w:color w:val="FFFFFF" w:themeColor="background1"/>
                                        </w:rPr>
                                      </w:pPr>
                                    </w:p>
                                  </w:tc>
                                  <w:tc>
                                    <w:tcPr>
                                      <w:tcW w:w="5528" w:type="dxa"/>
                                      <w:vAlign w:val="center"/>
                                    </w:tcPr>
                                    <w:p w14:paraId="46317D70" w14:textId="77777777" w:rsidR="001F6844" w:rsidRDefault="001F6844">
                                      <w:pPr>
                                        <w:pStyle w:val="NoSpacing"/>
                                        <w:ind w:left="144" w:right="144"/>
                                        <w:jc w:val="center"/>
                                        <w:rPr>
                                          <w:color w:val="FFFFFF" w:themeColor="background1"/>
                                        </w:rPr>
                                      </w:pPr>
                                    </w:p>
                                  </w:tc>
                                  <w:tc>
                                    <w:tcPr>
                                      <w:tcW w:w="3600" w:type="dxa"/>
                                      <w:vAlign w:val="center"/>
                                    </w:tcPr>
                                    <w:p w14:paraId="73A6127E" w14:textId="77777777" w:rsidR="001F6844" w:rsidRDefault="001F6844">
                                      <w:pPr>
                                        <w:pStyle w:val="NoSpacing"/>
                                        <w:ind w:left="144" w:right="720"/>
                                        <w:jc w:val="right"/>
                                        <w:rPr>
                                          <w:color w:val="FFFFFF" w:themeColor="background1"/>
                                        </w:rPr>
                                      </w:pPr>
                                    </w:p>
                                  </w:tc>
                                </w:tr>
                              </w:tbl>
                              <w:p w14:paraId="2C6C03B7" w14:textId="77777777" w:rsidR="001F6844" w:rsidRDefault="001F6844"/>
                            </w:tc>
                          </w:tr>
                        </w:tbl>
                        <w:p w14:paraId="4F7A2095" w14:textId="77777777" w:rsidR="001F6844" w:rsidRDefault="001F6844"/>
                      </w:txbxContent>
                    </v:textbox>
                    <w10:wrap anchorx="page" anchory="page"/>
                  </v:shape>
                </w:pict>
              </mc:Fallback>
            </mc:AlternateContent>
          </w:r>
        </w:p>
        <w:p w14:paraId="64AEDEEE" w14:textId="77B2A5E9" w:rsidR="008C7654" w:rsidRDefault="008C7654" w:rsidP="00D25C58">
          <w:pPr>
            <w:widowControl/>
            <w:suppressAutoHyphens w:val="0"/>
            <w:jc w:val="both"/>
          </w:pPr>
          <w:r>
            <w:br w:type="page"/>
          </w:r>
        </w:p>
      </w:sdtContent>
    </w:sdt>
    <w:p w14:paraId="13547C57" w14:textId="77777777" w:rsidR="002B47B1" w:rsidRDefault="002B47B1" w:rsidP="00D25C58">
      <w:pPr>
        <w:jc w:val="both"/>
        <w:sectPr w:rsidR="002B47B1" w:rsidSect="008C7654">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pgNumType w:start="0"/>
          <w:cols w:space="708"/>
          <w:titlePg/>
          <w:docGrid w:linePitch="360"/>
        </w:sectPr>
      </w:pPr>
    </w:p>
    <w:p w14:paraId="53FC2A10" w14:textId="0984A818" w:rsidR="002B47B1" w:rsidRDefault="002B47B1" w:rsidP="005206DB">
      <w:pPr>
        <w:pStyle w:val="Heading1"/>
      </w:pPr>
      <w:bookmarkStart w:id="0" w:name="_Toc92646081"/>
      <w:r w:rsidRPr="005206DB">
        <w:lastRenderedPageBreak/>
        <w:t>Executive</w:t>
      </w:r>
      <w:r>
        <w:t xml:space="preserve"> Summary</w:t>
      </w:r>
      <w:bookmarkEnd w:id="0"/>
    </w:p>
    <w:p w14:paraId="308EBF44" w14:textId="67576888" w:rsidR="00310D3C" w:rsidRDefault="00310D3C" w:rsidP="00D25C58">
      <w:pPr>
        <w:widowControl/>
        <w:suppressAutoHyphens w:val="0"/>
        <w:jc w:val="both"/>
      </w:pPr>
    </w:p>
    <w:p w14:paraId="1F5229D6" w14:textId="21807D8A" w:rsidR="00F46354" w:rsidRDefault="00F46354" w:rsidP="00D25C58">
      <w:pPr>
        <w:widowControl/>
        <w:suppressAutoHyphens w:val="0"/>
        <w:jc w:val="both"/>
        <w:rPr>
          <w:noProof/>
        </w:rPr>
      </w:pPr>
      <w:r>
        <w:t xml:space="preserve">Strategic planning, as defined by </w:t>
      </w:r>
      <w:r>
        <w:rPr>
          <w:noProof/>
        </w:rPr>
        <w:t>Drumaux &amp; Goethals (2007) “centres on the means and, above all, the goals to be pursued” by an organisation.</w:t>
      </w:r>
      <w:r w:rsidR="006B3079">
        <w:rPr>
          <w:noProof/>
        </w:rPr>
        <w:t xml:space="preserve"> It is “aligning an organisation behind a clear direction” </w:t>
      </w:r>
      <w:sdt>
        <w:sdtPr>
          <w:rPr>
            <w:noProof/>
          </w:rPr>
          <w:id w:val="-1899278714"/>
          <w:citation/>
        </w:sdtPr>
        <w:sdtEndPr/>
        <w:sdtContent>
          <w:r w:rsidR="006B3079">
            <w:rPr>
              <w:noProof/>
            </w:rPr>
            <w:fldChar w:fldCharType="begin"/>
          </w:r>
          <w:r w:rsidR="006B3079">
            <w:rPr>
              <w:noProof/>
            </w:rPr>
            <w:instrText xml:space="preserve">CITATION Col212 \p 93 \l 2057 </w:instrText>
          </w:r>
          <w:r w:rsidR="006B3079">
            <w:rPr>
              <w:noProof/>
            </w:rPr>
            <w:fldChar w:fldCharType="separate"/>
          </w:r>
          <w:r w:rsidR="00910DF3">
            <w:rPr>
              <w:noProof/>
            </w:rPr>
            <w:t>(Collis, 2021, p. 93)</w:t>
          </w:r>
          <w:r w:rsidR="006B3079">
            <w:rPr>
              <w:noProof/>
            </w:rPr>
            <w:fldChar w:fldCharType="end"/>
          </w:r>
        </w:sdtContent>
      </w:sdt>
      <w:r w:rsidR="004A5D7D">
        <w:rPr>
          <w:noProof/>
        </w:rPr>
        <w:t>.</w:t>
      </w:r>
      <w:r w:rsidR="005B7807">
        <w:rPr>
          <w:noProof/>
        </w:rPr>
        <w:t xml:space="preserve"> However, being able to identify and define what is a “good strategy” is not so clear</w:t>
      </w:r>
      <w:r w:rsidR="00DA41D8">
        <w:rPr>
          <w:noProof/>
        </w:rPr>
        <w:t xml:space="preserve"> to determine</w:t>
      </w:r>
      <w:r w:rsidR="005B7807">
        <w:rPr>
          <w:noProof/>
        </w:rPr>
        <w:t xml:space="preserve"> </w:t>
      </w:r>
      <w:sdt>
        <w:sdtPr>
          <w:rPr>
            <w:noProof/>
          </w:rPr>
          <w:id w:val="1737515421"/>
          <w:citation/>
        </w:sdtPr>
        <w:sdtEndPr/>
        <w:sdtContent>
          <w:r w:rsidR="005B7807">
            <w:rPr>
              <w:noProof/>
            </w:rPr>
            <w:fldChar w:fldCharType="begin"/>
          </w:r>
          <w:r w:rsidR="005B7807">
            <w:rPr>
              <w:noProof/>
            </w:rPr>
            <w:instrText xml:space="preserve"> CITATION Bar12 \l 2057 </w:instrText>
          </w:r>
          <w:r w:rsidR="005B7807">
            <w:rPr>
              <w:noProof/>
            </w:rPr>
            <w:fldChar w:fldCharType="separate"/>
          </w:r>
          <w:r w:rsidR="005B7807">
            <w:rPr>
              <w:noProof/>
            </w:rPr>
            <w:t>(Barney &amp; Hesterly, 2012)</w:t>
          </w:r>
          <w:r w:rsidR="005B7807">
            <w:rPr>
              <w:noProof/>
            </w:rPr>
            <w:fldChar w:fldCharType="end"/>
          </w:r>
        </w:sdtContent>
      </w:sdt>
      <w:r w:rsidR="005B7807">
        <w:rPr>
          <w:noProof/>
        </w:rPr>
        <w:t>.</w:t>
      </w:r>
    </w:p>
    <w:p w14:paraId="7B3E37B6" w14:textId="0D2B054A" w:rsidR="004A5D7D" w:rsidRDefault="004A5D7D" w:rsidP="00D25C58">
      <w:pPr>
        <w:widowControl/>
        <w:suppressAutoHyphens w:val="0"/>
        <w:jc w:val="both"/>
        <w:rPr>
          <w:noProof/>
        </w:rPr>
      </w:pPr>
    </w:p>
    <w:p w14:paraId="4676AACB" w14:textId="4783DE3E" w:rsidR="004A5D7D" w:rsidRDefault="004A5D7D" w:rsidP="00D25C58">
      <w:pPr>
        <w:widowControl/>
        <w:suppressAutoHyphens w:val="0"/>
        <w:jc w:val="both"/>
      </w:pPr>
      <w:r>
        <w:rPr>
          <w:noProof/>
        </w:rPr>
        <w:t xml:space="preserve">In </w:t>
      </w:r>
      <w:r w:rsidR="0064005F">
        <w:rPr>
          <w:noProof/>
        </w:rPr>
        <w:t xml:space="preserve">the </w:t>
      </w:r>
      <w:r>
        <w:rPr>
          <w:noProof/>
        </w:rPr>
        <w:t xml:space="preserve">public service sector, </w:t>
      </w:r>
      <w:r w:rsidR="003D0218">
        <w:rPr>
          <w:noProof/>
        </w:rPr>
        <w:t xml:space="preserve">the decisions and actions taken by the public body are in pursuit of benefit to society </w:t>
      </w:r>
      <w:r w:rsidR="00DA41D8">
        <w:rPr>
          <w:noProof/>
        </w:rPr>
        <w:t>(Flynn &amp; Asquer, 2017)</w:t>
      </w:r>
      <w:r w:rsidR="009A7E6C">
        <w:rPr>
          <w:noProof/>
        </w:rPr>
        <w:t>, as opposed to traditional strategy goals of competitive advantage or profitability</w:t>
      </w:r>
      <w:r w:rsidR="003D0218">
        <w:rPr>
          <w:noProof/>
        </w:rPr>
        <w:t xml:space="preserve">. </w:t>
      </w:r>
      <w:r w:rsidR="00DA41D8">
        <w:rPr>
          <w:noProof/>
        </w:rPr>
        <w:t>Strategic planning in public service sectors</w:t>
      </w:r>
      <w:r>
        <w:rPr>
          <w:noProof/>
        </w:rPr>
        <w:t xml:space="preserve"> is more </w:t>
      </w:r>
      <w:r w:rsidR="00F32EEA">
        <w:rPr>
          <w:noProof/>
        </w:rPr>
        <w:t>often aligned</w:t>
      </w:r>
      <w:r>
        <w:rPr>
          <w:noProof/>
        </w:rPr>
        <w:t xml:space="preserve"> to strategic management, in that the process involves formulating a strategy, identifying how it will be implemented</w:t>
      </w:r>
      <w:r w:rsidR="00F32EEA">
        <w:rPr>
          <w:noProof/>
        </w:rPr>
        <w:t>,</w:t>
      </w:r>
      <w:r>
        <w:rPr>
          <w:noProof/>
        </w:rPr>
        <w:t xml:space="preserve"> building in an element of flexibility to allow for organisational learning</w:t>
      </w:r>
      <w:r w:rsidR="00DA41D8">
        <w:rPr>
          <w:noProof/>
        </w:rPr>
        <w:t xml:space="preserve"> or flux</w:t>
      </w:r>
      <w:r w:rsidR="0064005F">
        <w:rPr>
          <w:noProof/>
        </w:rPr>
        <w:t>,</w:t>
      </w:r>
      <w:r>
        <w:rPr>
          <w:noProof/>
        </w:rPr>
        <w:t xml:space="preserve"> </w:t>
      </w:r>
      <w:r w:rsidR="00F32EEA">
        <w:rPr>
          <w:noProof/>
        </w:rPr>
        <w:t xml:space="preserve">and using that process to achieve the defined goals and deliver value to the public </w:t>
      </w:r>
      <w:sdt>
        <w:sdtPr>
          <w:rPr>
            <w:noProof/>
          </w:rPr>
          <w:id w:val="-1795755261"/>
          <w:citation/>
        </w:sdtPr>
        <w:sdtEndPr/>
        <w:sdtContent>
          <w:r>
            <w:rPr>
              <w:noProof/>
            </w:rPr>
            <w:fldChar w:fldCharType="begin"/>
          </w:r>
          <w:r>
            <w:rPr>
              <w:noProof/>
            </w:rPr>
            <w:instrText xml:space="preserve"> CITATION Bry20 \l 2057 </w:instrText>
          </w:r>
          <w:r>
            <w:rPr>
              <w:noProof/>
            </w:rPr>
            <w:fldChar w:fldCharType="separate"/>
          </w:r>
          <w:r>
            <w:rPr>
              <w:noProof/>
            </w:rPr>
            <w:t>(Bryson &amp; George, 2020)</w:t>
          </w:r>
          <w:r>
            <w:rPr>
              <w:noProof/>
            </w:rPr>
            <w:fldChar w:fldCharType="end"/>
          </w:r>
        </w:sdtContent>
      </w:sdt>
      <w:r w:rsidR="00F32EEA">
        <w:rPr>
          <w:noProof/>
        </w:rPr>
        <w:t xml:space="preserve">. </w:t>
      </w:r>
    </w:p>
    <w:p w14:paraId="6C4A3E71" w14:textId="557A9E15" w:rsidR="00885399" w:rsidRDefault="00885399" w:rsidP="00D25C58">
      <w:pPr>
        <w:widowControl/>
        <w:suppressAutoHyphens w:val="0"/>
        <w:jc w:val="both"/>
      </w:pPr>
    </w:p>
    <w:p w14:paraId="5C0F62EB" w14:textId="7798EC0A" w:rsidR="00936DA4" w:rsidRPr="00885399" w:rsidRDefault="00936DA4" w:rsidP="00D25C58">
      <w:pPr>
        <w:widowControl/>
        <w:suppressAutoHyphens w:val="0"/>
        <w:jc w:val="both"/>
      </w:pPr>
      <w:r>
        <w:t xml:space="preserve">Whilst strategy is militaristic in its’ origins and can therefore be easily applied to other public service discipline-based organisations such as the police, it is </w:t>
      </w:r>
      <w:r w:rsidR="00D625A9">
        <w:t>usually</w:t>
      </w:r>
      <w:r>
        <w:t xml:space="preserve"> </w:t>
      </w:r>
      <w:r w:rsidR="00BB0702">
        <w:t>described</w:t>
      </w:r>
      <w:r w:rsidR="00DA41D8">
        <w:t xml:space="preserve"> in the context</w:t>
      </w:r>
      <w:r>
        <w:t xml:space="preserve"> business</w:t>
      </w:r>
      <w:r w:rsidR="005B7807">
        <w:t xml:space="preserve">, notably in the pursuit of competitive advantage </w:t>
      </w:r>
      <w:sdt>
        <w:sdtPr>
          <w:id w:val="-1724208938"/>
          <w:citation/>
        </w:sdtPr>
        <w:sdtEndPr/>
        <w:sdtContent>
          <w:r w:rsidR="005B7807">
            <w:fldChar w:fldCharType="begin"/>
          </w:r>
          <w:r w:rsidR="005B7807">
            <w:instrText xml:space="preserve"> CITATION Bar12 \l 2057 </w:instrText>
          </w:r>
          <w:r w:rsidR="005B7807">
            <w:fldChar w:fldCharType="separate"/>
          </w:r>
          <w:r w:rsidR="005B7807">
            <w:rPr>
              <w:noProof/>
            </w:rPr>
            <w:t>(Barney &amp; Hesterly, 2012)</w:t>
          </w:r>
          <w:r w:rsidR="005B7807">
            <w:fldChar w:fldCharType="end"/>
          </w:r>
        </w:sdtContent>
      </w:sdt>
      <w:r>
        <w:t xml:space="preserve">.  </w:t>
      </w:r>
      <w:r w:rsidR="00D625A9">
        <w:t>In</w:t>
      </w:r>
      <w:r>
        <w:t xml:space="preserve"> that regard, public service </w:t>
      </w:r>
      <w:r w:rsidR="0064005F">
        <w:t>organisations</w:t>
      </w:r>
      <w:r>
        <w:t xml:space="preserve"> are now using private sector strategy learnings and applying it to their own organisations to attempt to improve their own strategi</w:t>
      </w:r>
      <w:r w:rsidR="00BB0702">
        <w:t>s</w:t>
      </w:r>
      <w:r>
        <w:t xml:space="preserve">ing </w:t>
      </w:r>
      <w:sdt>
        <w:sdtPr>
          <w:id w:val="-154844434"/>
          <w:citation/>
        </w:sdtPr>
        <w:sdtEndPr/>
        <w:sdtContent>
          <w:r>
            <w:fldChar w:fldCharType="begin"/>
          </w:r>
          <w:r>
            <w:instrText xml:space="preserve"> CITATION Fer15 \l 2057 </w:instrText>
          </w:r>
          <w:r>
            <w:fldChar w:fldCharType="separate"/>
          </w:r>
          <w:r>
            <w:rPr>
              <w:noProof/>
            </w:rPr>
            <w:t>(Ferlie &amp; Ongaro, 2015)</w:t>
          </w:r>
          <w:r>
            <w:fldChar w:fldCharType="end"/>
          </w:r>
        </w:sdtContent>
      </w:sdt>
      <w:r>
        <w:t xml:space="preserve">. </w:t>
      </w:r>
    </w:p>
    <w:p w14:paraId="54EEDF65" w14:textId="01B12171" w:rsidR="009F6175" w:rsidRDefault="009F6175" w:rsidP="00D25C58">
      <w:pPr>
        <w:widowControl/>
        <w:suppressAutoHyphens w:val="0"/>
        <w:jc w:val="both"/>
      </w:pPr>
    </w:p>
    <w:p w14:paraId="26D827D4" w14:textId="4ACCACB2" w:rsidR="002B47B1" w:rsidRDefault="00310D3C" w:rsidP="00D25C58">
      <w:pPr>
        <w:widowControl/>
        <w:suppressAutoHyphens w:val="0"/>
        <w:jc w:val="both"/>
      </w:pPr>
      <w:r>
        <w:t xml:space="preserve">This report will consider the factors </w:t>
      </w:r>
      <w:r w:rsidR="00936DA4">
        <w:t xml:space="preserve">most commonly outlined in strategic </w:t>
      </w:r>
      <w:r w:rsidR="00BB0702">
        <w:t>theory</w:t>
      </w:r>
      <w:r w:rsidR="00936DA4">
        <w:t xml:space="preserve"> and offer an</w:t>
      </w:r>
      <w:r>
        <w:t xml:space="preserve"> interpretation </w:t>
      </w:r>
      <w:r w:rsidR="005A3348">
        <w:t xml:space="preserve">for implementing </w:t>
      </w:r>
      <w:r w:rsidR="00936DA4">
        <w:t xml:space="preserve">these theories in </w:t>
      </w:r>
      <w:r w:rsidR="00D625A9">
        <w:t>developing</w:t>
      </w:r>
      <w:r w:rsidR="00936DA4">
        <w:t xml:space="preserve"> a strategic plan </w:t>
      </w:r>
      <w:r w:rsidR="005A3348">
        <w:t>for</w:t>
      </w:r>
      <w:r>
        <w:t xml:space="preserve"> the Wales Road Casualty Reduction Partnership (GoSafe)</w:t>
      </w:r>
      <w:r w:rsidR="00BB0702">
        <w:rPr>
          <w:rStyle w:val="FootnoteReference"/>
        </w:rPr>
        <w:footnoteReference w:id="1"/>
      </w:r>
      <w:r>
        <w:t xml:space="preserve">.  </w:t>
      </w:r>
    </w:p>
    <w:p w14:paraId="517C21C2" w14:textId="523851CF" w:rsidR="00936DA4" w:rsidRDefault="0037548D" w:rsidP="00D25C58">
      <w:pPr>
        <w:widowControl/>
        <w:suppressAutoHyphens w:val="0"/>
        <w:jc w:val="both"/>
        <w:rPr>
          <w:rFonts w:asciiTheme="majorHAnsi" w:eastAsiaTheme="majorEastAsia" w:hAnsiTheme="majorHAnsi" w:cstheme="majorBidi"/>
          <w:color w:val="0B5294" w:themeColor="accent1" w:themeShade="BF"/>
          <w:sz w:val="32"/>
          <w:szCs w:val="32"/>
        </w:rPr>
      </w:pPr>
      <w:r>
        <w:br w:type="page"/>
      </w:r>
    </w:p>
    <w:p w14:paraId="216EB3F9" w14:textId="33A3B81F" w:rsidR="004359B4" w:rsidRDefault="00D625A9" w:rsidP="005206DB">
      <w:pPr>
        <w:pStyle w:val="Heading1"/>
      </w:pPr>
      <w:r>
        <w:lastRenderedPageBreak/>
        <w:t>Strategic Management Theories and Practice</w:t>
      </w:r>
    </w:p>
    <w:p w14:paraId="00E9922B" w14:textId="472AADC1" w:rsidR="007517C8" w:rsidRDefault="007517C8" w:rsidP="00D25C58">
      <w:pPr>
        <w:jc w:val="both"/>
        <w:rPr>
          <w:lang w:val="en-US"/>
        </w:rPr>
      </w:pPr>
    </w:p>
    <w:p w14:paraId="4B58B069" w14:textId="2C88BCD1" w:rsidR="00E63FF6" w:rsidRDefault="008E7CB6" w:rsidP="00D25C58">
      <w:pPr>
        <w:jc w:val="both"/>
        <w:rPr>
          <w:lang w:val="en-US"/>
        </w:rPr>
      </w:pPr>
      <w:r>
        <w:rPr>
          <w:lang w:val="en-US"/>
        </w:rPr>
        <w:t>Whilst there is no</w:t>
      </w:r>
      <w:r w:rsidR="00BB0702">
        <w:rPr>
          <w:lang w:val="en-US"/>
        </w:rPr>
        <w:t xml:space="preserve"> singular</w:t>
      </w:r>
      <w:r>
        <w:rPr>
          <w:lang w:val="en-US"/>
        </w:rPr>
        <w:t xml:space="preserve"> definition of strategy, most literature agrees that s</w:t>
      </w:r>
      <w:r w:rsidR="00E63FF6">
        <w:rPr>
          <w:lang w:val="en-US"/>
        </w:rPr>
        <w:t xml:space="preserve">trategic management allows for the formulation of organisational decisions, tying in management and financial resources to deliver success </w:t>
      </w:r>
      <w:sdt>
        <w:sdtPr>
          <w:rPr>
            <w:lang w:val="en-US"/>
          </w:rPr>
          <w:id w:val="1294103706"/>
          <w:citation/>
        </w:sdtPr>
        <w:sdtEndPr/>
        <w:sdtContent>
          <w:r w:rsidR="00E63FF6">
            <w:rPr>
              <w:lang w:val="en-US"/>
            </w:rPr>
            <w:fldChar w:fldCharType="begin"/>
          </w:r>
          <w:r w:rsidR="00E63FF6">
            <w:instrText xml:space="preserve"> CITATION Dav01 \l 2057 </w:instrText>
          </w:r>
          <w:r w:rsidR="00E63FF6">
            <w:rPr>
              <w:lang w:val="en-US"/>
            </w:rPr>
            <w:fldChar w:fldCharType="separate"/>
          </w:r>
          <w:r w:rsidR="00E63FF6">
            <w:rPr>
              <w:noProof/>
            </w:rPr>
            <w:t>(David, 2001)</w:t>
          </w:r>
          <w:r w:rsidR="00E63FF6">
            <w:rPr>
              <w:lang w:val="en-US"/>
            </w:rPr>
            <w:fldChar w:fldCharType="end"/>
          </w:r>
        </w:sdtContent>
      </w:sdt>
      <w:r w:rsidR="00E63FF6">
        <w:rPr>
          <w:lang w:val="en-US"/>
        </w:rPr>
        <w:t xml:space="preserve">. </w:t>
      </w:r>
      <w:r>
        <w:rPr>
          <w:lang w:val="en-US"/>
        </w:rPr>
        <w:t xml:space="preserve">  </w:t>
      </w:r>
      <w:r w:rsidR="00080548">
        <w:rPr>
          <w:lang w:val="en-US"/>
        </w:rPr>
        <w:t>Success in this context can be financial, but also enabl</w:t>
      </w:r>
      <w:r w:rsidR="00E30E26">
        <w:rPr>
          <w:lang w:val="en-US"/>
        </w:rPr>
        <w:t>e</w:t>
      </w:r>
      <w:r w:rsidR="00080548">
        <w:rPr>
          <w:lang w:val="en-US"/>
        </w:rPr>
        <w:t xml:space="preserve"> forward thinking, cooperation and focus. T</w:t>
      </w:r>
      <w:r>
        <w:rPr>
          <w:lang w:val="en-US"/>
        </w:rPr>
        <w:t>his then allows organisations to be proactive in future operations</w:t>
      </w:r>
      <w:r w:rsidR="008D32C0">
        <w:rPr>
          <w:lang w:val="en-US"/>
        </w:rPr>
        <w:t>,</w:t>
      </w:r>
      <w:r>
        <w:rPr>
          <w:lang w:val="en-US"/>
        </w:rPr>
        <w:t xml:space="preserve"> create value and </w:t>
      </w:r>
      <w:r w:rsidR="00E30E26">
        <w:rPr>
          <w:lang w:val="en-US"/>
        </w:rPr>
        <w:t xml:space="preserve">set </w:t>
      </w:r>
      <w:r>
        <w:rPr>
          <w:lang w:val="en-US"/>
        </w:rPr>
        <w:t xml:space="preserve">expectations for stakeholders. </w:t>
      </w:r>
    </w:p>
    <w:p w14:paraId="73D52198" w14:textId="77777777" w:rsidR="00D44D8D" w:rsidRDefault="00D44D8D" w:rsidP="00D25C58">
      <w:pPr>
        <w:jc w:val="both"/>
        <w:rPr>
          <w:lang w:val="en-US"/>
        </w:rPr>
      </w:pPr>
    </w:p>
    <w:p w14:paraId="3183E016" w14:textId="3CFB6F91" w:rsidR="00541329" w:rsidRDefault="00E63FF6" w:rsidP="00D25C58">
      <w:pPr>
        <w:jc w:val="both"/>
        <w:rPr>
          <w:noProof/>
        </w:rPr>
      </w:pPr>
      <w:r>
        <w:rPr>
          <w:noProof/>
        </w:rPr>
        <w:t>Lynch (2018, p.9) defines strategic management in the prescriptive sense as “the identif</w:t>
      </w:r>
      <w:r w:rsidR="008D32C0">
        <w:rPr>
          <w:noProof/>
        </w:rPr>
        <w:t>ic</w:t>
      </w:r>
      <w:r>
        <w:rPr>
          <w:noProof/>
        </w:rPr>
        <w:t xml:space="preserve">ation </w:t>
      </w:r>
      <w:r w:rsidR="008D32C0">
        <w:rPr>
          <w:noProof/>
        </w:rPr>
        <w:t>o</w:t>
      </w:r>
      <w:r>
        <w:rPr>
          <w:noProof/>
        </w:rPr>
        <w:t xml:space="preserve">f the </w:t>
      </w:r>
      <w:r>
        <w:rPr>
          <w:i/>
          <w:iCs/>
          <w:noProof/>
        </w:rPr>
        <w:t xml:space="preserve">purpose </w:t>
      </w:r>
      <w:r>
        <w:rPr>
          <w:noProof/>
        </w:rPr>
        <w:t xml:space="preserve">of the organisation and the </w:t>
      </w:r>
      <w:r>
        <w:rPr>
          <w:i/>
          <w:iCs/>
          <w:noProof/>
        </w:rPr>
        <w:t xml:space="preserve">plans and actions </w:t>
      </w:r>
      <w:r>
        <w:rPr>
          <w:noProof/>
        </w:rPr>
        <w:t xml:space="preserve">to achieve that purpose”.   </w:t>
      </w:r>
      <w:r w:rsidR="00172190">
        <w:rPr>
          <w:noProof/>
        </w:rPr>
        <w:t>Bovaird &amp; Loeffler (2016) argue that whilst strategic management is critical, plans can offer limited valu</w:t>
      </w:r>
      <w:r w:rsidR="00A833DA">
        <w:rPr>
          <w:noProof/>
        </w:rPr>
        <w:t>e if they are not able to be implemented</w:t>
      </w:r>
      <w:r w:rsidR="00172190">
        <w:rPr>
          <w:noProof/>
        </w:rPr>
        <w:t xml:space="preserve">. </w:t>
      </w:r>
    </w:p>
    <w:p w14:paraId="2AA93659" w14:textId="3896CEB2" w:rsidR="00E01E11" w:rsidRDefault="00E01E11" w:rsidP="00D25C58">
      <w:pPr>
        <w:jc w:val="both"/>
        <w:rPr>
          <w:noProof/>
        </w:rPr>
      </w:pPr>
    </w:p>
    <w:p w14:paraId="0C845EC1" w14:textId="5507C575" w:rsidR="00E01E11" w:rsidRDefault="00E01E11" w:rsidP="00D25C58">
      <w:pPr>
        <w:jc w:val="both"/>
        <w:rPr>
          <w:noProof/>
        </w:rPr>
      </w:pPr>
      <w:r>
        <w:rPr>
          <w:noProof/>
        </w:rPr>
        <w:t>Lynch (2018) offers some prescriptive theories of strategic management:</w:t>
      </w:r>
    </w:p>
    <w:p w14:paraId="262EEE40" w14:textId="7176D16F" w:rsidR="00E01E11" w:rsidRDefault="00E01E11" w:rsidP="00D25C58">
      <w:pPr>
        <w:jc w:val="both"/>
        <w:rPr>
          <w:noProof/>
        </w:rPr>
      </w:pPr>
    </w:p>
    <w:p w14:paraId="764D7466" w14:textId="34E31D18" w:rsidR="00E01E11" w:rsidRDefault="00E01E11" w:rsidP="00D25C58">
      <w:pPr>
        <w:pStyle w:val="ListParagraph"/>
        <w:numPr>
          <w:ilvl w:val="0"/>
          <w:numId w:val="23"/>
        </w:numPr>
        <w:jc w:val="both"/>
        <w:rPr>
          <w:noProof/>
        </w:rPr>
      </w:pPr>
      <w:r>
        <w:rPr>
          <w:noProof/>
        </w:rPr>
        <w:t>Industry/Environment based theories of strategy</w:t>
      </w:r>
      <w:r w:rsidR="008D32C0">
        <w:rPr>
          <w:noProof/>
        </w:rPr>
        <w:t>:</w:t>
      </w:r>
      <w:r>
        <w:rPr>
          <w:noProof/>
        </w:rPr>
        <w:t xml:space="preserve"> that is a strategy which identifie</w:t>
      </w:r>
      <w:r w:rsidR="008D32C0">
        <w:rPr>
          <w:noProof/>
        </w:rPr>
        <w:t>s</w:t>
      </w:r>
      <w:r>
        <w:rPr>
          <w:noProof/>
        </w:rPr>
        <w:t xml:space="preserve"> the innate “profitability” of an organisation and </w:t>
      </w:r>
      <w:r w:rsidR="00E30E26">
        <w:rPr>
          <w:noProof/>
        </w:rPr>
        <w:t>being a</w:t>
      </w:r>
      <w:r>
        <w:rPr>
          <w:noProof/>
        </w:rPr>
        <w:t xml:space="preserve"> leader in its’ field as the primary goal.  </w:t>
      </w:r>
    </w:p>
    <w:p w14:paraId="4251D5EA" w14:textId="410A328B" w:rsidR="00E01E11" w:rsidRDefault="00E01E11" w:rsidP="00D25C58">
      <w:pPr>
        <w:pStyle w:val="ListParagraph"/>
        <w:numPr>
          <w:ilvl w:val="0"/>
          <w:numId w:val="23"/>
        </w:numPr>
        <w:jc w:val="both"/>
        <w:rPr>
          <w:noProof/>
        </w:rPr>
      </w:pPr>
      <w:r>
        <w:rPr>
          <w:noProof/>
        </w:rPr>
        <w:t>Resource based theories which focuses on the organisations</w:t>
      </w:r>
      <w:r w:rsidR="008D32C0">
        <w:rPr>
          <w:noProof/>
        </w:rPr>
        <w:t>’</w:t>
      </w:r>
      <w:r>
        <w:rPr>
          <w:noProof/>
        </w:rPr>
        <w:t xml:space="preserve"> resources </w:t>
      </w:r>
      <w:r w:rsidR="00E30E26">
        <w:rPr>
          <w:noProof/>
        </w:rPr>
        <w:t>to provide</w:t>
      </w:r>
      <w:r>
        <w:rPr>
          <w:noProof/>
        </w:rPr>
        <w:t xml:space="preserve"> competitive advantage, and which may be difficult for other organisations to emulate.  This includes the operational knowledge within an organisation. Whilst this theory offers a good positional analysis of how current success can be achieved, </w:t>
      </w:r>
      <w:r w:rsidR="00232FD5">
        <w:rPr>
          <w:noProof/>
        </w:rPr>
        <w:t xml:space="preserve">Lynch states that </w:t>
      </w:r>
      <w:r>
        <w:rPr>
          <w:noProof/>
        </w:rPr>
        <w:t>it does not offer clear opportunities for developing or improving the resource advantage in future.</w:t>
      </w:r>
      <w:r w:rsidR="00232FD5">
        <w:rPr>
          <w:noProof/>
        </w:rPr>
        <w:t xml:space="preserve"> However, Ferlie </w:t>
      </w:r>
      <w:r w:rsidR="00E30E26">
        <w:rPr>
          <w:noProof/>
        </w:rPr>
        <w:t xml:space="preserve">&amp; </w:t>
      </w:r>
      <w:r w:rsidR="00232FD5">
        <w:rPr>
          <w:noProof/>
        </w:rPr>
        <w:t xml:space="preserve">Ongaro (2015) note that Wernerfelts original ideas considered that future strengths were likely to be based on current </w:t>
      </w:r>
      <w:r w:rsidR="00BB0702">
        <w:rPr>
          <w:noProof/>
        </w:rPr>
        <w:t>resource capability</w:t>
      </w:r>
      <w:r w:rsidR="00E30E26">
        <w:rPr>
          <w:noProof/>
        </w:rPr>
        <w:t>, which offers a rational perspective</w:t>
      </w:r>
      <w:r w:rsidR="00232FD5">
        <w:rPr>
          <w:noProof/>
        </w:rPr>
        <w:t>.</w:t>
      </w:r>
    </w:p>
    <w:p w14:paraId="0F9C4622" w14:textId="5363A005" w:rsidR="00E01E11" w:rsidRDefault="00F92632" w:rsidP="00D25C58">
      <w:pPr>
        <w:pStyle w:val="ListParagraph"/>
        <w:numPr>
          <w:ilvl w:val="0"/>
          <w:numId w:val="23"/>
        </w:numPr>
        <w:jc w:val="both"/>
        <w:rPr>
          <w:noProof/>
        </w:rPr>
      </w:pPr>
      <w:r>
        <w:rPr>
          <w:noProof/>
        </w:rPr>
        <w:t xml:space="preserve">Game based strategy, which seeks to </w:t>
      </w:r>
      <w:r w:rsidR="00E30E26">
        <w:rPr>
          <w:noProof/>
        </w:rPr>
        <w:t xml:space="preserve">exert </w:t>
      </w:r>
      <w:r>
        <w:rPr>
          <w:noProof/>
        </w:rPr>
        <w:t xml:space="preserve">influence by selecting the most viable option when considering others who will be affected by your decision.   </w:t>
      </w:r>
    </w:p>
    <w:p w14:paraId="62988817" w14:textId="40069703" w:rsidR="00F92632" w:rsidRDefault="00F92632" w:rsidP="00D25C58">
      <w:pPr>
        <w:pStyle w:val="ListParagraph"/>
        <w:numPr>
          <w:ilvl w:val="0"/>
          <w:numId w:val="23"/>
        </w:numPr>
        <w:jc w:val="both"/>
        <w:rPr>
          <w:noProof/>
        </w:rPr>
      </w:pPr>
      <w:r>
        <w:rPr>
          <w:noProof/>
        </w:rPr>
        <w:t>Co-operative strategy</w:t>
      </w:r>
      <w:r w:rsidR="00E30E26">
        <w:rPr>
          <w:noProof/>
        </w:rPr>
        <w:t xml:space="preserve"> considers</w:t>
      </w:r>
      <w:r>
        <w:rPr>
          <w:noProof/>
        </w:rPr>
        <w:t xml:space="preserve"> </w:t>
      </w:r>
      <w:r w:rsidR="008D32C0">
        <w:rPr>
          <w:noProof/>
        </w:rPr>
        <w:t xml:space="preserve">skills </w:t>
      </w:r>
      <w:r>
        <w:rPr>
          <w:noProof/>
        </w:rPr>
        <w:t xml:space="preserve">in the partner agencies and how cooperation can provide value to all organisations involved. </w:t>
      </w:r>
      <w:r w:rsidR="00A833DA">
        <w:rPr>
          <w:noProof/>
        </w:rPr>
        <w:t xml:space="preserve">In terms of a strategic context, it is important to consider how this applies to both </w:t>
      </w:r>
      <w:r w:rsidR="00BB0702">
        <w:rPr>
          <w:noProof/>
        </w:rPr>
        <w:t xml:space="preserve">internal and </w:t>
      </w:r>
      <w:r w:rsidR="00A833DA">
        <w:rPr>
          <w:noProof/>
        </w:rPr>
        <w:t>external partners</w:t>
      </w:r>
      <w:r w:rsidR="00BB0702">
        <w:rPr>
          <w:noProof/>
        </w:rPr>
        <w:t xml:space="preserve"> and how their needs will be met</w:t>
      </w:r>
      <w:r w:rsidR="00A833DA">
        <w:rPr>
          <w:noProof/>
        </w:rPr>
        <w:t xml:space="preserve">.  </w:t>
      </w:r>
    </w:p>
    <w:p w14:paraId="5D7205CB" w14:textId="77777777" w:rsidR="00F92632" w:rsidRDefault="00F92632" w:rsidP="00D25C58">
      <w:pPr>
        <w:pStyle w:val="ListParagraph"/>
        <w:jc w:val="both"/>
        <w:rPr>
          <w:noProof/>
        </w:rPr>
      </w:pPr>
    </w:p>
    <w:p w14:paraId="390B67FD" w14:textId="556C94F2" w:rsidR="00E01E11" w:rsidRDefault="00E01E11" w:rsidP="00D25C58">
      <w:pPr>
        <w:widowControl/>
        <w:suppressAutoHyphens w:val="0"/>
        <w:jc w:val="both"/>
      </w:pPr>
      <w:r>
        <w:t xml:space="preserve">In terms of a structure for the plan, much of the literature around strategic planning identifies </w:t>
      </w:r>
      <w:r w:rsidR="00BB0702">
        <w:t>the</w:t>
      </w:r>
      <w:r>
        <w:t xml:space="preserve"> possible steps as listed below, and referred to by </w:t>
      </w:r>
      <w:r>
        <w:rPr>
          <w:noProof/>
        </w:rPr>
        <w:t>Worrall, Collinge, &amp; Bill (1998)</w:t>
      </w:r>
      <w:r>
        <w:t>:</w:t>
      </w:r>
    </w:p>
    <w:p w14:paraId="05A12F47" w14:textId="77777777" w:rsidR="00E01E11" w:rsidRDefault="00E01E11" w:rsidP="00D25C58">
      <w:pPr>
        <w:widowControl/>
        <w:suppressAutoHyphens w:val="0"/>
        <w:jc w:val="both"/>
      </w:pPr>
    </w:p>
    <w:p w14:paraId="139F6C85" w14:textId="6D7DF050" w:rsidR="00E01E11" w:rsidRDefault="00BB0702" w:rsidP="00D25C58">
      <w:pPr>
        <w:pStyle w:val="ListParagraph"/>
        <w:widowControl/>
        <w:numPr>
          <w:ilvl w:val="0"/>
          <w:numId w:val="12"/>
        </w:numPr>
        <w:suppressAutoHyphens w:val="0"/>
        <w:jc w:val="both"/>
      </w:pPr>
      <w:r>
        <w:t>Create a statement</w:t>
      </w:r>
      <w:r w:rsidR="00E01E11">
        <w:t xml:space="preserve"> containing strategic aims and outlining the organi</w:t>
      </w:r>
      <w:r>
        <w:t>s</w:t>
      </w:r>
      <w:r w:rsidR="00E01E11">
        <w:t>ational values, i.e. defin</w:t>
      </w:r>
      <w:r w:rsidR="00007044">
        <w:t xml:space="preserve">e </w:t>
      </w:r>
      <w:r w:rsidR="00E01E11">
        <w:t xml:space="preserve">plan and scope </w:t>
      </w:r>
    </w:p>
    <w:p w14:paraId="6612E6DB" w14:textId="44A9B554" w:rsidR="00E01E11" w:rsidRDefault="00E01E11" w:rsidP="00D25C58">
      <w:pPr>
        <w:pStyle w:val="ListParagraph"/>
        <w:widowControl/>
        <w:numPr>
          <w:ilvl w:val="0"/>
          <w:numId w:val="12"/>
        </w:numPr>
        <w:suppressAutoHyphens w:val="0"/>
        <w:jc w:val="both"/>
      </w:pPr>
      <w:r>
        <w:t xml:space="preserve">Environment scanning to analyse both historic events, and external and internal factors to be considered </w:t>
      </w:r>
    </w:p>
    <w:p w14:paraId="7E2F56C4" w14:textId="137927CC" w:rsidR="00E01E11" w:rsidRDefault="00E01E11" w:rsidP="00D25C58">
      <w:pPr>
        <w:pStyle w:val="ListParagraph"/>
        <w:widowControl/>
        <w:numPr>
          <w:ilvl w:val="0"/>
          <w:numId w:val="12"/>
        </w:numPr>
        <w:suppressAutoHyphens w:val="0"/>
        <w:jc w:val="both"/>
      </w:pPr>
      <w:r>
        <w:t>Review the findings and comparing them to core values and aims</w:t>
      </w:r>
    </w:p>
    <w:p w14:paraId="79209D07" w14:textId="71B3F3BE" w:rsidR="00E01E11" w:rsidRDefault="00E01E11" w:rsidP="00D25C58">
      <w:pPr>
        <w:pStyle w:val="ListParagraph"/>
        <w:widowControl/>
        <w:numPr>
          <w:ilvl w:val="0"/>
          <w:numId w:val="12"/>
        </w:numPr>
        <w:suppressAutoHyphens w:val="0"/>
        <w:jc w:val="both"/>
      </w:pPr>
      <w:r>
        <w:t xml:space="preserve">Identify and consider options </w:t>
      </w:r>
    </w:p>
    <w:p w14:paraId="7335113F" w14:textId="549B252D" w:rsidR="00E01E11" w:rsidRDefault="00E01E11" w:rsidP="00D25C58">
      <w:pPr>
        <w:pStyle w:val="ListParagraph"/>
        <w:widowControl/>
        <w:numPr>
          <w:ilvl w:val="0"/>
          <w:numId w:val="12"/>
        </w:numPr>
        <w:suppressAutoHyphens w:val="0"/>
        <w:jc w:val="both"/>
      </w:pPr>
      <w:r>
        <w:t>Defin</w:t>
      </w:r>
      <w:r w:rsidR="00BB0702">
        <w:t>e</w:t>
      </w:r>
      <w:r>
        <w:t xml:space="preserve"> emerging priorities and possible operational functions</w:t>
      </w:r>
    </w:p>
    <w:p w14:paraId="55E399E4" w14:textId="5D7CACF7" w:rsidR="00E01E11" w:rsidRDefault="00E01E11" w:rsidP="00D25C58">
      <w:pPr>
        <w:pStyle w:val="ListParagraph"/>
        <w:widowControl/>
        <w:numPr>
          <w:ilvl w:val="0"/>
          <w:numId w:val="12"/>
        </w:numPr>
        <w:suppressAutoHyphens w:val="0"/>
        <w:jc w:val="both"/>
      </w:pPr>
      <w:r>
        <w:t xml:space="preserve">Consider other plans and options within the corporate scope </w:t>
      </w:r>
    </w:p>
    <w:p w14:paraId="1793B159" w14:textId="52196786" w:rsidR="00E01E11" w:rsidRDefault="00E01E11" w:rsidP="00D25C58">
      <w:pPr>
        <w:pStyle w:val="ListParagraph"/>
        <w:widowControl/>
        <w:numPr>
          <w:ilvl w:val="0"/>
          <w:numId w:val="12"/>
        </w:numPr>
        <w:suppressAutoHyphens w:val="0"/>
        <w:jc w:val="both"/>
      </w:pPr>
      <w:r>
        <w:t>Allocate resources to deliver, including budget, which align with the priorities defined in the plan</w:t>
      </w:r>
    </w:p>
    <w:p w14:paraId="18075DEE" w14:textId="316B4167" w:rsidR="00E01E11" w:rsidRDefault="00E01E11" w:rsidP="00D25C58">
      <w:pPr>
        <w:pStyle w:val="ListParagraph"/>
        <w:widowControl/>
        <w:numPr>
          <w:ilvl w:val="0"/>
          <w:numId w:val="12"/>
        </w:numPr>
        <w:suppressAutoHyphens w:val="0"/>
        <w:jc w:val="both"/>
      </w:pPr>
      <w:r>
        <w:t xml:space="preserve">Formulate operational plans </w:t>
      </w:r>
      <w:r w:rsidR="00007044">
        <w:t>to</w:t>
      </w:r>
      <w:r>
        <w:t xml:space="preserve"> deliver the strategic intention</w:t>
      </w:r>
      <w:r w:rsidR="009A7E6C">
        <w:t xml:space="preserve">.  If at this point the strategy is not implemented, it becomes unrealised </w:t>
      </w:r>
      <w:sdt>
        <w:sdtPr>
          <w:id w:val="1758477547"/>
          <w:citation/>
        </w:sdtPr>
        <w:sdtEndPr/>
        <w:sdtContent>
          <w:r w:rsidR="009A7E6C">
            <w:fldChar w:fldCharType="begin"/>
          </w:r>
          <w:r w:rsidR="009A7E6C">
            <w:instrText xml:space="preserve"> CITATION Bar12 \l 2057 </w:instrText>
          </w:r>
          <w:r w:rsidR="009A7E6C">
            <w:fldChar w:fldCharType="separate"/>
          </w:r>
          <w:r w:rsidR="009A7E6C">
            <w:rPr>
              <w:noProof/>
            </w:rPr>
            <w:t>(Barney &amp; Hesterly, 2012)</w:t>
          </w:r>
          <w:r w:rsidR="009A7E6C">
            <w:fldChar w:fldCharType="end"/>
          </w:r>
        </w:sdtContent>
      </w:sdt>
      <w:r w:rsidR="009A7E6C">
        <w:t>.</w:t>
      </w:r>
    </w:p>
    <w:p w14:paraId="6DAB2895" w14:textId="7345E237" w:rsidR="00E01E11" w:rsidRDefault="00E01E11" w:rsidP="00D25C58">
      <w:pPr>
        <w:pStyle w:val="ListParagraph"/>
        <w:widowControl/>
        <w:numPr>
          <w:ilvl w:val="0"/>
          <w:numId w:val="12"/>
        </w:numPr>
        <w:suppressAutoHyphens w:val="0"/>
        <w:jc w:val="both"/>
      </w:pPr>
      <w:r>
        <w:lastRenderedPageBreak/>
        <w:t>Implement the plan</w:t>
      </w:r>
      <w:r w:rsidR="009A7E6C">
        <w:t xml:space="preserve"> – if the intended strategy is implemented, then this would be considered a deliberate strategy </w:t>
      </w:r>
      <w:sdt>
        <w:sdtPr>
          <w:id w:val="-1072037690"/>
          <w:citation/>
        </w:sdtPr>
        <w:sdtEndPr/>
        <w:sdtContent>
          <w:r w:rsidR="009A7E6C">
            <w:fldChar w:fldCharType="begin"/>
          </w:r>
          <w:r w:rsidR="009A7E6C">
            <w:instrText xml:space="preserve"> CITATION Bar12 \l 2057 </w:instrText>
          </w:r>
          <w:r w:rsidR="009A7E6C">
            <w:fldChar w:fldCharType="separate"/>
          </w:r>
          <w:r w:rsidR="009A7E6C">
            <w:rPr>
              <w:noProof/>
            </w:rPr>
            <w:t>(Barney &amp; Hesterly, 2012)</w:t>
          </w:r>
          <w:r w:rsidR="009A7E6C">
            <w:fldChar w:fldCharType="end"/>
          </w:r>
        </w:sdtContent>
      </w:sdt>
      <w:r w:rsidR="009A7E6C">
        <w:t>.</w:t>
      </w:r>
    </w:p>
    <w:p w14:paraId="5A40D403" w14:textId="55094156" w:rsidR="00E01E11" w:rsidRDefault="00E01E11" w:rsidP="00D25C58">
      <w:pPr>
        <w:pStyle w:val="ListParagraph"/>
        <w:widowControl/>
        <w:numPr>
          <w:ilvl w:val="0"/>
          <w:numId w:val="12"/>
        </w:numPr>
        <w:suppressAutoHyphens w:val="0"/>
        <w:jc w:val="both"/>
      </w:pPr>
      <w:r>
        <w:t xml:space="preserve">Monitor, review and report against the plan. </w:t>
      </w:r>
      <w:r w:rsidR="009A7E6C">
        <w:t xml:space="preserve"> If the strategy is pursued and objectives achieved, then this means the strategy has been realised. </w:t>
      </w:r>
    </w:p>
    <w:p w14:paraId="0FF56981" w14:textId="4911279F" w:rsidR="00E63FF6" w:rsidRDefault="00B061D4" w:rsidP="00D25C58">
      <w:pPr>
        <w:widowControl/>
        <w:suppressAutoHyphens w:val="0"/>
        <w:jc w:val="both"/>
        <w:rPr>
          <w:lang w:val="en-US"/>
        </w:rPr>
      </w:pPr>
      <w:r>
        <w:rPr>
          <w:lang w:val="en-US"/>
        </w:rPr>
        <w:t xml:space="preserve"> </w:t>
      </w:r>
    </w:p>
    <w:p w14:paraId="3229E57D" w14:textId="44512B89" w:rsidR="00B061D4" w:rsidRDefault="00B061D4" w:rsidP="00D25C58">
      <w:pPr>
        <w:widowControl/>
        <w:suppressAutoHyphens w:val="0"/>
        <w:jc w:val="both"/>
      </w:pPr>
      <w:r>
        <w:rPr>
          <w:lang w:val="en-US"/>
        </w:rPr>
        <w:t xml:space="preserve">When strategies are not prescribed in advance, but </w:t>
      </w:r>
      <w:r w:rsidR="007E508A">
        <w:rPr>
          <w:lang w:val="en-US"/>
        </w:rPr>
        <w:t>develop, or become obvious,</w:t>
      </w:r>
      <w:r>
        <w:rPr>
          <w:lang w:val="en-US"/>
        </w:rPr>
        <w:t xml:space="preserve"> over time then these are described as emergent.  Rather than this meaning that there is no plan in place, it often means</w:t>
      </w:r>
      <w:r w:rsidR="007E508A">
        <w:rPr>
          <w:lang w:val="en-US"/>
        </w:rPr>
        <w:t xml:space="preserve"> </w:t>
      </w:r>
      <w:r>
        <w:rPr>
          <w:lang w:val="en-US"/>
        </w:rPr>
        <w:t xml:space="preserve">that plans are flexible, and are able to be adapted as circumstances arise </w:t>
      </w:r>
      <w:sdt>
        <w:sdtPr>
          <w:rPr>
            <w:lang w:val="en-US"/>
          </w:rPr>
          <w:id w:val="118114174"/>
          <w:citation/>
        </w:sdtPr>
        <w:sdtEndPr/>
        <w:sdtContent>
          <w:r>
            <w:rPr>
              <w:lang w:val="en-US"/>
            </w:rPr>
            <w:fldChar w:fldCharType="begin"/>
          </w:r>
          <w:r>
            <w:instrText xml:space="preserve"> CITATION Lyn18 \l 2057 </w:instrText>
          </w:r>
          <w:r>
            <w:rPr>
              <w:lang w:val="en-US"/>
            </w:rPr>
            <w:fldChar w:fldCharType="separate"/>
          </w:r>
          <w:r>
            <w:rPr>
              <w:noProof/>
            </w:rPr>
            <w:t>(Lynch, 2018)</w:t>
          </w:r>
          <w:r>
            <w:rPr>
              <w:lang w:val="en-US"/>
            </w:rPr>
            <w:fldChar w:fldCharType="end"/>
          </w:r>
        </w:sdtContent>
      </w:sdt>
      <w:r>
        <w:rPr>
          <w:lang w:val="en-US"/>
        </w:rPr>
        <w:t xml:space="preserve">.  Lynch (2018) goes on to review survival-based theories of emergent strategy, notably having a flexible approach to outcomes in a highly competitive environment. Where a business environment is changeable, </w:t>
      </w:r>
      <w:r w:rsidR="009A7E6C">
        <w:rPr>
          <w:lang w:val="en-US"/>
        </w:rPr>
        <w:t xml:space="preserve">as it can be in policing, </w:t>
      </w:r>
      <w:r>
        <w:rPr>
          <w:lang w:val="en-US"/>
        </w:rPr>
        <w:t xml:space="preserve">and </w:t>
      </w:r>
      <w:r w:rsidR="009A7E6C">
        <w:rPr>
          <w:lang w:val="en-US"/>
        </w:rPr>
        <w:t xml:space="preserve">this changeability </w:t>
      </w:r>
      <w:r>
        <w:rPr>
          <w:lang w:val="en-US"/>
        </w:rPr>
        <w:t xml:space="preserve">means that an objective cannot be clearly defined, this is referred to as “uncertainty based theories of strategy” </w:t>
      </w:r>
      <w:sdt>
        <w:sdtPr>
          <w:rPr>
            <w:lang w:val="en-US"/>
          </w:rPr>
          <w:id w:val="-2023609691"/>
          <w:citation/>
        </w:sdtPr>
        <w:sdtEndPr/>
        <w:sdtContent>
          <w:r>
            <w:rPr>
              <w:lang w:val="en-US"/>
            </w:rPr>
            <w:fldChar w:fldCharType="begin"/>
          </w:r>
          <w:r>
            <w:instrText xml:space="preserve">CITATION Lyn18 \p 50 \l 2057 </w:instrText>
          </w:r>
          <w:r>
            <w:rPr>
              <w:lang w:val="en-US"/>
            </w:rPr>
            <w:fldChar w:fldCharType="separate"/>
          </w:r>
          <w:r>
            <w:rPr>
              <w:noProof/>
            </w:rPr>
            <w:t>(Lynch, 2018, p. 50)</w:t>
          </w:r>
          <w:r>
            <w:rPr>
              <w:lang w:val="en-US"/>
            </w:rPr>
            <w:fldChar w:fldCharType="end"/>
          </w:r>
        </w:sdtContent>
      </w:sdt>
      <w:r>
        <w:rPr>
          <w:lang w:val="en-US"/>
        </w:rPr>
        <w:t xml:space="preserve">.  When considering the politics and culture of an organisation, this can be linked to a human resource based emergent strategy. </w:t>
      </w:r>
      <w:r w:rsidR="00E66890">
        <w:rPr>
          <w:lang w:val="en-US"/>
        </w:rPr>
        <w:t>Using organisational knowledge to provide innovation to achieve objectives leads to innovation</w:t>
      </w:r>
      <w:r w:rsidR="007E508A">
        <w:rPr>
          <w:lang w:val="en-US"/>
        </w:rPr>
        <w:t>.</w:t>
      </w:r>
      <w:r w:rsidR="009A7E6C">
        <w:rPr>
          <w:lang w:val="en-US"/>
        </w:rPr>
        <w:t xml:space="preserve">  </w:t>
      </w:r>
    </w:p>
    <w:p w14:paraId="0F0AE5E6" w14:textId="77777777" w:rsidR="00B061D4" w:rsidRDefault="00B061D4" w:rsidP="00D25C58">
      <w:pPr>
        <w:widowControl/>
        <w:suppressAutoHyphens w:val="0"/>
        <w:jc w:val="both"/>
      </w:pPr>
    </w:p>
    <w:p w14:paraId="3DB22774" w14:textId="600087EE" w:rsidR="007517C8" w:rsidRDefault="00B061D4" w:rsidP="00D25C58">
      <w:pPr>
        <w:widowControl/>
        <w:suppressAutoHyphens w:val="0"/>
        <w:jc w:val="both"/>
      </w:pPr>
      <w:r>
        <w:t>E</w:t>
      </w:r>
      <w:r w:rsidR="007517C8" w:rsidRPr="0064005F">
        <w:t>mergent strategy</w:t>
      </w:r>
      <w:r w:rsidR="00E01E11">
        <w:t xml:space="preserve">, which is typically applied where the overall objective is not known at the start, or which needs to be developed through the life of the plan </w:t>
      </w:r>
      <w:sdt>
        <w:sdtPr>
          <w:id w:val="-222290207"/>
          <w:citation/>
        </w:sdtPr>
        <w:sdtEndPr/>
        <w:sdtContent>
          <w:r w:rsidR="00E01E11">
            <w:fldChar w:fldCharType="begin"/>
          </w:r>
          <w:r w:rsidR="00E01E11">
            <w:instrText xml:space="preserve"> CITATION Lyn18 \l 2057 </w:instrText>
          </w:r>
          <w:r w:rsidR="00E01E11">
            <w:fldChar w:fldCharType="separate"/>
          </w:r>
          <w:r w:rsidR="00E01E11">
            <w:rPr>
              <w:noProof/>
            </w:rPr>
            <w:t>(Lynch, 2018)</w:t>
          </w:r>
          <w:r w:rsidR="00E01E11">
            <w:fldChar w:fldCharType="end"/>
          </w:r>
        </w:sdtContent>
      </w:sdt>
      <w:r w:rsidR="0064005F">
        <w:rPr>
          <w:b/>
          <w:bCs/>
        </w:rPr>
        <w:t xml:space="preserve">: </w:t>
      </w:r>
      <w:r w:rsidR="0064005F">
        <w:t>these are</w:t>
      </w:r>
      <w:r w:rsidR="007517C8">
        <w:rPr>
          <w:b/>
          <w:bCs/>
        </w:rPr>
        <w:t xml:space="preserve"> </w:t>
      </w:r>
      <w:r w:rsidR="007517C8">
        <w:t>strategies</w:t>
      </w:r>
      <w:r w:rsidR="00E63FF6">
        <w:t xml:space="preserve"> that take into account opportunities within the life of the plan, and can be</w:t>
      </w:r>
      <w:r w:rsidR="007517C8">
        <w:t xml:space="preserve"> based </w:t>
      </w:r>
      <w:r w:rsidR="00E63FF6">
        <w:t>o</w:t>
      </w:r>
      <w:r w:rsidR="007517C8">
        <w:t xml:space="preserve">n a series of decisions </w:t>
      </w:r>
      <w:r w:rsidR="00007044">
        <w:t>that form</w:t>
      </w:r>
      <w:r w:rsidR="007517C8">
        <w:t xml:space="preserve"> a pattern that becomes clear </w:t>
      </w:r>
      <w:r w:rsidR="0064005F">
        <w:t>in the operational period</w:t>
      </w:r>
      <w:r w:rsidR="007517C8">
        <w:t>.  Th</w:t>
      </w:r>
      <w:r w:rsidR="0064005F">
        <w:t>ey</w:t>
      </w:r>
      <w:r w:rsidR="007517C8">
        <w:t xml:space="preserve"> can be driven from the bottom up and over time</w:t>
      </w:r>
      <w:r w:rsidR="008B2D7D">
        <w:t xml:space="preserve"> and</w:t>
      </w:r>
      <w:r w:rsidR="007517C8">
        <w:t xml:space="preserve"> assumes that you may need to adjust your strategy as conditions change </w:t>
      </w:r>
      <w:sdt>
        <w:sdtPr>
          <w:id w:val="-1635020870"/>
          <w:citation/>
        </w:sdtPr>
        <w:sdtEndPr/>
        <w:sdtContent>
          <w:r w:rsidR="007517C8">
            <w:fldChar w:fldCharType="begin"/>
          </w:r>
          <w:r w:rsidR="007517C8">
            <w:instrText xml:space="preserve">CITATION Fin00 \l 2057 </w:instrText>
          </w:r>
          <w:r w:rsidR="007517C8">
            <w:fldChar w:fldCharType="separate"/>
          </w:r>
          <w:r w:rsidR="007517C8">
            <w:rPr>
              <w:noProof/>
            </w:rPr>
            <w:t>(Finlay, 2000)</w:t>
          </w:r>
          <w:r w:rsidR="007517C8">
            <w:fldChar w:fldCharType="end"/>
          </w:r>
        </w:sdtContent>
      </w:sdt>
      <w:r w:rsidR="007517C8">
        <w:t xml:space="preserve">, </w:t>
      </w:r>
      <w:r w:rsidR="008B2D7D">
        <w:t>noting that</w:t>
      </w:r>
      <w:r w:rsidR="007517C8">
        <w:t xml:space="preserve"> changes should be in the interest of the organisation </w:t>
      </w:r>
      <w:sdt>
        <w:sdtPr>
          <w:id w:val="1766035979"/>
          <w:citation/>
        </w:sdtPr>
        <w:sdtEndPr/>
        <w:sdtContent>
          <w:r w:rsidR="007517C8">
            <w:fldChar w:fldCharType="begin"/>
          </w:r>
          <w:r w:rsidR="007517C8">
            <w:instrText xml:space="preserve">CITATION Wor98 \l 2057 </w:instrText>
          </w:r>
          <w:r w:rsidR="007517C8">
            <w:fldChar w:fldCharType="separate"/>
          </w:r>
          <w:r w:rsidR="007517C8">
            <w:rPr>
              <w:noProof/>
            </w:rPr>
            <w:t>(Worrall, Collinge, &amp; Bill, 1998)</w:t>
          </w:r>
          <w:r w:rsidR="007517C8">
            <w:fldChar w:fldCharType="end"/>
          </w:r>
        </w:sdtContent>
      </w:sdt>
      <w:r w:rsidR="007517C8">
        <w:t xml:space="preserve">. </w:t>
      </w:r>
      <w:r w:rsidR="0064005F">
        <w:t xml:space="preserve"> </w:t>
      </w:r>
      <w:r w:rsidR="00007044">
        <w:t>In the</w:t>
      </w:r>
      <w:r w:rsidR="0064005F">
        <w:t xml:space="preserve"> context of law enforcement, it would be difficult to justify a strategic plan </w:t>
      </w:r>
      <w:r w:rsidR="00D460D2">
        <w:t>spanning</w:t>
      </w:r>
      <w:r w:rsidR="0064005F">
        <w:t xml:space="preserve"> several years </w:t>
      </w:r>
      <w:r w:rsidR="00D460D2">
        <w:t>which</w:t>
      </w:r>
      <w:r w:rsidR="0064005F">
        <w:t xml:space="preserve"> did not allow for this</w:t>
      </w:r>
      <w:r w:rsidR="007E508A">
        <w:t xml:space="preserve"> approach</w:t>
      </w:r>
      <w:r w:rsidR="0064005F">
        <w:t xml:space="preserve">. </w:t>
      </w:r>
    </w:p>
    <w:p w14:paraId="2949B960" w14:textId="72177038" w:rsidR="00900876" w:rsidRDefault="00900876" w:rsidP="00D25C58">
      <w:pPr>
        <w:widowControl/>
        <w:suppressAutoHyphens w:val="0"/>
        <w:jc w:val="both"/>
      </w:pPr>
    </w:p>
    <w:p w14:paraId="6C06940B" w14:textId="5E13222E" w:rsidR="00823AC4" w:rsidRDefault="008E7CB6" w:rsidP="00D25C58">
      <w:pPr>
        <w:widowControl/>
        <w:suppressAutoHyphens w:val="0"/>
        <w:jc w:val="both"/>
        <w:rPr>
          <w:noProof/>
        </w:rPr>
      </w:pPr>
      <w:r>
        <w:t>In considering the</w:t>
      </w:r>
      <w:r w:rsidR="00E4502C">
        <w:t xml:space="preserve"> value based</w:t>
      </w:r>
      <w:r>
        <w:t xml:space="preserve"> strategy for </w:t>
      </w:r>
      <w:r w:rsidR="008B2D7D">
        <w:t xml:space="preserve">an </w:t>
      </w:r>
      <w:r>
        <w:t xml:space="preserve">organisation, it is essential to </w:t>
      </w:r>
      <w:r w:rsidR="008B2D7D">
        <w:t>consider</w:t>
      </w:r>
      <w:r>
        <w:t xml:space="preserve"> the</w:t>
      </w:r>
      <w:r w:rsidR="008B2D7D">
        <w:t xml:space="preserve"> operational</w:t>
      </w:r>
      <w:r>
        <w:t xml:space="preserve"> </w:t>
      </w:r>
      <w:r w:rsidR="008B2D7D">
        <w:t>culture and values</w:t>
      </w:r>
      <w:r>
        <w:t xml:space="preserve"> in order to understand the positive and negative connotations of working in that environment </w:t>
      </w:r>
      <w:sdt>
        <w:sdtPr>
          <w:id w:val="369808545"/>
          <w:citation/>
        </w:sdtPr>
        <w:sdtEndPr/>
        <w:sdtContent>
          <w:r>
            <w:fldChar w:fldCharType="begin"/>
          </w:r>
          <w:r>
            <w:instrText xml:space="preserve"> CITATION Lyn18 \l 2057 </w:instrText>
          </w:r>
          <w:r>
            <w:fldChar w:fldCharType="separate"/>
          </w:r>
          <w:r>
            <w:rPr>
              <w:noProof/>
            </w:rPr>
            <w:t>(Lynch, 2018)</w:t>
          </w:r>
          <w:r>
            <w:fldChar w:fldCharType="end"/>
          </w:r>
        </w:sdtContent>
      </w:sdt>
      <w:r>
        <w:t xml:space="preserve">.  In a public sector context, </w:t>
      </w:r>
      <w:r>
        <w:rPr>
          <w:noProof/>
        </w:rPr>
        <w:t xml:space="preserve">Bovaird &amp; Loeffler (2016) </w:t>
      </w:r>
      <w:r w:rsidR="00823AC4">
        <w:rPr>
          <w:noProof/>
        </w:rPr>
        <w:t>seek to define the value added by strategic management as:</w:t>
      </w:r>
    </w:p>
    <w:p w14:paraId="324591A0" w14:textId="77777777" w:rsidR="00823AC4" w:rsidRDefault="00823AC4" w:rsidP="00D25C58">
      <w:pPr>
        <w:widowControl/>
        <w:suppressAutoHyphens w:val="0"/>
        <w:jc w:val="both"/>
        <w:rPr>
          <w:noProof/>
        </w:rPr>
      </w:pPr>
    </w:p>
    <w:p w14:paraId="083909E9" w14:textId="2A5400BA" w:rsidR="008E7CB6" w:rsidRDefault="00823AC4" w:rsidP="00D25C58">
      <w:pPr>
        <w:pStyle w:val="ListParagraph"/>
        <w:widowControl/>
        <w:numPr>
          <w:ilvl w:val="0"/>
          <w:numId w:val="18"/>
        </w:numPr>
        <w:suppressAutoHyphens w:val="0"/>
        <w:jc w:val="both"/>
      </w:pPr>
      <w:r>
        <w:rPr>
          <w:noProof/>
        </w:rPr>
        <w:t>the value gained by the user</w:t>
      </w:r>
    </w:p>
    <w:p w14:paraId="73AC9C7C" w14:textId="6A88F114" w:rsidR="00823AC4" w:rsidRDefault="00823AC4" w:rsidP="00D25C58">
      <w:pPr>
        <w:pStyle w:val="ListParagraph"/>
        <w:widowControl/>
        <w:numPr>
          <w:ilvl w:val="0"/>
          <w:numId w:val="18"/>
        </w:numPr>
        <w:suppressAutoHyphens w:val="0"/>
        <w:jc w:val="both"/>
      </w:pPr>
      <w:r>
        <w:rPr>
          <w:noProof/>
        </w:rPr>
        <w:t xml:space="preserve">wider group benefits, in the GoSafe context this would be </w:t>
      </w:r>
      <w:r w:rsidR="007E508A">
        <w:rPr>
          <w:noProof/>
        </w:rPr>
        <w:t>the core</w:t>
      </w:r>
      <w:r>
        <w:rPr>
          <w:noProof/>
        </w:rPr>
        <w:t xml:space="preserve"> partners</w:t>
      </w:r>
    </w:p>
    <w:p w14:paraId="11A64EA5" w14:textId="023F4233" w:rsidR="00823AC4" w:rsidRDefault="00823AC4" w:rsidP="00D25C58">
      <w:pPr>
        <w:pStyle w:val="ListParagraph"/>
        <w:widowControl/>
        <w:numPr>
          <w:ilvl w:val="0"/>
          <w:numId w:val="18"/>
        </w:numPr>
        <w:suppressAutoHyphens w:val="0"/>
        <w:jc w:val="both"/>
      </w:pPr>
      <w:r>
        <w:rPr>
          <w:noProof/>
        </w:rPr>
        <w:t>social value, interpreted as the value to society</w:t>
      </w:r>
      <w:r w:rsidR="007E508A">
        <w:rPr>
          <w:noProof/>
        </w:rPr>
        <w:t>. This could be reduction in road death, or the reduction in perceived anti-social behaviour from errant drivers</w:t>
      </w:r>
    </w:p>
    <w:p w14:paraId="50374A61" w14:textId="2E94F994" w:rsidR="00823AC4" w:rsidRDefault="00823AC4" w:rsidP="00D25C58">
      <w:pPr>
        <w:pStyle w:val="ListParagraph"/>
        <w:widowControl/>
        <w:numPr>
          <w:ilvl w:val="0"/>
          <w:numId w:val="18"/>
        </w:numPr>
        <w:suppressAutoHyphens w:val="0"/>
        <w:jc w:val="both"/>
      </w:pPr>
      <w:r>
        <w:rPr>
          <w:noProof/>
        </w:rPr>
        <w:t>environmental value</w:t>
      </w:r>
      <w:r w:rsidR="008B2D7D">
        <w:rPr>
          <w:noProof/>
        </w:rPr>
        <w:t xml:space="preserve">, </w:t>
      </w:r>
    </w:p>
    <w:p w14:paraId="21D3CC75" w14:textId="59092B03" w:rsidR="00E01E11" w:rsidRDefault="00823AC4" w:rsidP="00D25C58">
      <w:pPr>
        <w:pStyle w:val="ListParagraph"/>
        <w:widowControl/>
        <w:numPr>
          <w:ilvl w:val="0"/>
          <w:numId w:val="18"/>
        </w:numPr>
        <w:suppressAutoHyphens w:val="0"/>
        <w:jc w:val="both"/>
      </w:pPr>
      <w:r>
        <w:rPr>
          <w:noProof/>
        </w:rPr>
        <w:t xml:space="preserve">political value. </w:t>
      </w:r>
    </w:p>
    <w:p w14:paraId="33E8FFE9" w14:textId="77777777" w:rsidR="00823AC4" w:rsidRDefault="00823AC4" w:rsidP="00D25C58">
      <w:pPr>
        <w:pStyle w:val="ListParagraph"/>
        <w:widowControl/>
        <w:suppressAutoHyphens w:val="0"/>
        <w:ind w:left="780"/>
        <w:jc w:val="both"/>
      </w:pPr>
    </w:p>
    <w:p w14:paraId="7296E532" w14:textId="714BB366" w:rsidR="00D625A9" w:rsidRDefault="00900876" w:rsidP="00D25C58">
      <w:pPr>
        <w:jc w:val="both"/>
        <w:rPr>
          <w:lang w:val="en-US"/>
        </w:rPr>
      </w:pPr>
      <w:r>
        <w:rPr>
          <w:lang w:val="en-US"/>
        </w:rPr>
        <w:t xml:space="preserve">In considering any </w:t>
      </w:r>
      <w:r w:rsidRPr="00F3258B">
        <w:rPr>
          <w:lang w:val="en-US"/>
        </w:rPr>
        <w:t>drivers for change in</w:t>
      </w:r>
      <w:r>
        <w:rPr>
          <w:lang w:val="en-US"/>
        </w:rPr>
        <w:t xml:space="preserve"> </w:t>
      </w:r>
      <w:r w:rsidR="008B2D7D">
        <w:rPr>
          <w:lang w:val="en-US"/>
        </w:rPr>
        <w:t>the</w:t>
      </w:r>
      <w:r w:rsidRPr="00F3258B">
        <w:rPr>
          <w:lang w:val="en-US"/>
        </w:rPr>
        <w:t xml:space="preserve"> public sector this can</w:t>
      </w:r>
      <w:r w:rsidR="008B2D7D">
        <w:rPr>
          <w:lang w:val="en-US"/>
        </w:rPr>
        <w:t xml:space="preserve"> often</w:t>
      </w:r>
      <w:r w:rsidRPr="00F3258B">
        <w:rPr>
          <w:lang w:val="en-US"/>
        </w:rPr>
        <w:t xml:space="preserve"> be imposed by statutory mandate (Bunning, 1992), which can undermine the efficacy of a plan</w:t>
      </w:r>
      <w:r>
        <w:rPr>
          <w:lang w:val="en-US"/>
        </w:rPr>
        <w:t xml:space="preserve"> by either restricting or changing planned activity</w:t>
      </w:r>
      <w:r w:rsidRPr="00F3258B">
        <w:rPr>
          <w:lang w:val="en-US"/>
        </w:rPr>
        <w:t>.</w:t>
      </w:r>
      <w:r>
        <w:rPr>
          <w:lang w:val="en-US"/>
        </w:rPr>
        <w:t xml:space="preserve">  </w:t>
      </w:r>
    </w:p>
    <w:p w14:paraId="61A824F0" w14:textId="13F40160" w:rsidR="00D625A9" w:rsidRDefault="00D625A9" w:rsidP="005206DB">
      <w:pPr>
        <w:pStyle w:val="Heading1"/>
      </w:pPr>
      <w:r>
        <w:t>Strategic Analysis</w:t>
      </w:r>
    </w:p>
    <w:p w14:paraId="12E57BF8" w14:textId="08D1A680" w:rsidR="00FD5D93" w:rsidRDefault="00FD5D93" w:rsidP="00D25C58">
      <w:pPr>
        <w:jc w:val="both"/>
        <w:rPr>
          <w:lang w:val="en-US"/>
        </w:rPr>
      </w:pPr>
    </w:p>
    <w:p w14:paraId="6DED21F6" w14:textId="3ACD66E1" w:rsidR="00FD5D93" w:rsidRPr="00FD5D93" w:rsidRDefault="00FD5D93" w:rsidP="00D25C58">
      <w:pPr>
        <w:jc w:val="both"/>
        <w:rPr>
          <w:lang w:val="en-US"/>
        </w:rPr>
      </w:pPr>
      <w:r>
        <w:rPr>
          <w:lang w:val="en-US"/>
        </w:rPr>
        <w:t>The organisatio</w:t>
      </w:r>
      <w:r w:rsidR="00017BAB">
        <w:rPr>
          <w:lang w:val="en-US"/>
        </w:rPr>
        <w:t>ns</w:t>
      </w:r>
      <w:r>
        <w:rPr>
          <w:lang w:val="en-US"/>
        </w:rPr>
        <w:t xml:space="preserve"> objectives and mission should be identified </w:t>
      </w:r>
      <w:r w:rsidR="004D3801">
        <w:rPr>
          <w:lang w:val="en-US"/>
        </w:rPr>
        <w:t>as a result of</w:t>
      </w:r>
      <w:r>
        <w:rPr>
          <w:lang w:val="en-US"/>
        </w:rPr>
        <w:t xml:space="preserve"> the analysis period of strategic planning</w:t>
      </w:r>
      <w:r w:rsidR="00B611F9">
        <w:rPr>
          <w:lang w:val="en-US"/>
        </w:rPr>
        <w:t>.  It should define</w:t>
      </w:r>
      <w:r>
        <w:rPr>
          <w:lang w:val="en-US"/>
        </w:rPr>
        <w:t xml:space="preserve"> the added value for its stakeholders</w:t>
      </w:r>
      <w:r w:rsidR="005B7807">
        <w:rPr>
          <w:lang w:val="en-US"/>
        </w:rPr>
        <w:t>, as well as reduc</w:t>
      </w:r>
      <w:r w:rsidR="00B611F9">
        <w:rPr>
          <w:lang w:val="en-US"/>
        </w:rPr>
        <w:t>e</w:t>
      </w:r>
      <w:r w:rsidR="005B7807">
        <w:rPr>
          <w:lang w:val="en-US"/>
        </w:rPr>
        <w:t xml:space="preserve"> the opportunity for error in setting strategy </w:t>
      </w:r>
      <w:sdt>
        <w:sdtPr>
          <w:rPr>
            <w:lang w:val="en-US"/>
          </w:rPr>
          <w:id w:val="171766694"/>
          <w:citation/>
        </w:sdtPr>
        <w:sdtEndPr/>
        <w:sdtContent>
          <w:r w:rsidR="005B7807">
            <w:rPr>
              <w:lang w:val="en-US"/>
            </w:rPr>
            <w:fldChar w:fldCharType="begin"/>
          </w:r>
          <w:r w:rsidR="005B7807">
            <w:instrText xml:space="preserve"> CITATION Bar12 \l 2057 </w:instrText>
          </w:r>
          <w:r w:rsidR="005B7807">
            <w:rPr>
              <w:lang w:val="en-US"/>
            </w:rPr>
            <w:fldChar w:fldCharType="separate"/>
          </w:r>
          <w:r w:rsidR="005B7807">
            <w:rPr>
              <w:noProof/>
            </w:rPr>
            <w:t>(Barney &amp; Hesterly, 2012)</w:t>
          </w:r>
          <w:r w:rsidR="005B7807">
            <w:rPr>
              <w:lang w:val="en-US"/>
            </w:rPr>
            <w:fldChar w:fldCharType="end"/>
          </w:r>
        </w:sdtContent>
      </w:sdt>
      <w:r>
        <w:rPr>
          <w:lang w:val="en-US"/>
        </w:rPr>
        <w:t xml:space="preserve">.  </w:t>
      </w:r>
      <w:r w:rsidR="001E5A39">
        <w:rPr>
          <w:lang w:val="en-US"/>
        </w:rPr>
        <w:t xml:space="preserve">This analysis should consider both internal and external factors in order to effectively understand parameters for inclusion in a strength, weakness, opportunity and threat (SWOT) analysis. </w:t>
      </w:r>
      <w:r w:rsidR="0009512D">
        <w:rPr>
          <w:lang w:val="en-US"/>
        </w:rPr>
        <w:t xml:space="preserve">This type of </w:t>
      </w:r>
      <w:r w:rsidR="0009512D">
        <w:rPr>
          <w:lang w:val="en-US"/>
        </w:rPr>
        <w:lastRenderedPageBreak/>
        <w:t xml:space="preserve">analysis is proliferated by the “design school”, where the goal is to align strategy to the organisation and its’ environment, further developed by the “strategic planning school” who expanded on this and </w:t>
      </w:r>
      <w:r w:rsidR="00B611F9">
        <w:rPr>
          <w:lang w:val="en-US"/>
        </w:rPr>
        <w:t>formalised it</w:t>
      </w:r>
      <w:sdt>
        <w:sdtPr>
          <w:rPr>
            <w:lang w:val="en-US"/>
          </w:rPr>
          <w:id w:val="669919849"/>
          <w:citation/>
        </w:sdtPr>
        <w:sdtEndPr/>
        <w:sdtContent>
          <w:r w:rsidR="0009512D">
            <w:rPr>
              <w:lang w:val="en-US"/>
            </w:rPr>
            <w:fldChar w:fldCharType="begin"/>
          </w:r>
          <w:r w:rsidR="00232FD5">
            <w:instrText xml:space="preserve">CITATION Fer15 \p 15 \l 2057 </w:instrText>
          </w:r>
          <w:r w:rsidR="0009512D">
            <w:rPr>
              <w:lang w:val="en-US"/>
            </w:rPr>
            <w:fldChar w:fldCharType="separate"/>
          </w:r>
          <w:r w:rsidR="00232FD5">
            <w:rPr>
              <w:noProof/>
            </w:rPr>
            <w:t xml:space="preserve"> (Ferlie &amp; Ongaro, 2015, p. 15)</w:t>
          </w:r>
          <w:r w:rsidR="0009512D">
            <w:rPr>
              <w:lang w:val="en-US"/>
            </w:rPr>
            <w:fldChar w:fldCharType="end"/>
          </w:r>
        </w:sdtContent>
      </w:sdt>
      <w:r w:rsidR="0009512D">
        <w:rPr>
          <w:lang w:val="en-US"/>
        </w:rPr>
        <w:t xml:space="preserve">. </w:t>
      </w:r>
      <w:r>
        <w:rPr>
          <w:lang w:val="en-US"/>
        </w:rPr>
        <w:t xml:space="preserve">Senior managers </w:t>
      </w:r>
      <w:r w:rsidR="00A833DA">
        <w:rPr>
          <w:lang w:val="en-US"/>
        </w:rPr>
        <w:t xml:space="preserve">will then look at how </w:t>
      </w:r>
      <w:r w:rsidR="00B611F9">
        <w:rPr>
          <w:lang w:val="en-US"/>
        </w:rPr>
        <w:t xml:space="preserve">the </w:t>
      </w:r>
      <w:r w:rsidR="001E5A39">
        <w:rPr>
          <w:lang w:val="en-US"/>
        </w:rPr>
        <w:t xml:space="preserve">proposed objectives </w:t>
      </w:r>
      <w:r w:rsidR="00A833DA">
        <w:rPr>
          <w:lang w:val="en-US"/>
        </w:rPr>
        <w:t>sit within its’ environment, and also analyse the resources required to deliver</w:t>
      </w:r>
      <w:r w:rsidR="001E5A39">
        <w:rPr>
          <w:lang w:val="en-US"/>
        </w:rPr>
        <w:t xml:space="preserve"> them</w:t>
      </w:r>
      <w:r w:rsidR="00A833DA">
        <w:rPr>
          <w:lang w:val="en-US"/>
        </w:rPr>
        <w:t xml:space="preserve"> </w:t>
      </w:r>
      <w:sdt>
        <w:sdtPr>
          <w:rPr>
            <w:lang w:val="en-US"/>
          </w:rPr>
          <w:id w:val="401178700"/>
          <w:citation/>
        </w:sdtPr>
        <w:sdtEndPr/>
        <w:sdtContent>
          <w:r w:rsidR="00A833DA">
            <w:rPr>
              <w:lang w:val="en-US"/>
            </w:rPr>
            <w:fldChar w:fldCharType="begin"/>
          </w:r>
          <w:r w:rsidR="00A833DA">
            <w:instrText xml:space="preserve"> CITATION Lyn18 \l 2057 </w:instrText>
          </w:r>
          <w:r w:rsidR="00A833DA">
            <w:rPr>
              <w:lang w:val="en-US"/>
            </w:rPr>
            <w:fldChar w:fldCharType="separate"/>
          </w:r>
          <w:r w:rsidR="00A833DA">
            <w:rPr>
              <w:noProof/>
            </w:rPr>
            <w:t>(Lynch, 2018)</w:t>
          </w:r>
          <w:r w:rsidR="00A833DA">
            <w:rPr>
              <w:lang w:val="en-US"/>
            </w:rPr>
            <w:fldChar w:fldCharType="end"/>
          </w:r>
        </w:sdtContent>
      </w:sdt>
      <w:r w:rsidR="00A833DA">
        <w:rPr>
          <w:lang w:val="en-US"/>
        </w:rPr>
        <w:t>.</w:t>
      </w:r>
      <w:r w:rsidR="00080548">
        <w:rPr>
          <w:lang w:val="en-US"/>
        </w:rPr>
        <w:t xml:space="preserve"> In a policing </w:t>
      </w:r>
      <w:r w:rsidR="00B611F9">
        <w:rPr>
          <w:lang w:val="en-US"/>
        </w:rPr>
        <w:t>context</w:t>
      </w:r>
      <w:r w:rsidR="00080548">
        <w:rPr>
          <w:lang w:val="en-US"/>
        </w:rPr>
        <w:t xml:space="preserve">, this will often be considered intelligence-gathering around crime and public safety issues, or in the case of GoSafe, road casualty statistics and risk analysis, all of which should be accurate and timely </w:t>
      </w:r>
      <w:sdt>
        <w:sdtPr>
          <w:rPr>
            <w:lang w:val="en-US"/>
          </w:rPr>
          <w:id w:val="-393428869"/>
          <w:citation/>
        </w:sdtPr>
        <w:sdtEndPr/>
        <w:sdtContent>
          <w:r w:rsidR="00080548">
            <w:rPr>
              <w:lang w:val="en-US"/>
            </w:rPr>
            <w:fldChar w:fldCharType="begin"/>
          </w:r>
          <w:r w:rsidR="00080548">
            <w:instrText xml:space="preserve"> CITATION Wal19 \l 2057 </w:instrText>
          </w:r>
          <w:r w:rsidR="00080548">
            <w:rPr>
              <w:lang w:val="en-US"/>
            </w:rPr>
            <w:fldChar w:fldCharType="separate"/>
          </w:r>
          <w:r w:rsidR="00080548">
            <w:rPr>
              <w:noProof/>
            </w:rPr>
            <w:t>(Walsh &amp; Vito, 2019)</w:t>
          </w:r>
          <w:r w:rsidR="00080548">
            <w:rPr>
              <w:lang w:val="en-US"/>
            </w:rPr>
            <w:fldChar w:fldCharType="end"/>
          </w:r>
        </w:sdtContent>
      </w:sdt>
      <w:r w:rsidR="00080548">
        <w:rPr>
          <w:lang w:val="en-US"/>
        </w:rPr>
        <w:t>.</w:t>
      </w:r>
    </w:p>
    <w:p w14:paraId="3E040B10" w14:textId="3C293177" w:rsidR="00F3258B" w:rsidRDefault="00F3258B" w:rsidP="00D25C58">
      <w:pPr>
        <w:jc w:val="both"/>
        <w:rPr>
          <w:lang w:val="en-US"/>
        </w:rPr>
      </w:pPr>
    </w:p>
    <w:p w14:paraId="36A83C3D" w14:textId="32CCFCD0" w:rsidR="00F3258B" w:rsidRDefault="00F3258B" w:rsidP="00D25C58">
      <w:pPr>
        <w:jc w:val="both"/>
        <w:rPr>
          <w:lang w:val="en-US"/>
        </w:rPr>
      </w:pPr>
      <w:r>
        <w:rPr>
          <w:lang w:val="en-US"/>
        </w:rPr>
        <w:t>As a long standing partnership, considering how the h</w:t>
      </w:r>
      <w:r w:rsidRPr="00F3258B">
        <w:rPr>
          <w:lang w:val="en-US"/>
        </w:rPr>
        <w:t xml:space="preserve">istory and culture fit into the strategy is important, but must also consider factors not previously considered </w:t>
      </w:r>
      <w:r w:rsidR="0064005F">
        <w:rPr>
          <w:lang w:val="en-US"/>
        </w:rPr>
        <w:t>in order to</w:t>
      </w:r>
      <w:r w:rsidRPr="00F3258B">
        <w:rPr>
          <w:lang w:val="en-US"/>
        </w:rPr>
        <w:t xml:space="preserve"> plan for future success, and not be tied to present definitions (Narayanan &amp; Fahey, 2013)</w:t>
      </w:r>
      <w:r>
        <w:rPr>
          <w:lang w:val="en-US"/>
        </w:rPr>
        <w:t>.</w:t>
      </w:r>
      <w:r w:rsidR="007C317D">
        <w:rPr>
          <w:lang w:val="en-US"/>
        </w:rPr>
        <w:t xml:space="preserve"> The partnerships</w:t>
      </w:r>
      <w:r w:rsidR="004D3801">
        <w:rPr>
          <w:lang w:val="en-US"/>
        </w:rPr>
        <w:t>’</w:t>
      </w:r>
      <w:r w:rsidR="007C317D">
        <w:rPr>
          <w:lang w:val="en-US"/>
        </w:rPr>
        <w:t xml:space="preserve"> value from a community perspective should also be considered, along with employee value through loyalty, job satisfaction, and a positive organisational culture </w:t>
      </w:r>
      <w:sdt>
        <w:sdtPr>
          <w:rPr>
            <w:lang w:val="en-US"/>
          </w:rPr>
          <w:id w:val="546567831"/>
          <w:citation/>
        </w:sdtPr>
        <w:sdtEndPr/>
        <w:sdtContent>
          <w:r w:rsidR="007C317D">
            <w:rPr>
              <w:lang w:val="en-US"/>
            </w:rPr>
            <w:fldChar w:fldCharType="begin"/>
          </w:r>
          <w:r w:rsidR="007C317D">
            <w:instrText xml:space="preserve"> CITATION Wal19 \l 2057 </w:instrText>
          </w:r>
          <w:r w:rsidR="007C317D">
            <w:rPr>
              <w:lang w:val="en-US"/>
            </w:rPr>
            <w:fldChar w:fldCharType="separate"/>
          </w:r>
          <w:r w:rsidR="007C317D">
            <w:rPr>
              <w:noProof/>
            </w:rPr>
            <w:t>(Walsh &amp; Vito, 2019)</w:t>
          </w:r>
          <w:r w:rsidR="007C317D">
            <w:rPr>
              <w:lang w:val="en-US"/>
            </w:rPr>
            <w:fldChar w:fldCharType="end"/>
          </w:r>
        </w:sdtContent>
      </w:sdt>
      <w:r w:rsidR="007C317D">
        <w:rPr>
          <w:lang w:val="en-US"/>
        </w:rPr>
        <w:t xml:space="preserve">.  Walsh and Vito (2019) go on to note that any matter that would inhibit achievement of goals, such as poor leadership, direction or control should be addressed in the analysis phase and be tackled.  Political influence is now a consideration to some extent in policing and should be accounted for.  Whilst the Chief Constable is responsible for setting operational direction of the force, they are accountable to a politically elected official, i.e. the Police and Crime Commissioner who sets the strategic direction of the force.  For GoSafe, this necessitates reviewing and taking into account four Police and Crime Plans when undertaking analysis of strategic position, and seeks to identify the sources of power </w:t>
      </w:r>
      <w:sdt>
        <w:sdtPr>
          <w:rPr>
            <w:lang w:val="en-US"/>
          </w:rPr>
          <w:id w:val="1512025367"/>
          <w:citation/>
        </w:sdtPr>
        <w:sdtEndPr/>
        <w:sdtContent>
          <w:r w:rsidR="007C317D">
            <w:rPr>
              <w:lang w:val="en-US"/>
            </w:rPr>
            <w:fldChar w:fldCharType="begin"/>
          </w:r>
          <w:r w:rsidR="007C317D">
            <w:instrText xml:space="preserve"> CITATION Wal19 \l 2057 </w:instrText>
          </w:r>
          <w:r w:rsidR="007C317D">
            <w:rPr>
              <w:lang w:val="en-US"/>
            </w:rPr>
            <w:fldChar w:fldCharType="separate"/>
          </w:r>
          <w:r w:rsidR="007C317D">
            <w:rPr>
              <w:noProof/>
            </w:rPr>
            <w:t>(Walsh &amp; Vito, 2019)</w:t>
          </w:r>
          <w:r w:rsidR="007C317D">
            <w:rPr>
              <w:lang w:val="en-US"/>
            </w:rPr>
            <w:fldChar w:fldCharType="end"/>
          </w:r>
        </w:sdtContent>
      </w:sdt>
      <w:r w:rsidR="007C317D">
        <w:rPr>
          <w:lang w:val="en-US"/>
        </w:rPr>
        <w:t>.</w:t>
      </w:r>
    </w:p>
    <w:p w14:paraId="737B6247" w14:textId="5F7633CE" w:rsidR="00BE2489" w:rsidRDefault="00BE2489" w:rsidP="00D25C58">
      <w:pPr>
        <w:jc w:val="both"/>
        <w:rPr>
          <w:lang w:val="en-US"/>
        </w:rPr>
      </w:pPr>
    </w:p>
    <w:p w14:paraId="29699A75" w14:textId="50D0BC50" w:rsidR="006D3E33" w:rsidRDefault="00BE2489" w:rsidP="00D25C58">
      <w:pPr>
        <w:jc w:val="both"/>
        <w:rPr>
          <w:lang w:val="en-US"/>
        </w:rPr>
      </w:pPr>
      <w:r>
        <w:rPr>
          <w:lang w:val="en-US"/>
        </w:rPr>
        <w:t xml:space="preserve">Nonetheless, this is an internal review of resources and capabilities.  In taking a “resource-based view” </w:t>
      </w:r>
      <w:sdt>
        <w:sdtPr>
          <w:rPr>
            <w:lang w:val="en-US"/>
          </w:rPr>
          <w:id w:val="1313600061"/>
          <w:citation/>
        </w:sdtPr>
        <w:sdtEndPr/>
        <w:sdtContent>
          <w:r>
            <w:rPr>
              <w:lang w:val="en-US"/>
            </w:rPr>
            <w:fldChar w:fldCharType="begin"/>
          </w:r>
          <w:r>
            <w:instrText xml:space="preserve">CITATION Bar12 \p 84 \l 2057 </w:instrText>
          </w:r>
          <w:r>
            <w:rPr>
              <w:lang w:val="en-US"/>
            </w:rPr>
            <w:fldChar w:fldCharType="separate"/>
          </w:r>
          <w:r>
            <w:rPr>
              <w:noProof/>
            </w:rPr>
            <w:t>(Barney &amp; Hesterly, 2012, p. 84)</w:t>
          </w:r>
          <w:r>
            <w:rPr>
              <w:lang w:val="en-US"/>
            </w:rPr>
            <w:fldChar w:fldCharType="end"/>
          </w:r>
        </w:sdtContent>
      </w:sdt>
      <w:r>
        <w:rPr>
          <w:lang w:val="en-US"/>
        </w:rPr>
        <w:t>, this will allow an analysis of both the physical, financial and human resources it directly controls, but also allows for use of other assets which may not be realised or directly controlled, but which will otherwise provide the ability to achieve, or contributing to achieving, an objective.  An example of this in this context is the communications and marketing work undertaken by the partnership</w:t>
      </w:r>
      <w:r w:rsidR="00FD4BB5">
        <w:rPr>
          <w:lang w:val="en-US"/>
        </w:rPr>
        <w:t xml:space="preserve">. </w:t>
      </w:r>
      <w:r w:rsidR="0041303B">
        <w:rPr>
          <w:lang w:val="en-US"/>
        </w:rPr>
        <w:t xml:space="preserve">Ferlie and Ongaro (2015) argue that </w:t>
      </w:r>
      <w:r w:rsidR="004D3801">
        <w:rPr>
          <w:lang w:val="en-US"/>
        </w:rPr>
        <w:t>i</w:t>
      </w:r>
      <w:r w:rsidR="004D3801" w:rsidRPr="004D3801">
        <w:rPr>
          <w:lang w:val="en-US"/>
        </w:rPr>
        <w:t xml:space="preserve">n a public service setting, </w:t>
      </w:r>
      <w:r w:rsidR="0041303B">
        <w:rPr>
          <w:lang w:val="en-US"/>
        </w:rPr>
        <w:t xml:space="preserve">this can be applied where the service has a depth of knowledge and </w:t>
      </w:r>
      <w:r w:rsidR="00AE13A0">
        <w:rPr>
          <w:lang w:val="en-US"/>
        </w:rPr>
        <w:t>w</w:t>
      </w:r>
      <w:r w:rsidR="00FD4BB5">
        <w:rPr>
          <w:lang w:val="en-US"/>
        </w:rPr>
        <w:t xml:space="preserve">hen taking this resource-based view, it is then possible to move onto the Value, Rarity, Imitability and Organisation (VRIO) framework of analysis </w:t>
      </w:r>
      <w:sdt>
        <w:sdtPr>
          <w:rPr>
            <w:lang w:val="en-US"/>
          </w:rPr>
          <w:id w:val="-1893104406"/>
          <w:citation/>
        </w:sdtPr>
        <w:sdtEndPr/>
        <w:sdtContent>
          <w:r w:rsidR="00FD4BB5">
            <w:rPr>
              <w:lang w:val="en-US"/>
            </w:rPr>
            <w:fldChar w:fldCharType="begin"/>
          </w:r>
          <w:r w:rsidR="00FD4BB5">
            <w:instrText xml:space="preserve">CITATION Bar12 \p 87 \l 2057 </w:instrText>
          </w:r>
          <w:r w:rsidR="00FD4BB5">
            <w:rPr>
              <w:lang w:val="en-US"/>
            </w:rPr>
            <w:fldChar w:fldCharType="separate"/>
          </w:r>
          <w:r w:rsidR="00FD4BB5">
            <w:rPr>
              <w:noProof/>
            </w:rPr>
            <w:t>(Barney &amp; Hesterly, 2012, p. 87)</w:t>
          </w:r>
          <w:r w:rsidR="00FD4BB5">
            <w:rPr>
              <w:lang w:val="en-US"/>
            </w:rPr>
            <w:fldChar w:fldCharType="end"/>
          </w:r>
        </w:sdtContent>
      </w:sdt>
      <w:r w:rsidR="00FD4BB5">
        <w:rPr>
          <w:lang w:val="en-US"/>
        </w:rPr>
        <w:t>.  In assessing whether a</w:t>
      </w:r>
      <w:r w:rsidR="00AC1459">
        <w:rPr>
          <w:lang w:val="en-US"/>
        </w:rPr>
        <w:t xml:space="preserve"> public sector</w:t>
      </w:r>
      <w:r w:rsidR="00FD4BB5">
        <w:rPr>
          <w:lang w:val="en-US"/>
        </w:rPr>
        <w:t xml:space="preserve"> organisation and provide value, then it is important to understand whether the resources and capabilities of the firm are suitable to mitigate any threats to the organisation realising its’ goal, and whether these resources and capabilities can also allow the firm to take advantage of any opportunities, thus rendering them strengths.  </w:t>
      </w:r>
      <w:r w:rsidR="006D3E33">
        <w:rPr>
          <w:lang w:val="en-US"/>
        </w:rPr>
        <w:t xml:space="preserve">This value in a budgetary context for public authorities can consider many aspects of the funded activity, such as whether the government ought to fund it, whether the activity achieves economic value, and is necessary </w:t>
      </w:r>
      <w:r w:rsidR="006D3E33">
        <w:rPr>
          <w:noProof/>
        </w:rPr>
        <w:t>(Flynn, 2012).</w:t>
      </w:r>
      <w:r w:rsidR="00AE13A0">
        <w:rPr>
          <w:noProof/>
        </w:rPr>
        <w:t xml:space="preserve">  Ferlie and Ongaro (2015) refer to this in the context of the strategy school of public value, focused on defined scope and objectives, the culture of stakeholders to legitimise the actions and building the capacity necessary to deliver. </w:t>
      </w:r>
    </w:p>
    <w:p w14:paraId="36FF9796" w14:textId="77777777" w:rsidR="006D3E33" w:rsidRDefault="006D3E33" w:rsidP="00D25C58">
      <w:pPr>
        <w:jc w:val="both"/>
        <w:rPr>
          <w:lang w:val="en-US"/>
        </w:rPr>
      </w:pPr>
    </w:p>
    <w:p w14:paraId="54AE42F9" w14:textId="21188617" w:rsidR="00BE2489" w:rsidRDefault="00FD4BB5" w:rsidP="00D25C58">
      <w:pPr>
        <w:jc w:val="both"/>
        <w:rPr>
          <w:lang w:val="en-US"/>
        </w:rPr>
      </w:pPr>
      <w:r>
        <w:rPr>
          <w:lang w:val="en-US"/>
        </w:rPr>
        <w:t>Understanding the rarity</w:t>
      </w:r>
      <w:r w:rsidR="00AC1459">
        <w:rPr>
          <w:lang w:val="en-US"/>
        </w:rPr>
        <w:t xml:space="preserve"> and imitability</w:t>
      </w:r>
      <w:r>
        <w:rPr>
          <w:lang w:val="en-US"/>
        </w:rPr>
        <w:t xml:space="preserve"> of </w:t>
      </w:r>
      <w:r w:rsidR="00F02067">
        <w:rPr>
          <w:lang w:val="en-US"/>
        </w:rPr>
        <w:t xml:space="preserve">the resources you provide is also a </w:t>
      </w:r>
      <w:r w:rsidR="00AC1459">
        <w:rPr>
          <w:lang w:val="en-US"/>
        </w:rPr>
        <w:t>worthwhile exercise</w:t>
      </w:r>
      <w:r w:rsidR="00F02067">
        <w:rPr>
          <w:lang w:val="en-US"/>
        </w:rPr>
        <w:t xml:space="preserve"> in public sector, but less so where </w:t>
      </w:r>
      <w:r w:rsidR="00AC1459">
        <w:rPr>
          <w:lang w:val="en-US"/>
        </w:rPr>
        <w:t xml:space="preserve">work </w:t>
      </w:r>
      <w:r w:rsidR="00F02067">
        <w:rPr>
          <w:lang w:val="en-US"/>
        </w:rPr>
        <w:t>can only be undertaken by responsible authorities</w:t>
      </w:r>
      <w:r w:rsidR="00AC1459">
        <w:rPr>
          <w:lang w:val="en-US"/>
        </w:rPr>
        <w:t>, and there is no inherent competitive advantage</w:t>
      </w:r>
      <w:r w:rsidR="006D3E33">
        <w:rPr>
          <w:lang w:val="en-US"/>
        </w:rPr>
        <w:t xml:space="preserve"> as Flynn (2012) surmises</w:t>
      </w:r>
      <w:r w:rsidR="004D3801">
        <w:rPr>
          <w:lang w:val="en-US"/>
        </w:rPr>
        <w:t>:</w:t>
      </w:r>
      <w:r w:rsidR="006D3E33">
        <w:rPr>
          <w:lang w:val="en-US"/>
        </w:rPr>
        <w:t xml:space="preserve"> if “service is a monopoly”, the options for service users are restricted</w:t>
      </w:r>
      <w:r w:rsidR="00AC1459">
        <w:rPr>
          <w:lang w:val="en-US"/>
        </w:rPr>
        <w:t>. In terms of organisational analysis, i.e. whether the full potential of resources and capabilities can be achieved</w:t>
      </w:r>
      <w:r w:rsidR="00B56717">
        <w:rPr>
          <w:lang w:val="en-US"/>
        </w:rPr>
        <w:t xml:space="preserve"> needs to be realised</w:t>
      </w:r>
      <w:r w:rsidR="004D3801">
        <w:rPr>
          <w:lang w:val="en-US"/>
        </w:rPr>
        <w:t xml:space="preserve"> to be effective</w:t>
      </w:r>
      <w:r w:rsidR="00B56717">
        <w:rPr>
          <w:lang w:val="en-US"/>
        </w:rPr>
        <w:t>.</w:t>
      </w:r>
    </w:p>
    <w:p w14:paraId="02C103A0" w14:textId="41B4C679" w:rsidR="007517C8" w:rsidRDefault="007517C8" w:rsidP="00D25C58">
      <w:pPr>
        <w:jc w:val="both"/>
        <w:rPr>
          <w:lang w:val="en-US"/>
        </w:rPr>
      </w:pPr>
    </w:p>
    <w:p w14:paraId="4F2EF663" w14:textId="34809179" w:rsidR="007517C8" w:rsidRDefault="007517C8" w:rsidP="00D25C58">
      <w:pPr>
        <w:jc w:val="both"/>
        <w:rPr>
          <w:noProof/>
        </w:rPr>
      </w:pPr>
      <w:r>
        <w:lastRenderedPageBreak/>
        <w:t>Typical public sector reporting does not include a standardised set of performance values or offer a review of the efficacy of strategic plans that have been implemented</w:t>
      </w:r>
      <w:sdt>
        <w:sdtPr>
          <w:id w:val="-998953703"/>
          <w:citation/>
        </w:sdtPr>
        <w:sdtEndPr/>
        <w:sdtContent>
          <w:r>
            <w:fldChar w:fldCharType="begin"/>
          </w:r>
          <w:r w:rsidR="0064005F">
            <w:instrText xml:space="preserve">CITATION Ell20 \l 2057 </w:instrText>
          </w:r>
          <w:r>
            <w:fldChar w:fldCharType="separate"/>
          </w:r>
          <w:r w:rsidR="0064005F">
            <w:rPr>
              <w:noProof/>
            </w:rPr>
            <w:t xml:space="preserve"> (Elliot, Day, &amp; Lichtenstein, 2020)</w:t>
          </w:r>
          <w:r>
            <w:fldChar w:fldCharType="end"/>
          </w:r>
        </w:sdtContent>
      </w:sdt>
      <w:r>
        <w:t xml:space="preserve">, and when considering the competing requirements for forces, </w:t>
      </w:r>
      <w:r>
        <w:rPr>
          <w:noProof/>
        </w:rPr>
        <w:t>Elliot</w:t>
      </w:r>
      <w:r w:rsidR="0064005F">
        <w:rPr>
          <w:noProof/>
        </w:rPr>
        <w:t xml:space="preserve"> et al</w:t>
      </w:r>
      <w:r>
        <w:rPr>
          <w:noProof/>
        </w:rPr>
        <w:t xml:space="preserve"> offer some scepticism of treating a public service like private industry </w:t>
      </w:r>
      <w:r w:rsidR="001F6844">
        <w:rPr>
          <w:noProof/>
        </w:rPr>
        <w:t>whilst</w:t>
      </w:r>
      <w:r>
        <w:rPr>
          <w:noProof/>
        </w:rPr>
        <w:t xml:space="preserve"> strategic planning.  However</w:t>
      </w:r>
      <w:r w:rsidR="0064005F">
        <w:rPr>
          <w:noProof/>
        </w:rPr>
        <w:t>;</w:t>
      </w:r>
      <w:r>
        <w:rPr>
          <w:noProof/>
        </w:rPr>
        <w:t xml:space="preserve"> there are many transferable elements of corporate strategy that are applicable in policing such as financial management, objective setting and stakeholder engagement</w:t>
      </w:r>
      <w:r w:rsidR="0064005F">
        <w:rPr>
          <w:noProof/>
        </w:rPr>
        <w:t>, all of which could be applied in a Police and Crime Plan</w:t>
      </w:r>
      <w:r>
        <w:rPr>
          <w:noProof/>
        </w:rPr>
        <w:t xml:space="preserve">. </w:t>
      </w:r>
    </w:p>
    <w:p w14:paraId="45B420B9" w14:textId="57AA09B0" w:rsidR="00E66890" w:rsidRDefault="00C46BEA" w:rsidP="00D25C58">
      <w:pPr>
        <w:jc w:val="both"/>
        <w:rPr>
          <w:noProof/>
        </w:rPr>
      </w:pPr>
      <w:r>
        <w:rPr>
          <w:noProof/>
        </w:rPr>
        <mc:AlternateContent>
          <mc:Choice Requires="wps">
            <w:drawing>
              <wp:anchor distT="45720" distB="45720" distL="114300" distR="114300" simplePos="0" relativeHeight="251662336" behindDoc="0" locked="0" layoutInCell="1" allowOverlap="1" wp14:anchorId="23164284" wp14:editId="403B2400">
                <wp:simplePos x="0" y="0"/>
                <wp:positionH relativeFrom="margin">
                  <wp:align>right</wp:align>
                </wp:positionH>
                <wp:positionV relativeFrom="paragraph">
                  <wp:posOffset>109887</wp:posOffset>
                </wp:positionV>
                <wp:extent cx="1990725" cy="1404620"/>
                <wp:effectExtent l="0" t="0" r="9525" b="12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90725" cy="1404620"/>
                        </a:xfrm>
                        <a:prstGeom prst="rect">
                          <a:avLst/>
                        </a:prstGeom>
                        <a:solidFill>
                          <a:srgbClr val="FFFFFF"/>
                        </a:solidFill>
                        <a:ln w="9525">
                          <a:noFill/>
                          <a:miter lim="800000"/>
                          <a:headEnd/>
                          <a:tailEnd/>
                        </a:ln>
                      </wps:spPr>
                      <wps:txbx>
                        <w:txbxContent>
                          <w:p w14:paraId="0266BBE2" w14:textId="34E3C519" w:rsidR="001F6844" w:rsidRPr="00C46BEA" w:rsidRDefault="001F6844">
                            <w:pPr>
                              <w:rPr>
                                <w:i/>
                                <w:iCs/>
                                <w:sz w:val="20"/>
                                <w:szCs w:val="20"/>
                              </w:rPr>
                            </w:pPr>
                            <w:r w:rsidRPr="00C46BEA">
                              <w:rPr>
                                <w:i/>
                                <w:iCs/>
                                <w:sz w:val="20"/>
                                <w:szCs w:val="20"/>
                              </w:rPr>
                              <w:t>Figure 1. From Lynch (2018)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3164284" id="Text Box 2" o:spid="_x0000_s1027" type="#_x0000_t202" style="position:absolute;left:0;text-align:left;margin-left:105.55pt;margin-top:8.65pt;width:156.75pt;height:110.6pt;z-index:251662336;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" stroked="f">
                <v:textbox style="mso-fit-shape-to-text:t">
                  <w:txbxContent>
                    <w:p w14:paraId="0266BBE2" w14:textId="34E3C519" w:rsidR="001F6844" w:rsidRPr="00C46BEA" w:rsidRDefault="001F6844">
                      <w:pPr>
                        <w:rPr>
                          <w:i/>
                          <w:iCs/>
                          <w:sz w:val="20"/>
                          <w:szCs w:val="20"/>
                        </w:rPr>
                      </w:pPr>
                      <w:r w:rsidRPr="00C46BEA">
                        <w:rPr>
                          <w:i/>
                          <w:iCs/>
                          <w:sz w:val="20"/>
                          <w:szCs w:val="20"/>
                        </w:rPr>
                        <w:t>Figure 1. From Lynch (2018)</w:t>
                      </w:r>
                    </w:p>
                  </w:txbxContent>
                </v:textbox>
                <w10:wrap type="square" anchorx="margin"/>
              </v:shape>
            </w:pict>
          </mc:Fallback>
        </mc:AlternateContent>
      </w:r>
    </w:p>
    <w:p w14:paraId="77848A45" w14:textId="475F1D47" w:rsidR="007517C8" w:rsidRDefault="006B03A7" w:rsidP="00D25C58">
      <w:pPr>
        <w:jc w:val="both"/>
        <w:rPr>
          <w:noProof/>
        </w:rPr>
      </w:pPr>
      <w:r>
        <w:rPr>
          <w:noProof/>
        </w:rPr>
        <w:drawing>
          <wp:anchor distT="0" distB="0" distL="114300" distR="114300" simplePos="0" relativeHeight="251660288" behindDoc="0" locked="0" layoutInCell="1" allowOverlap="1" wp14:anchorId="4814A0CD" wp14:editId="7296B464">
            <wp:simplePos x="0" y="0"/>
            <wp:positionH relativeFrom="page">
              <wp:posOffset>2795270</wp:posOffset>
            </wp:positionH>
            <wp:positionV relativeFrom="paragraph">
              <wp:posOffset>60960</wp:posOffset>
            </wp:positionV>
            <wp:extent cx="4443730" cy="2686050"/>
            <wp:effectExtent l="0" t="57150" r="0" b="114300"/>
            <wp:wrapThrough wrapText="bothSides">
              <wp:wrapPolygon edited="0">
                <wp:start x="10464" y="-460"/>
                <wp:lineTo x="6389" y="-153"/>
                <wp:lineTo x="6389" y="2298"/>
                <wp:lineTo x="5648" y="3677"/>
                <wp:lineTo x="5648" y="6894"/>
                <wp:lineTo x="4630" y="7200"/>
                <wp:lineTo x="3797" y="8272"/>
                <wp:lineTo x="3797" y="10264"/>
                <wp:lineTo x="5000" y="12102"/>
                <wp:lineTo x="5371" y="12102"/>
                <wp:lineTo x="4630" y="14094"/>
                <wp:lineTo x="4537" y="14860"/>
                <wp:lineTo x="4537" y="16545"/>
                <wp:lineTo x="4630" y="17157"/>
                <wp:lineTo x="7223" y="19455"/>
                <wp:lineTo x="7315" y="19762"/>
                <wp:lineTo x="7963" y="21906"/>
                <wp:lineTo x="8334" y="22366"/>
                <wp:lineTo x="13149" y="22366"/>
                <wp:lineTo x="13519" y="21906"/>
                <wp:lineTo x="14167" y="19609"/>
                <wp:lineTo x="14260" y="19455"/>
                <wp:lineTo x="16853" y="17157"/>
                <wp:lineTo x="16945" y="16698"/>
                <wp:lineTo x="16945" y="14860"/>
                <wp:lineTo x="16575" y="12102"/>
                <wp:lineTo x="17686" y="9957"/>
                <wp:lineTo x="17779" y="8272"/>
                <wp:lineTo x="16945" y="7200"/>
                <wp:lineTo x="16019" y="6894"/>
                <wp:lineTo x="15927" y="3983"/>
                <wp:lineTo x="15279" y="2298"/>
                <wp:lineTo x="14630" y="-153"/>
                <wp:lineTo x="11019" y="-460"/>
                <wp:lineTo x="10464" y="-460"/>
              </wp:wrapPolygon>
            </wp:wrapThrough>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14:sizeRelH relativeFrom="margin">
              <wp14:pctWidth>0</wp14:pctWidth>
            </wp14:sizeRelH>
            <wp14:sizeRelV relativeFrom="margin">
              <wp14:pctHeight>0</wp14:pctHeight>
            </wp14:sizeRelV>
          </wp:anchor>
        </w:drawing>
      </w:r>
      <w:r w:rsidR="00E66890">
        <w:rPr>
          <w:noProof/>
        </w:rPr>
        <w:t>Lynch</w:t>
      </w:r>
      <w:r>
        <w:rPr>
          <w:noProof/>
        </w:rPr>
        <w:t xml:space="preserve"> (2018)</w:t>
      </w:r>
      <w:r w:rsidR="00E66890">
        <w:rPr>
          <w:noProof/>
        </w:rPr>
        <w:t xml:space="preserve"> offers nine elements of environmental analysis </w:t>
      </w:r>
      <w:r>
        <w:rPr>
          <w:noProof/>
        </w:rPr>
        <w:t xml:space="preserve">as shown in figure 1.  These elements will </w:t>
      </w:r>
    </w:p>
    <w:p w14:paraId="5DC26146" w14:textId="514F6599" w:rsidR="006B03A7" w:rsidRDefault="006B03A7" w:rsidP="00D25C58">
      <w:pPr>
        <w:jc w:val="both"/>
        <w:rPr>
          <w:noProof/>
        </w:rPr>
      </w:pPr>
      <w:r>
        <w:rPr>
          <w:noProof/>
        </w:rPr>
        <w:t>be discussed in more detail</w:t>
      </w:r>
      <w:r w:rsidR="007E508A">
        <w:rPr>
          <w:noProof/>
        </w:rPr>
        <w:t xml:space="preserve"> below</w:t>
      </w:r>
      <w:r>
        <w:rPr>
          <w:noProof/>
        </w:rPr>
        <w:t xml:space="preserve">. </w:t>
      </w:r>
    </w:p>
    <w:p w14:paraId="17A6B493" w14:textId="2E4253AF" w:rsidR="006B03A7" w:rsidRDefault="006B03A7" w:rsidP="00D25C58">
      <w:pPr>
        <w:jc w:val="both"/>
        <w:rPr>
          <w:noProof/>
        </w:rPr>
      </w:pPr>
    </w:p>
    <w:p w14:paraId="6145EF4E" w14:textId="11D4114F" w:rsidR="0064005F" w:rsidRDefault="007517C8" w:rsidP="00D25C58">
      <w:pPr>
        <w:jc w:val="both"/>
      </w:pPr>
      <w:r>
        <w:t>I</w:t>
      </w:r>
      <w:r w:rsidR="0064005F">
        <w:t xml:space="preserve">n order for </w:t>
      </w:r>
      <w:r>
        <w:t xml:space="preserve">efficient and effective management in policing to be </w:t>
      </w:r>
      <w:r w:rsidR="001F6844">
        <w:t>delivered</w:t>
      </w:r>
      <w:r>
        <w:t>, then t</w:t>
      </w:r>
      <w:r w:rsidR="00881D79">
        <w:t>hese elements</w:t>
      </w:r>
      <w:r>
        <w:t xml:space="preserve"> should be a component of any strategic plan </w:t>
      </w:r>
      <w:sdt>
        <w:sdtPr>
          <w:id w:val="232124560"/>
          <w:citation/>
        </w:sdtPr>
        <w:sdtEndPr/>
        <w:sdtContent>
          <w:r>
            <w:fldChar w:fldCharType="begin"/>
          </w:r>
          <w:r w:rsidR="0064005F">
            <w:instrText xml:space="preserve">CITATION Fly15 \l 2057 </w:instrText>
          </w:r>
          <w:r>
            <w:fldChar w:fldCharType="separate"/>
          </w:r>
          <w:r w:rsidR="0064005F">
            <w:rPr>
              <w:noProof/>
            </w:rPr>
            <w:t>(Flynn &amp; Herrington, 2015)</w:t>
          </w:r>
          <w:r>
            <w:fldChar w:fldCharType="end"/>
          </w:r>
        </w:sdtContent>
      </w:sdt>
      <w:r>
        <w:t xml:space="preserve">. A robust vision and mission statement will provide organisational guidance should challenge arise during the timeline of the plan </w:t>
      </w:r>
      <w:sdt>
        <w:sdtPr>
          <w:id w:val="2046862201"/>
          <w:citation/>
        </w:sdtPr>
        <w:sdtEndPr/>
        <w:sdtContent>
          <w:r>
            <w:fldChar w:fldCharType="begin"/>
          </w:r>
          <w:r w:rsidR="0064005F">
            <w:instrText xml:space="preserve">CITATION Rog20 \l 2057 </w:instrText>
          </w:r>
          <w:r>
            <w:fldChar w:fldCharType="separate"/>
          </w:r>
          <w:r w:rsidR="0064005F">
            <w:rPr>
              <w:noProof/>
            </w:rPr>
            <w:t>(Rogers, McIntyre, &amp; Caputo, 2020)</w:t>
          </w:r>
          <w:r>
            <w:fldChar w:fldCharType="end"/>
          </w:r>
        </w:sdtContent>
      </w:sdt>
      <w:r>
        <w:t xml:space="preserve">. </w:t>
      </w:r>
    </w:p>
    <w:p w14:paraId="697F1CE6" w14:textId="30B76F03" w:rsidR="0064005F" w:rsidRDefault="0064005F" w:rsidP="00D25C58">
      <w:pPr>
        <w:jc w:val="both"/>
      </w:pPr>
    </w:p>
    <w:p w14:paraId="52A2AD18" w14:textId="40BE63AC" w:rsidR="007517C8" w:rsidRDefault="007517C8" w:rsidP="00D25C58">
      <w:pPr>
        <w:jc w:val="both"/>
      </w:pPr>
      <w:r>
        <w:t xml:space="preserve">One way to identify strategic options is to ask </w:t>
      </w:r>
      <w:r w:rsidR="00881D79">
        <w:t xml:space="preserve">direct </w:t>
      </w:r>
      <w:r>
        <w:t>questions of your staff</w:t>
      </w:r>
      <w:r w:rsidR="00881D79">
        <w:t xml:space="preserve"> and stakeholders</w:t>
      </w:r>
      <w:r>
        <w:t xml:space="preserve"> using Druckers’ methodology to understand key issues, define any issues in clear terms and allow this to be translated into a list of priorities and action</w:t>
      </w:r>
      <w:r w:rsidR="001F6844">
        <w:t>s</w:t>
      </w:r>
      <w:r>
        <w:t xml:space="preserve"> </w:t>
      </w:r>
      <w:sdt>
        <w:sdtPr>
          <w:id w:val="-739183427"/>
          <w:citation/>
        </w:sdtPr>
        <w:sdtEndPr/>
        <w:sdtContent>
          <w:r>
            <w:fldChar w:fldCharType="begin"/>
          </w:r>
          <w:r w:rsidR="0064005F">
            <w:instrText xml:space="preserve">CITATION Zan10 \l 2057 </w:instrText>
          </w:r>
          <w:r>
            <w:fldChar w:fldCharType="separate"/>
          </w:r>
          <w:r w:rsidR="0064005F">
            <w:rPr>
              <w:noProof/>
            </w:rPr>
            <w:t>(Zand, 2010)</w:t>
          </w:r>
          <w:r>
            <w:fldChar w:fldCharType="end"/>
          </w:r>
        </w:sdtContent>
      </w:sdt>
      <w:r>
        <w:t xml:space="preserve">.  Zand (2010) goes on to discuss </w:t>
      </w:r>
      <w:r w:rsidR="001F6844">
        <w:t>also</w:t>
      </w:r>
      <w:r>
        <w:t xml:space="preserve"> defining what organisations don’t want to do.  Within GoSafe</w:t>
      </w:r>
      <w:r w:rsidR="0064005F">
        <w:t>, leaders need to balance</w:t>
      </w:r>
      <w:r>
        <w:t xml:space="preserve"> the competing organisational goals from varying partner agencies,</w:t>
      </w:r>
      <w:r w:rsidR="0064005F">
        <w:t xml:space="preserve"> therefore</w:t>
      </w:r>
      <w:r>
        <w:t xml:space="preserve"> it is important to</w:t>
      </w:r>
      <w:r w:rsidR="0064005F">
        <w:t xml:space="preserve"> agree and</w:t>
      </w:r>
      <w:r>
        <w:t xml:space="preserve"> define the objectives clearly in order to </w:t>
      </w:r>
      <w:r w:rsidR="00900876">
        <w:t>specify</w:t>
      </w:r>
      <w:r>
        <w:t xml:space="preserve"> what will be achieved in clear terms, and thus avoid mission creep</w:t>
      </w:r>
      <w:r w:rsidR="00900876">
        <w:t xml:space="preserve"> by infiltration by employing organisations’ goals which may not be aligned</w:t>
      </w:r>
      <w:r w:rsidR="007E508A">
        <w:t xml:space="preserve"> to the overall corporate objective</w:t>
      </w:r>
      <w:r>
        <w:t xml:space="preserve">. </w:t>
      </w:r>
      <w:r w:rsidR="001F5067">
        <w:t xml:space="preserve"> In considering options, a SWOT analysis (see appendix) can give rise to the strategic options to be included in any plan </w:t>
      </w:r>
      <w:sdt>
        <w:sdtPr>
          <w:id w:val="714706613"/>
          <w:citation/>
        </w:sdtPr>
        <w:sdtEndPr/>
        <w:sdtContent>
          <w:r w:rsidR="001F5067">
            <w:fldChar w:fldCharType="begin"/>
          </w:r>
          <w:r w:rsidR="001F5067">
            <w:instrText xml:space="preserve"> CITATION Bov \l 2057 </w:instrText>
          </w:r>
          <w:r w:rsidR="001F5067">
            <w:fldChar w:fldCharType="separate"/>
          </w:r>
          <w:r w:rsidR="001F5067">
            <w:rPr>
              <w:noProof/>
            </w:rPr>
            <w:t>(Bovaird &amp; Loeffler, 2016)</w:t>
          </w:r>
          <w:r w:rsidR="001F5067">
            <w:fldChar w:fldCharType="end"/>
          </w:r>
        </w:sdtContent>
      </w:sdt>
      <w:r w:rsidR="001F5067">
        <w:t>.</w:t>
      </w:r>
    </w:p>
    <w:p w14:paraId="135B751B" w14:textId="6F0444C5" w:rsidR="00F3258B" w:rsidRPr="00F3258B" w:rsidRDefault="00F3258B" w:rsidP="00D25C58">
      <w:pPr>
        <w:jc w:val="both"/>
        <w:rPr>
          <w:lang w:val="en-US"/>
        </w:rPr>
      </w:pPr>
    </w:p>
    <w:p w14:paraId="3411AADE" w14:textId="72EE89A5" w:rsidR="00F3258B" w:rsidRPr="00F3258B" w:rsidRDefault="00F3258B" w:rsidP="00D25C58">
      <w:pPr>
        <w:jc w:val="both"/>
        <w:rPr>
          <w:lang w:val="en-US"/>
        </w:rPr>
      </w:pPr>
      <w:r>
        <w:rPr>
          <w:lang w:val="en-US"/>
        </w:rPr>
        <w:t xml:space="preserve">The </w:t>
      </w:r>
      <w:r w:rsidRPr="00F3258B">
        <w:rPr>
          <w:lang w:val="en-US"/>
        </w:rPr>
        <w:t>basic purpose</w:t>
      </w:r>
      <w:r>
        <w:rPr>
          <w:lang w:val="en-US"/>
        </w:rPr>
        <w:t xml:space="preserve"> of a public sector organisation</w:t>
      </w:r>
      <w:r w:rsidRPr="00F3258B">
        <w:rPr>
          <w:lang w:val="en-US"/>
        </w:rPr>
        <w:t xml:space="preserve"> is to deliver </w:t>
      </w:r>
      <w:r w:rsidR="001F6844">
        <w:rPr>
          <w:lang w:val="en-US"/>
        </w:rPr>
        <w:t>a</w:t>
      </w:r>
      <w:r w:rsidRPr="00F3258B">
        <w:rPr>
          <w:lang w:val="en-US"/>
        </w:rPr>
        <w:t xml:space="preserve"> statutory function within a performance environment that has excellence in its’ structure (Dworzecki &amp; Hryszkiewicz, 2016)</w:t>
      </w:r>
      <w:r w:rsidR="00B010E2">
        <w:rPr>
          <w:lang w:val="en-US"/>
        </w:rPr>
        <w:t xml:space="preserve">.  This is critical in the style of a “savvy strategist” </w:t>
      </w:r>
      <w:sdt>
        <w:sdtPr>
          <w:rPr>
            <w:lang w:val="en-US"/>
          </w:rPr>
          <w:id w:val="-93173105"/>
          <w:citation/>
        </w:sdtPr>
        <w:sdtEndPr/>
        <w:sdtContent>
          <w:r w:rsidR="00B010E2">
            <w:rPr>
              <w:lang w:val="en-US"/>
            </w:rPr>
            <w:fldChar w:fldCharType="begin"/>
          </w:r>
          <w:r w:rsidR="00B010E2">
            <w:instrText xml:space="preserve">CITATION Bry20 \p 4 \l 2057 </w:instrText>
          </w:r>
          <w:r w:rsidR="00B010E2">
            <w:rPr>
              <w:lang w:val="en-US"/>
            </w:rPr>
            <w:fldChar w:fldCharType="separate"/>
          </w:r>
          <w:r w:rsidR="00B010E2">
            <w:rPr>
              <w:noProof/>
            </w:rPr>
            <w:t>(Bryson &amp; George, 2020, p. 4)</w:t>
          </w:r>
          <w:r w:rsidR="00B010E2">
            <w:rPr>
              <w:lang w:val="en-US"/>
            </w:rPr>
            <w:fldChar w:fldCharType="end"/>
          </w:r>
        </w:sdtContent>
      </w:sdt>
      <w:r w:rsidR="00B010E2">
        <w:rPr>
          <w:lang w:val="en-US"/>
        </w:rPr>
        <w:t xml:space="preserve"> </w:t>
      </w:r>
      <w:r w:rsidR="001F6844">
        <w:rPr>
          <w:lang w:val="en-US"/>
        </w:rPr>
        <w:t>for</w:t>
      </w:r>
      <w:r w:rsidR="00B010E2">
        <w:rPr>
          <w:lang w:val="en-US"/>
        </w:rPr>
        <w:t xml:space="preserve"> the organisation to have “high aspirations” and “high capabilities”. </w:t>
      </w:r>
    </w:p>
    <w:p w14:paraId="773FB321" w14:textId="3A3E4868" w:rsidR="00B010E2" w:rsidRDefault="00B010E2" w:rsidP="00D25C58">
      <w:pPr>
        <w:jc w:val="both"/>
        <w:rPr>
          <w:lang w:val="en-US"/>
        </w:rPr>
      </w:pPr>
    </w:p>
    <w:p w14:paraId="38418B48" w14:textId="50702EB4" w:rsidR="00AF3670" w:rsidRDefault="001F6844" w:rsidP="00D25C58">
      <w:pPr>
        <w:jc w:val="both"/>
        <w:rPr>
          <w:lang w:val="en-US"/>
        </w:rPr>
      </w:pPr>
      <w:r>
        <w:rPr>
          <w:lang w:val="en-US"/>
        </w:rPr>
        <w:t>When</w:t>
      </w:r>
      <w:r w:rsidR="00900876">
        <w:rPr>
          <w:lang w:val="en-US"/>
        </w:rPr>
        <w:t xml:space="preserve"> design</w:t>
      </w:r>
      <w:r>
        <w:rPr>
          <w:lang w:val="en-US"/>
        </w:rPr>
        <w:t>ing</w:t>
      </w:r>
      <w:r w:rsidR="00900876">
        <w:rPr>
          <w:lang w:val="en-US"/>
        </w:rPr>
        <w:t xml:space="preserve"> a plan, it is important to </w:t>
      </w:r>
      <w:r w:rsidR="00881D79">
        <w:rPr>
          <w:lang w:val="en-US"/>
        </w:rPr>
        <w:t>undertake</w:t>
      </w:r>
      <w:r w:rsidR="00AF3670" w:rsidRPr="00AF3670">
        <w:rPr>
          <w:lang w:val="en-US"/>
        </w:rPr>
        <w:t xml:space="preserve"> </w:t>
      </w:r>
      <w:r>
        <w:rPr>
          <w:lang w:val="en-US"/>
        </w:rPr>
        <w:t>Political, Economic, Sociological, Technological and Legal (</w:t>
      </w:r>
      <w:r w:rsidR="00900876">
        <w:rPr>
          <w:lang w:val="en-US"/>
        </w:rPr>
        <w:t>PESTEL</w:t>
      </w:r>
      <w:r>
        <w:rPr>
          <w:lang w:val="en-US"/>
        </w:rPr>
        <w:t>)</w:t>
      </w:r>
      <w:r w:rsidR="00900876">
        <w:rPr>
          <w:lang w:val="en-US"/>
        </w:rPr>
        <w:t xml:space="preserve"> analysis</w:t>
      </w:r>
      <w:r w:rsidR="0029160C">
        <w:rPr>
          <w:lang w:val="en-US"/>
        </w:rPr>
        <w:t xml:space="preserve"> </w:t>
      </w:r>
      <w:r w:rsidR="0029160C">
        <w:rPr>
          <w:noProof/>
        </w:rPr>
        <w:t>(Johnson et al, 2014)</w:t>
      </w:r>
      <w:r w:rsidR="00AF3670" w:rsidRPr="00AF3670">
        <w:rPr>
          <w:lang w:val="en-US"/>
        </w:rPr>
        <w:t xml:space="preserve">. This </w:t>
      </w:r>
      <w:r w:rsidR="00900876">
        <w:rPr>
          <w:lang w:val="en-US"/>
        </w:rPr>
        <w:t>open</w:t>
      </w:r>
      <w:r w:rsidR="00AF3670" w:rsidRPr="00AF3670">
        <w:rPr>
          <w:lang w:val="en-US"/>
        </w:rPr>
        <w:t xml:space="preserve"> and collaborative </w:t>
      </w:r>
      <w:r>
        <w:rPr>
          <w:lang w:val="en-US"/>
        </w:rPr>
        <w:t>analysis</w:t>
      </w:r>
      <w:r w:rsidR="00AF3670" w:rsidRPr="00AF3670">
        <w:rPr>
          <w:lang w:val="en-US"/>
        </w:rPr>
        <w:t xml:space="preserve"> is more likely to achieve buy in from partners, rather than seeking to exert authority (Drumaux &amp; Goethals, 2007)</w:t>
      </w:r>
      <w:r w:rsidR="001F5067">
        <w:rPr>
          <w:lang w:val="en-US"/>
        </w:rPr>
        <w:t>.</w:t>
      </w:r>
    </w:p>
    <w:p w14:paraId="0FAD7214" w14:textId="77777777" w:rsidR="00B010E2" w:rsidRPr="00F3258B" w:rsidRDefault="00B010E2" w:rsidP="00D25C58">
      <w:pPr>
        <w:jc w:val="both"/>
        <w:rPr>
          <w:lang w:val="en-US"/>
        </w:rPr>
      </w:pPr>
    </w:p>
    <w:p w14:paraId="22C76FE5" w14:textId="7ABC7FA3" w:rsidR="00F3258B" w:rsidRDefault="00900876" w:rsidP="00D25C58">
      <w:pPr>
        <w:jc w:val="both"/>
        <w:rPr>
          <w:lang w:val="en-US"/>
        </w:rPr>
      </w:pPr>
      <w:r>
        <w:rPr>
          <w:lang w:val="en-US"/>
        </w:rPr>
        <w:t>The nature of the organisation often includes considering p</w:t>
      </w:r>
      <w:r w:rsidR="00F3258B" w:rsidRPr="00F3258B">
        <w:rPr>
          <w:lang w:val="en-US"/>
        </w:rPr>
        <w:t>ublic opinion</w:t>
      </w:r>
      <w:r>
        <w:rPr>
          <w:lang w:val="en-US"/>
        </w:rPr>
        <w:t xml:space="preserve"> and/or </w:t>
      </w:r>
      <w:r w:rsidR="00F3258B" w:rsidRPr="00F3258B">
        <w:rPr>
          <w:lang w:val="en-US"/>
        </w:rPr>
        <w:t>community concern – this includes identifying current needs, as well as understanding any future expectations  (Dworzecki &amp; Hryszkiewicz, 2016)</w:t>
      </w:r>
      <w:r>
        <w:rPr>
          <w:lang w:val="en-US"/>
        </w:rPr>
        <w:t xml:space="preserve"> and can help shape future strategies if you understand public requirements, or changes in social trends.</w:t>
      </w:r>
      <w:r w:rsidR="001F5067">
        <w:rPr>
          <w:lang w:val="en-US"/>
        </w:rPr>
        <w:t xml:space="preserve">  For GoSafe, having a good reputation amongst partners and peers can help to deliver “strategic and moral benefits”, improving performance and building trust in the leadership to deliver </w:t>
      </w:r>
      <w:sdt>
        <w:sdtPr>
          <w:rPr>
            <w:lang w:val="en-US"/>
          </w:rPr>
          <w:id w:val="1067837519"/>
          <w:citation/>
        </w:sdtPr>
        <w:sdtEndPr/>
        <w:sdtContent>
          <w:r w:rsidR="001F5067">
            <w:rPr>
              <w:lang w:val="en-US"/>
            </w:rPr>
            <w:fldChar w:fldCharType="begin"/>
          </w:r>
          <w:r w:rsidR="001F5067">
            <w:instrText xml:space="preserve"> CITATION Rob08 \l 2057 </w:instrText>
          </w:r>
          <w:r w:rsidR="001F5067">
            <w:rPr>
              <w:lang w:val="en-US"/>
            </w:rPr>
            <w:fldChar w:fldCharType="separate"/>
          </w:r>
          <w:r w:rsidR="001F5067">
            <w:rPr>
              <w:noProof/>
            </w:rPr>
            <w:t>(Robertson, 2008)</w:t>
          </w:r>
          <w:r w:rsidR="001F5067">
            <w:rPr>
              <w:lang w:val="en-US"/>
            </w:rPr>
            <w:fldChar w:fldCharType="end"/>
          </w:r>
        </w:sdtContent>
      </w:sdt>
      <w:r w:rsidR="001F5067">
        <w:rPr>
          <w:lang w:val="en-US"/>
        </w:rPr>
        <w:t>.</w:t>
      </w:r>
      <w:r w:rsidR="00F92632">
        <w:rPr>
          <w:lang w:val="en-US"/>
        </w:rPr>
        <w:t xml:space="preserve"> </w:t>
      </w:r>
      <w:r w:rsidR="00F92632">
        <w:rPr>
          <w:noProof/>
        </w:rPr>
        <w:lastRenderedPageBreak/>
        <w:t>Internally, the decision making process and styles of leadership will be critical</w:t>
      </w:r>
      <w:sdt>
        <w:sdtPr>
          <w:rPr>
            <w:noProof/>
          </w:rPr>
          <w:id w:val="1715619946"/>
          <w:citation/>
        </w:sdtPr>
        <w:sdtEndPr/>
        <w:sdtContent>
          <w:r w:rsidR="00F92632">
            <w:rPr>
              <w:noProof/>
            </w:rPr>
            <w:fldChar w:fldCharType="begin"/>
          </w:r>
          <w:r w:rsidR="00F92632">
            <w:rPr>
              <w:noProof/>
            </w:rPr>
            <w:instrText xml:space="preserve"> CITATION Lyn18 \l 2057 </w:instrText>
          </w:r>
          <w:r w:rsidR="00F92632">
            <w:rPr>
              <w:noProof/>
            </w:rPr>
            <w:fldChar w:fldCharType="separate"/>
          </w:r>
          <w:r w:rsidR="00F92632">
            <w:rPr>
              <w:noProof/>
            </w:rPr>
            <w:t xml:space="preserve"> (Lynch, 2018)</w:t>
          </w:r>
          <w:r w:rsidR="00F92632">
            <w:rPr>
              <w:noProof/>
            </w:rPr>
            <w:fldChar w:fldCharType="end"/>
          </w:r>
        </w:sdtContent>
      </w:sdt>
      <w:r w:rsidR="00F92632">
        <w:rPr>
          <w:noProof/>
        </w:rPr>
        <w:t xml:space="preserve">.  </w:t>
      </w:r>
    </w:p>
    <w:p w14:paraId="31F71A3B" w14:textId="6FB610FD" w:rsidR="00F667F5" w:rsidRDefault="00F667F5" w:rsidP="00D25C58">
      <w:pPr>
        <w:jc w:val="both"/>
        <w:rPr>
          <w:lang w:val="en-US"/>
        </w:rPr>
      </w:pPr>
    </w:p>
    <w:p w14:paraId="17FDFFAA" w14:textId="22886416" w:rsidR="00F667F5" w:rsidRDefault="00F667F5" w:rsidP="00D25C58">
      <w:pPr>
        <w:jc w:val="both"/>
        <w:rPr>
          <w:lang w:val="en-US"/>
        </w:rPr>
      </w:pPr>
      <w:r>
        <w:rPr>
          <w:lang w:val="en-US"/>
        </w:rPr>
        <w:t>As well as public consultation, organisational l</w:t>
      </w:r>
      <w:r w:rsidRPr="00AF3670">
        <w:rPr>
          <w:lang w:val="en-US"/>
        </w:rPr>
        <w:t>earning</w:t>
      </w:r>
      <w:r>
        <w:rPr>
          <w:lang w:val="en-US"/>
        </w:rPr>
        <w:t xml:space="preserve"> should be incorporated into a positional analysis. One method </w:t>
      </w:r>
      <w:r w:rsidR="00E66890">
        <w:rPr>
          <w:lang w:val="en-US"/>
        </w:rPr>
        <w:t xml:space="preserve">for industry analysis </w:t>
      </w:r>
      <w:r>
        <w:rPr>
          <w:lang w:val="en-US"/>
        </w:rPr>
        <w:t>is to</w:t>
      </w:r>
      <w:r w:rsidRPr="00AF3670">
        <w:rPr>
          <w:lang w:val="en-US"/>
        </w:rPr>
        <w:t xml:space="preserve"> use the Delphi model </w:t>
      </w:r>
      <w:r>
        <w:rPr>
          <w:lang w:val="en-US"/>
        </w:rPr>
        <w:t xml:space="preserve">which </w:t>
      </w:r>
      <w:r w:rsidRPr="00AF3670">
        <w:rPr>
          <w:lang w:val="en-US"/>
        </w:rPr>
        <w:t>can be used to formulate learning from experts within the organisation and help forecast future positions (Loo, 2002). This is a useful approach as you can build on the expertise of your team (Dworzecki &amp; Hryszkiewicz</w:t>
      </w:r>
      <w:r w:rsidR="006C3BB4">
        <w:rPr>
          <w:lang w:val="en-US"/>
        </w:rPr>
        <w:t>, 2016</w:t>
      </w:r>
      <w:r w:rsidRPr="00AF3670">
        <w:rPr>
          <w:lang w:val="en-US"/>
        </w:rPr>
        <w:t xml:space="preserve">): the longer serving members providing experience and corporate memory, and </w:t>
      </w:r>
      <w:r w:rsidR="00E66890" w:rsidRPr="00AF3670">
        <w:rPr>
          <w:lang w:val="en-US"/>
        </w:rPr>
        <w:t>the newer</w:t>
      </w:r>
      <w:r w:rsidRPr="00AF3670">
        <w:rPr>
          <w:lang w:val="en-US"/>
        </w:rPr>
        <w:t xml:space="preserve"> team members offering fresh perspectives.  I</w:t>
      </w:r>
      <w:r>
        <w:rPr>
          <w:lang w:val="en-US"/>
        </w:rPr>
        <w:t xml:space="preserve">t is also </w:t>
      </w:r>
      <w:r w:rsidRPr="00AF3670">
        <w:rPr>
          <w:lang w:val="en-US"/>
        </w:rPr>
        <w:t xml:space="preserve">important to conduct organisational learning from </w:t>
      </w:r>
      <w:r>
        <w:rPr>
          <w:lang w:val="en-US"/>
        </w:rPr>
        <w:t xml:space="preserve">reviewing </w:t>
      </w:r>
      <w:r w:rsidRPr="00AF3670">
        <w:rPr>
          <w:lang w:val="en-US"/>
        </w:rPr>
        <w:t>the previous plan when constructing another in order that we are not simply recycling organisational goals that were not achieved and using them in a new plan</w:t>
      </w:r>
      <w:r>
        <w:rPr>
          <w:lang w:val="en-US"/>
        </w:rPr>
        <w:t>.  M</w:t>
      </w:r>
      <w:r w:rsidRPr="00AF3670">
        <w:rPr>
          <w:lang w:val="en-US"/>
        </w:rPr>
        <w:t>oreover</w:t>
      </w:r>
      <w:r w:rsidR="006C3BB4">
        <w:rPr>
          <w:lang w:val="en-US"/>
        </w:rPr>
        <w:t>,</w:t>
      </w:r>
      <w:r w:rsidRPr="00AF3670">
        <w:rPr>
          <w:lang w:val="en-US"/>
        </w:rPr>
        <w:t xml:space="preserve"> we need to be considering why they were not achieved</w:t>
      </w:r>
      <w:r>
        <w:rPr>
          <w:lang w:val="en-US"/>
        </w:rPr>
        <w:t>; analyse</w:t>
      </w:r>
      <w:r w:rsidRPr="00AF3670">
        <w:rPr>
          <w:lang w:val="en-US"/>
        </w:rPr>
        <w:t xml:space="preserve"> any attempt to resolve them that was not successful and </w:t>
      </w:r>
      <w:r w:rsidR="00881D79">
        <w:rPr>
          <w:lang w:val="en-US"/>
        </w:rPr>
        <w:t xml:space="preserve">consider </w:t>
      </w:r>
      <w:r w:rsidRPr="00AF3670">
        <w:rPr>
          <w:lang w:val="en-US"/>
        </w:rPr>
        <w:t>their merit in being included in any forthcoming plan if they are not realistically achievable (Flynn &amp; Herrington, 2015). Flynn</w:t>
      </w:r>
      <w:r w:rsidR="00881D79">
        <w:rPr>
          <w:lang w:val="en-US"/>
        </w:rPr>
        <w:t xml:space="preserve"> &amp;</w:t>
      </w:r>
      <w:r w:rsidRPr="00AF3670">
        <w:rPr>
          <w:lang w:val="en-US"/>
        </w:rPr>
        <w:t xml:space="preserve"> Herrington </w:t>
      </w:r>
      <w:r w:rsidR="006B2622">
        <w:rPr>
          <w:lang w:val="en-US"/>
        </w:rPr>
        <w:t xml:space="preserve">(2015) </w:t>
      </w:r>
      <w:r w:rsidRPr="00AF3670">
        <w:rPr>
          <w:lang w:val="en-US"/>
        </w:rPr>
        <w:t>continue that this should be undertaken in an environment that expects and accepts that there may have been errors, but that these should be used as opportunities to learn, something that is not typically experienced in a policing context. Bunning (1992) makes the point that in the context of the partner agencies involved in GoSafe, there has not historically been a learning approach to strategy, principally due to each organisation involved being primarily concerned with their own interests</w:t>
      </w:r>
      <w:r w:rsidR="00281B4F">
        <w:rPr>
          <w:lang w:val="en-US"/>
        </w:rPr>
        <w:t xml:space="preserve"> or individual strategic goals</w:t>
      </w:r>
      <w:r>
        <w:rPr>
          <w:lang w:val="en-US"/>
        </w:rPr>
        <w:t xml:space="preserve">.  A key factor for any future strategy will be to consider </w:t>
      </w:r>
      <w:r w:rsidRPr="00AF3670">
        <w:rPr>
          <w:lang w:val="en-US"/>
        </w:rPr>
        <w:t xml:space="preserve">how </w:t>
      </w:r>
      <w:r>
        <w:rPr>
          <w:lang w:val="en-US"/>
        </w:rPr>
        <w:t>this should be, or even if it can be,</w:t>
      </w:r>
      <w:r w:rsidRPr="00AF3670">
        <w:rPr>
          <w:lang w:val="en-US"/>
        </w:rPr>
        <w:t xml:space="preserve"> overcome</w:t>
      </w:r>
      <w:r>
        <w:rPr>
          <w:lang w:val="en-US"/>
        </w:rPr>
        <w:t>.</w:t>
      </w:r>
    </w:p>
    <w:p w14:paraId="36B6A5A8" w14:textId="77777777" w:rsidR="00F667F5" w:rsidRDefault="00F667F5" w:rsidP="00D25C58">
      <w:pPr>
        <w:jc w:val="both"/>
        <w:rPr>
          <w:lang w:val="en-US"/>
        </w:rPr>
      </w:pPr>
    </w:p>
    <w:p w14:paraId="01A8E2D0" w14:textId="6D0E4775" w:rsidR="00900876" w:rsidRDefault="00E66890" w:rsidP="00D25C58">
      <w:pPr>
        <w:jc w:val="both"/>
        <w:rPr>
          <w:noProof/>
        </w:rPr>
      </w:pPr>
      <w:r>
        <w:rPr>
          <w:lang w:val="en-US"/>
        </w:rPr>
        <w:t xml:space="preserve">When </w:t>
      </w:r>
      <w:r w:rsidR="00B3213B">
        <w:rPr>
          <w:lang w:val="en-US"/>
        </w:rPr>
        <w:t>considering</w:t>
      </w:r>
      <w:r>
        <w:rPr>
          <w:lang w:val="en-US"/>
        </w:rPr>
        <w:t xml:space="preserve"> competitive forces,</w:t>
      </w:r>
      <w:r w:rsidR="00B3213B">
        <w:rPr>
          <w:lang w:val="en-US"/>
        </w:rPr>
        <w:t xml:space="preserve"> it is useful to refer to</w:t>
      </w:r>
      <w:r>
        <w:rPr>
          <w:lang w:val="en-US"/>
        </w:rPr>
        <w:t xml:space="preserve"> Porters Five Forces Framework </w:t>
      </w:r>
      <w:r>
        <w:rPr>
          <w:noProof/>
        </w:rPr>
        <w:t>(Johnson et al, 2014, p.41)</w:t>
      </w:r>
      <w:r w:rsidR="0009512D">
        <w:rPr>
          <w:noProof/>
        </w:rPr>
        <w:t xml:space="preserve">, aligned to the “strategic positioning school”, or competitive strategy </w:t>
      </w:r>
      <w:sdt>
        <w:sdtPr>
          <w:rPr>
            <w:noProof/>
          </w:rPr>
          <w:id w:val="-1116135701"/>
          <w:citation/>
        </w:sdtPr>
        <w:sdtEndPr/>
        <w:sdtContent>
          <w:r w:rsidR="0009512D">
            <w:rPr>
              <w:noProof/>
            </w:rPr>
            <w:fldChar w:fldCharType="begin"/>
          </w:r>
          <w:r w:rsidR="0009512D">
            <w:rPr>
              <w:noProof/>
            </w:rPr>
            <w:instrText xml:space="preserve">CITATION Fer15 \p 23 \l 2057 </w:instrText>
          </w:r>
          <w:r w:rsidR="0009512D">
            <w:rPr>
              <w:noProof/>
            </w:rPr>
            <w:fldChar w:fldCharType="separate"/>
          </w:r>
          <w:r w:rsidR="0009512D">
            <w:rPr>
              <w:noProof/>
            </w:rPr>
            <w:t>(Ferlie &amp; Ongaro, 2015, p. 23)</w:t>
          </w:r>
          <w:r w:rsidR="0009512D">
            <w:rPr>
              <w:noProof/>
            </w:rPr>
            <w:fldChar w:fldCharType="end"/>
          </w:r>
        </w:sdtContent>
      </w:sdt>
      <w:r w:rsidR="0009512D">
        <w:rPr>
          <w:noProof/>
        </w:rPr>
        <w:t xml:space="preserve"> </w:t>
      </w:r>
      <w:r w:rsidR="00B3213B">
        <w:rPr>
          <w:noProof/>
        </w:rPr>
        <w:t>to consider the viability of a plan, under the following five elements:</w:t>
      </w:r>
    </w:p>
    <w:p w14:paraId="248F0583" w14:textId="1DD32984" w:rsidR="00B3213B" w:rsidRDefault="00B3213B" w:rsidP="00D25C58">
      <w:pPr>
        <w:jc w:val="both"/>
        <w:rPr>
          <w:noProof/>
        </w:rPr>
      </w:pPr>
    </w:p>
    <w:p w14:paraId="48EC65E6" w14:textId="279C3C2F" w:rsidR="00B3213B" w:rsidRDefault="006B2622" w:rsidP="00D25C58">
      <w:pPr>
        <w:pStyle w:val="ListParagraph"/>
        <w:numPr>
          <w:ilvl w:val="0"/>
          <w:numId w:val="24"/>
        </w:numPr>
        <w:jc w:val="both"/>
        <w:rPr>
          <w:lang w:val="en-US"/>
        </w:rPr>
      </w:pPr>
      <w:r>
        <w:rPr>
          <w:lang w:val="en-US"/>
        </w:rPr>
        <w:t>T</w:t>
      </w:r>
      <w:r w:rsidR="00B3213B">
        <w:rPr>
          <w:lang w:val="en-US"/>
        </w:rPr>
        <w:t>hreat of entry</w:t>
      </w:r>
      <w:r w:rsidR="000F0164">
        <w:rPr>
          <w:lang w:val="en-US"/>
        </w:rPr>
        <w:t xml:space="preserve">, that is an organisation who can enter your business area and provide the service you do.  In </w:t>
      </w:r>
      <w:r>
        <w:rPr>
          <w:lang w:val="en-US"/>
        </w:rPr>
        <w:t xml:space="preserve">the </w:t>
      </w:r>
      <w:r w:rsidR="000F0164">
        <w:rPr>
          <w:lang w:val="en-US"/>
        </w:rPr>
        <w:t>p</w:t>
      </w:r>
      <w:r>
        <w:rPr>
          <w:lang w:val="en-US"/>
        </w:rPr>
        <w:t>ublic sector</w:t>
      </w:r>
      <w:r w:rsidR="000F0164">
        <w:rPr>
          <w:lang w:val="en-US"/>
        </w:rPr>
        <w:t>, this is often mitigated by statutory obligations, but outsourcing could be considered</w:t>
      </w:r>
      <w:r w:rsidR="003D0218">
        <w:rPr>
          <w:lang w:val="en-US"/>
        </w:rPr>
        <w:t xml:space="preserve"> </w:t>
      </w:r>
      <w:r w:rsidR="003D0218">
        <w:rPr>
          <w:noProof/>
        </w:rPr>
        <w:t>(Flynn &amp; Asquer, 2017)</w:t>
      </w:r>
      <w:r w:rsidR="000F0164">
        <w:rPr>
          <w:lang w:val="en-US"/>
        </w:rPr>
        <w:t>, e.g. housing associations offering social housing in the place of local authorities</w:t>
      </w:r>
      <w:r w:rsidR="00281B4F">
        <w:rPr>
          <w:lang w:val="en-US"/>
        </w:rPr>
        <w:t xml:space="preserve"> thus attracting funding</w:t>
      </w:r>
      <w:r w:rsidR="000F0164">
        <w:rPr>
          <w:lang w:val="en-US"/>
        </w:rPr>
        <w:t xml:space="preserve">. </w:t>
      </w:r>
    </w:p>
    <w:p w14:paraId="2978E6C1" w14:textId="791B813E" w:rsidR="00B3213B" w:rsidRDefault="006B2622" w:rsidP="00D25C58">
      <w:pPr>
        <w:pStyle w:val="ListParagraph"/>
        <w:numPr>
          <w:ilvl w:val="0"/>
          <w:numId w:val="24"/>
        </w:numPr>
        <w:jc w:val="both"/>
        <w:rPr>
          <w:lang w:val="en-US"/>
        </w:rPr>
      </w:pPr>
      <w:r>
        <w:rPr>
          <w:lang w:val="en-US"/>
        </w:rPr>
        <w:t>T</w:t>
      </w:r>
      <w:r w:rsidR="00B3213B">
        <w:rPr>
          <w:lang w:val="en-US"/>
        </w:rPr>
        <w:t>hreat of substitutes</w:t>
      </w:r>
      <w:r w:rsidR="000F0164">
        <w:rPr>
          <w:lang w:val="en-US"/>
        </w:rPr>
        <w:t xml:space="preserve">, or another extra-industry body who can deliver a substitute for your product.  Engineering improvements can substitute road traffic offence enforcement and so can be considered in this regard.  The limit on this would be the “price/performance ratio”, i.e. this would usually mean a more expensive option and so would mitigate the threat </w:t>
      </w:r>
      <w:r w:rsidR="00565715">
        <w:rPr>
          <w:noProof/>
        </w:rPr>
        <w:t>(Johnson et al, 2014, p. 45).</w:t>
      </w:r>
    </w:p>
    <w:p w14:paraId="1A48BD92" w14:textId="63FEE8BB" w:rsidR="00B3213B" w:rsidRDefault="006B2622" w:rsidP="00D25C58">
      <w:pPr>
        <w:pStyle w:val="ListParagraph"/>
        <w:numPr>
          <w:ilvl w:val="0"/>
          <w:numId w:val="24"/>
        </w:numPr>
        <w:jc w:val="both"/>
        <w:rPr>
          <w:lang w:val="en-US"/>
        </w:rPr>
      </w:pPr>
      <w:r>
        <w:rPr>
          <w:lang w:val="en-US"/>
        </w:rPr>
        <w:t>P</w:t>
      </w:r>
      <w:r w:rsidR="00B3213B">
        <w:rPr>
          <w:lang w:val="en-US"/>
        </w:rPr>
        <w:t>ower of buyers</w:t>
      </w:r>
      <w:r w:rsidR="00565715">
        <w:rPr>
          <w:lang w:val="en-US"/>
        </w:rPr>
        <w:t xml:space="preserve">, i.e. the power of direct relationships to demand organisational change which can affect profitability. </w:t>
      </w:r>
    </w:p>
    <w:p w14:paraId="61D57C28" w14:textId="15C99147" w:rsidR="00B3213B" w:rsidRDefault="006B2622" w:rsidP="00D25C58">
      <w:pPr>
        <w:pStyle w:val="ListParagraph"/>
        <w:numPr>
          <w:ilvl w:val="0"/>
          <w:numId w:val="24"/>
        </w:numPr>
        <w:jc w:val="both"/>
        <w:rPr>
          <w:lang w:val="en-US"/>
        </w:rPr>
      </w:pPr>
      <w:r>
        <w:rPr>
          <w:lang w:val="en-US"/>
        </w:rPr>
        <w:t>P</w:t>
      </w:r>
      <w:r w:rsidR="00B3213B">
        <w:rPr>
          <w:lang w:val="en-US"/>
        </w:rPr>
        <w:t>ower of suppliers</w:t>
      </w:r>
      <w:r w:rsidR="00565715">
        <w:rPr>
          <w:lang w:val="en-US"/>
        </w:rPr>
        <w:t>, in a public service context, suppliers will often be limited to those on a corporate framework or through limited supplier choice for speciali</w:t>
      </w:r>
      <w:r w:rsidR="00281B4F">
        <w:rPr>
          <w:lang w:val="en-US"/>
        </w:rPr>
        <w:t>s</w:t>
      </w:r>
      <w:r w:rsidR="00565715">
        <w:rPr>
          <w:lang w:val="en-US"/>
        </w:rPr>
        <w:t xml:space="preserve">ed products and can limit some opportunities for competitive advantage. </w:t>
      </w:r>
    </w:p>
    <w:p w14:paraId="02D1185F" w14:textId="6613148C" w:rsidR="00B3213B" w:rsidRDefault="006B2622" w:rsidP="00D25C58">
      <w:pPr>
        <w:pStyle w:val="ListParagraph"/>
        <w:numPr>
          <w:ilvl w:val="0"/>
          <w:numId w:val="24"/>
        </w:numPr>
        <w:jc w:val="both"/>
        <w:rPr>
          <w:lang w:val="en-US"/>
        </w:rPr>
      </w:pPr>
      <w:r>
        <w:rPr>
          <w:lang w:val="en-US"/>
        </w:rPr>
        <w:t>E</w:t>
      </w:r>
      <w:r w:rsidR="00B3213B">
        <w:rPr>
          <w:lang w:val="en-US"/>
        </w:rPr>
        <w:t>xtent of rivalry between competitors</w:t>
      </w:r>
      <w:r w:rsidR="000F0164">
        <w:rPr>
          <w:lang w:val="en-US"/>
        </w:rPr>
        <w:t xml:space="preserve">, i.e. other organisations who can deliver the same service(s) as your organisation.  In the context of GoSafe, police forces could enforce outside of the partnership structure, however communicating the benefits of partnership working can easily reduce this element of competition. </w:t>
      </w:r>
    </w:p>
    <w:p w14:paraId="5155C514" w14:textId="6A646190" w:rsidR="006A2A8D" w:rsidRDefault="006A2A8D" w:rsidP="00D25C58">
      <w:pPr>
        <w:jc w:val="both"/>
        <w:rPr>
          <w:lang w:val="en-US"/>
        </w:rPr>
      </w:pPr>
    </w:p>
    <w:p w14:paraId="27FFCD3F" w14:textId="259A16EC" w:rsidR="006A2A8D" w:rsidRDefault="006A2A8D" w:rsidP="00D25C58">
      <w:pPr>
        <w:jc w:val="both"/>
        <w:rPr>
          <w:lang w:val="en-US"/>
        </w:rPr>
      </w:pPr>
      <w:r>
        <w:rPr>
          <w:lang w:val="en-US"/>
        </w:rPr>
        <w:t xml:space="preserve">Whilst the Five Forces Model </w:t>
      </w:r>
      <w:r w:rsidR="006B2622">
        <w:rPr>
          <w:lang w:val="en-US"/>
        </w:rPr>
        <w:t>could be essential for private industry</w:t>
      </w:r>
      <w:r>
        <w:rPr>
          <w:lang w:val="en-US"/>
        </w:rPr>
        <w:t>, in a public service setting it can have limitations, as it assumes that an organisations</w:t>
      </w:r>
      <w:r w:rsidR="00281B4F">
        <w:rPr>
          <w:lang w:val="en-US"/>
        </w:rPr>
        <w:t>’</w:t>
      </w:r>
      <w:r>
        <w:rPr>
          <w:lang w:val="en-US"/>
        </w:rPr>
        <w:t xml:space="preserve"> goals will be success in a market-place context, i.e. its own success or profitability </w:t>
      </w:r>
      <w:sdt>
        <w:sdtPr>
          <w:rPr>
            <w:lang w:val="en-US"/>
          </w:rPr>
          <w:id w:val="2075542477"/>
          <w:citation/>
        </w:sdtPr>
        <w:sdtEndPr/>
        <w:sdtContent>
          <w:r>
            <w:rPr>
              <w:lang w:val="en-US"/>
            </w:rPr>
            <w:fldChar w:fldCharType="begin"/>
          </w:r>
          <w:r>
            <w:instrText xml:space="preserve"> CITATION Lyn18 \l 2057 </w:instrText>
          </w:r>
          <w:r>
            <w:rPr>
              <w:lang w:val="en-US"/>
            </w:rPr>
            <w:fldChar w:fldCharType="separate"/>
          </w:r>
          <w:r>
            <w:rPr>
              <w:noProof/>
            </w:rPr>
            <w:t>(Lynch, 2018)</w:t>
          </w:r>
          <w:r>
            <w:rPr>
              <w:lang w:val="en-US"/>
            </w:rPr>
            <w:fldChar w:fldCharType="end"/>
          </w:r>
        </w:sdtContent>
      </w:sdt>
      <w:r>
        <w:rPr>
          <w:lang w:val="en-US"/>
        </w:rPr>
        <w:t xml:space="preserve">.  In public sector, often the value to the organisations and public may not provide organisational benefits per </w:t>
      </w:r>
      <w:r w:rsidR="006B2622">
        <w:rPr>
          <w:lang w:val="en-US"/>
        </w:rPr>
        <w:t>se but</w:t>
      </w:r>
      <w:r>
        <w:rPr>
          <w:lang w:val="en-US"/>
        </w:rPr>
        <w:t xml:space="preserve"> will be </w:t>
      </w:r>
      <w:r>
        <w:rPr>
          <w:lang w:val="en-US"/>
        </w:rPr>
        <w:lastRenderedPageBreak/>
        <w:t>a mandated activity or service provision.  It also does not consider the internal resources in great detail, notably human factors.  It also aligns closer with a prescriptive strategy framework and so does not flex well to emergent options.  Despite this, it does offer a useful framework for analysis</w:t>
      </w:r>
      <w:r w:rsidR="006B2622">
        <w:rPr>
          <w:lang w:val="en-US"/>
        </w:rPr>
        <w:t xml:space="preserve"> in a public service setting</w:t>
      </w:r>
      <w:r>
        <w:rPr>
          <w:lang w:val="en-US"/>
        </w:rPr>
        <w:t xml:space="preserve">. </w:t>
      </w:r>
    </w:p>
    <w:p w14:paraId="4AC38386" w14:textId="5D75B405" w:rsidR="006B03A7" w:rsidRDefault="006B03A7" w:rsidP="00D25C58">
      <w:pPr>
        <w:jc w:val="both"/>
        <w:rPr>
          <w:lang w:val="en-US"/>
        </w:rPr>
      </w:pPr>
    </w:p>
    <w:p w14:paraId="68B6CC49" w14:textId="3D330860" w:rsidR="006B03A7" w:rsidRPr="006A2A8D" w:rsidRDefault="00B8252E" w:rsidP="00D25C58">
      <w:pPr>
        <w:jc w:val="both"/>
        <w:rPr>
          <w:lang w:val="en-US"/>
        </w:rPr>
      </w:pPr>
      <w:r>
        <w:rPr>
          <w:noProof/>
          <w:lang w:val="en-US"/>
        </w:rPr>
        <w:drawing>
          <wp:anchor distT="0" distB="0" distL="114300" distR="114300" simplePos="0" relativeHeight="251663360" behindDoc="0" locked="0" layoutInCell="1" allowOverlap="1" wp14:anchorId="1F832429" wp14:editId="0B7DDCF6">
            <wp:simplePos x="0" y="0"/>
            <wp:positionH relativeFrom="page">
              <wp:align>right</wp:align>
            </wp:positionH>
            <wp:positionV relativeFrom="paragraph">
              <wp:posOffset>26453</wp:posOffset>
            </wp:positionV>
            <wp:extent cx="3379470" cy="2092960"/>
            <wp:effectExtent l="0" t="19050" r="0" b="97790"/>
            <wp:wrapThrough wrapText="bothSides">
              <wp:wrapPolygon edited="0">
                <wp:start x="9984" y="-197"/>
                <wp:lineTo x="9497" y="0"/>
                <wp:lineTo x="8401" y="2163"/>
                <wp:lineTo x="8401" y="3539"/>
                <wp:lineTo x="9254" y="6291"/>
                <wp:lineTo x="5601" y="7274"/>
                <wp:lineTo x="3896" y="8257"/>
                <wp:lineTo x="3775" y="10420"/>
                <wp:lineTo x="3896" y="13566"/>
                <wp:lineTo x="7914" y="15728"/>
                <wp:lineTo x="9132" y="15728"/>
                <wp:lineTo x="8401" y="17891"/>
                <wp:lineTo x="8401" y="19464"/>
                <wp:lineTo x="9497" y="22019"/>
                <wp:lineTo x="10106" y="22413"/>
                <wp:lineTo x="11445" y="22413"/>
                <wp:lineTo x="12054" y="22019"/>
                <wp:lineTo x="13150" y="19267"/>
                <wp:lineTo x="13150" y="18087"/>
                <wp:lineTo x="12419" y="15728"/>
                <wp:lineTo x="13759" y="15728"/>
                <wp:lineTo x="17777" y="13566"/>
                <wp:lineTo x="17777" y="8257"/>
                <wp:lineTo x="16316" y="7471"/>
                <wp:lineTo x="12419" y="6291"/>
                <wp:lineTo x="13150" y="3342"/>
                <wp:lineTo x="13150" y="2359"/>
                <wp:lineTo x="12054" y="0"/>
                <wp:lineTo x="11567" y="-197"/>
                <wp:lineTo x="9984" y="-197"/>
              </wp:wrapPolygon>
            </wp:wrapThrough>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14:sizeRelH relativeFrom="margin">
              <wp14:pctWidth>0</wp14:pctWidth>
            </wp14:sizeRelH>
            <wp14:sizeRelV relativeFrom="margin">
              <wp14:pctHeight>0</wp14:pctHeight>
            </wp14:sizeRelV>
          </wp:anchor>
        </w:drawing>
      </w:r>
      <w:r w:rsidR="006B03A7">
        <w:rPr>
          <w:lang w:val="en-US"/>
        </w:rPr>
        <w:t xml:space="preserve">For a partnership organisation, it can be useful to consider the Four Links Model </w:t>
      </w:r>
      <w:sdt>
        <w:sdtPr>
          <w:rPr>
            <w:lang w:val="en-US"/>
          </w:rPr>
          <w:id w:val="-1523236763"/>
          <w:citation/>
        </w:sdtPr>
        <w:sdtEndPr/>
        <w:sdtContent>
          <w:r w:rsidR="006B03A7">
            <w:rPr>
              <w:lang w:val="en-US"/>
            </w:rPr>
            <w:fldChar w:fldCharType="begin"/>
          </w:r>
          <w:r w:rsidR="006B03A7">
            <w:instrText xml:space="preserve"> CITATION Lyn18 \l 2057 </w:instrText>
          </w:r>
          <w:r w:rsidR="006B03A7">
            <w:rPr>
              <w:lang w:val="en-US"/>
            </w:rPr>
            <w:fldChar w:fldCharType="separate"/>
          </w:r>
          <w:r w:rsidR="006B03A7">
            <w:rPr>
              <w:noProof/>
            </w:rPr>
            <w:t>(Lynch, 2018)</w:t>
          </w:r>
          <w:r w:rsidR="006B03A7">
            <w:rPr>
              <w:lang w:val="en-US"/>
            </w:rPr>
            <w:fldChar w:fldCharType="end"/>
          </w:r>
        </w:sdtContent>
      </w:sdt>
      <w:r>
        <w:rPr>
          <w:lang w:val="en-US"/>
        </w:rPr>
        <w:t xml:space="preserve"> as it considers the cooperation between partner agencies for mutual benefit, in as much as it may offer economic benefits, , </w:t>
      </w:r>
      <w:r w:rsidR="006B2622">
        <w:rPr>
          <w:lang w:val="en-US"/>
        </w:rPr>
        <w:t xml:space="preserve">allow </w:t>
      </w:r>
      <w:r>
        <w:rPr>
          <w:lang w:val="en-US"/>
        </w:rPr>
        <w:t>build</w:t>
      </w:r>
      <w:r w:rsidR="006B2622">
        <w:rPr>
          <w:lang w:val="en-US"/>
        </w:rPr>
        <w:t>ing of</w:t>
      </w:r>
      <w:r>
        <w:rPr>
          <w:lang w:val="en-US"/>
        </w:rPr>
        <w:t xml:space="preserve"> relationships and allow opportunities to achieve mutual goals.    These can be informal, formal, complementary or governmental links.  An informal linkage can develop by </w:t>
      </w:r>
      <w:proofErr w:type="gramStart"/>
      <w:r>
        <w:rPr>
          <w:lang w:val="en-US"/>
        </w:rPr>
        <w:t>accident, but</w:t>
      </w:r>
      <w:proofErr w:type="gramEnd"/>
      <w:r>
        <w:rPr>
          <w:lang w:val="en-US"/>
        </w:rPr>
        <w:t xml:space="preserve"> can offer opportunities in terms of mutual benefits.  Co-operative linkages in a public sector setting can be mandated, or else regulated, for example through the service level agreement in GoSafe.  Complementors are those organisations whose work with your organisation can be of benefit rather than the two operating in isolation. </w:t>
      </w:r>
    </w:p>
    <w:p w14:paraId="28487395" w14:textId="35D57A5C" w:rsidR="00A833DA" w:rsidRDefault="00C46BEA" w:rsidP="001E5A39">
      <w:pPr>
        <w:pStyle w:val="Heading1"/>
      </w:pPr>
      <w:r>
        <w:rPr>
          <w:noProof/>
        </w:rPr>
        <mc:AlternateContent>
          <mc:Choice Requires="wps">
            <w:drawing>
              <wp:anchor distT="45720" distB="45720" distL="114300" distR="114300" simplePos="0" relativeHeight="251665408" behindDoc="0" locked="0" layoutInCell="1" allowOverlap="1" wp14:anchorId="6AB742BA" wp14:editId="42FC6F9A">
                <wp:simplePos x="0" y="0"/>
                <wp:positionH relativeFrom="margin">
                  <wp:posOffset>4044596</wp:posOffset>
                </wp:positionH>
                <wp:positionV relativeFrom="paragraph">
                  <wp:posOffset>84897</wp:posOffset>
                </wp:positionV>
                <wp:extent cx="1990725" cy="1404620"/>
                <wp:effectExtent l="0" t="0" r="9525" b="127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90725" cy="1404620"/>
                        </a:xfrm>
                        <a:prstGeom prst="rect">
                          <a:avLst/>
                        </a:prstGeom>
                        <a:solidFill>
                          <a:srgbClr val="FFFFFF"/>
                        </a:solidFill>
                        <a:ln w="9525">
                          <a:noFill/>
                          <a:miter lim="800000"/>
                          <a:headEnd/>
                          <a:tailEnd/>
                        </a:ln>
                      </wps:spPr>
                      <wps:txbx>
                        <w:txbxContent>
                          <w:p w14:paraId="70576066" w14:textId="77777777" w:rsidR="001F6844" w:rsidRPr="00C46BEA" w:rsidRDefault="001F6844" w:rsidP="00C46BEA">
                            <w:pPr>
                              <w:rPr>
                                <w:i/>
                                <w:iCs/>
                                <w:sz w:val="20"/>
                                <w:szCs w:val="20"/>
                              </w:rPr>
                            </w:pPr>
                            <w:r w:rsidRPr="00C46BEA">
                              <w:rPr>
                                <w:i/>
                                <w:iCs/>
                                <w:sz w:val="20"/>
                                <w:szCs w:val="20"/>
                              </w:rPr>
                              <w:t>Figure 1. From Lynch (2018)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AB742BA" id="_x0000_s1028" type="#_x0000_t202" style="position:absolute;margin-left:318.45pt;margin-top:6.7pt;width:156.75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" stroked="f">
                <v:textbox style="mso-fit-shape-to-text:t">
                  <w:txbxContent>
                    <w:p w14:paraId="70576066" w14:textId="77777777" w:rsidR="001F6844" w:rsidRPr="00C46BEA" w:rsidRDefault="001F6844" w:rsidP="00C46BEA">
                      <w:pPr>
                        <w:rPr>
                          <w:i/>
                          <w:iCs/>
                          <w:sz w:val="20"/>
                          <w:szCs w:val="20"/>
                        </w:rPr>
                      </w:pPr>
                      <w:r w:rsidRPr="00C46BEA">
                        <w:rPr>
                          <w:i/>
                          <w:iCs/>
                          <w:sz w:val="20"/>
                          <w:szCs w:val="20"/>
                        </w:rPr>
                        <w:t>Figure 1. From Lynch (2018)</w:t>
                      </w:r>
                    </w:p>
                  </w:txbxContent>
                </v:textbox>
                <w10:wrap type="square" anchorx="margin"/>
              </v:shape>
            </w:pict>
          </mc:Fallback>
        </mc:AlternateContent>
      </w:r>
      <w:r w:rsidR="00D625A9">
        <w:t>Strateg</w:t>
      </w:r>
      <w:r w:rsidR="009A7E6C">
        <w:t>ic</w:t>
      </w:r>
      <w:r w:rsidR="00D625A9">
        <w:t xml:space="preserve"> </w:t>
      </w:r>
      <w:r w:rsidR="008605BE">
        <w:t>Choice</w:t>
      </w:r>
      <w:r w:rsidR="001E5A39">
        <w:t xml:space="preserve">  </w:t>
      </w:r>
    </w:p>
    <w:p w14:paraId="07744911" w14:textId="77777777" w:rsidR="001E5A39" w:rsidRPr="001E5A39" w:rsidRDefault="001E5A39" w:rsidP="001E5A39"/>
    <w:p w14:paraId="42BBB840" w14:textId="14E5691D" w:rsidR="00900876" w:rsidRDefault="00A833DA" w:rsidP="00D25C58">
      <w:pPr>
        <w:jc w:val="both"/>
        <w:rPr>
          <w:lang w:val="en-US"/>
        </w:rPr>
      </w:pPr>
      <w:r>
        <w:rPr>
          <w:lang w:val="en-US"/>
        </w:rPr>
        <w:t xml:space="preserve">Once strategic analysis is complete, </w:t>
      </w:r>
      <w:r w:rsidR="001E5A39">
        <w:rPr>
          <w:lang w:val="en-US"/>
        </w:rPr>
        <w:t>and has identified</w:t>
      </w:r>
      <w:r w:rsidR="005B7807">
        <w:rPr>
          <w:lang w:val="en-US"/>
        </w:rPr>
        <w:t xml:space="preserve"> the mission</w:t>
      </w:r>
      <w:r w:rsidR="001E5A39">
        <w:rPr>
          <w:lang w:val="en-US"/>
        </w:rPr>
        <w:t xml:space="preserve">, objectives and completed an analysis, then strategic choices are possible </w:t>
      </w:r>
      <w:sdt>
        <w:sdtPr>
          <w:rPr>
            <w:lang w:val="en-US"/>
          </w:rPr>
          <w:id w:val="803653707"/>
          <w:citation/>
        </w:sdtPr>
        <w:sdtEndPr/>
        <w:sdtContent>
          <w:r w:rsidR="005B7807">
            <w:rPr>
              <w:lang w:val="en-US"/>
            </w:rPr>
            <w:fldChar w:fldCharType="begin"/>
          </w:r>
          <w:r w:rsidR="005B7807">
            <w:instrText xml:space="preserve"> CITATION Bar12 \l 2057 </w:instrText>
          </w:r>
          <w:r w:rsidR="005B7807">
            <w:rPr>
              <w:lang w:val="en-US"/>
            </w:rPr>
            <w:fldChar w:fldCharType="separate"/>
          </w:r>
          <w:r w:rsidR="005B7807">
            <w:rPr>
              <w:noProof/>
            </w:rPr>
            <w:t>(Barney &amp; Hesterly, 2012)</w:t>
          </w:r>
          <w:r w:rsidR="005B7807">
            <w:rPr>
              <w:lang w:val="en-US"/>
            </w:rPr>
            <w:fldChar w:fldCharType="end"/>
          </w:r>
        </w:sdtContent>
      </w:sdt>
      <w:r w:rsidR="005B7807">
        <w:rPr>
          <w:lang w:val="en-US"/>
        </w:rPr>
        <w:t xml:space="preserve">.  Then, </w:t>
      </w:r>
      <w:r>
        <w:rPr>
          <w:lang w:val="en-US"/>
        </w:rPr>
        <w:t xml:space="preserve">the identified </w:t>
      </w:r>
      <w:r w:rsidR="005B7807">
        <w:rPr>
          <w:lang w:val="en-US"/>
        </w:rPr>
        <w:t xml:space="preserve">strategic </w:t>
      </w:r>
      <w:r>
        <w:rPr>
          <w:lang w:val="en-US"/>
        </w:rPr>
        <w:t xml:space="preserve">options </w:t>
      </w:r>
      <w:r w:rsidR="00281B4F">
        <w:rPr>
          <w:lang w:val="en-US"/>
        </w:rPr>
        <w:t>should</w:t>
      </w:r>
      <w:r>
        <w:rPr>
          <w:lang w:val="en-US"/>
        </w:rPr>
        <w:t xml:space="preserve"> be developed.  The options within the plan should complement the skills and relationships existing in the organisation, or else can easily be developed </w:t>
      </w:r>
      <w:sdt>
        <w:sdtPr>
          <w:rPr>
            <w:lang w:val="en-US"/>
          </w:rPr>
          <w:id w:val="1234588312"/>
          <w:citation/>
        </w:sdtPr>
        <w:sdtEndPr/>
        <w:sdtContent>
          <w:r>
            <w:rPr>
              <w:lang w:val="en-US"/>
            </w:rPr>
            <w:fldChar w:fldCharType="begin"/>
          </w:r>
          <w:r>
            <w:instrText xml:space="preserve"> CITATION Lyn18 \l 2057 </w:instrText>
          </w:r>
          <w:r>
            <w:rPr>
              <w:lang w:val="en-US"/>
            </w:rPr>
            <w:fldChar w:fldCharType="separate"/>
          </w:r>
          <w:r>
            <w:rPr>
              <w:noProof/>
            </w:rPr>
            <w:t>(Lynch, 2018)</w:t>
          </w:r>
          <w:r>
            <w:rPr>
              <w:lang w:val="en-US"/>
            </w:rPr>
            <w:fldChar w:fldCharType="end"/>
          </w:r>
        </w:sdtContent>
      </w:sdt>
      <w:r>
        <w:rPr>
          <w:lang w:val="en-US"/>
        </w:rPr>
        <w:t>.</w:t>
      </w:r>
      <w:r w:rsidR="0019098C">
        <w:rPr>
          <w:lang w:val="en-US"/>
        </w:rPr>
        <w:t xml:space="preserve"> In terms of decision making in a strategic context, this can be a historic review of data, cost-benefit analysis of following a defined strategy, considering stakeholder preferences and th</w:t>
      </w:r>
      <w:r w:rsidR="00281B4F">
        <w:rPr>
          <w:lang w:val="en-US"/>
        </w:rPr>
        <w:t>r</w:t>
      </w:r>
      <w:r w:rsidR="0019098C">
        <w:rPr>
          <w:lang w:val="en-US"/>
        </w:rPr>
        <w:t xml:space="preserve">ough objective gathering of evidence </w:t>
      </w:r>
      <w:sdt>
        <w:sdtPr>
          <w:rPr>
            <w:lang w:val="en-US"/>
          </w:rPr>
          <w:id w:val="1802265801"/>
          <w:citation/>
        </w:sdtPr>
        <w:sdtEndPr/>
        <w:sdtContent>
          <w:r w:rsidR="0019098C">
            <w:rPr>
              <w:lang w:val="en-US"/>
            </w:rPr>
            <w:fldChar w:fldCharType="begin"/>
          </w:r>
          <w:r w:rsidR="0019098C">
            <w:instrText xml:space="preserve"> CITATION Buc19 \l 2057 </w:instrText>
          </w:r>
          <w:r w:rsidR="0019098C">
            <w:rPr>
              <w:lang w:val="en-US"/>
            </w:rPr>
            <w:fldChar w:fldCharType="separate"/>
          </w:r>
          <w:r w:rsidR="0019098C">
            <w:rPr>
              <w:noProof/>
            </w:rPr>
            <w:t>(Buchanan &amp; Huczynski, 2019)</w:t>
          </w:r>
          <w:r w:rsidR="0019098C">
            <w:rPr>
              <w:lang w:val="en-US"/>
            </w:rPr>
            <w:fldChar w:fldCharType="end"/>
          </w:r>
        </w:sdtContent>
      </w:sdt>
      <w:r w:rsidR="0019098C">
        <w:rPr>
          <w:lang w:val="en-US"/>
        </w:rPr>
        <w:t>.</w:t>
      </w:r>
      <w:r w:rsidR="009A7E6C">
        <w:rPr>
          <w:lang w:val="en-US"/>
        </w:rPr>
        <w:t xml:space="preserve"> The other requirements of strategic choice are to choose a strategy that will deliver the organisations’ mission and objectives.</w:t>
      </w:r>
    </w:p>
    <w:p w14:paraId="6C077FB2" w14:textId="25E8504F" w:rsidR="00377AC1" w:rsidRDefault="00377AC1" w:rsidP="00D25C58">
      <w:pPr>
        <w:jc w:val="both"/>
        <w:rPr>
          <w:lang w:val="en-US"/>
        </w:rPr>
      </w:pPr>
    </w:p>
    <w:p w14:paraId="0FD36C4C" w14:textId="77777777" w:rsidR="00377AC1" w:rsidRDefault="00377AC1" w:rsidP="00377AC1">
      <w:pPr>
        <w:widowControl/>
        <w:suppressAutoHyphens w:val="0"/>
        <w:jc w:val="both"/>
        <w:rPr>
          <w:noProof/>
        </w:rPr>
      </w:pPr>
      <w:r>
        <w:t xml:space="preserve">The feasibility of the strategy, and whether it can work when implemented should be assessed as to whether it is financially feasible, i.e. whether the funds are available; whether the “skills, knowledge and experience of people in the organisation” are sufficient to be delivered, or else need developing </w:t>
      </w:r>
      <w:r>
        <w:rPr>
          <w:noProof/>
        </w:rPr>
        <w:t xml:space="preserve">(Johnson et al, 2014, p. 392).  These resources are not unique to successful implementation, and due regard should be given to physical resources such as vehicles, buildings, and partner resources and how well these can be integrated. </w:t>
      </w:r>
    </w:p>
    <w:p w14:paraId="578BB1B0" w14:textId="77777777" w:rsidR="00A833DA" w:rsidRDefault="00A833DA" w:rsidP="00D25C58">
      <w:pPr>
        <w:jc w:val="both"/>
        <w:rPr>
          <w:lang w:val="en-US"/>
        </w:rPr>
      </w:pPr>
    </w:p>
    <w:p w14:paraId="4B73CDF3" w14:textId="37CA2E88" w:rsidR="00AF3670" w:rsidRDefault="00900876" w:rsidP="00D25C58">
      <w:pPr>
        <w:jc w:val="both"/>
        <w:rPr>
          <w:lang w:val="en-US"/>
        </w:rPr>
      </w:pPr>
      <w:r>
        <w:rPr>
          <w:lang w:val="en-US"/>
        </w:rPr>
        <w:t xml:space="preserve">Any strategy should </w:t>
      </w:r>
      <w:r w:rsidR="00AF3670" w:rsidRPr="00AF3670">
        <w:rPr>
          <w:lang w:val="en-US"/>
        </w:rPr>
        <w:t xml:space="preserve">outline the standards and ethics of the organisation and consider the satisfaction of its’ external stakeholders (Dworzecki &amp; Hryszkiewicz, 2016).  Worrall, Collinge, &amp; Bill (1998) discuss the definitions of strategy by Mintzberg (1994) and its “evolutionary view” of the process of strategic planning.  </w:t>
      </w:r>
      <w:r>
        <w:rPr>
          <w:lang w:val="en-US"/>
        </w:rPr>
        <w:t>T</w:t>
      </w:r>
      <w:r w:rsidR="00AF3670" w:rsidRPr="00AF3670">
        <w:rPr>
          <w:lang w:val="en-US"/>
        </w:rPr>
        <w:t>hey contend that the complex public service context will affect the realised strategy, i.e. what was achieved</w:t>
      </w:r>
      <w:r>
        <w:rPr>
          <w:lang w:val="en-US"/>
        </w:rPr>
        <w:t xml:space="preserve">, </w:t>
      </w:r>
      <w:r w:rsidR="00AF3670" w:rsidRPr="00AF3670">
        <w:rPr>
          <w:lang w:val="en-US"/>
        </w:rPr>
        <w:t xml:space="preserve">and therefore any planned </w:t>
      </w:r>
      <w:r w:rsidR="006B2622" w:rsidRPr="006B2622">
        <w:rPr>
          <w:lang w:val="en-US"/>
        </w:rPr>
        <w:t xml:space="preserve">activities </w:t>
      </w:r>
      <w:r>
        <w:rPr>
          <w:lang w:val="en-US"/>
        </w:rPr>
        <w:t>should</w:t>
      </w:r>
      <w:r w:rsidR="00AF3670" w:rsidRPr="00AF3670">
        <w:rPr>
          <w:lang w:val="en-US"/>
        </w:rPr>
        <w:t xml:space="preserve"> consider what activities are chosen to be included in any strategic plan</w:t>
      </w:r>
      <w:r>
        <w:rPr>
          <w:lang w:val="en-US"/>
        </w:rPr>
        <w:t>.  It</w:t>
      </w:r>
      <w:r w:rsidR="00AF3670" w:rsidRPr="00AF3670">
        <w:rPr>
          <w:lang w:val="en-US"/>
        </w:rPr>
        <w:t xml:space="preserve"> should also consider the organisational resources and human factors, i.e. skillset and capacity to deliver when planning. </w:t>
      </w:r>
      <w:r w:rsidR="00823AC4">
        <w:rPr>
          <w:lang w:val="en-US"/>
        </w:rPr>
        <w:t xml:space="preserve"> Very often, a S</w:t>
      </w:r>
      <w:r w:rsidR="00281B4F">
        <w:rPr>
          <w:lang w:val="en-US"/>
        </w:rPr>
        <w:t>trengths, Weakness, Opportunities and Threats (S</w:t>
      </w:r>
      <w:r w:rsidR="00823AC4">
        <w:rPr>
          <w:lang w:val="en-US"/>
        </w:rPr>
        <w:t>WOT</w:t>
      </w:r>
      <w:r w:rsidR="00281B4F">
        <w:rPr>
          <w:lang w:val="en-US"/>
        </w:rPr>
        <w:t>)</w:t>
      </w:r>
      <w:r w:rsidR="00823AC4">
        <w:rPr>
          <w:lang w:val="en-US"/>
        </w:rPr>
        <w:t xml:space="preserve"> analysis </w:t>
      </w:r>
      <w:r w:rsidR="00051CFE">
        <w:rPr>
          <w:lang w:val="en-US"/>
        </w:rPr>
        <w:t xml:space="preserve">will be a starting point to understand the current position for an organisation and </w:t>
      </w:r>
      <w:r w:rsidR="00172190">
        <w:rPr>
          <w:lang w:val="en-US"/>
        </w:rPr>
        <w:t xml:space="preserve">identify areas for development. </w:t>
      </w:r>
      <w:r w:rsidR="000312DD">
        <w:rPr>
          <w:lang w:val="en-US"/>
        </w:rPr>
        <w:t xml:space="preserve">Critics of the SWOT analysis claim it to only consider current position and near-future elements and so consideration of a longer term element of the SWOT analysis should be paid due regard </w:t>
      </w:r>
      <w:sdt>
        <w:sdtPr>
          <w:rPr>
            <w:lang w:val="en-US"/>
          </w:rPr>
          <w:id w:val="1981727783"/>
          <w:citation/>
        </w:sdtPr>
        <w:sdtEndPr/>
        <w:sdtContent>
          <w:r w:rsidR="000312DD">
            <w:rPr>
              <w:lang w:val="en-US"/>
            </w:rPr>
            <w:fldChar w:fldCharType="begin"/>
          </w:r>
          <w:r w:rsidR="000312DD">
            <w:instrText xml:space="preserve"> CITATION Fin00 \l 2057 </w:instrText>
          </w:r>
          <w:r w:rsidR="000312DD">
            <w:rPr>
              <w:lang w:val="en-US"/>
            </w:rPr>
            <w:fldChar w:fldCharType="separate"/>
          </w:r>
          <w:r w:rsidR="000312DD">
            <w:rPr>
              <w:noProof/>
            </w:rPr>
            <w:t>(Finlay, 2000)</w:t>
          </w:r>
          <w:r w:rsidR="000312DD">
            <w:rPr>
              <w:lang w:val="en-US"/>
            </w:rPr>
            <w:fldChar w:fldCharType="end"/>
          </w:r>
        </w:sdtContent>
      </w:sdt>
      <w:r w:rsidR="000312DD">
        <w:rPr>
          <w:lang w:val="en-US"/>
        </w:rPr>
        <w:t>, however they are useful in determining future strategic resources required.</w:t>
      </w:r>
    </w:p>
    <w:p w14:paraId="12F9C907" w14:textId="6900AE14" w:rsidR="00B756EB" w:rsidRDefault="00B756EB" w:rsidP="00D25C58">
      <w:pPr>
        <w:jc w:val="both"/>
        <w:rPr>
          <w:lang w:val="en-US"/>
        </w:rPr>
      </w:pPr>
    </w:p>
    <w:p w14:paraId="5A23274E" w14:textId="3B6C16F8" w:rsidR="00B756EB" w:rsidRDefault="00B756EB" w:rsidP="00D25C58">
      <w:pPr>
        <w:jc w:val="both"/>
        <w:rPr>
          <w:lang w:val="en-US"/>
        </w:rPr>
      </w:pPr>
      <w:r>
        <w:rPr>
          <w:lang w:val="en-US"/>
        </w:rPr>
        <w:t xml:space="preserve">Strategy can also be supported by organisational design, for example the McKinsey 7-S framework, which can serve as a checklist in testing how strategy should be designed (Johnson et al. 2014). </w:t>
      </w:r>
      <w:r w:rsidR="00232FD5">
        <w:rPr>
          <w:lang w:val="en-US"/>
        </w:rPr>
        <w:t xml:space="preserve"> Ferlie and Ongaro (2015) link McKinsey to strategies that consider specifically the organisational culture when forming strategy, i.e. “the cultural school” (p.38). </w:t>
      </w:r>
      <w:r>
        <w:rPr>
          <w:lang w:val="en-US"/>
        </w:rPr>
        <w:t>The 7-</w:t>
      </w:r>
      <w:proofErr w:type="gramStart"/>
      <w:r>
        <w:rPr>
          <w:lang w:val="en-US"/>
        </w:rPr>
        <w:t>S’s</w:t>
      </w:r>
      <w:proofErr w:type="gramEnd"/>
      <w:r>
        <w:rPr>
          <w:lang w:val="en-US"/>
        </w:rPr>
        <w:t xml:space="preserve"> </w:t>
      </w:r>
      <w:r w:rsidR="00232FD5">
        <w:rPr>
          <w:lang w:val="en-US"/>
        </w:rPr>
        <w:t xml:space="preserve">cited my McKinsey </w:t>
      </w:r>
      <w:r>
        <w:rPr>
          <w:lang w:val="en-US"/>
        </w:rPr>
        <w:t>are strategy, structure, systems and;</w:t>
      </w:r>
    </w:p>
    <w:p w14:paraId="39D2EB5D" w14:textId="6B9C1597" w:rsidR="00B756EB" w:rsidRDefault="00B756EB" w:rsidP="00D25C58">
      <w:pPr>
        <w:jc w:val="both"/>
        <w:rPr>
          <w:lang w:val="en-US"/>
        </w:rPr>
      </w:pPr>
    </w:p>
    <w:p w14:paraId="5DF534A5" w14:textId="4C10D1FE" w:rsidR="00B756EB" w:rsidRDefault="00B756EB" w:rsidP="00B756EB">
      <w:pPr>
        <w:pStyle w:val="ListParagraph"/>
        <w:numPr>
          <w:ilvl w:val="0"/>
          <w:numId w:val="25"/>
        </w:numPr>
        <w:jc w:val="both"/>
        <w:rPr>
          <w:lang w:val="en-US"/>
        </w:rPr>
      </w:pPr>
      <w:r>
        <w:rPr>
          <w:lang w:val="en-US"/>
        </w:rPr>
        <w:t>Style, specifically the style of leadership.  Whilst there are many styles of leadership, such as collaborative or coercive; the behavioural style will influence organisational culture and so should be given due regard.</w:t>
      </w:r>
    </w:p>
    <w:p w14:paraId="3C54E281" w14:textId="03827C5E" w:rsidR="00B756EB" w:rsidRDefault="00B756EB" w:rsidP="00B756EB">
      <w:pPr>
        <w:pStyle w:val="ListParagraph"/>
        <w:numPr>
          <w:ilvl w:val="0"/>
          <w:numId w:val="25"/>
        </w:numPr>
        <w:jc w:val="both"/>
        <w:rPr>
          <w:lang w:val="en-US"/>
        </w:rPr>
      </w:pPr>
      <w:r>
        <w:rPr>
          <w:lang w:val="en-US"/>
        </w:rPr>
        <w:t>Staff: does the organisation have the human resources to deliver.</w:t>
      </w:r>
    </w:p>
    <w:p w14:paraId="3FE9D553" w14:textId="01C7A753" w:rsidR="00B756EB" w:rsidRDefault="00B756EB" w:rsidP="00B756EB">
      <w:pPr>
        <w:pStyle w:val="ListParagraph"/>
        <w:numPr>
          <w:ilvl w:val="0"/>
          <w:numId w:val="25"/>
        </w:numPr>
        <w:jc w:val="both"/>
        <w:rPr>
          <w:lang w:val="en-US"/>
        </w:rPr>
      </w:pPr>
      <w:r>
        <w:rPr>
          <w:lang w:val="en-US"/>
        </w:rPr>
        <w:t>Skills: do the staff have the appropriate capabilities to deliver.</w:t>
      </w:r>
    </w:p>
    <w:p w14:paraId="636ADA8A" w14:textId="4445E49B" w:rsidR="00B756EB" w:rsidRPr="00B756EB" w:rsidRDefault="00B756EB" w:rsidP="00B756EB">
      <w:pPr>
        <w:pStyle w:val="ListParagraph"/>
        <w:numPr>
          <w:ilvl w:val="0"/>
          <w:numId w:val="25"/>
        </w:numPr>
        <w:jc w:val="both"/>
        <w:rPr>
          <w:lang w:val="en-US"/>
        </w:rPr>
      </w:pPr>
      <w:r>
        <w:rPr>
          <w:lang w:val="en-US"/>
        </w:rPr>
        <w:t>Superordinate goals, or the organisations overarching mission – the central point of the organisational structure and 7-S framework</w:t>
      </w:r>
    </w:p>
    <w:p w14:paraId="5A6852A7" w14:textId="6F37A99B" w:rsidR="00AF3670" w:rsidRDefault="00AF3670" w:rsidP="00D25C58">
      <w:pPr>
        <w:jc w:val="both"/>
        <w:rPr>
          <w:lang w:val="en-US"/>
        </w:rPr>
      </w:pPr>
    </w:p>
    <w:p w14:paraId="16D4E9E1" w14:textId="6A64DD7C" w:rsidR="00AF3670" w:rsidRPr="00F667F5" w:rsidRDefault="00F667F5" w:rsidP="00D25C58">
      <w:pPr>
        <w:jc w:val="both"/>
        <w:rPr>
          <w:lang w:val="en-US"/>
        </w:rPr>
      </w:pPr>
      <w:r>
        <w:rPr>
          <w:lang w:val="en-US"/>
        </w:rPr>
        <w:t>The plan should seek to a</w:t>
      </w:r>
      <w:r w:rsidR="00AF3670" w:rsidRPr="00F667F5">
        <w:rPr>
          <w:lang w:val="en-US"/>
        </w:rPr>
        <w:t xml:space="preserve">lign stakeholders to </w:t>
      </w:r>
      <w:r>
        <w:rPr>
          <w:lang w:val="en-US"/>
        </w:rPr>
        <w:t xml:space="preserve">the </w:t>
      </w:r>
      <w:r w:rsidR="00AF3670" w:rsidRPr="00F667F5">
        <w:rPr>
          <w:lang w:val="en-US"/>
        </w:rPr>
        <w:t>organisational purpose and set out to manage the stakeholder relationship and</w:t>
      </w:r>
      <w:r>
        <w:rPr>
          <w:lang w:val="en-US"/>
        </w:rPr>
        <w:t xml:space="preserve"> provide</w:t>
      </w:r>
      <w:r w:rsidR="00AF3670" w:rsidRPr="00F667F5">
        <w:rPr>
          <w:lang w:val="en-US"/>
        </w:rPr>
        <w:t xml:space="preserve"> oversight and scrutiny </w:t>
      </w:r>
      <w:r>
        <w:rPr>
          <w:lang w:val="en-US"/>
        </w:rPr>
        <w:t xml:space="preserve">of operational activity </w:t>
      </w:r>
      <w:r w:rsidR="00AF3670" w:rsidRPr="00F667F5">
        <w:rPr>
          <w:lang w:val="en-US"/>
        </w:rPr>
        <w:t>(Rogers, McIntyre, &amp; Caputo, 2020)</w:t>
      </w:r>
      <w:r>
        <w:rPr>
          <w:lang w:val="en-US"/>
        </w:rPr>
        <w:t>.</w:t>
      </w:r>
    </w:p>
    <w:p w14:paraId="60CD76C8" w14:textId="0A44A87C" w:rsidR="00F667F5" w:rsidRDefault="00AF3670" w:rsidP="00D25C58">
      <w:pPr>
        <w:jc w:val="both"/>
        <w:rPr>
          <w:lang w:val="en-US"/>
        </w:rPr>
      </w:pPr>
      <w:r w:rsidRPr="00AF3670">
        <w:rPr>
          <w:lang w:val="en-US"/>
        </w:rPr>
        <w:t>In considering the value that the partnership activity should provide for the public, it would be prudent to consider the values that the public perceive</w:t>
      </w:r>
      <w:r w:rsidR="006B2622">
        <w:rPr>
          <w:lang w:val="en-US"/>
        </w:rPr>
        <w:t xml:space="preserve"> as valuable</w:t>
      </w:r>
      <w:r w:rsidRPr="00AF3670">
        <w:rPr>
          <w:lang w:val="en-US"/>
        </w:rPr>
        <w:t xml:space="preserve"> as outlined by Hartley, Parker, &amp; Beashel (2019) and the difference </w:t>
      </w:r>
      <w:r w:rsidR="00F667F5">
        <w:rPr>
          <w:lang w:val="en-US"/>
        </w:rPr>
        <w:t>between</w:t>
      </w:r>
      <w:r w:rsidRPr="00AF3670">
        <w:rPr>
          <w:lang w:val="en-US"/>
        </w:rPr>
        <w:t xml:space="preserve"> delivering what the public ask for, and what would be in the public interest.  </w:t>
      </w:r>
      <w:r w:rsidR="006B2622">
        <w:rPr>
          <w:lang w:val="en-US"/>
        </w:rPr>
        <w:t>P</w:t>
      </w:r>
      <w:r w:rsidRPr="00AF3670">
        <w:rPr>
          <w:lang w:val="en-US"/>
        </w:rPr>
        <w:t xml:space="preserve">artnership activity has historically been delivered where road casualties have occurred.  As road death patterns have reduced and moved away from clusters of collisions, there has been an increase in the site portfolio from community concerns, i.e. requests from the public for enforcement.  Typically, these will be from </w:t>
      </w:r>
      <w:r w:rsidR="00F667F5" w:rsidRPr="00AF3670">
        <w:rPr>
          <w:lang w:val="en-US"/>
        </w:rPr>
        <w:t>comparatively</w:t>
      </w:r>
      <w:r w:rsidRPr="00AF3670">
        <w:rPr>
          <w:lang w:val="en-US"/>
        </w:rPr>
        <w:t xml:space="preserve"> more affluent communities rather than areas on the Welsh Index of Multiple Deprivation (Welsh Government, 2019)</w:t>
      </w:r>
      <w:r w:rsidR="00F667F5">
        <w:rPr>
          <w:lang w:val="en-US"/>
        </w:rPr>
        <w:t xml:space="preserve">.  If an objective were developed based purely on what the public were requesting, and not considering any areas where service is not requested then this would potentially be exclusionary.  Therefore </w:t>
      </w:r>
      <w:r w:rsidRPr="00AF3670">
        <w:rPr>
          <w:lang w:val="en-US"/>
        </w:rPr>
        <w:t>any resultant strategy should balance serving needs based on community requests, and thus providing a service deemed to be of value to those residents requesting it, along with any that can be evidenced as providing value to the whole community even if not explicitly requested</w:t>
      </w:r>
      <w:r w:rsidR="00F667F5">
        <w:rPr>
          <w:lang w:val="en-US"/>
        </w:rPr>
        <w:t xml:space="preserve"> based on risk of injury</w:t>
      </w:r>
      <w:r w:rsidRPr="00AF3670">
        <w:rPr>
          <w:lang w:val="en-US"/>
        </w:rPr>
        <w:t xml:space="preserve">.  The Office of National Statistics (ONS) list traffic accidents as preventable causes of death linked to social deprivation (2001-2019) as such any strategy should consider the public value in terms of value to all society.  </w:t>
      </w:r>
    </w:p>
    <w:p w14:paraId="14EA1487" w14:textId="77777777" w:rsidR="00F667F5" w:rsidRDefault="00F667F5" w:rsidP="00D25C58">
      <w:pPr>
        <w:jc w:val="both"/>
        <w:rPr>
          <w:lang w:val="en-US"/>
        </w:rPr>
      </w:pPr>
    </w:p>
    <w:p w14:paraId="45729073" w14:textId="788E6316" w:rsidR="00AF3670" w:rsidRDefault="00AF3670" w:rsidP="00D25C58">
      <w:pPr>
        <w:jc w:val="both"/>
        <w:rPr>
          <w:lang w:val="en-US"/>
        </w:rPr>
      </w:pPr>
      <w:r w:rsidRPr="00AF3670">
        <w:rPr>
          <w:lang w:val="en-US"/>
        </w:rPr>
        <w:t>Hartley, Parker, &amp; Beashel (2019) also consider the value to be added by the public themselves, and this can be considered in the GoSafe context in a number of way</w:t>
      </w:r>
      <w:r w:rsidR="00D25C58">
        <w:rPr>
          <w:lang w:val="en-US"/>
        </w:rPr>
        <w:t>s</w:t>
      </w:r>
      <w:r w:rsidRPr="00AF3670">
        <w:rPr>
          <w:lang w:val="en-US"/>
        </w:rPr>
        <w:t xml:space="preserve">: reporting poor behaviour through operation SNAP, a secure web portal for reporting traffic offences (GoSafe, 2021) or by becoming a police volunteer and participating in a Community Speed Watch scheme (South Wales Police, 2021). The most important value added by the public, would be to become “conformers” or “deterred” as outlined by Corbett &amp; Caramlau (2006, pp.415, 416) and comply with the speed limit to reduce collision risk and perceived </w:t>
      </w:r>
      <w:r w:rsidR="00F667F5" w:rsidRPr="00AF3670">
        <w:rPr>
          <w:lang w:val="en-US"/>
        </w:rPr>
        <w:t>anti-social</w:t>
      </w:r>
      <w:r w:rsidRPr="00AF3670">
        <w:rPr>
          <w:lang w:val="en-US"/>
        </w:rPr>
        <w:t xml:space="preserve"> driving from exceeding the speed limit. Any strategic plan should consider how to </w:t>
      </w:r>
      <w:r w:rsidR="00D25C58">
        <w:rPr>
          <w:lang w:val="en-US"/>
        </w:rPr>
        <w:t>a</w:t>
      </w:r>
      <w:r w:rsidRPr="00AF3670">
        <w:rPr>
          <w:lang w:val="en-US"/>
        </w:rPr>
        <w:t>ffect such behavioural change.</w:t>
      </w:r>
    </w:p>
    <w:p w14:paraId="2BDC211C" w14:textId="36EF0B42" w:rsidR="00AF3670" w:rsidRDefault="00AF3670" w:rsidP="00D25C58">
      <w:pPr>
        <w:jc w:val="both"/>
        <w:rPr>
          <w:lang w:val="en-US"/>
        </w:rPr>
      </w:pPr>
    </w:p>
    <w:p w14:paraId="0B8FC5E3" w14:textId="42B5F65D" w:rsidR="00AF3670" w:rsidRDefault="00AF3670" w:rsidP="00D25C58">
      <w:pPr>
        <w:jc w:val="both"/>
        <w:rPr>
          <w:lang w:val="en-US"/>
        </w:rPr>
      </w:pPr>
      <w:r w:rsidRPr="00AF3670">
        <w:rPr>
          <w:lang w:val="en-US"/>
        </w:rPr>
        <w:t xml:space="preserve">Managing emergent strategy </w:t>
      </w:r>
      <w:r w:rsidR="00F667F5">
        <w:rPr>
          <w:lang w:val="en-US"/>
        </w:rPr>
        <w:t xml:space="preserve">to be built into the plan and be cognoscente to allow for clarity </w:t>
      </w:r>
      <w:r w:rsidRPr="00AF3670">
        <w:rPr>
          <w:lang w:val="en-US"/>
        </w:rPr>
        <w:t>of mission</w:t>
      </w:r>
      <w:r w:rsidR="00F667F5">
        <w:rPr>
          <w:lang w:val="en-US"/>
        </w:rPr>
        <w:t xml:space="preserve"> whilst offering opportunities to adjust and adapt as necessary</w:t>
      </w:r>
      <w:r w:rsidRPr="00AF3670">
        <w:rPr>
          <w:lang w:val="en-US"/>
        </w:rPr>
        <w:t xml:space="preserve">.  </w:t>
      </w:r>
      <w:r w:rsidR="00F667F5">
        <w:rPr>
          <w:lang w:val="en-US"/>
        </w:rPr>
        <w:t>T</w:t>
      </w:r>
      <w:r w:rsidRPr="00AF3670">
        <w:rPr>
          <w:lang w:val="en-US"/>
        </w:rPr>
        <w:t>his is defined by Collis (2021) as “capturing value”</w:t>
      </w:r>
      <w:r w:rsidR="00F667F5">
        <w:rPr>
          <w:lang w:val="en-US"/>
        </w:rPr>
        <w:t xml:space="preserve">; </w:t>
      </w:r>
      <w:r w:rsidRPr="00AF3670">
        <w:rPr>
          <w:lang w:val="en-US"/>
        </w:rPr>
        <w:t xml:space="preserve">that is making small changes during the delivery of the strategy to make sure to be at the forefront of achieving the defined strategic goals.  Most commonly, this can be considered within the scope of Mintzbergs </w:t>
      </w:r>
      <w:r w:rsidR="00232FD5">
        <w:rPr>
          <w:lang w:val="en-US"/>
        </w:rPr>
        <w:t>work</w:t>
      </w:r>
      <w:r w:rsidRPr="00AF3670">
        <w:rPr>
          <w:lang w:val="en-US"/>
        </w:rPr>
        <w:t xml:space="preserve">, i.e. what is actually done during </w:t>
      </w:r>
      <w:r w:rsidRPr="00AF3670">
        <w:rPr>
          <w:lang w:val="en-US"/>
        </w:rPr>
        <w:lastRenderedPageBreak/>
        <w:t>implementation, as this may incorporate any unexpected or unanticipated factors which can only occur in a real time environment</w:t>
      </w:r>
      <w:r w:rsidR="00172190">
        <w:rPr>
          <w:lang w:val="en-US"/>
        </w:rPr>
        <w:t xml:space="preserve"> </w:t>
      </w:r>
      <w:r w:rsidR="00172190">
        <w:rPr>
          <w:noProof/>
        </w:rPr>
        <w:t>(Johnson et al, 2014)</w:t>
      </w:r>
      <w:r w:rsidR="00232FD5">
        <w:rPr>
          <w:noProof/>
        </w:rPr>
        <w:t>, or else consider factors outside of strategys’ industrial heritage</w:t>
      </w:r>
      <w:r w:rsidRPr="00AF3670">
        <w:rPr>
          <w:lang w:val="en-US"/>
        </w:rPr>
        <w:t>.</w:t>
      </w:r>
    </w:p>
    <w:p w14:paraId="14551CD2" w14:textId="203F53A5" w:rsidR="00AF3670" w:rsidRDefault="00AF3670" w:rsidP="00D25C58">
      <w:pPr>
        <w:jc w:val="both"/>
        <w:rPr>
          <w:lang w:val="en-US"/>
        </w:rPr>
      </w:pPr>
    </w:p>
    <w:p w14:paraId="44FBA536" w14:textId="04FDD07A" w:rsidR="007517C8" w:rsidRDefault="007517C8" w:rsidP="00D25C58">
      <w:pPr>
        <w:jc w:val="both"/>
        <w:rPr>
          <w:lang w:val="en-US"/>
        </w:rPr>
      </w:pPr>
    </w:p>
    <w:p w14:paraId="18339337" w14:textId="77777777" w:rsidR="007517C8" w:rsidRDefault="007517C8" w:rsidP="00D25C58">
      <w:pPr>
        <w:jc w:val="both"/>
        <w:rPr>
          <w:lang w:val="en-US"/>
        </w:rPr>
      </w:pPr>
    </w:p>
    <w:p w14:paraId="121E4EA2" w14:textId="3118DDF6" w:rsidR="00D625A9" w:rsidRDefault="00D625A9" w:rsidP="005206DB">
      <w:pPr>
        <w:pStyle w:val="Heading1"/>
      </w:pPr>
      <w:r>
        <w:t>Strategy Implementation</w:t>
      </w:r>
      <w:r w:rsidR="007B60BE">
        <w:t xml:space="preserve"> and Control</w:t>
      </w:r>
    </w:p>
    <w:p w14:paraId="6B2B7063" w14:textId="5A2145AE" w:rsidR="007517C8" w:rsidRDefault="007517C8" w:rsidP="00D25C58">
      <w:pPr>
        <w:jc w:val="both"/>
        <w:rPr>
          <w:lang w:val="en-US"/>
        </w:rPr>
      </w:pPr>
    </w:p>
    <w:p w14:paraId="4BBF17D5" w14:textId="57FF1A78" w:rsidR="006612F2" w:rsidRDefault="006612F2" w:rsidP="006612F2">
      <w:pPr>
        <w:jc w:val="both"/>
        <w:rPr>
          <w:lang w:val="en-US"/>
        </w:rPr>
      </w:pPr>
      <w:r w:rsidRPr="00AF3670">
        <w:rPr>
          <w:lang w:val="en-US"/>
        </w:rPr>
        <w:t>Buy</w:t>
      </w:r>
      <w:r>
        <w:rPr>
          <w:lang w:val="en-US"/>
        </w:rPr>
        <w:t>-</w:t>
      </w:r>
      <w:r w:rsidRPr="00AF3670">
        <w:rPr>
          <w:lang w:val="en-US"/>
        </w:rPr>
        <w:t>in at the highest level will be essential for the long-term success of any plan (Collis, 2021)</w:t>
      </w:r>
      <w:r>
        <w:rPr>
          <w:lang w:val="en-US"/>
        </w:rPr>
        <w:t xml:space="preserve">. </w:t>
      </w:r>
    </w:p>
    <w:p w14:paraId="1C3FF618" w14:textId="77777777" w:rsidR="008D67F1" w:rsidRDefault="00A833DA" w:rsidP="00D25C58">
      <w:pPr>
        <w:jc w:val="both"/>
        <w:rPr>
          <w:lang w:val="en-US"/>
        </w:rPr>
      </w:pPr>
      <w:r>
        <w:rPr>
          <w:lang w:val="en-US"/>
        </w:rPr>
        <w:t xml:space="preserve">If a strategy cannot be implemented, </w:t>
      </w:r>
      <w:r w:rsidR="008D67F1">
        <w:rPr>
          <w:lang w:val="en-US"/>
        </w:rPr>
        <w:t xml:space="preserve">for example if staff do not do what is required, </w:t>
      </w:r>
      <w:r>
        <w:rPr>
          <w:lang w:val="en-US"/>
        </w:rPr>
        <w:t>then the development and creation of it should be considered a failure</w:t>
      </w:r>
      <w:r w:rsidR="008D67F1">
        <w:rPr>
          <w:lang w:val="en-US"/>
        </w:rPr>
        <w:t xml:space="preserve"> </w:t>
      </w:r>
      <w:r w:rsidR="008D67F1">
        <w:rPr>
          <w:noProof/>
        </w:rPr>
        <w:t>(Johnson et al, 2014)</w:t>
      </w:r>
      <w:r>
        <w:rPr>
          <w:lang w:val="en-US"/>
        </w:rPr>
        <w:t xml:space="preserve">.   In a public sector setting, this can be due to changes in political direction or the organisational priorities </w:t>
      </w:r>
      <w:sdt>
        <w:sdtPr>
          <w:rPr>
            <w:lang w:val="en-US"/>
          </w:rPr>
          <w:id w:val="1440185154"/>
          <w:citation/>
        </w:sdtPr>
        <w:sdtEndPr/>
        <w:sdtContent>
          <w:r>
            <w:rPr>
              <w:lang w:val="en-US"/>
            </w:rPr>
            <w:fldChar w:fldCharType="begin"/>
          </w:r>
          <w:r>
            <w:instrText xml:space="preserve"> CITATION Lyn18 \l 2057 </w:instrText>
          </w:r>
          <w:r>
            <w:rPr>
              <w:lang w:val="en-US"/>
            </w:rPr>
            <w:fldChar w:fldCharType="separate"/>
          </w:r>
          <w:r>
            <w:rPr>
              <w:noProof/>
            </w:rPr>
            <w:t>(Lynch, 2018)</w:t>
          </w:r>
          <w:r>
            <w:rPr>
              <w:lang w:val="en-US"/>
            </w:rPr>
            <w:fldChar w:fldCharType="end"/>
          </w:r>
        </w:sdtContent>
      </w:sdt>
      <w:r>
        <w:rPr>
          <w:lang w:val="en-US"/>
        </w:rPr>
        <w:t xml:space="preserve">. </w:t>
      </w:r>
      <w:r w:rsidR="008D67F1">
        <w:rPr>
          <w:lang w:val="en-US"/>
        </w:rPr>
        <w:t xml:space="preserve"> Defining organisational structures, roles and responsibilities and clear lines of accountability will be key to successful implementation, alongside defined systems such as performance reporting and targeting.</w:t>
      </w:r>
    </w:p>
    <w:p w14:paraId="4F0C5015" w14:textId="77777777" w:rsidR="008D67F1" w:rsidRDefault="008D67F1" w:rsidP="00D25C58">
      <w:pPr>
        <w:jc w:val="both"/>
        <w:rPr>
          <w:lang w:val="en-US"/>
        </w:rPr>
      </w:pPr>
    </w:p>
    <w:p w14:paraId="06D15DD3" w14:textId="48AF2364" w:rsidR="004046E4" w:rsidRDefault="008D67F1" w:rsidP="00D25C58">
      <w:pPr>
        <w:jc w:val="both"/>
        <w:rPr>
          <w:lang w:val="en-US"/>
        </w:rPr>
      </w:pPr>
      <w:r>
        <w:rPr>
          <w:lang w:val="en-US"/>
        </w:rPr>
        <w:t>According to the definition of a functional structure defined by Johnson et al (2014), GoSafe is an example that model.  It is led by a manager responsible for creating a plan and defin</w:t>
      </w:r>
      <w:r w:rsidR="004046E4">
        <w:rPr>
          <w:lang w:val="en-US"/>
        </w:rPr>
        <w:t xml:space="preserve">ing responsibilities for each operational unit, finance department and other organisational team.  This offers benefits in terms of link between the senior officer and operational teams and simplifies the control </w:t>
      </w:r>
      <w:proofErr w:type="gramStart"/>
      <w:r w:rsidR="004046E4">
        <w:rPr>
          <w:lang w:val="en-US"/>
        </w:rPr>
        <w:t>structure, but</w:t>
      </w:r>
      <w:proofErr w:type="gramEnd"/>
      <w:r w:rsidR="004046E4">
        <w:rPr>
          <w:lang w:val="en-US"/>
        </w:rPr>
        <w:t xml:space="preserve"> does add pressure to that officer. </w:t>
      </w:r>
    </w:p>
    <w:p w14:paraId="602E5275" w14:textId="77777777" w:rsidR="004046E4" w:rsidRDefault="004046E4" w:rsidP="00D25C58">
      <w:pPr>
        <w:jc w:val="both"/>
        <w:rPr>
          <w:lang w:val="en-US"/>
        </w:rPr>
      </w:pPr>
    </w:p>
    <w:p w14:paraId="497B094A" w14:textId="5D0D37C1" w:rsidR="00A833DA" w:rsidRDefault="00377AC1" w:rsidP="00D25C58">
      <w:pPr>
        <w:jc w:val="both"/>
        <w:rPr>
          <w:lang w:val="en-US"/>
        </w:rPr>
      </w:pPr>
      <w:r>
        <w:rPr>
          <w:noProof/>
        </w:rPr>
        <w:t xml:space="preserve">It is at this point that strategic controls, or systems should be considered to control the value parameters defined in the plan. </w:t>
      </w:r>
      <w:r w:rsidR="004046E4">
        <w:rPr>
          <w:lang w:val="en-US"/>
        </w:rPr>
        <w:t>Types of control systems, as defined by Johnson et al (2014, p.445) are:</w:t>
      </w:r>
    </w:p>
    <w:p w14:paraId="513562F7" w14:textId="08226EE2" w:rsidR="004046E4" w:rsidRDefault="004046E4" w:rsidP="00D25C58">
      <w:pPr>
        <w:jc w:val="both"/>
        <w:rPr>
          <w:lang w:val="en-US"/>
        </w:rPr>
      </w:pPr>
    </w:p>
    <w:tbl>
      <w:tblPr>
        <w:tblStyle w:val="TableGrid"/>
        <w:tblW w:w="0" w:type="auto"/>
        <w:tblInd w:w="1413" w:type="dxa"/>
        <w:tblLook w:val="04A0" w:firstRow="1" w:lastRow="0" w:firstColumn="1" w:lastColumn="0" w:noHBand="0" w:noVBand="1"/>
      </w:tblPr>
      <w:tblGrid>
        <w:gridCol w:w="1592"/>
        <w:gridCol w:w="2240"/>
        <w:gridCol w:w="2552"/>
      </w:tblGrid>
      <w:tr w:rsidR="004046E4" w14:paraId="3D5510DB" w14:textId="77777777" w:rsidTr="004046E4">
        <w:tc>
          <w:tcPr>
            <w:tcW w:w="1592" w:type="dxa"/>
            <w:tcBorders>
              <w:top w:val="nil"/>
              <w:left w:val="nil"/>
              <w:bottom w:val="single" w:sz="4" w:space="0" w:color="auto"/>
              <w:right w:val="single" w:sz="4" w:space="0" w:color="auto"/>
            </w:tcBorders>
          </w:tcPr>
          <w:p w14:paraId="49A366DE" w14:textId="77777777" w:rsidR="004046E4" w:rsidRDefault="004046E4" w:rsidP="00D25C58">
            <w:pPr>
              <w:jc w:val="both"/>
              <w:rPr>
                <w:lang w:val="en-US"/>
              </w:rPr>
            </w:pPr>
          </w:p>
        </w:tc>
        <w:tc>
          <w:tcPr>
            <w:tcW w:w="2240" w:type="dxa"/>
            <w:tcBorders>
              <w:left w:val="single" w:sz="4" w:space="0" w:color="auto"/>
            </w:tcBorders>
            <w:shd w:val="clear" w:color="auto" w:fill="0070C0"/>
          </w:tcPr>
          <w:p w14:paraId="1CAE20F3" w14:textId="05419B23" w:rsidR="004046E4" w:rsidRPr="004046E4" w:rsidRDefault="004046E4" w:rsidP="004046E4">
            <w:pPr>
              <w:jc w:val="center"/>
              <w:rPr>
                <w:b/>
                <w:bCs/>
                <w:color w:val="FFFFFF" w:themeColor="background1"/>
                <w:lang w:val="en-US"/>
              </w:rPr>
            </w:pPr>
            <w:r w:rsidRPr="004046E4">
              <w:rPr>
                <w:b/>
                <w:bCs/>
                <w:color w:val="FFFFFF" w:themeColor="background1"/>
                <w:lang w:val="en-US"/>
              </w:rPr>
              <w:t>Input</w:t>
            </w:r>
          </w:p>
        </w:tc>
        <w:tc>
          <w:tcPr>
            <w:tcW w:w="2552" w:type="dxa"/>
            <w:shd w:val="clear" w:color="auto" w:fill="0070C0"/>
          </w:tcPr>
          <w:p w14:paraId="5F32DCFF" w14:textId="12354143" w:rsidR="004046E4" w:rsidRPr="004046E4" w:rsidRDefault="004046E4" w:rsidP="004046E4">
            <w:pPr>
              <w:jc w:val="center"/>
              <w:rPr>
                <w:b/>
                <w:bCs/>
                <w:color w:val="FFFFFF" w:themeColor="background1"/>
                <w:lang w:val="en-US"/>
              </w:rPr>
            </w:pPr>
            <w:r w:rsidRPr="004046E4">
              <w:rPr>
                <w:b/>
                <w:bCs/>
                <w:color w:val="FFFFFF" w:themeColor="background1"/>
                <w:lang w:val="en-US"/>
              </w:rPr>
              <w:t>Output</w:t>
            </w:r>
          </w:p>
        </w:tc>
      </w:tr>
      <w:tr w:rsidR="004046E4" w14:paraId="2B7058AB" w14:textId="77777777" w:rsidTr="004046E4">
        <w:tc>
          <w:tcPr>
            <w:tcW w:w="1592" w:type="dxa"/>
            <w:tcBorders>
              <w:top w:val="single" w:sz="4" w:space="0" w:color="auto"/>
            </w:tcBorders>
            <w:shd w:val="clear" w:color="auto" w:fill="FFC000"/>
          </w:tcPr>
          <w:p w14:paraId="037482D2" w14:textId="25FD38A0" w:rsidR="004046E4" w:rsidRPr="004046E4" w:rsidRDefault="004046E4" w:rsidP="004046E4">
            <w:pPr>
              <w:jc w:val="center"/>
              <w:rPr>
                <w:b/>
                <w:bCs/>
                <w:color w:val="FFFFFF" w:themeColor="background1"/>
                <w:lang w:val="en-US"/>
              </w:rPr>
            </w:pPr>
            <w:r w:rsidRPr="004046E4">
              <w:rPr>
                <w:b/>
                <w:bCs/>
                <w:color w:val="FFFFFF" w:themeColor="background1"/>
                <w:lang w:val="en-US"/>
              </w:rPr>
              <w:t>Direct</w:t>
            </w:r>
          </w:p>
        </w:tc>
        <w:tc>
          <w:tcPr>
            <w:tcW w:w="2240" w:type="dxa"/>
          </w:tcPr>
          <w:p w14:paraId="27CB5CED" w14:textId="420F3F5A" w:rsidR="004046E4" w:rsidRDefault="004046E4" w:rsidP="004046E4">
            <w:pPr>
              <w:jc w:val="center"/>
              <w:rPr>
                <w:lang w:val="en-US"/>
              </w:rPr>
            </w:pPr>
            <w:r>
              <w:rPr>
                <w:lang w:val="en-US"/>
              </w:rPr>
              <w:t>Planning Systems</w:t>
            </w:r>
          </w:p>
        </w:tc>
        <w:tc>
          <w:tcPr>
            <w:tcW w:w="2552" w:type="dxa"/>
          </w:tcPr>
          <w:p w14:paraId="3FB8B123" w14:textId="46EC2A29" w:rsidR="004046E4" w:rsidRDefault="004046E4" w:rsidP="004046E4">
            <w:pPr>
              <w:jc w:val="center"/>
              <w:rPr>
                <w:lang w:val="en-US"/>
              </w:rPr>
            </w:pPr>
            <w:r>
              <w:rPr>
                <w:lang w:val="en-US"/>
              </w:rPr>
              <w:t>Performance Targeting</w:t>
            </w:r>
          </w:p>
        </w:tc>
      </w:tr>
      <w:tr w:rsidR="004046E4" w14:paraId="24A2A62A" w14:textId="77777777" w:rsidTr="004046E4">
        <w:tc>
          <w:tcPr>
            <w:tcW w:w="1592" w:type="dxa"/>
            <w:shd w:val="clear" w:color="auto" w:fill="FFC000"/>
          </w:tcPr>
          <w:p w14:paraId="10066081" w14:textId="320E8A5F" w:rsidR="004046E4" w:rsidRPr="004046E4" w:rsidRDefault="004046E4" w:rsidP="004046E4">
            <w:pPr>
              <w:jc w:val="center"/>
              <w:rPr>
                <w:b/>
                <w:bCs/>
                <w:color w:val="FFFFFF" w:themeColor="background1"/>
                <w:lang w:val="en-US"/>
              </w:rPr>
            </w:pPr>
            <w:r w:rsidRPr="004046E4">
              <w:rPr>
                <w:b/>
                <w:bCs/>
                <w:color w:val="FFFFFF" w:themeColor="background1"/>
                <w:lang w:val="en-US"/>
              </w:rPr>
              <w:t>Indirect</w:t>
            </w:r>
          </w:p>
        </w:tc>
        <w:tc>
          <w:tcPr>
            <w:tcW w:w="2240" w:type="dxa"/>
          </w:tcPr>
          <w:p w14:paraId="5FB0FA2C" w14:textId="7EBBD5EF" w:rsidR="004046E4" w:rsidRDefault="004046E4" w:rsidP="004046E4">
            <w:pPr>
              <w:jc w:val="center"/>
              <w:rPr>
                <w:lang w:val="en-US"/>
              </w:rPr>
            </w:pPr>
            <w:r>
              <w:rPr>
                <w:lang w:val="en-US"/>
              </w:rPr>
              <w:t>Cultural Systems</w:t>
            </w:r>
          </w:p>
        </w:tc>
        <w:tc>
          <w:tcPr>
            <w:tcW w:w="2552" w:type="dxa"/>
          </w:tcPr>
          <w:p w14:paraId="237A4480" w14:textId="1152E277" w:rsidR="004046E4" w:rsidRDefault="004046E4" w:rsidP="004046E4">
            <w:pPr>
              <w:jc w:val="center"/>
              <w:rPr>
                <w:lang w:val="en-US"/>
              </w:rPr>
            </w:pPr>
            <w:r>
              <w:rPr>
                <w:lang w:val="en-US"/>
              </w:rPr>
              <w:t>Internal Markets</w:t>
            </w:r>
          </w:p>
        </w:tc>
      </w:tr>
    </w:tbl>
    <w:p w14:paraId="2C047CB7" w14:textId="37BDDBAB" w:rsidR="004046E4" w:rsidRDefault="004046E4" w:rsidP="00D25C58">
      <w:pPr>
        <w:jc w:val="both"/>
        <w:rPr>
          <w:lang w:val="en-US"/>
        </w:rPr>
      </w:pPr>
    </w:p>
    <w:p w14:paraId="1C151019" w14:textId="06F0CC4F" w:rsidR="00377AC1" w:rsidRDefault="004046E4" w:rsidP="00377AC1">
      <w:pPr>
        <w:widowControl/>
        <w:suppressAutoHyphens w:val="0"/>
        <w:jc w:val="both"/>
        <w:rPr>
          <w:noProof/>
        </w:rPr>
      </w:pPr>
      <w:r>
        <w:rPr>
          <w:lang w:val="en-US"/>
        </w:rPr>
        <w:t>Planning systems</w:t>
      </w:r>
      <w:r w:rsidR="00377AC1">
        <w:rPr>
          <w:noProof/>
        </w:rPr>
        <w:t xml:space="preserve"> should focus on allocating and monitoring use of resources.  Capon (2008), defines this </w:t>
      </w:r>
      <w:r w:rsidR="00641F69">
        <w:rPr>
          <w:noProof/>
        </w:rPr>
        <w:t>as</w:t>
      </w:r>
      <w:r w:rsidR="00377AC1">
        <w:rPr>
          <w:noProof/>
        </w:rPr>
        <w:t xml:space="preserve"> utilisation of the resources, the productivity (resources used to produce outcomes), efficiency (monitoring outputs) and effectiveness – or how well the objectives are achieved.  In order to define set effective strategic control systems, there are a number of steps.  First, the performance targets should be set, and should be realistic and achievable for the resources available. Performance measures should be outlined to track and monitor progress against these targets, i.e. control systems should be defined.  When implementing the plan, the control systems should be adhered to, i.e. a robust and timely performance comparison for the measures against targets to be analysed effectively.  Then, should any targets be missed, corrective action should be taken. </w:t>
      </w:r>
      <w:r w:rsidR="005206DB">
        <w:rPr>
          <w:noProof/>
        </w:rPr>
        <w:t xml:space="preserve"> It is essential that these performance targets are appropriate.  The use of cultural systems to align staff behaviour with organisational values helps to deliver on such targets. </w:t>
      </w:r>
    </w:p>
    <w:p w14:paraId="09A0F81B" w14:textId="6F173D4F" w:rsidR="004046E4" w:rsidRDefault="004046E4" w:rsidP="00D25C58">
      <w:pPr>
        <w:jc w:val="both"/>
        <w:rPr>
          <w:lang w:val="en-US"/>
        </w:rPr>
      </w:pPr>
    </w:p>
    <w:p w14:paraId="6531F59C" w14:textId="6383F319" w:rsidR="007517C8" w:rsidRDefault="007517C8" w:rsidP="00D25C58">
      <w:pPr>
        <w:widowControl/>
        <w:suppressAutoHyphens w:val="0"/>
        <w:jc w:val="both"/>
      </w:pPr>
      <w:r>
        <w:t xml:space="preserve">Effective communication </w:t>
      </w:r>
      <w:r w:rsidR="00F667F5">
        <w:t xml:space="preserve">is key to implement any </w:t>
      </w:r>
      <w:r w:rsidR="000B32CF">
        <w:t>strategy and</w:t>
      </w:r>
      <w:r w:rsidR="00F667F5">
        <w:t xml:space="preserve"> should include</w:t>
      </w:r>
      <w:r>
        <w:t xml:space="preserve"> key stakeholders</w:t>
      </w:r>
      <w:r w:rsidR="00051CFE">
        <w:t xml:space="preserve"> as well as the staff and middle level managers charged with delivering any plan</w:t>
      </w:r>
      <w:r w:rsidR="00ED7128">
        <w:t>.  Any communication should be two-way</w:t>
      </w:r>
      <w:r>
        <w:t xml:space="preserve"> and ensure that the decision making process and resultant key actions reinforce the strategic objectives of the plan </w:t>
      </w:r>
      <w:sdt>
        <w:sdtPr>
          <w:id w:val="21675890"/>
          <w:citation/>
        </w:sdtPr>
        <w:sdtEndPr/>
        <w:sdtContent>
          <w:r>
            <w:fldChar w:fldCharType="begin"/>
          </w:r>
          <w:r>
            <w:instrText xml:space="preserve">CITATION Nar13 \l 2057 </w:instrText>
          </w:r>
          <w:r>
            <w:fldChar w:fldCharType="separate"/>
          </w:r>
          <w:r>
            <w:rPr>
              <w:noProof/>
            </w:rPr>
            <w:t>(Narayanan &amp; Fahey, 2013)</w:t>
          </w:r>
          <w:r>
            <w:fldChar w:fldCharType="end"/>
          </w:r>
        </w:sdtContent>
      </w:sdt>
      <w:r>
        <w:t xml:space="preserve">, </w:t>
      </w:r>
      <w:sdt>
        <w:sdtPr>
          <w:id w:val="714781690"/>
          <w:citation/>
        </w:sdtPr>
        <w:sdtEndPr/>
        <w:sdtContent>
          <w:r>
            <w:fldChar w:fldCharType="begin"/>
          </w:r>
          <w:r>
            <w:instrText xml:space="preserve">CITATION Bun92 \l 2057 </w:instrText>
          </w:r>
          <w:r>
            <w:fldChar w:fldCharType="separate"/>
          </w:r>
          <w:r>
            <w:rPr>
              <w:noProof/>
            </w:rPr>
            <w:t>(Bunning, 1992)</w:t>
          </w:r>
          <w:r>
            <w:fldChar w:fldCharType="end"/>
          </w:r>
        </w:sdtContent>
      </w:sdt>
      <w:r>
        <w:t>.</w:t>
      </w:r>
      <w:r w:rsidR="00051CFE">
        <w:t xml:space="preserve"> The operational staff that are due to implement the plan need to understand the goals and means of delivery and not become “street-level bureaucrats”</w:t>
      </w:r>
      <w:r w:rsidR="003D0218">
        <w:rPr>
          <w:noProof/>
        </w:rPr>
        <w:t xml:space="preserve"> (Flynn &amp; Asquer, 2017) </w:t>
      </w:r>
      <w:r w:rsidR="00051CFE">
        <w:rPr>
          <w:noProof/>
        </w:rPr>
        <w:t xml:space="preserve">lest </w:t>
      </w:r>
      <w:r w:rsidR="00051CFE">
        <w:rPr>
          <w:noProof/>
        </w:rPr>
        <w:lastRenderedPageBreak/>
        <w:t xml:space="preserve">they fall to Mintzbergs theory that most strategies fail to get implemented </w:t>
      </w:r>
      <w:sdt>
        <w:sdtPr>
          <w:rPr>
            <w:noProof/>
          </w:rPr>
          <w:id w:val="641935311"/>
          <w:citation/>
        </w:sdtPr>
        <w:sdtEndPr/>
        <w:sdtContent>
          <w:r w:rsidR="00051CFE">
            <w:rPr>
              <w:noProof/>
            </w:rPr>
            <w:fldChar w:fldCharType="begin"/>
          </w:r>
          <w:r w:rsidR="00051CFE">
            <w:rPr>
              <w:noProof/>
            </w:rPr>
            <w:instrText xml:space="preserve"> CITATION Bov \l 2057 </w:instrText>
          </w:r>
          <w:r w:rsidR="00051CFE">
            <w:rPr>
              <w:noProof/>
            </w:rPr>
            <w:fldChar w:fldCharType="separate"/>
          </w:r>
          <w:r w:rsidR="00051CFE">
            <w:rPr>
              <w:noProof/>
            </w:rPr>
            <w:t>(Bovaird &amp; Loeffler, 2016)</w:t>
          </w:r>
          <w:r w:rsidR="00051CFE">
            <w:rPr>
              <w:noProof/>
            </w:rPr>
            <w:fldChar w:fldCharType="end"/>
          </w:r>
        </w:sdtContent>
      </w:sdt>
      <w:r w:rsidR="00051CFE">
        <w:rPr>
          <w:noProof/>
        </w:rPr>
        <w:t>.</w:t>
      </w:r>
    </w:p>
    <w:p w14:paraId="7C2890E3" w14:textId="3B4B600F" w:rsidR="009C5533" w:rsidRDefault="009C5533" w:rsidP="00D25C58">
      <w:pPr>
        <w:widowControl/>
        <w:suppressAutoHyphens w:val="0"/>
        <w:jc w:val="both"/>
      </w:pPr>
    </w:p>
    <w:p w14:paraId="1BAAB849" w14:textId="7F6C8834" w:rsidR="009947A3" w:rsidRDefault="009947A3" w:rsidP="00D25C58">
      <w:pPr>
        <w:widowControl/>
        <w:suppressAutoHyphens w:val="0"/>
        <w:jc w:val="both"/>
        <w:rPr>
          <w:noProof/>
        </w:rPr>
      </w:pPr>
    </w:p>
    <w:p w14:paraId="01B2423C" w14:textId="666E57CC" w:rsidR="009947A3" w:rsidRDefault="009947A3" w:rsidP="00D25C58">
      <w:pPr>
        <w:widowControl/>
        <w:suppressAutoHyphens w:val="0"/>
        <w:jc w:val="both"/>
        <w:rPr>
          <w:noProof/>
        </w:rPr>
      </w:pPr>
      <w:r>
        <w:rPr>
          <w:noProof/>
        </w:rPr>
        <w:t xml:space="preserve">Critical too will be the strategic alliances which will facilitate organisational success, therefore securing partner commitment to deliver within the plan will not only help to secure resources to deliver the objectives within the plan, it will also improve the chances of successful achievement of defined goals </w:t>
      </w:r>
      <w:sdt>
        <w:sdtPr>
          <w:rPr>
            <w:noProof/>
          </w:rPr>
          <w:id w:val="-95476883"/>
          <w:citation/>
        </w:sdtPr>
        <w:sdtEndPr/>
        <w:sdtContent>
          <w:r>
            <w:rPr>
              <w:noProof/>
            </w:rPr>
            <w:fldChar w:fldCharType="begin"/>
          </w:r>
          <w:r>
            <w:rPr>
              <w:noProof/>
            </w:rPr>
            <w:instrText xml:space="preserve"> CITATION Cap08 \l 2057 </w:instrText>
          </w:r>
          <w:r>
            <w:rPr>
              <w:noProof/>
            </w:rPr>
            <w:fldChar w:fldCharType="separate"/>
          </w:r>
          <w:r>
            <w:rPr>
              <w:noProof/>
            </w:rPr>
            <w:t>(Capon, 2008)</w:t>
          </w:r>
          <w:r>
            <w:rPr>
              <w:noProof/>
            </w:rPr>
            <w:fldChar w:fldCharType="end"/>
          </w:r>
        </w:sdtContent>
      </w:sdt>
      <w:r>
        <w:rPr>
          <w:noProof/>
        </w:rPr>
        <w:t xml:space="preserve">.  This will be particularly successful where there is good strategic fit, i.e. where the goals are aligned. In the case of the partnership, the statutory obligations sits with the Highway (local) Authority, therefore aligning enforcement to reduce death will ensure complimentary objectives are achieved. </w:t>
      </w:r>
    </w:p>
    <w:p w14:paraId="322B1F9A" w14:textId="3B681F67" w:rsidR="00206C02" w:rsidRDefault="00206C02" w:rsidP="00D25C58">
      <w:pPr>
        <w:widowControl/>
        <w:suppressAutoHyphens w:val="0"/>
        <w:jc w:val="both"/>
        <w:rPr>
          <w:noProof/>
        </w:rPr>
      </w:pPr>
    </w:p>
    <w:p w14:paraId="2567A0AC" w14:textId="138BB4A3" w:rsidR="007B60BE" w:rsidRDefault="007B60BE" w:rsidP="00D25C58">
      <w:pPr>
        <w:widowControl/>
        <w:suppressAutoHyphens w:val="0"/>
        <w:jc w:val="both"/>
        <w:rPr>
          <w:noProof/>
        </w:rPr>
      </w:pPr>
    </w:p>
    <w:p w14:paraId="719D95FF" w14:textId="3CBD37FA" w:rsidR="007B60BE" w:rsidRDefault="007B60BE" w:rsidP="00D25C58">
      <w:pPr>
        <w:widowControl/>
        <w:suppressAutoHyphens w:val="0"/>
        <w:jc w:val="both"/>
      </w:pPr>
      <w:r>
        <w:rPr>
          <w:noProof/>
        </w:rPr>
        <w:t xml:space="preserve">During implementation, it is essential to continue to review the strategic position in order to adjust to any change to environment </w:t>
      </w:r>
      <w:sdt>
        <w:sdtPr>
          <w:rPr>
            <w:noProof/>
          </w:rPr>
          <w:id w:val="-247811419"/>
          <w:citation/>
        </w:sdtPr>
        <w:sdtEndPr/>
        <w:sdtContent>
          <w:r>
            <w:rPr>
              <w:noProof/>
            </w:rPr>
            <w:fldChar w:fldCharType="begin"/>
          </w:r>
          <w:r>
            <w:rPr>
              <w:noProof/>
            </w:rPr>
            <w:instrText xml:space="preserve"> CITATION Fin00 \l 2057 </w:instrText>
          </w:r>
          <w:r>
            <w:rPr>
              <w:noProof/>
            </w:rPr>
            <w:fldChar w:fldCharType="separate"/>
          </w:r>
          <w:r>
            <w:rPr>
              <w:noProof/>
            </w:rPr>
            <w:t>(Finlay, 2000)</w:t>
          </w:r>
          <w:r>
            <w:rPr>
              <w:noProof/>
            </w:rPr>
            <w:fldChar w:fldCharType="end"/>
          </w:r>
        </w:sdtContent>
      </w:sdt>
      <w:r>
        <w:rPr>
          <w:noProof/>
        </w:rPr>
        <w:t xml:space="preserve">.  Where these changes are small and require only doing things better, or improving efficiency then this can facilitate incremental changes along the strategic path. Transformational change is a radical change in values and will generally be driven from the top down.  In a public sector environment, this is less likely, however incremental changes to processes in light of emerging evidence should be in-built as part of the control process, with leadership being mindful to avoid strategic drift.  Any necessary changes will be identified as part of the inbuilt strategic controls </w:t>
      </w:r>
      <w:sdt>
        <w:sdtPr>
          <w:rPr>
            <w:noProof/>
          </w:rPr>
          <w:id w:val="1459603873"/>
          <w:citation/>
        </w:sdtPr>
        <w:sdtEndPr/>
        <w:sdtContent>
          <w:r>
            <w:rPr>
              <w:noProof/>
            </w:rPr>
            <w:fldChar w:fldCharType="begin"/>
          </w:r>
          <w:r>
            <w:rPr>
              <w:noProof/>
            </w:rPr>
            <w:instrText xml:space="preserve"> CITATION Fin00 \l 2057 </w:instrText>
          </w:r>
          <w:r>
            <w:rPr>
              <w:noProof/>
            </w:rPr>
            <w:fldChar w:fldCharType="separate"/>
          </w:r>
          <w:r>
            <w:rPr>
              <w:noProof/>
            </w:rPr>
            <w:t>(Finlay, 2000)</w:t>
          </w:r>
          <w:r>
            <w:rPr>
              <w:noProof/>
            </w:rPr>
            <w:fldChar w:fldCharType="end"/>
          </w:r>
        </w:sdtContent>
      </w:sdt>
      <w:r>
        <w:rPr>
          <w:noProof/>
        </w:rPr>
        <w:t xml:space="preserve"> – these controls should be closely linked to a well defined strategic objective, or measurable goal.  According to Finlay (2000), a good objective will be “relevant, energising, measurable, insightful and timed”.  By ensuring the objectives are designed in this way, they can be clearly implemented and controlled to ensure effective delivery against the plan.</w:t>
      </w:r>
    </w:p>
    <w:p w14:paraId="5CF2AF0A" w14:textId="77777777" w:rsidR="007517C8" w:rsidRPr="007517C8" w:rsidRDefault="007517C8" w:rsidP="00D25C58">
      <w:pPr>
        <w:jc w:val="both"/>
        <w:rPr>
          <w:lang w:val="en-US"/>
        </w:rPr>
      </w:pPr>
    </w:p>
    <w:p w14:paraId="7FD3D0A9" w14:textId="5F9FC502" w:rsidR="00D625A9" w:rsidRDefault="00D625A9" w:rsidP="005206DB">
      <w:pPr>
        <w:pStyle w:val="Heading1"/>
      </w:pPr>
      <w:r>
        <w:t>Strategic Leadership</w:t>
      </w:r>
    </w:p>
    <w:p w14:paraId="0F55CFEC" w14:textId="6A163D51" w:rsidR="00F3258B" w:rsidRDefault="00F3258B" w:rsidP="00D25C58">
      <w:pPr>
        <w:jc w:val="both"/>
        <w:rPr>
          <w:lang w:val="en-US"/>
        </w:rPr>
      </w:pPr>
    </w:p>
    <w:p w14:paraId="62A7EB54" w14:textId="65B194B1" w:rsidR="00F3258B" w:rsidRDefault="00D25C58" w:rsidP="00D25C58">
      <w:pPr>
        <w:widowControl/>
        <w:suppressAutoHyphens w:val="0"/>
        <w:jc w:val="both"/>
        <w:rPr>
          <w:noProof/>
        </w:rPr>
      </w:pPr>
      <w:r>
        <w:t>When a</w:t>
      </w:r>
      <w:r w:rsidR="00F3258B">
        <w:t xml:space="preserve">ligning the organisation to deliver the strategy, in a policing environment, the leadership style will influence the human resource relationship and organisational culture and allow any strategy to be effectively delivered </w:t>
      </w:r>
      <w:r w:rsidR="007517C8">
        <w:rPr>
          <w:noProof/>
        </w:rPr>
        <w:t>(Dworzecki &amp; Hryszkiewicz, 2016)</w:t>
      </w:r>
      <w:r w:rsidR="00823AC4">
        <w:rPr>
          <w:noProof/>
        </w:rPr>
        <w:t xml:space="preserve">.  It is critical too for any leader to consider the organisational culture when seeking to implement a plan:  if the culture is one where the plan would not be bought into by staff tasked with delivering the core objectives, then any strategy could be at risk from the often used quote “culture eats strategy for breakfast” </w:t>
      </w:r>
      <w:sdt>
        <w:sdtPr>
          <w:rPr>
            <w:noProof/>
          </w:rPr>
          <w:id w:val="-679355725"/>
          <w:citation/>
        </w:sdtPr>
        <w:sdtEndPr/>
        <w:sdtContent>
          <w:r w:rsidR="00823AC4">
            <w:rPr>
              <w:noProof/>
            </w:rPr>
            <w:fldChar w:fldCharType="begin"/>
          </w:r>
          <w:r w:rsidR="00823AC4">
            <w:rPr>
              <w:noProof/>
            </w:rPr>
            <w:instrText xml:space="preserve">CITATION Bov \p 64 \l 2057 </w:instrText>
          </w:r>
          <w:r w:rsidR="00823AC4">
            <w:rPr>
              <w:noProof/>
            </w:rPr>
            <w:fldChar w:fldCharType="separate"/>
          </w:r>
          <w:r w:rsidR="00823AC4">
            <w:rPr>
              <w:noProof/>
            </w:rPr>
            <w:t>(Bovaird &amp; Loeffler, 2016, p. 64)</w:t>
          </w:r>
          <w:r w:rsidR="00823AC4">
            <w:rPr>
              <w:noProof/>
            </w:rPr>
            <w:fldChar w:fldCharType="end"/>
          </w:r>
        </w:sdtContent>
      </w:sdt>
      <w:r w:rsidR="009947A3">
        <w:rPr>
          <w:noProof/>
        </w:rPr>
        <w:t xml:space="preserve">. Good leadership will facilitate the successful implementation of the plan, and leadership style will be critical in ensuring that staff are motivated and supported to deliver against the objectives within the plan </w:t>
      </w:r>
      <w:sdt>
        <w:sdtPr>
          <w:rPr>
            <w:noProof/>
          </w:rPr>
          <w:id w:val="-1865658352"/>
          <w:citation/>
        </w:sdtPr>
        <w:sdtEndPr/>
        <w:sdtContent>
          <w:r w:rsidR="009947A3">
            <w:rPr>
              <w:noProof/>
            </w:rPr>
            <w:fldChar w:fldCharType="begin"/>
          </w:r>
          <w:r w:rsidR="009947A3">
            <w:rPr>
              <w:noProof/>
            </w:rPr>
            <w:instrText xml:space="preserve"> CITATION Cap08 \l 2057 </w:instrText>
          </w:r>
          <w:r w:rsidR="009947A3">
            <w:rPr>
              <w:noProof/>
            </w:rPr>
            <w:fldChar w:fldCharType="separate"/>
          </w:r>
          <w:r w:rsidR="009947A3">
            <w:rPr>
              <w:noProof/>
            </w:rPr>
            <w:t>(Capon, 2008)</w:t>
          </w:r>
          <w:r w:rsidR="009947A3">
            <w:rPr>
              <w:noProof/>
            </w:rPr>
            <w:fldChar w:fldCharType="end"/>
          </w:r>
        </w:sdtContent>
      </w:sdt>
      <w:r w:rsidR="009947A3">
        <w:rPr>
          <w:noProof/>
        </w:rPr>
        <w:t xml:space="preserve">.  </w:t>
      </w:r>
    </w:p>
    <w:p w14:paraId="68A22A6E" w14:textId="1C4A6157" w:rsidR="00206C02" w:rsidRDefault="00206C02" w:rsidP="00D25C58">
      <w:pPr>
        <w:widowControl/>
        <w:suppressAutoHyphens w:val="0"/>
        <w:jc w:val="both"/>
        <w:rPr>
          <w:noProof/>
        </w:rPr>
      </w:pPr>
    </w:p>
    <w:p w14:paraId="6C84F715" w14:textId="5B83D2B9" w:rsidR="00206C02" w:rsidRDefault="00206C02" w:rsidP="00D25C58">
      <w:pPr>
        <w:widowControl/>
        <w:suppressAutoHyphens w:val="0"/>
        <w:jc w:val="both"/>
      </w:pPr>
      <w:r>
        <w:rPr>
          <w:noProof/>
        </w:rPr>
        <w:t xml:space="preserve">In that regard, it is important to consider the style of leadership and its’ ability to influence organisational culture and how staff perform.  The police forces in Wales are the employers of the human resources in GoSafe, and as a discipline organisation, typically lends itself to bureaucratic (command and control) styles of leadership – commonly refered to as Theory X management style </w:t>
      </w:r>
      <w:sdt>
        <w:sdtPr>
          <w:rPr>
            <w:noProof/>
          </w:rPr>
          <w:id w:val="-1602566890"/>
          <w:citation/>
        </w:sdtPr>
        <w:sdtEndPr/>
        <w:sdtContent>
          <w:r>
            <w:rPr>
              <w:noProof/>
            </w:rPr>
            <w:fldChar w:fldCharType="begin"/>
          </w:r>
          <w:r>
            <w:rPr>
              <w:noProof/>
            </w:rPr>
            <w:instrText xml:space="preserve"> CITATION Cap08 \l 2057 </w:instrText>
          </w:r>
          <w:r>
            <w:rPr>
              <w:noProof/>
            </w:rPr>
            <w:fldChar w:fldCharType="separate"/>
          </w:r>
          <w:r>
            <w:rPr>
              <w:noProof/>
            </w:rPr>
            <w:t>(Capon, 2008)</w:t>
          </w:r>
          <w:r>
            <w:rPr>
              <w:noProof/>
            </w:rPr>
            <w:fldChar w:fldCharType="end"/>
          </w:r>
        </w:sdtContent>
      </w:sdt>
      <w:r>
        <w:rPr>
          <w:noProof/>
        </w:rPr>
        <w:t xml:space="preserve">.  Whilst this is applicable to a great extent in enforcement </w:t>
      </w:r>
      <w:r w:rsidR="00641F69">
        <w:rPr>
          <w:noProof/>
        </w:rPr>
        <w:t>environments due to the statutory nature of the roles</w:t>
      </w:r>
      <w:r>
        <w:rPr>
          <w:noProof/>
        </w:rPr>
        <w:t xml:space="preserve">, a “cultural control” element, or Theory Y, can be built into the organisation.    Cultural control will seek to engage the employee in the process, and therefore engender increased loyalty and mutual respect from employees </w:t>
      </w:r>
      <w:sdt>
        <w:sdtPr>
          <w:rPr>
            <w:noProof/>
          </w:rPr>
          <w:id w:val="22908812"/>
          <w:citation/>
        </w:sdtPr>
        <w:sdtEndPr/>
        <w:sdtContent>
          <w:r>
            <w:rPr>
              <w:noProof/>
            </w:rPr>
            <w:fldChar w:fldCharType="begin"/>
          </w:r>
          <w:r>
            <w:rPr>
              <w:noProof/>
            </w:rPr>
            <w:instrText xml:space="preserve"> CITATION Cap08 \l 2057 </w:instrText>
          </w:r>
          <w:r>
            <w:rPr>
              <w:noProof/>
            </w:rPr>
            <w:fldChar w:fldCharType="separate"/>
          </w:r>
          <w:r>
            <w:rPr>
              <w:noProof/>
            </w:rPr>
            <w:t>(Capon, 2008)</w:t>
          </w:r>
          <w:r>
            <w:rPr>
              <w:noProof/>
            </w:rPr>
            <w:fldChar w:fldCharType="end"/>
          </w:r>
        </w:sdtContent>
      </w:sdt>
      <w:r>
        <w:rPr>
          <w:noProof/>
        </w:rPr>
        <w:t xml:space="preserve">.  This can be done by having fair and rigourous feedback from staff in how they like to work, for example allowing them to test and recommend new equipment rather than imposing </w:t>
      </w:r>
      <w:r>
        <w:rPr>
          <w:noProof/>
        </w:rPr>
        <w:lastRenderedPageBreak/>
        <w:t xml:space="preserve">a change.  It can also be facilitated by being clear about the core values of the organisations, crucial to be communicated from first joining the organisation. </w:t>
      </w:r>
    </w:p>
    <w:p w14:paraId="723B292F" w14:textId="77777777" w:rsidR="00F3258B" w:rsidRPr="00F3258B" w:rsidRDefault="00F3258B" w:rsidP="00D25C58">
      <w:pPr>
        <w:jc w:val="both"/>
        <w:rPr>
          <w:lang w:val="en-US"/>
        </w:rPr>
      </w:pPr>
    </w:p>
    <w:p w14:paraId="1CE56695" w14:textId="325D886A" w:rsidR="00F3258B" w:rsidRDefault="002263BB" w:rsidP="00D25C58">
      <w:pPr>
        <w:jc w:val="both"/>
        <w:rPr>
          <w:lang w:val="en-US"/>
        </w:rPr>
      </w:pPr>
      <w:r>
        <w:rPr>
          <w:lang w:val="en-US"/>
        </w:rPr>
        <w:t>Whilst the leadership is critical, it can influence too the managerial delivery of the plan</w:t>
      </w:r>
      <w:r w:rsidR="0019098C">
        <w:rPr>
          <w:lang w:val="en-US"/>
        </w:rPr>
        <w:t xml:space="preserve">. There is much discussion over the role of leaders to set and inspire organisations, with managers delivering that inspiration </w:t>
      </w:r>
      <w:sdt>
        <w:sdtPr>
          <w:rPr>
            <w:lang w:val="en-US"/>
          </w:rPr>
          <w:id w:val="897094451"/>
          <w:citation/>
        </w:sdtPr>
        <w:sdtEndPr/>
        <w:sdtContent>
          <w:r w:rsidR="0019098C">
            <w:rPr>
              <w:lang w:val="en-US"/>
            </w:rPr>
            <w:fldChar w:fldCharType="begin"/>
          </w:r>
          <w:r w:rsidR="0019098C">
            <w:instrText xml:space="preserve"> CITATION Buc19 \l 2057 </w:instrText>
          </w:r>
          <w:r w:rsidR="0019098C">
            <w:rPr>
              <w:lang w:val="en-US"/>
            </w:rPr>
            <w:fldChar w:fldCharType="separate"/>
          </w:r>
          <w:r w:rsidR="0019098C">
            <w:rPr>
              <w:noProof/>
            </w:rPr>
            <w:t>(Buchanan &amp; Huczynski, 2019)</w:t>
          </w:r>
          <w:r w:rsidR="0019098C">
            <w:rPr>
              <w:lang w:val="en-US"/>
            </w:rPr>
            <w:fldChar w:fldCharType="end"/>
          </w:r>
        </w:sdtContent>
      </w:sdt>
      <w:r w:rsidR="0019098C">
        <w:rPr>
          <w:lang w:val="en-US"/>
        </w:rPr>
        <w:t>. In practice, good leaders will instill in managers the confidence and ability to lead teams.</w:t>
      </w:r>
      <w:r>
        <w:rPr>
          <w:lang w:val="en-US"/>
        </w:rPr>
        <w:t xml:space="preserve"> Mintzberg outlined the requirements for managers to have, and be seen as having, authority.  They will need to have the ability to motivate and lead their team to deliver their plans, and coordinate activity in a cooperative manner </w:t>
      </w:r>
      <w:sdt>
        <w:sdtPr>
          <w:rPr>
            <w:lang w:val="en-US"/>
          </w:rPr>
          <w:id w:val="1323077909"/>
          <w:citation/>
        </w:sdtPr>
        <w:sdtEndPr/>
        <w:sdtContent>
          <w:r>
            <w:rPr>
              <w:lang w:val="en-US"/>
            </w:rPr>
            <w:fldChar w:fldCharType="begin"/>
          </w:r>
          <w:r>
            <w:instrText xml:space="preserve"> CITATION Sut04 \l 2057 </w:instrText>
          </w:r>
          <w:r>
            <w:rPr>
              <w:lang w:val="en-US"/>
            </w:rPr>
            <w:fldChar w:fldCharType="separate"/>
          </w:r>
          <w:r>
            <w:rPr>
              <w:noProof/>
            </w:rPr>
            <w:t>(Sutherland &amp; Canwell, 2004)</w:t>
          </w:r>
          <w:r>
            <w:rPr>
              <w:lang w:val="en-US"/>
            </w:rPr>
            <w:fldChar w:fldCharType="end"/>
          </w:r>
        </w:sdtContent>
      </w:sdt>
      <w:r>
        <w:rPr>
          <w:lang w:val="en-US"/>
        </w:rPr>
        <w:t>.</w:t>
      </w:r>
    </w:p>
    <w:p w14:paraId="53D39BA2" w14:textId="78BA34F9" w:rsidR="00F3258B" w:rsidRDefault="00F3258B" w:rsidP="005206DB">
      <w:pPr>
        <w:pStyle w:val="Heading1"/>
      </w:pPr>
      <w:r>
        <w:t>Conclusio</w:t>
      </w:r>
      <w:r w:rsidR="00604689">
        <w:t>n and recommendations</w:t>
      </w:r>
    </w:p>
    <w:p w14:paraId="4E440A62" w14:textId="234F20CE" w:rsidR="00604689" w:rsidRDefault="00604689" w:rsidP="00D25C58">
      <w:pPr>
        <w:jc w:val="both"/>
        <w:rPr>
          <w:lang w:val="en-US"/>
        </w:rPr>
      </w:pPr>
    </w:p>
    <w:p w14:paraId="069ED99A" w14:textId="12FC0B8D" w:rsidR="005B7807" w:rsidRDefault="005B7807" w:rsidP="005B7807">
      <w:pPr>
        <w:jc w:val="both"/>
        <w:rPr>
          <w:lang w:val="en-US"/>
        </w:rPr>
      </w:pPr>
      <w:r>
        <w:rPr>
          <w:lang w:val="en-US"/>
        </w:rPr>
        <w:t>GoSafe is</w:t>
      </w:r>
      <w:r w:rsidR="00604689">
        <w:rPr>
          <w:lang w:val="en-US"/>
        </w:rPr>
        <w:t xml:space="preserve"> an organisation with clearly defined o</w:t>
      </w:r>
      <w:r w:rsidR="000B32CF">
        <w:rPr>
          <w:lang w:val="en-US"/>
        </w:rPr>
        <w:t xml:space="preserve">rganisational </w:t>
      </w:r>
      <w:r>
        <w:rPr>
          <w:lang w:val="en-US"/>
        </w:rPr>
        <w:t>mission</w:t>
      </w:r>
      <w:r w:rsidR="00604689">
        <w:rPr>
          <w:lang w:val="en-US"/>
        </w:rPr>
        <w:t>, that is to reduce road death</w:t>
      </w:r>
      <w:r w:rsidR="000B32CF">
        <w:rPr>
          <w:lang w:val="en-US"/>
        </w:rPr>
        <w:t xml:space="preserve"> through partnership activity of enforcement and education</w:t>
      </w:r>
      <w:r>
        <w:rPr>
          <w:lang w:val="en-US"/>
        </w:rPr>
        <w:t>.  This mission should be reviewed at the start of each renewed strategy to ensure it is still relevant at the time, and su</w:t>
      </w:r>
      <w:r w:rsidR="001E5A39">
        <w:rPr>
          <w:lang w:val="en-US"/>
        </w:rPr>
        <w:t>stain</w:t>
      </w:r>
      <w:r>
        <w:rPr>
          <w:lang w:val="en-US"/>
        </w:rPr>
        <w:t xml:space="preserve">able for the future.  With a defined objective, it would be recommended to review the previous five-year plan and assess any success or failure therein and consider which </w:t>
      </w:r>
      <w:r w:rsidR="001E5A39">
        <w:rPr>
          <w:lang w:val="en-US"/>
        </w:rPr>
        <w:t xml:space="preserve">objectives </w:t>
      </w:r>
      <w:r>
        <w:rPr>
          <w:lang w:val="en-US"/>
        </w:rPr>
        <w:t xml:space="preserve">should be included in the next iteration.  </w:t>
      </w:r>
      <w:r w:rsidR="00AE13A0">
        <w:rPr>
          <w:lang w:val="en-US"/>
        </w:rPr>
        <w:t>Putting strategy in practice through a</w:t>
      </w:r>
      <w:r>
        <w:rPr>
          <w:lang w:val="en-US"/>
        </w:rPr>
        <w:t xml:space="preserve"> PESTEL analysis will outline the current and emerging issues to be considered in the plan (see </w:t>
      </w:r>
      <w:hyperlink w:anchor="_Appendices" w:history="1">
        <w:r w:rsidRPr="00D25C58">
          <w:rPr>
            <w:rStyle w:val="Hyperlink"/>
            <w:lang w:val="en-US"/>
          </w:rPr>
          <w:t>Appendix</w:t>
        </w:r>
      </w:hyperlink>
      <w:r>
        <w:rPr>
          <w:lang w:val="en-US"/>
        </w:rPr>
        <w:t xml:space="preserve">), with SWOT analysis identifying areas to be included (strengths) and mitigated (threats). </w:t>
      </w:r>
    </w:p>
    <w:p w14:paraId="631C2553" w14:textId="77777777" w:rsidR="005B7807" w:rsidRDefault="005B7807" w:rsidP="00D25C58">
      <w:pPr>
        <w:jc w:val="both"/>
        <w:rPr>
          <w:lang w:val="en-US"/>
        </w:rPr>
      </w:pPr>
    </w:p>
    <w:p w14:paraId="2DAA3217" w14:textId="4DFD9C77" w:rsidR="00604689" w:rsidRDefault="00AE13A0" w:rsidP="00D25C58">
      <w:pPr>
        <w:jc w:val="both"/>
        <w:rPr>
          <w:lang w:val="en-US"/>
        </w:rPr>
      </w:pPr>
      <w:r>
        <w:rPr>
          <w:lang w:val="en-US"/>
        </w:rPr>
        <w:t xml:space="preserve">Whilst traditional strategies emerged from industry and sought out competitive advantage, they can be adapted in a public sector setting in order to add value to an organisation </w:t>
      </w:r>
      <w:sdt>
        <w:sdtPr>
          <w:rPr>
            <w:lang w:val="en-US"/>
          </w:rPr>
          <w:id w:val="1504014970"/>
          <w:citation/>
        </w:sdtPr>
        <w:sdtEndPr/>
        <w:sdtContent>
          <w:r>
            <w:rPr>
              <w:lang w:val="en-US"/>
            </w:rPr>
            <w:fldChar w:fldCharType="begin"/>
          </w:r>
          <w:r>
            <w:instrText xml:space="preserve"> CITATION Fer15 \l 2057 </w:instrText>
          </w:r>
          <w:r>
            <w:rPr>
              <w:lang w:val="en-US"/>
            </w:rPr>
            <w:fldChar w:fldCharType="separate"/>
          </w:r>
          <w:r>
            <w:rPr>
              <w:noProof/>
            </w:rPr>
            <w:t>(Ferlie &amp; Ongaro, 2015)</w:t>
          </w:r>
          <w:r>
            <w:rPr>
              <w:lang w:val="en-US"/>
            </w:rPr>
            <w:fldChar w:fldCharType="end"/>
          </w:r>
        </w:sdtContent>
      </w:sdt>
      <w:r>
        <w:rPr>
          <w:lang w:val="en-US"/>
        </w:rPr>
        <w:t xml:space="preserve">.  </w:t>
      </w:r>
      <w:r w:rsidR="00E4502C">
        <w:rPr>
          <w:lang w:val="en-US"/>
        </w:rPr>
        <w:t xml:space="preserve">In GoSafe terms, the competitive advantage would be to offer partners better value in partnership than they would be able to provide independently. </w:t>
      </w:r>
      <w:r w:rsidR="005B7807">
        <w:rPr>
          <w:lang w:val="en-US"/>
        </w:rPr>
        <w:t xml:space="preserve">In terms of type of strategy to be developed, </w:t>
      </w:r>
      <w:r w:rsidR="00604689">
        <w:rPr>
          <w:lang w:val="en-US"/>
        </w:rPr>
        <w:t>GoSafe would benefit from developing a strategy in the prescriptive style</w:t>
      </w:r>
      <w:r w:rsidR="00D25C58">
        <w:rPr>
          <w:lang w:val="en-US"/>
        </w:rPr>
        <w:t>.</w:t>
      </w:r>
      <w:r w:rsidR="00E4502C">
        <w:rPr>
          <w:lang w:val="en-US"/>
        </w:rPr>
        <w:t xml:space="preserve"> C</w:t>
      </w:r>
      <w:r w:rsidR="000B32CF">
        <w:rPr>
          <w:lang w:val="en-US"/>
        </w:rPr>
        <w:t>onsideration should be built in for a</w:t>
      </w:r>
      <w:r w:rsidR="00604689">
        <w:rPr>
          <w:lang w:val="en-US"/>
        </w:rPr>
        <w:t xml:space="preserve"> continued evaluative and adaptive approach</w:t>
      </w:r>
      <w:r w:rsidR="000B32CF">
        <w:rPr>
          <w:lang w:val="en-US"/>
        </w:rPr>
        <w:t>, which</w:t>
      </w:r>
      <w:r w:rsidR="00604689">
        <w:rPr>
          <w:lang w:val="en-US"/>
        </w:rPr>
        <w:t xml:space="preserve"> would ensure any emergent issues are accounted for and allow for a </w:t>
      </w:r>
      <w:r w:rsidR="000B32CF">
        <w:rPr>
          <w:lang w:val="en-US"/>
        </w:rPr>
        <w:t>mid-term</w:t>
      </w:r>
      <w:r w:rsidR="00D25C58">
        <w:rPr>
          <w:lang w:val="en-US"/>
        </w:rPr>
        <w:t xml:space="preserve"> plan</w:t>
      </w:r>
      <w:r w:rsidR="00604689">
        <w:rPr>
          <w:lang w:val="en-US"/>
        </w:rPr>
        <w:t xml:space="preserve"> (5</w:t>
      </w:r>
      <w:r w:rsidR="000B32CF">
        <w:rPr>
          <w:lang w:val="en-US"/>
        </w:rPr>
        <w:t xml:space="preserve"> </w:t>
      </w:r>
      <w:r w:rsidR="00604689">
        <w:rPr>
          <w:lang w:val="en-US"/>
        </w:rPr>
        <w:t>years) to be viable and current</w:t>
      </w:r>
      <w:r w:rsidR="000B32CF">
        <w:rPr>
          <w:lang w:val="en-US"/>
        </w:rPr>
        <w:t xml:space="preserve"> for its’ lifetime</w:t>
      </w:r>
      <w:r w:rsidR="00604689">
        <w:rPr>
          <w:lang w:val="en-US"/>
        </w:rPr>
        <w:t xml:space="preserve">.  </w:t>
      </w:r>
      <w:r w:rsidR="00C46BEA">
        <w:rPr>
          <w:lang w:val="en-US"/>
        </w:rPr>
        <w:t xml:space="preserve">Examples of </w:t>
      </w:r>
      <w:r w:rsidR="000B32CF">
        <w:rPr>
          <w:lang w:val="en-US"/>
        </w:rPr>
        <w:t>emergent issues to be considered</w:t>
      </w:r>
      <w:r w:rsidR="00B46218">
        <w:rPr>
          <w:lang w:val="en-US"/>
        </w:rPr>
        <w:t xml:space="preserve"> in environmental scanning</w:t>
      </w:r>
      <w:r w:rsidR="000B32CF">
        <w:rPr>
          <w:lang w:val="en-US"/>
        </w:rPr>
        <w:t xml:space="preserve"> are</w:t>
      </w:r>
      <w:r w:rsidR="00C46BEA">
        <w:rPr>
          <w:lang w:val="en-US"/>
        </w:rPr>
        <w:t xml:space="preserve"> a </w:t>
      </w:r>
      <w:r w:rsidR="00D25C58">
        <w:rPr>
          <w:lang w:val="en-US"/>
        </w:rPr>
        <w:t xml:space="preserve">Wales wide </w:t>
      </w:r>
      <w:r w:rsidR="00C46BEA">
        <w:rPr>
          <w:lang w:val="en-US"/>
        </w:rPr>
        <w:t>change to default speed limit in residential areas in 2023</w:t>
      </w:r>
      <w:r w:rsidR="00D25C58">
        <w:rPr>
          <w:lang w:val="en-US"/>
        </w:rPr>
        <w:t xml:space="preserve"> </w:t>
      </w:r>
      <w:sdt>
        <w:sdtPr>
          <w:rPr>
            <w:lang w:val="en-US"/>
          </w:rPr>
          <w:id w:val="1422368672"/>
          <w:citation/>
        </w:sdtPr>
        <w:sdtEndPr/>
        <w:sdtContent>
          <w:r w:rsidR="00D25C58">
            <w:rPr>
              <w:lang w:val="en-US"/>
            </w:rPr>
            <w:fldChar w:fldCharType="begin"/>
          </w:r>
          <w:r w:rsidR="00D25C58">
            <w:instrText xml:space="preserve"> CITATION Wel213 \l 2057 </w:instrText>
          </w:r>
          <w:r w:rsidR="00D25C58">
            <w:rPr>
              <w:lang w:val="en-US"/>
            </w:rPr>
            <w:fldChar w:fldCharType="separate"/>
          </w:r>
          <w:r w:rsidR="00D25C58">
            <w:rPr>
              <w:noProof/>
            </w:rPr>
            <w:t>(Welsh Government, 2021)</w:t>
          </w:r>
          <w:r w:rsidR="00D25C58">
            <w:rPr>
              <w:lang w:val="en-US"/>
            </w:rPr>
            <w:fldChar w:fldCharType="end"/>
          </w:r>
        </w:sdtContent>
      </w:sdt>
      <w:r w:rsidR="000B32CF">
        <w:rPr>
          <w:lang w:val="en-US"/>
        </w:rPr>
        <w:t>, and a commitment of modal shift to active forms of tra</w:t>
      </w:r>
      <w:r w:rsidR="00E4502C">
        <w:rPr>
          <w:lang w:val="en-US"/>
        </w:rPr>
        <w:t>vel</w:t>
      </w:r>
      <w:r w:rsidR="000B32CF">
        <w:rPr>
          <w:lang w:val="en-US"/>
        </w:rPr>
        <w:t xml:space="preserve"> </w:t>
      </w:r>
      <w:r w:rsidR="00FF6A1E">
        <w:rPr>
          <w:noProof/>
        </w:rPr>
        <w:t>(Welsh Government, Llwybr Newydd, 2021)</w:t>
      </w:r>
      <w:r w:rsidR="00D25C58">
        <w:rPr>
          <w:lang w:val="en-US"/>
        </w:rPr>
        <w:t>.</w:t>
      </w:r>
    </w:p>
    <w:p w14:paraId="2140A7BD" w14:textId="486FC19F" w:rsidR="00D25C58" w:rsidRDefault="00D25C58" w:rsidP="00D25C58">
      <w:pPr>
        <w:jc w:val="both"/>
        <w:rPr>
          <w:lang w:val="en-US"/>
        </w:rPr>
      </w:pPr>
    </w:p>
    <w:p w14:paraId="3C1F0DA6" w14:textId="3D80E725" w:rsidR="005B7807" w:rsidRDefault="000B32CF" w:rsidP="005B7807">
      <w:pPr>
        <w:jc w:val="both"/>
        <w:rPr>
          <w:lang w:val="en-US"/>
        </w:rPr>
      </w:pPr>
      <w:r>
        <w:rPr>
          <w:lang w:val="en-US"/>
        </w:rPr>
        <w:t xml:space="preserve">Adding in a </w:t>
      </w:r>
      <w:r w:rsidR="005B7807">
        <w:rPr>
          <w:lang w:val="en-US"/>
        </w:rPr>
        <w:t>Delphi</w:t>
      </w:r>
      <w:r>
        <w:rPr>
          <w:lang w:val="en-US"/>
        </w:rPr>
        <w:t xml:space="preserve"> analysis, through staff and stakeholder engagement sessions and questionnaires will form a wide knowledge base of perceived strengths, as well as highlighting areas of potential development for the partnership too and would be beneficial to inform the scope and development of the plan.  </w:t>
      </w:r>
      <w:r w:rsidR="00B46218">
        <w:rPr>
          <w:lang w:val="en-US"/>
        </w:rPr>
        <w:t xml:space="preserve">This activity would assist in identifying and considering options for inclusion. </w:t>
      </w:r>
      <w:r w:rsidR="005B7807">
        <w:rPr>
          <w:lang w:val="en-US"/>
        </w:rPr>
        <w:t>Stakeholder engagement, in the form of communicating to all staff responsible for delivering the strategic plan, as well as reporting and evaluating performance to key stakeholders and assessing the plans</w:t>
      </w:r>
      <w:r w:rsidR="00FF6A1E">
        <w:rPr>
          <w:lang w:val="en-US"/>
        </w:rPr>
        <w:t>’</w:t>
      </w:r>
      <w:r w:rsidR="005B7807">
        <w:rPr>
          <w:lang w:val="en-US"/>
        </w:rPr>
        <w:t xml:space="preserve"> viability will also benefit the partner organisations and build on the success of the organisation.  As such, the Four Links Model (Lynch, 2018) should be used to outline clearly to each organisation the benefits committing to the plan. </w:t>
      </w:r>
    </w:p>
    <w:p w14:paraId="76164EA9" w14:textId="50D4B057" w:rsidR="00604689" w:rsidRDefault="00604689" w:rsidP="00D25C58">
      <w:pPr>
        <w:jc w:val="both"/>
        <w:rPr>
          <w:lang w:val="en-US"/>
        </w:rPr>
      </w:pPr>
    </w:p>
    <w:p w14:paraId="4C2648E6" w14:textId="5D2A991E" w:rsidR="00B46218" w:rsidRDefault="00B46218" w:rsidP="00D25C58">
      <w:pPr>
        <w:jc w:val="both"/>
        <w:rPr>
          <w:lang w:val="en-US"/>
        </w:rPr>
      </w:pPr>
      <w:r>
        <w:rPr>
          <w:lang w:val="en-US"/>
        </w:rPr>
        <w:t xml:space="preserve">When considering the analysis above, this would then allow for definition of organisational priorities and afford the opportunity to consider other </w:t>
      </w:r>
      <w:r w:rsidR="001E5A39">
        <w:rPr>
          <w:lang w:val="en-US"/>
        </w:rPr>
        <w:t>objectives</w:t>
      </w:r>
      <w:r>
        <w:rPr>
          <w:lang w:val="en-US"/>
        </w:rPr>
        <w:t xml:space="preserve"> for inclusion in the plan.   With the organisational priorities then defined, the resources to deliver them (both financial and human) allocated, operational plans can be drawn up. </w:t>
      </w:r>
    </w:p>
    <w:p w14:paraId="0AEB3E6C" w14:textId="3DC055E7" w:rsidR="00B46218" w:rsidRDefault="00B46218" w:rsidP="00D25C58">
      <w:pPr>
        <w:jc w:val="both"/>
        <w:rPr>
          <w:lang w:val="en-US"/>
        </w:rPr>
      </w:pPr>
    </w:p>
    <w:p w14:paraId="445D8F49" w14:textId="56744722" w:rsidR="00D625A9" w:rsidRPr="00D625A9" w:rsidRDefault="00B46218" w:rsidP="004E2D79">
      <w:pPr>
        <w:jc w:val="both"/>
        <w:rPr>
          <w:lang w:val="en-US"/>
        </w:rPr>
      </w:pPr>
      <w:r>
        <w:rPr>
          <w:lang w:val="en-US"/>
        </w:rPr>
        <w:t xml:space="preserve">The plan will then be in a position to be implemented, a key component of which will be built </w:t>
      </w:r>
      <w:r>
        <w:rPr>
          <w:lang w:val="en-US"/>
        </w:rPr>
        <w:lastRenderedPageBreak/>
        <w:t xml:space="preserve">in review and reporting against the plan to determine its’ operational effectiveness.  </w:t>
      </w:r>
      <w:r w:rsidR="009947A3">
        <w:rPr>
          <w:lang w:val="en-US"/>
        </w:rPr>
        <w:t xml:space="preserve"> This element of strategic </w:t>
      </w:r>
      <w:proofErr w:type="gramStart"/>
      <w:r w:rsidR="009947A3">
        <w:rPr>
          <w:lang w:val="en-US"/>
        </w:rPr>
        <w:t>control  will</w:t>
      </w:r>
      <w:proofErr w:type="gramEnd"/>
      <w:r w:rsidR="009947A3">
        <w:rPr>
          <w:lang w:val="en-US"/>
        </w:rPr>
        <w:t xml:space="preserve"> allow for performance measurement, review of resource allocation and progress towards goals and will allow for the built in assessment of current performance in order to inform future operational delivery </w:t>
      </w:r>
      <w:sdt>
        <w:sdtPr>
          <w:rPr>
            <w:lang w:val="en-US"/>
          </w:rPr>
          <w:id w:val="1526604676"/>
          <w:citation/>
        </w:sdtPr>
        <w:sdtEndPr/>
        <w:sdtContent>
          <w:r w:rsidR="009947A3">
            <w:rPr>
              <w:lang w:val="en-US"/>
            </w:rPr>
            <w:fldChar w:fldCharType="begin"/>
          </w:r>
          <w:r w:rsidR="009947A3">
            <w:instrText xml:space="preserve"> CITATION Cap08 \l 2057 </w:instrText>
          </w:r>
          <w:r w:rsidR="009947A3">
            <w:rPr>
              <w:lang w:val="en-US"/>
            </w:rPr>
            <w:fldChar w:fldCharType="separate"/>
          </w:r>
          <w:r w:rsidR="009947A3">
            <w:rPr>
              <w:noProof/>
            </w:rPr>
            <w:t>(Capon, 2008)</w:t>
          </w:r>
          <w:r w:rsidR="009947A3">
            <w:rPr>
              <w:lang w:val="en-US"/>
            </w:rPr>
            <w:fldChar w:fldCharType="end"/>
          </w:r>
        </w:sdtContent>
      </w:sdt>
      <w:r w:rsidR="00494690">
        <w:rPr>
          <w:lang w:val="en-US"/>
        </w:rPr>
        <w:t>, effectively delivering a successful strategy</w:t>
      </w:r>
      <w:r w:rsidR="009947A3">
        <w:rPr>
          <w:lang w:val="en-US"/>
        </w:rPr>
        <w:t>.</w:t>
      </w:r>
    </w:p>
    <w:p w14:paraId="341C1DFD" w14:textId="79D8DA9C" w:rsidR="00D625A9" w:rsidRPr="00D625A9" w:rsidRDefault="00D625A9" w:rsidP="00D25C58">
      <w:pPr>
        <w:jc w:val="both"/>
        <w:rPr>
          <w:lang w:val="en-US"/>
        </w:rPr>
        <w:sectPr w:rsidR="00D625A9" w:rsidRPr="00D625A9" w:rsidSect="002B47B1">
          <w:footerReference w:type="first" r:id="rId27"/>
          <w:pgSz w:w="11906" w:h="16838"/>
          <w:pgMar w:top="1440" w:right="1440" w:bottom="1440" w:left="1440" w:header="708" w:footer="708" w:gutter="0"/>
          <w:cols w:space="708"/>
          <w:titlePg/>
          <w:docGrid w:linePitch="360"/>
        </w:sectPr>
      </w:pPr>
    </w:p>
    <w:p w14:paraId="35C0D6BC" w14:textId="5BFE4331" w:rsidR="002B47B1" w:rsidRDefault="002B47B1" w:rsidP="00D25C58">
      <w:pPr>
        <w:pStyle w:val="Heading1"/>
        <w:jc w:val="both"/>
      </w:pPr>
      <w:bookmarkStart w:id="1" w:name="_Appendices"/>
      <w:bookmarkStart w:id="2" w:name="_Toc92646082"/>
      <w:bookmarkEnd w:id="1"/>
      <w:r>
        <w:lastRenderedPageBreak/>
        <w:t>Appendices</w:t>
      </w:r>
      <w:bookmarkEnd w:id="2"/>
    </w:p>
    <w:p w14:paraId="44648AF6" w14:textId="6033E93D" w:rsidR="00744108" w:rsidRPr="00744108" w:rsidRDefault="00744108" w:rsidP="00D25C58">
      <w:pPr>
        <w:jc w:val="both"/>
        <w:rPr>
          <w:rStyle w:val="IntenseEmphasis"/>
        </w:rPr>
      </w:pPr>
    </w:p>
    <w:p w14:paraId="5475F6E3" w14:textId="7C0D95AF" w:rsidR="0081056F" w:rsidRDefault="00744108" w:rsidP="00D25C58">
      <w:pPr>
        <w:jc w:val="both"/>
        <w:rPr>
          <w:rStyle w:val="IntenseEmphasis"/>
          <w:color w:val="0B5294"/>
        </w:rPr>
      </w:pPr>
      <w:r w:rsidRPr="00744108">
        <w:rPr>
          <w:rStyle w:val="IntenseEmphasis"/>
          <w:color w:val="0B5294"/>
        </w:rPr>
        <w:t>PEST</w:t>
      </w:r>
      <w:r w:rsidR="0081056F">
        <w:rPr>
          <w:rStyle w:val="IntenseEmphasis"/>
          <w:color w:val="0B5294"/>
        </w:rPr>
        <w:t>EL</w:t>
      </w:r>
      <w:r w:rsidRPr="00744108">
        <w:rPr>
          <w:rStyle w:val="IntenseEmphasis"/>
          <w:color w:val="0B5294"/>
        </w:rPr>
        <w:t xml:space="preserve"> Analysis for GoSafe </w:t>
      </w:r>
    </w:p>
    <w:p w14:paraId="6112F0B9" w14:textId="0D3A518B" w:rsidR="0081056F" w:rsidRPr="0081056F" w:rsidRDefault="0081056F" w:rsidP="00D25C58">
      <w:pPr>
        <w:jc w:val="both"/>
        <w:rPr>
          <w:rStyle w:val="IntenseEmphasis"/>
          <w:i w:val="0"/>
          <w:iCs w:val="0"/>
          <w:color w:val="auto"/>
        </w:rPr>
      </w:pPr>
      <w:r>
        <w:rPr>
          <w:rStyle w:val="IntenseEmphasis"/>
          <w:i w:val="0"/>
          <w:iCs w:val="0"/>
          <w:color w:val="auto"/>
        </w:rPr>
        <w:t xml:space="preserve">GoSafe will be writing its’ </w:t>
      </w:r>
      <w:r w:rsidR="008C6E0D">
        <w:rPr>
          <w:rStyle w:val="IntenseEmphasis"/>
          <w:i w:val="0"/>
          <w:iCs w:val="0"/>
          <w:color w:val="auto"/>
        </w:rPr>
        <w:t>ten-year</w:t>
      </w:r>
      <w:r>
        <w:rPr>
          <w:rStyle w:val="IntenseEmphasis"/>
          <w:i w:val="0"/>
          <w:iCs w:val="0"/>
          <w:color w:val="auto"/>
        </w:rPr>
        <w:t xml:space="preserve"> strategy in 2022.  Whilst  PEST</w:t>
      </w:r>
      <w:r w:rsidR="008D32C0">
        <w:rPr>
          <w:rStyle w:val="IntenseEmphasis"/>
          <w:i w:val="0"/>
          <w:iCs w:val="0"/>
          <w:color w:val="auto"/>
        </w:rPr>
        <w:t>EL</w:t>
      </w:r>
      <w:r>
        <w:rPr>
          <w:rStyle w:val="IntenseEmphasis"/>
          <w:i w:val="0"/>
          <w:iCs w:val="0"/>
          <w:color w:val="auto"/>
        </w:rPr>
        <w:t xml:space="preserve"> is typically a current analysis in the prescriptive style, and </w:t>
      </w:r>
      <w:r w:rsidR="008C6E0D">
        <w:rPr>
          <w:rStyle w:val="IntenseEmphasis"/>
          <w:i w:val="0"/>
          <w:iCs w:val="0"/>
          <w:color w:val="auto"/>
        </w:rPr>
        <w:t>can be</w:t>
      </w:r>
      <w:r>
        <w:rPr>
          <w:rStyle w:val="IntenseEmphasis"/>
          <w:i w:val="0"/>
          <w:iCs w:val="0"/>
          <w:color w:val="auto"/>
        </w:rPr>
        <w:t xml:space="preserve"> used to predict future positions</w:t>
      </w:r>
      <w:sdt>
        <w:sdtPr>
          <w:rPr>
            <w:rStyle w:val="IntenseEmphasis"/>
            <w:i w:val="0"/>
            <w:iCs w:val="0"/>
            <w:color w:val="auto"/>
          </w:rPr>
          <w:id w:val="739678438"/>
          <w:citation/>
        </w:sdtPr>
        <w:sdtEndPr>
          <w:rPr>
            <w:rStyle w:val="IntenseEmphasis"/>
          </w:rPr>
        </w:sdtEndPr>
        <w:sdtContent>
          <w:r>
            <w:rPr>
              <w:rStyle w:val="IntenseEmphasis"/>
              <w:i w:val="0"/>
              <w:iCs w:val="0"/>
              <w:color w:val="auto"/>
            </w:rPr>
            <w:fldChar w:fldCharType="begin"/>
          </w:r>
          <w:r>
            <w:rPr>
              <w:rStyle w:val="IntenseEmphasis"/>
              <w:i w:val="0"/>
              <w:iCs w:val="0"/>
              <w:color w:val="auto"/>
            </w:rPr>
            <w:instrText xml:space="preserve"> CITATION Lyn18 \l 2057 </w:instrText>
          </w:r>
          <w:r>
            <w:rPr>
              <w:rStyle w:val="IntenseEmphasis"/>
              <w:i w:val="0"/>
              <w:iCs w:val="0"/>
              <w:color w:val="auto"/>
            </w:rPr>
            <w:fldChar w:fldCharType="separate"/>
          </w:r>
          <w:r>
            <w:rPr>
              <w:rStyle w:val="IntenseEmphasis"/>
              <w:i w:val="0"/>
              <w:iCs w:val="0"/>
              <w:noProof/>
              <w:color w:val="auto"/>
            </w:rPr>
            <w:t xml:space="preserve"> </w:t>
          </w:r>
          <w:r>
            <w:rPr>
              <w:noProof/>
            </w:rPr>
            <w:t>(Lynch, 2018)</w:t>
          </w:r>
          <w:r>
            <w:rPr>
              <w:rStyle w:val="IntenseEmphasis"/>
              <w:i w:val="0"/>
              <w:iCs w:val="0"/>
              <w:color w:val="auto"/>
            </w:rPr>
            <w:fldChar w:fldCharType="end"/>
          </w:r>
        </w:sdtContent>
      </w:sdt>
      <w:r>
        <w:rPr>
          <w:rStyle w:val="IntenseEmphasis"/>
          <w:i w:val="0"/>
          <w:iCs w:val="0"/>
          <w:color w:val="auto"/>
        </w:rPr>
        <w:t xml:space="preserve">, this analysis shows the application of theory to the current position of GoSafe and will be used to formulate the strategic plan. </w:t>
      </w:r>
    </w:p>
    <w:p w14:paraId="77F3D3AE" w14:textId="600CAC53" w:rsidR="00744108" w:rsidRDefault="00744108" w:rsidP="00D25C58">
      <w:pPr>
        <w:jc w:val="both"/>
        <w:rPr>
          <w:rStyle w:val="IntenseEmphasis"/>
          <w:color w:val="0B5294"/>
        </w:rPr>
      </w:pPr>
    </w:p>
    <w:tbl>
      <w:tblPr>
        <w:tblStyle w:val="TableGrid"/>
        <w:tblW w:w="0" w:type="auto"/>
        <w:tblLook w:val="04A0" w:firstRow="1" w:lastRow="0" w:firstColumn="1" w:lastColumn="0" w:noHBand="0" w:noVBand="1"/>
      </w:tblPr>
      <w:tblGrid>
        <w:gridCol w:w="2324"/>
        <w:gridCol w:w="2324"/>
        <w:gridCol w:w="2325"/>
        <w:gridCol w:w="2325"/>
        <w:gridCol w:w="2325"/>
        <w:gridCol w:w="2325"/>
      </w:tblGrid>
      <w:tr w:rsidR="0081056F" w14:paraId="1F939E84" w14:textId="1A1BA822" w:rsidTr="0081056F">
        <w:tc>
          <w:tcPr>
            <w:tcW w:w="2324" w:type="dxa"/>
            <w:shd w:val="clear" w:color="auto" w:fill="76C2E8" w:themeFill="background2" w:themeFillShade="BF"/>
          </w:tcPr>
          <w:p w14:paraId="2B48A213" w14:textId="77777777" w:rsidR="0081056F" w:rsidRPr="00224EFF" w:rsidRDefault="0081056F" w:rsidP="00D25C58">
            <w:pPr>
              <w:jc w:val="both"/>
              <w:rPr>
                <w:rStyle w:val="IntenseEmphasis"/>
                <w:i w:val="0"/>
                <w:iCs w:val="0"/>
                <w:color w:val="FFFFFF" w:themeColor="background1"/>
                <w:sz w:val="96"/>
                <w:szCs w:val="96"/>
              </w:rPr>
            </w:pPr>
            <w:r w:rsidRPr="00224EFF">
              <w:rPr>
                <w:rStyle w:val="IntenseEmphasis"/>
                <w:i w:val="0"/>
                <w:iCs w:val="0"/>
                <w:color w:val="FFFFFF" w:themeColor="background1"/>
                <w:sz w:val="96"/>
                <w:szCs w:val="96"/>
              </w:rPr>
              <w:t>P</w:t>
            </w:r>
          </w:p>
          <w:p w14:paraId="21D29B1D" w14:textId="71855F3B" w:rsidR="0081056F" w:rsidRPr="00744108" w:rsidRDefault="0081056F" w:rsidP="00D25C58">
            <w:pPr>
              <w:jc w:val="both"/>
              <w:rPr>
                <w:rStyle w:val="IntenseEmphasis"/>
                <w:i w:val="0"/>
                <w:iCs w:val="0"/>
                <w:color w:val="FFFFFF" w:themeColor="background1"/>
                <w:sz w:val="28"/>
                <w:szCs w:val="28"/>
              </w:rPr>
            </w:pPr>
            <w:r w:rsidRPr="00744108">
              <w:rPr>
                <w:rStyle w:val="IntenseEmphasis"/>
                <w:i w:val="0"/>
                <w:iCs w:val="0"/>
                <w:color w:val="FFFFFF" w:themeColor="background1"/>
                <w:sz w:val="28"/>
                <w:szCs w:val="28"/>
              </w:rPr>
              <w:t>Political</w:t>
            </w:r>
          </w:p>
        </w:tc>
        <w:tc>
          <w:tcPr>
            <w:tcW w:w="2324" w:type="dxa"/>
            <w:shd w:val="clear" w:color="auto" w:fill="B0DFA0" w:themeFill="accent5" w:themeFillTint="99"/>
          </w:tcPr>
          <w:p w14:paraId="2A884900" w14:textId="77777777" w:rsidR="0081056F" w:rsidRPr="00224EFF" w:rsidRDefault="0081056F" w:rsidP="00D25C58">
            <w:pPr>
              <w:jc w:val="both"/>
              <w:rPr>
                <w:rStyle w:val="IntenseEmphasis"/>
                <w:i w:val="0"/>
                <w:iCs w:val="0"/>
                <w:color w:val="FFFFFF" w:themeColor="background1"/>
                <w:sz w:val="96"/>
                <w:szCs w:val="96"/>
              </w:rPr>
            </w:pPr>
            <w:r w:rsidRPr="00224EFF">
              <w:rPr>
                <w:rStyle w:val="IntenseEmphasis"/>
                <w:i w:val="0"/>
                <w:iCs w:val="0"/>
                <w:color w:val="FFFFFF" w:themeColor="background1"/>
                <w:sz w:val="96"/>
                <w:szCs w:val="96"/>
              </w:rPr>
              <w:t>E</w:t>
            </w:r>
          </w:p>
          <w:p w14:paraId="27956CD8" w14:textId="5A8A2500" w:rsidR="0081056F" w:rsidRPr="00744108" w:rsidRDefault="0081056F" w:rsidP="00D25C58">
            <w:pPr>
              <w:jc w:val="both"/>
              <w:rPr>
                <w:rStyle w:val="IntenseEmphasis"/>
                <w:i w:val="0"/>
                <w:iCs w:val="0"/>
                <w:color w:val="FFFFFF" w:themeColor="background1"/>
                <w:sz w:val="28"/>
                <w:szCs w:val="28"/>
              </w:rPr>
            </w:pPr>
            <w:r w:rsidRPr="00744108">
              <w:rPr>
                <w:rStyle w:val="IntenseEmphasis"/>
                <w:i w:val="0"/>
                <w:iCs w:val="0"/>
                <w:color w:val="FFFFFF" w:themeColor="background1"/>
                <w:sz w:val="28"/>
                <w:szCs w:val="28"/>
              </w:rPr>
              <w:t>Economic</w:t>
            </w:r>
          </w:p>
        </w:tc>
        <w:tc>
          <w:tcPr>
            <w:tcW w:w="2325" w:type="dxa"/>
            <w:shd w:val="clear" w:color="auto" w:fill="BFBFBF" w:themeFill="background1" w:themeFillShade="BF"/>
          </w:tcPr>
          <w:p w14:paraId="06C4810C" w14:textId="77777777" w:rsidR="0081056F" w:rsidRPr="00224EFF" w:rsidRDefault="0081056F" w:rsidP="00D25C58">
            <w:pPr>
              <w:jc w:val="both"/>
              <w:rPr>
                <w:rStyle w:val="IntenseEmphasis"/>
                <w:i w:val="0"/>
                <w:iCs w:val="0"/>
                <w:color w:val="FFFFFF" w:themeColor="background1"/>
                <w:sz w:val="96"/>
                <w:szCs w:val="96"/>
              </w:rPr>
            </w:pPr>
            <w:r w:rsidRPr="00224EFF">
              <w:rPr>
                <w:rStyle w:val="IntenseEmphasis"/>
                <w:i w:val="0"/>
                <w:iCs w:val="0"/>
                <w:color w:val="FFFFFF" w:themeColor="background1"/>
                <w:sz w:val="96"/>
                <w:szCs w:val="96"/>
              </w:rPr>
              <w:t>S</w:t>
            </w:r>
          </w:p>
          <w:p w14:paraId="2A7D74FC" w14:textId="51FD05E7" w:rsidR="0081056F" w:rsidRPr="00744108" w:rsidRDefault="0081056F" w:rsidP="00D25C58">
            <w:pPr>
              <w:jc w:val="both"/>
              <w:rPr>
                <w:rStyle w:val="IntenseEmphasis"/>
                <w:i w:val="0"/>
                <w:iCs w:val="0"/>
                <w:color w:val="FFFFFF" w:themeColor="background1"/>
                <w:sz w:val="28"/>
                <w:szCs w:val="28"/>
              </w:rPr>
            </w:pPr>
            <w:r w:rsidRPr="00744108">
              <w:rPr>
                <w:rStyle w:val="IntenseEmphasis"/>
                <w:i w:val="0"/>
                <w:iCs w:val="0"/>
                <w:color w:val="FFFFFF" w:themeColor="background1"/>
                <w:sz w:val="28"/>
                <w:szCs w:val="28"/>
              </w:rPr>
              <w:t>Social</w:t>
            </w:r>
          </w:p>
        </w:tc>
        <w:tc>
          <w:tcPr>
            <w:tcW w:w="2325" w:type="dxa"/>
            <w:shd w:val="clear" w:color="auto" w:fill="FFC000"/>
          </w:tcPr>
          <w:p w14:paraId="6E692C46" w14:textId="77777777" w:rsidR="0081056F" w:rsidRPr="00224EFF" w:rsidRDefault="0081056F" w:rsidP="00D25C58">
            <w:pPr>
              <w:jc w:val="both"/>
              <w:rPr>
                <w:rStyle w:val="IntenseEmphasis"/>
                <w:i w:val="0"/>
                <w:iCs w:val="0"/>
                <w:color w:val="FFFFFF" w:themeColor="background1"/>
                <w:sz w:val="96"/>
                <w:szCs w:val="96"/>
              </w:rPr>
            </w:pPr>
            <w:r w:rsidRPr="00224EFF">
              <w:rPr>
                <w:rStyle w:val="IntenseEmphasis"/>
                <w:i w:val="0"/>
                <w:iCs w:val="0"/>
                <w:color w:val="FFFFFF" w:themeColor="background1"/>
                <w:sz w:val="96"/>
                <w:szCs w:val="96"/>
              </w:rPr>
              <w:t>T</w:t>
            </w:r>
          </w:p>
          <w:p w14:paraId="29FDAB35" w14:textId="1A0A4002" w:rsidR="0081056F" w:rsidRPr="00744108" w:rsidRDefault="0081056F" w:rsidP="00D25C58">
            <w:pPr>
              <w:jc w:val="both"/>
              <w:rPr>
                <w:rStyle w:val="IntenseEmphasis"/>
                <w:i w:val="0"/>
                <w:iCs w:val="0"/>
                <w:color w:val="FFFFFF" w:themeColor="background1"/>
                <w:sz w:val="28"/>
                <w:szCs w:val="28"/>
              </w:rPr>
            </w:pPr>
            <w:r w:rsidRPr="00744108">
              <w:rPr>
                <w:rStyle w:val="IntenseEmphasis"/>
                <w:i w:val="0"/>
                <w:iCs w:val="0"/>
                <w:color w:val="FFFFFF" w:themeColor="background1"/>
                <w:sz w:val="28"/>
                <w:szCs w:val="28"/>
              </w:rPr>
              <w:t>Technological</w:t>
            </w:r>
          </w:p>
        </w:tc>
        <w:tc>
          <w:tcPr>
            <w:tcW w:w="2325" w:type="dxa"/>
            <w:shd w:val="clear" w:color="auto" w:fill="0070C0"/>
          </w:tcPr>
          <w:p w14:paraId="22F9BB75" w14:textId="4F8AE501" w:rsidR="0081056F" w:rsidRPr="00224EFF" w:rsidRDefault="0081056F" w:rsidP="00D25C58">
            <w:pPr>
              <w:jc w:val="both"/>
              <w:rPr>
                <w:rStyle w:val="IntenseEmphasis"/>
                <w:i w:val="0"/>
                <w:iCs w:val="0"/>
                <w:color w:val="FFFFFF" w:themeColor="background1"/>
                <w:sz w:val="96"/>
                <w:szCs w:val="96"/>
              </w:rPr>
            </w:pPr>
            <w:r w:rsidRPr="00224EFF">
              <w:rPr>
                <w:rStyle w:val="IntenseEmphasis"/>
                <w:i w:val="0"/>
                <w:iCs w:val="0"/>
                <w:color w:val="FFFFFF" w:themeColor="background1"/>
                <w:sz w:val="96"/>
                <w:szCs w:val="96"/>
              </w:rPr>
              <w:t>E</w:t>
            </w:r>
          </w:p>
          <w:p w14:paraId="039DEAEC" w14:textId="06BA9DF5" w:rsidR="0081056F" w:rsidRPr="00744108" w:rsidRDefault="0081056F" w:rsidP="00D25C58">
            <w:pPr>
              <w:jc w:val="both"/>
              <w:rPr>
                <w:rStyle w:val="IntenseEmphasis"/>
                <w:i w:val="0"/>
                <w:iCs w:val="0"/>
                <w:color w:val="FFFFFF" w:themeColor="background1"/>
                <w:sz w:val="28"/>
                <w:szCs w:val="28"/>
              </w:rPr>
            </w:pPr>
            <w:r>
              <w:rPr>
                <w:rStyle w:val="IntenseEmphasis"/>
                <w:i w:val="0"/>
                <w:iCs w:val="0"/>
                <w:color w:val="FFFFFF" w:themeColor="background1"/>
                <w:sz w:val="28"/>
                <w:szCs w:val="28"/>
              </w:rPr>
              <w:t>Environmental</w:t>
            </w:r>
          </w:p>
        </w:tc>
        <w:tc>
          <w:tcPr>
            <w:tcW w:w="2325" w:type="dxa"/>
            <w:shd w:val="clear" w:color="auto" w:fill="0C9A73" w:themeFill="accent4" w:themeFillShade="BF"/>
          </w:tcPr>
          <w:p w14:paraId="062E257A" w14:textId="77777777" w:rsidR="0081056F" w:rsidRPr="00224EFF" w:rsidRDefault="0081056F" w:rsidP="00D25C58">
            <w:pPr>
              <w:jc w:val="both"/>
              <w:rPr>
                <w:rStyle w:val="IntenseEmphasis"/>
                <w:i w:val="0"/>
                <w:iCs w:val="0"/>
                <w:color w:val="FFFFFF" w:themeColor="background1"/>
                <w:sz w:val="96"/>
                <w:szCs w:val="96"/>
              </w:rPr>
            </w:pPr>
            <w:r w:rsidRPr="00224EFF">
              <w:rPr>
                <w:rStyle w:val="IntenseEmphasis"/>
                <w:i w:val="0"/>
                <w:iCs w:val="0"/>
                <w:color w:val="FFFFFF" w:themeColor="background1"/>
                <w:sz w:val="96"/>
                <w:szCs w:val="96"/>
              </w:rPr>
              <w:t>L</w:t>
            </w:r>
          </w:p>
          <w:p w14:paraId="320DE3B7" w14:textId="6B0FE7B9" w:rsidR="0081056F" w:rsidRPr="0081056F" w:rsidRDefault="0081056F" w:rsidP="00D25C58">
            <w:pPr>
              <w:jc w:val="both"/>
              <w:rPr>
                <w:rStyle w:val="IntenseEmphasis"/>
                <w:i w:val="0"/>
                <w:iCs w:val="0"/>
                <w:color w:val="FFFFFF" w:themeColor="background1"/>
              </w:rPr>
            </w:pPr>
            <w:r>
              <w:rPr>
                <w:rStyle w:val="IntenseEmphasis"/>
                <w:i w:val="0"/>
                <w:iCs w:val="0"/>
                <w:color w:val="FFFFFF" w:themeColor="background1"/>
              </w:rPr>
              <w:t>Legal</w:t>
            </w:r>
          </w:p>
        </w:tc>
      </w:tr>
      <w:tr w:rsidR="0081056F" w14:paraId="37861475" w14:textId="59E5A245" w:rsidTr="00604689">
        <w:tc>
          <w:tcPr>
            <w:tcW w:w="2324" w:type="dxa"/>
          </w:tcPr>
          <w:p w14:paraId="6CEEF873" w14:textId="77777777" w:rsidR="0081056F" w:rsidRPr="00224EFF" w:rsidRDefault="00224EFF" w:rsidP="00D25C58">
            <w:pPr>
              <w:jc w:val="both"/>
              <w:rPr>
                <w:rStyle w:val="IntenseEmphasis"/>
                <w:i w:val="0"/>
                <w:iCs w:val="0"/>
                <w:color w:val="auto"/>
              </w:rPr>
            </w:pPr>
            <w:r w:rsidRPr="00224EFF">
              <w:rPr>
                <w:rStyle w:val="IntenseEmphasis"/>
                <w:i w:val="0"/>
                <w:iCs w:val="0"/>
                <w:color w:val="auto"/>
              </w:rPr>
              <w:t>Police and Crime Commissioners Plans – where Road Safety features.</w:t>
            </w:r>
          </w:p>
          <w:p w14:paraId="6EAE55AB" w14:textId="77777777" w:rsidR="00224EFF" w:rsidRDefault="00224EFF" w:rsidP="00D25C58">
            <w:pPr>
              <w:jc w:val="both"/>
              <w:rPr>
                <w:rStyle w:val="IntenseEmphasis"/>
                <w:i w:val="0"/>
                <w:iCs w:val="0"/>
                <w:color w:val="auto"/>
              </w:rPr>
            </w:pPr>
          </w:p>
          <w:p w14:paraId="7F8ADF49" w14:textId="77777777" w:rsidR="00224EFF" w:rsidRDefault="00224EFF" w:rsidP="00D25C58">
            <w:pPr>
              <w:jc w:val="both"/>
              <w:rPr>
                <w:rStyle w:val="IntenseEmphasis"/>
                <w:i w:val="0"/>
                <w:iCs w:val="0"/>
                <w:color w:val="auto"/>
              </w:rPr>
            </w:pPr>
            <w:r>
              <w:rPr>
                <w:rStyle w:val="IntenseEmphasis"/>
                <w:i w:val="0"/>
                <w:iCs w:val="0"/>
                <w:color w:val="auto"/>
              </w:rPr>
              <w:t>Devolved Government in Wales – focus on Air Quality (enforced), 20mph default speed limit.</w:t>
            </w:r>
          </w:p>
          <w:p w14:paraId="0DA240E3" w14:textId="77777777" w:rsidR="00224EFF" w:rsidRDefault="00224EFF" w:rsidP="00D25C58">
            <w:pPr>
              <w:jc w:val="both"/>
              <w:rPr>
                <w:rStyle w:val="IntenseEmphasis"/>
                <w:i w:val="0"/>
                <w:iCs w:val="0"/>
                <w:color w:val="auto"/>
              </w:rPr>
            </w:pPr>
          </w:p>
          <w:p w14:paraId="6A51A4F1" w14:textId="77777777" w:rsidR="00224EFF" w:rsidRDefault="00224EFF" w:rsidP="00D25C58">
            <w:pPr>
              <w:jc w:val="both"/>
              <w:rPr>
                <w:rStyle w:val="IntenseEmphasis"/>
                <w:i w:val="0"/>
                <w:iCs w:val="0"/>
                <w:color w:val="auto"/>
              </w:rPr>
            </w:pPr>
            <w:r>
              <w:rPr>
                <w:rStyle w:val="IntenseEmphasis"/>
                <w:i w:val="0"/>
                <w:iCs w:val="0"/>
                <w:color w:val="auto"/>
              </w:rPr>
              <w:t>Government funding via Deputy Climate Minister – tied to ministerial views.</w:t>
            </w:r>
          </w:p>
          <w:p w14:paraId="7D35004C" w14:textId="540AAAC2" w:rsidR="00224EFF" w:rsidRPr="00224EFF" w:rsidRDefault="00224EFF" w:rsidP="00D25C58">
            <w:pPr>
              <w:jc w:val="both"/>
              <w:rPr>
                <w:rStyle w:val="IntenseEmphasis"/>
                <w:i w:val="0"/>
                <w:iCs w:val="0"/>
                <w:color w:val="auto"/>
              </w:rPr>
            </w:pPr>
            <w:r>
              <w:rPr>
                <w:rStyle w:val="IntenseEmphasis"/>
                <w:i w:val="0"/>
                <w:iCs w:val="0"/>
                <w:color w:val="auto"/>
              </w:rPr>
              <w:t xml:space="preserve">Policing not devolved.  </w:t>
            </w:r>
          </w:p>
        </w:tc>
        <w:tc>
          <w:tcPr>
            <w:tcW w:w="2324" w:type="dxa"/>
          </w:tcPr>
          <w:p w14:paraId="022FB9ED" w14:textId="77777777" w:rsidR="0081056F" w:rsidRDefault="00224EFF" w:rsidP="00D25C58">
            <w:pPr>
              <w:jc w:val="both"/>
              <w:rPr>
                <w:rStyle w:val="IntenseEmphasis"/>
                <w:i w:val="0"/>
                <w:iCs w:val="0"/>
                <w:color w:val="auto"/>
              </w:rPr>
            </w:pPr>
            <w:r>
              <w:rPr>
                <w:rStyle w:val="IntenseEmphasis"/>
                <w:i w:val="0"/>
                <w:iCs w:val="0"/>
                <w:color w:val="auto"/>
              </w:rPr>
              <w:t>Rising costs (fuel) for vehicle fleet</w:t>
            </w:r>
          </w:p>
          <w:p w14:paraId="1FE37DCD" w14:textId="77777777" w:rsidR="00224EFF" w:rsidRDefault="00224EFF" w:rsidP="00D25C58">
            <w:pPr>
              <w:jc w:val="both"/>
              <w:rPr>
                <w:rStyle w:val="IntenseEmphasis"/>
                <w:i w:val="0"/>
                <w:iCs w:val="0"/>
                <w:color w:val="auto"/>
              </w:rPr>
            </w:pPr>
          </w:p>
          <w:p w14:paraId="08B3A5F8" w14:textId="77777777" w:rsidR="00224EFF" w:rsidRDefault="00224EFF" w:rsidP="00D25C58">
            <w:pPr>
              <w:jc w:val="both"/>
              <w:rPr>
                <w:rStyle w:val="IntenseEmphasis"/>
                <w:i w:val="0"/>
                <w:iCs w:val="0"/>
                <w:color w:val="auto"/>
              </w:rPr>
            </w:pPr>
          </w:p>
          <w:p w14:paraId="7704E504" w14:textId="77777777" w:rsidR="00224EFF" w:rsidRDefault="00224EFF" w:rsidP="00D25C58">
            <w:pPr>
              <w:jc w:val="both"/>
              <w:rPr>
                <w:rStyle w:val="IntenseEmphasis"/>
                <w:i w:val="0"/>
                <w:iCs w:val="0"/>
                <w:color w:val="auto"/>
              </w:rPr>
            </w:pPr>
          </w:p>
          <w:p w14:paraId="168BFDAA" w14:textId="6EF2E33F" w:rsidR="00224EFF" w:rsidRDefault="00224EFF" w:rsidP="00D25C58">
            <w:pPr>
              <w:jc w:val="both"/>
              <w:rPr>
                <w:rStyle w:val="IntenseEmphasis"/>
                <w:i w:val="0"/>
                <w:iCs w:val="0"/>
                <w:color w:val="auto"/>
              </w:rPr>
            </w:pPr>
            <w:r>
              <w:rPr>
                <w:rStyle w:val="IntenseEmphasis"/>
                <w:i w:val="0"/>
                <w:iCs w:val="0"/>
                <w:color w:val="auto"/>
              </w:rPr>
              <w:t>Post COVID austerity</w:t>
            </w:r>
          </w:p>
          <w:p w14:paraId="758DF3DC" w14:textId="77777777" w:rsidR="00224EFF" w:rsidRDefault="00224EFF" w:rsidP="00D25C58">
            <w:pPr>
              <w:jc w:val="both"/>
              <w:rPr>
                <w:rStyle w:val="IntenseEmphasis"/>
                <w:i w:val="0"/>
                <w:iCs w:val="0"/>
                <w:color w:val="auto"/>
              </w:rPr>
            </w:pPr>
          </w:p>
          <w:p w14:paraId="5AEF8C3B" w14:textId="77777777" w:rsidR="00224EFF" w:rsidRDefault="00224EFF" w:rsidP="00D25C58">
            <w:pPr>
              <w:jc w:val="both"/>
              <w:rPr>
                <w:rStyle w:val="IntenseEmphasis"/>
                <w:i w:val="0"/>
                <w:iCs w:val="0"/>
                <w:color w:val="auto"/>
              </w:rPr>
            </w:pPr>
          </w:p>
          <w:p w14:paraId="603396A4" w14:textId="77777777" w:rsidR="00224EFF" w:rsidRDefault="00224EFF" w:rsidP="00D25C58">
            <w:pPr>
              <w:jc w:val="both"/>
              <w:rPr>
                <w:rStyle w:val="IntenseEmphasis"/>
                <w:i w:val="0"/>
                <w:iCs w:val="0"/>
                <w:color w:val="auto"/>
              </w:rPr>
            </w:pPr>
          </w:p>
          <w:p w14:paraId="10EDF958" w14:textId="77777777" w:rsidR="00224EFF" w:rsidRDefault="00224EFF" w:rsidP="00D25C58">
            <w:pPr>
              <w:jc w:val="both"/>
              <w:rPr>
                <w:rStyle w:val="IntenseEmphasis"/>
                <w:i w:val="0"/>
                <w:iCs w:val="0"/>
                <w:color w:val="auto"/>
              </w:rPr>
            </w:pPr>
          </w:p>
          <w:p w14:paraId="0F466F2F" w14:textId="77777777" w:rsidR="00224EFF" w:rsidRDefault="00224EFF" w:rsidP="00D25C58">
            <w:pPr>
              <w:jc w:val="both"/>
              <w:rPr>
                <w:rStyle w:val="IntenseEmphasis"/>
                <w:i w:val="0"/>
                <w:iCs w:val="0"/>
                <w:color w:val="auto"/>
              </w:rPr>
            </w:pPr>
          </w:p>
          <w:p w14:paraId="75595559" w14:textId="5EACDC27" w:rsidR="00224EFF" w:rsidRPr="00224EFF" w:rsidRDefault="00224EFF" w:rsidP="00D25C58">
            <w:pPr>
              <w:jc w:val="both"/>
              <w:rPr>
                <w:rStyle w:val="IntenseEmphasis"/>
                <w:i w:val="0"/>
                <w:iCs w:val="0"/>
                <w:color w:val="auto"/>
              </w:rPr>
            </w:pPr>
            <w:r>
              <w:rPr>
                <w:rStyle w:val="IntenseEmphasis"/>
                <w:i w:val="0"/>
                <w:iCs w:val="0"/>
                <w:color w:val="auto"/>
              </w:rPr>
              <w:t>Reduced WG Grant</w:t>
            </w:r>
          </w:p>
        </w:tc>
        <w:tc>
          <w:tcPr>
            <w:tcW w:w="2325" w:type="dxa"/>
          </w:tcPr>
          <w:p w14:paraId="4BCCC2F2" w14:textId="77777777" w:rsidR="0081056F" w:rsidRDefault="00224EFF" w:rsidP="00D25C58">
            <w:pPr>
              <w:jc w:val="both"/>
              <w:rPr>
                <w:rStyle w:val="IntenseEmphasis"/>
                <w:i w:val="0"/>
                <w:iCs w:val="0"/>
                <w:color w:val="auto"/>
              </w:rPr>
            </w:pPr>
            <w:r>
              <w:rPr>
                <w:rStyle w:val="IntenseEmphasis"/>
                <w:i w:val="0"/>
                <w:iCs w:val="0"/>
                <w:color w:val="auto"/>
              </w:rPr>
              <w:t>Attitudes to speeding</w:t>
            </w:r>
          </w:p>
          <w:p w14:paraId="33EE918B" w14:textId="77777777" w:rsidR="00224EFF" w:rsidRDefault="00224EFF" w:rsidP="00D25C58">
            <w:pPr>
              <w:jc w:val="both"/>
              <w:rPr>
                <w:rStyle w:val="IntenseEmphasis"/>
                <w:i w:val="0"/>
                <w:iCs w:val="0"/>
                <w:color w:val="auto"/>
              </w:rPr>
            </w:pPr>
          </w:p>
          <w:p w14:paraId="0C5E85BA" w14:textId="77777777" w:rsidR="00224EFF" w:rsidRDefault="00224EFF" w:rsidP="00D25C58">
            <w:pPr>
              <w:jc w:val="both"/>
              <w:rPr>
                <w:rStyle w:val="IntenseEmphasis"/>
                <w:i w:val="0"/>
                <w:iCs w:val="0"/>
                <w:color w:val="auto"/>
              </w:rPr>
            </w:pPr>
          </w:p>
          <w:p w14:paraId="3AD9D171" w14:textId="77777777" w:rsidR="00224EFF" w:rsidRDefault="00224EFF" w:rsidP="00D25C58">
            <w:pPr>
              <w:jc w:val="both"/>
              <w:rPr>
                <w:rStyle w:val="IntenseEmphasis"/>
                <w:i w:val="0"/>
                <w:iCs w:val="0"/>
                <w:color w:val="auto"/>
              </w:rPr>
            </w:pPr>
          </w:p>
          <w:p w14:paraId="538A02EE" w14:textId="77777777" w:rsidR="00224EFF" w:rsidRDefault="00224EFF" w:rsidP="00D25C58">
            <w:pPr>
              <w:jc w:val="both"/>
              <w:rPr>
                <w:rStyle w:val="IntenseEmphasis"/>
                <w:i w:val="0"/>
                <w:iCs w:val="0"/>
                <w:color w:val="auto"/>
              </w:rPr>
            </w:pPr>
          </w:p>
          <w:p w14:paraId="536894A6" w14:textId="77777777" w:rsidR="00224EFF" w:rsidRDefault="00224EFF" w:rsidP="00D25C58">
            <w:pPr>
              <w:jc w:val="both"/>
              <w:rPr>
                <w:rStyle w:val="IntenseEmphasis"/>
                <w:i w:val="0"/>
                <w:iCs w:val="0"/>
                <w:color w:val="auto"/>
              </w:rPr>
            </w:pPr>
            <w:r>
              <w:rPr>
                <w:rStyle w:val="IntenseEmphasis"/>
                <w:i w:val="0"/>
                <w:iCs w:val="0"/>
                <w:color w:val="auto"/>
              </w:rPr>
              <w:t xml:space="preserve">Cycling – campaigners. Active group. Represented in collision statistics. </w:t>
            </w:r>
          </w:p>
          <w:p w14:paraId="2F0B2B64" w14:textId="77777777" w:rsidR="00224EFF" w:rsidRDefault="00224EFF" w:rsidP="00D25C58">
            <w:pPr>
              <w:jc w:val="both"/>
              <w:rPr>
                <w:rStyle w:val="IntenseEmphasis"/>
                <w:i w:val="0"/>
                <w:iCs w:val="0"/>
                <w:color w:val="auto"/>
              </w:rPr>
            </w:pPr>
          </w:p>
          <w:p w14:paraId="58B44D16" w14:textId="77777777" w:rsidR="00224EFF" w:rsidRDefault="00224EFF" w:rsidP="00D25C58">
            <w:pPr>
              <w:jc w:val="both"/>
              <w:rPr>
                <w:rStyle w:val="IntenseEmphasis"/>
                <w:i w:val="0"/>
                <w:iCs w:val="0"/>
                <w:color w:val="auto"/>
              </w:rPr>
            </w:pPr>
          </w:p>
          <w:p w14:paraId="0CA0CFA8" w14:textId="77777777" w:rsidR="00224EFF" w:rsidRDefault="00224EFF" w:rsidP="00D25C58">
            <w:pPr>
              <w:jc w:val="both"/>
              <w:rPr>
                <w:rStyle w:val="IntenseEmphasis"/>
                <w:i w:val="0"/>
                <w:iCs w:val="0"/>
                <w:color w:val="auto"/>
              </w:rPr>
            </w:pPr>
          </w:p>
          <w:p w14:paraId="7F2C2D57" w14:textId="22D99CF3" w:rsidR="00224EFF" w:rsidRPr="00224EFF" w:rsidRDefault="00224EFF" w:rsidP="00D25C58">
            <w:pPr>
              <w:jc w:val="both"/>
              <w:rPr>
                <w:rStyle w:val="IntenseEmphasis"/>
                <w:i w:val="0"/>
                <w:iCs w:val="0"/>
                <w:color w:val="auto"/>
              </w:rPr>
            </w:pPr>
            <w:r>
              <w:rPr>
                <w:rStyle w:val="IntenseEmphasis"/>
                <w:i w:val="0"/>
                <w:iCs w:val="0"/>
                <w:color w:val="auto"/>
              </w:rPr>
              <w:t>Post COVID changes to way of work/socialising</w:t>
            </w:r>
          </w:p>
        </w:tc>
        <w:tc>
          <w:tcPr>
            <w:tcW w:w="2325" w:type="dxa"/>
          </w:tcPr>
          <w:p w14:paraId="5AE58F96" w14:textId="77777777" w:rsidR="0081056F" w:rsidRDefault="00224EFF" w:rsidP="00D25C58">
            <w:pPr>
              <w:jc w:val="both"/>
              <w:rPr>
                <w:rStyle w:val="IntenseEmphasis"/>
                <w:i w:val="0"/>
                <w:iCs w:val="0"/>
                <w:color w:val="auto"/>
              </w:rPr>
            </w:pPr>
            <w:r>
              <w:rPr>
                <w:rStyle w:val="IntenseEmphasis"/>
                <w:i w:val="0"/>
                <w:iCs w:val="0"/>
                <w:color w:val="auto"/>
              </w:rPr>
              <w:t>Vehicle development – intelligent speed assist, electric vehicles (enforcing air quality).</w:t>
            </w:r>
          </w:p>
          <w:p w14:paraId="3F7ADB24" w14:textId="77777777" w:rsidR="00224EFF" w:rsidRDefault="00224EFF" w:rsidP="00D25C58">
            <w:pPr>
              <w:jc w:val="both"/>
              <w:rPr>
                <w:rStyle w:val="IntenseEmphasis"/>
                <w:i w:val="0"/>
                <w:iCs w:val="0"/>
                <w:color w:val="auto"/>
              </w:rPr>
            </w:pPr>
            <w:r>
              <w:rPr>
                <w:rStyle w:val="IntenseEmphasis"/>
                <w:i w:val="0"/>
                <w:iCs w:val="0"/>
                <w:color w:val="auto"/>
              </w:rPr>
              <w:t>Electrical vehicle fleet – capital replacement programme.</w:t>
            </w:r>
          </w:p>
          <w:p w14:paraId="14F8CFC1" w14:textId="77777777" w:rsidR="00224EFF" w:rsidRDefault="00224EFF" w:rsidP="00D25C58">
            <w:pPr>
              <w:jc w:val="both"/>
              <w:rPr>
                <w:rStyle w:val="IntenseEmphasis"/>
                <w:i w:val="0"/>
                <w:iCs w:val="0"/>
                <w:color w:val="auto"/>
              </w:rPr>
            </w:pPr>
          </w:p>
          <w:p w14:paraId="4231A3B2" w14:textId="77777777" w:rsidR="00224EFF" w:rsidRDefault="00224EFF" w:rsidP="00D25C58">
            <w:pPr>
              <w:jc w:val="both"/>
              <w:rPr>
                <w:rStyle w:val="IntenseEmphasis"/>
                <w:i w:val="0"/>
                <w:iCs w:val="0"/>
                <w:color w:val="auto"/>
              </w:rPr>
            </w:pPr>
          </w:p>
          <w:p w14:paraId="13C6777C" w14:textId="77777777" w:rsidR="00224EFF" w:rsidRDefault="00224EFF" w:rsidP="00D25C58">
            <w:pPr>
              <w:jc w:val="both"/>
              <w:rPr>
                <w:rStyle w:val="IntenseEmphasis"/>
                <w:i w:val="0"/>
                <w:iCs w:val="0"/>
                <w:color w:val="auto"/>
              </w:rPr>
            </w:pPr>
          </w:p>
          <w:p w14:paraId="5CD4661A" w14:textId="1A57E05D" w:rsidR="00224EFF" w:rsidRPr="00224EFF" w:rsidRDefault="00224EFF" w:rsidP="00D25C58">
            <w:pPr>
              <w:jc w:val="both"/>
              <w:rPr>
                <w:rStyle w:val="IntenseEmphasis"/>
                <w:i w:val="0"/>
                <w:iCs w:val="0"/>
                <w:color w:val="auto"/>
              </w:rPr>
            </w:pPr>
            <w:r>
              <w:rPr>
                <w:rStyle w:val="IntenseEmphasis"/>
                <w:i w:val="0"/>
                <w:iCs w:val="0"/>
                <w:color w:val="auto"/>
              </w:rPr>
              <w:t>Enforcement technology capabilities – range/recording medium.</w:t>
            </w:r>
          </w:p>
        </w:tc>
        <w:tc>
          <w:tcPr>
            <w:tcW w:w="2325" w:type="dxa"/>
          </w:tcPr>
          <w:p w14:paraId="1B54C46F" w14:textId="77777777" w:rsidR="0081056F" w:rsidRDefault="001728C8" w:rsidP="00D25C58">
            <w:pPr>
              <w:jc w:val="both"/>
              <w:rPr>
                <w:rStyle w:val="IntenseEmphasis"/>
                <w:i w:val="0"/>
                <w:iCs w:val="0"/>
                <w:color w:val="auto"/>
              </w:rPr>
            </w:pPr>
            <w:r>
              <w:rPr>
                <w:rStyle w:val="IntenseEmphasis"/>
                <w:i w:val="0"/>
                <w:iCs w:val="0"/>
                <w:color w:val="auto"/>
              </w:rPr>
              <w:t xml:space="preserve">Current fleet diesel – future fleet replacement to be electric.  Charging considerations and impact on equipment. </w:t>
            </w:r>
          </w:p>
          <w:p w14:paraId="198D42CA" w14:textId="77777777" w:rsidR="001728C8" w:rsidRDefault="001728C8" w:rsidP="00D25C58">
            <w:pPr>
              <w:jc w:val="both"/>
              <w:rPr>
                <w:rStyle w:val="IntenseEmphasis"/>
                <w:i w:val="0"/>
                <w:iCs w:val="0"/>
                <w:color w:val="auto"/>
              </w:rPr>
            </w:pPr>
          </w:p>
          <w:p w14:paraId="730E8A26" w14:textId="77777777" w:rsidR="001728C8" w:rsidRDefault="001728C8" w:rsidP="00D25C58">
            <w:pPr>
              <w:jc w:val="both"/>
              <w:rPr>
                <w:rStyle w:val="IntenseEmphasis"/>
                <w:i w:val="0"/>
                <w:iCs w:val="0"/>
                <w:color w:val="auto"/>
              </w:rPr>
            </w:pPr>
          </w:p>
          <w:p w14:paraId="4067B8D9" w14:textId="77777777" w:rsidR="001728C8" w:rsidRDefault="001728C8" w:rsidP="00D25C58">
            <w:pPr>
              <w:jc w:val="both"/>
              <w:rPr>
                <w:rStyle w:val="IntenseEmphasis"/>
                <w:i w:val="0"/>
                <w:iCs w:val="0"/>
                <w:color w:val="auto"/>
              </w:rPr>
            </w:pPr>
          </w:p>
          <w:p w14:paraId="248F42A1" w14:textId="77777777" w:rsidR="001728C8" w:rsidRDefault="001728C8" w:rsidP="00D25C58">
            <w:pPr>
              <w:jc w:val="both"/>
              <w:rPr>
                <w:rStyle w:val="IntenseEmphasis"/>
                <w:i w:val="0"/>
                <w:iCs w:val="0"/>
                <w:color w:val="auto"/>
              </w:rPr>
            </w:pPr>
          </w:p>
          <w:p w14:paraId="2982FB94" w14:textId="77777777" w:rsidR="001728C8" w:rsidRDefault="001728C8" w:rsidP="00D25C58">
            <w:pPr>
              <w:jc w:val="both"/>
              <w:rPr>
                <w:rStyle w:val="IntenseEmphasis"/>
                <w:i w:val="0"/>
                <w:iCs w:val="0"/>
                <w:color w:val="auto"/>
              </w:rPr>
            </w:pPr>
          </w:p>
          <w:p w14:paraId="38BD591D" w14:textId="77777777" w:rsidR="001728C8" w:rsidRDefault="001728C8" w:rsidP="00D25C58">
            <w:pPr>
              <w:jc w:val="both"/>
              <w:rPr>
                <w:rStyle w:val="IntenseEmphasis"/>
                <w:i w:val="0"/>
                <w:iCs w:val="0"/>
                <w:color w:val="auto"/>
              </w:rPr>
            </w:pPr>
          </w:p>
          <w:p w14:paraId="5B5DEB41" w14:textId="5C8F9153" w:rsidR="001728C8" w:rsidRPr="00224EFF" w:rsidRDefault="001728C8" w:rsidP="00D25C58">
            <w:pPr>
              <w:jc w:val="both"/>
              <w:rPr>
                <w:rStyle w:val="IntenseEmphasis"/>
                <w:i w:val="0"/>
                <w:iCs w:val="0"/>
                <w:color w:val="auto"/>
              </w:rPr>
            </w:pPr>
            <w:r>
              <w:rPr>
                <w:rStyle w:val="IntenseEmphasis"/>
                <w:i w:val="0"/>
                <w:iCs w:val="0"/>
                <w:color w:val="auto"/>
              </w:rPr>
              <w:t>Increase in Air Quality monitoring locations across Wales.</w:t>
            </w:r>
          </w:p>
        </w:tc>
        <w:tc>
          <w:tcPr>
            <w:tcW w:w="2325" w:type="dxa"/>
          </w:tcPr>
          <w:p w14:paraId="0281D233" w14:textId="77777777" w:rsidR="0081056F" w:rsidRDefault="001728C8" w:rsidP="00D25C58">
            <w:pPr>
              <w:jc w:val="both"/>
              <w:rPr>
                <w:rStyle w:val="IntenseEmphasis"/>
                <w:i w:val="0"/>
                <w:iCs w:val="0"/>
                <w:color w:val="auto"/>
              </w:rPr>
            </w:pPr>
            <w:r w:rsidRPr="001728C8">
              <w:rPr>
                <w:rStyle w:val="IntenseEmphasis"/>
                <w:i w:val="0"/>
                <w:iCs w:val="0"/>
                <w:color w:val="auto"/>
              </w:rPr>
              <w:t>Mobile phone legislation</w:t>
            </w:r>
            <w:r>
              <w:rPr>
                <w:rStyle w:val="IntenseEmphasis"/>
                <w:i w:val="0"/>
                <w:iCs w:val="0"/>
                <w:color w:val="auto"/>
              </w:rPr>
              <w:t xml:space="preserve"> (current and post legislation change 2022).</w:t>
            </w:r>
          </w:p>
          <w:p w14:paraId="7256AA9B" w14:textId="77777777" w:rsidR="001728C8" w:rsidRDefault="001728C8" w:rsidP="00D25C58">
            <w:pPr>
              <w:jc w:val="both"/>
              <w:rPr>
                <w:rStyle w:val="IntenseEmphasis"/>
                <w:i w:val="0"/>
                <w:iCs w:val="0"/>
                <w:color w:val="0B5294"/>
              </w:rPr>
            </w:pPr>
          </w:p>
          <w:p w14:paraId="10BF03C8" w14:textId="77777777" w:rsidR="001728C8" w:rsidRDefault="001728C8" w:rsidP="00D25C58">
            <w:pPr>
              <w:jc w:val="both"/>
              <w:rPr>
                <w:rStyle w:val="IntenseEmphasis"/>
                <w:i w:val="0"/>
                <w:iCs w:val="0"/>
                <w:color w:val="auto"/>
              </w:rPr>
            </w:pPr>
            <w:r>
              <w:rPr>
                <w:rStyle w:val="IntenseEmphasis"/>
                <w:i w:val="0"/>
                <w:iCs w:val="0"/>
                <w:color w:val="auto"/>
              </w:rPr>
              <w:t>Compliance with employment law – e.g. safety of operators.</w:t>
            </w:r>
          </w:p>
          <w:p w14:paraId="37D1DAF2" w14:textId="77777777" w:rsidR="001728C8" w:rsidRDefault="001728C8" w:rsidP="00D25C58">
            <w:pPr>
              <w:jc w:val="both"/>
              <w:rPr>
                <w:rStyle w:val="IntenseEmphasis"/>
                <w:i w:val="0"/>
                <w:iCs w:val="0"/>
                <w:color w:val="auto"/>
              </w:rPr>
            </w:pPr>
          </w:p>
          <w:p w14:paraId="598F1325" w14:textId="0185DAD7" w:rsidR="001728C8" w:rsidRPr="001728C8" w:rsidRDefault="001728C8" w:rsidP="00D25C58">
            <w:pPr>
              <w:jc w:val="both"/>
              <w:rPr>
                <w:rStyle w:val="IntenseEmphasis"/>
                <w:i w:val="0"/>
                <w:iCs w:val="0"/>
                <w:color w:val="auto"/>
              </w:rPr>
            </w:pPr>
            <w:r>
              <w:rPr>
                <w:rStyle w:val="IntenseEmphasis"/>
                <w:i w:val="0"/>
                <w:iCs w:val="0"/>
                <w:color w:val="auto"/>
              </w:rPr>
              <w:t xml:space="preserve">Road Traffic legislation. </w:t>
            </w:r>
          </w:p>
        </w:tc>
      </w:tr>
    </w:tbl>
    <w:p w14:paraId="687E72A1" w14:textId="77777777" w:rsidR="00E8770D" w:rsidRDefault="00E8770D" w:rsidP="00D25C58">
      <w:pPr>
        <w:jc w:val="both"/>
      </w:pPr>
    </w:p>
    <w:p w14:paraId="7435A973" w14:textId="77777777" w:rsidR="00A6103A" w:rsidRDefault="00A6103A" w:rsidP="00D25C58">
      <w:pPr>
        <w:jc w:val="both"/>
        <w:sectPr w:rsidR="00A6103A" w:rsidSect="00744108">
          <w:pgSz w:w="16838" w:h="11906" w:orient="landscape"/>
          <w:pgMar w:top="1440" w:right="1440" w:bottom="1440" w:left="1440" w:header="708" w:footer="708" w:gutter="0"/>
          <w:cols w:space="708"/>
          <w:titlePg/>
          <w:docGrid w:linePitch="360"/>
        </w:sectPr>
      </w:pPr>
    </w:p>
    <w:tbl>
      <w:tblPr>
        <w:tblStyle w:val="TableGrid"/>
        <w:tblW w:w="9879" w:type="dxa"/>
        <w:jc w:val="center"/>
        <w:tblLayout w:type="fixed"/>
        <w:tblLook w:val="04A0" w:firstRow="1" w:lastRow="0" w:firstColumn="1" w:lastColumn="0" w:noHBand="0" w:noVBand="1"/>
      </w:tblPr>
      <w:tblGrid>
        <w:gridCol w:w="404"/>
        <w:gridCol w:w="4678"/>
        <w:gridCol w:w="4394"/>
        <w:gridCol w:w="403"/>
      </w:tblGrid>
      <w:tr w:rsidR="00E8770D" w:rsidRPr="00E8770D" w14:paraId="65B734CC" w14:textId="77777777" w:rsidTr="00A6103A">
        <w:trPr>
          <w:trHeight w:val="327"/>
          <w:jc w:val="center"/>
        </w:trPr>
        <w:tc>
          <w:tcPr>
            <w:tcW w:w="5082" w:type="dxa"/>
            <w:gridSpan w:val="2"/>
            <w:tcBorders>
              <w:top w:val="single" w:sz="4" w:space="0" w:color="auto"/>
              <w:left w:val="single" w:sz="4" w:space="0" w:color="auto"/>
              <w:bottom w:val="nil"/>
              <w:right w:val="single" w:sz="4" w:space="0" w:color="auto"/>
            </w:tcBorders>
            <w:shd w:val="clear" w:color="auto" w:fill="7EAF35"/>
            <w:hideMark/>
          </w:tcPr>
          <w:p w14:paraId="4A6EEFC5" w14:textId="77777777" w:rsidR="00A6103A" w:rsidRDefault="00A6103A" w:rsidP="00D25C58">
            <w:pPr>
              <w:jc w:val="both"/>
              <w:rPr>
                <w:rStyle w:val="IntenseEmphasis"/>
                <w:color w:val="112F51" w:themeColor="text2" w:themeShade="BF"/>
              </w:rPr>
            </w:pPr>
            <w:r w:rsidRPr="00A6103A">
              <w:rPr>
                <w:rStyle w:val="IntenseEmphasis"/>
                <w:color w:val="112F51" w:themeColor="text2" w:themeShade="BF"/>
              </w:rPr>
              <w:lastRenderedPageBreak/>
              <w:t xml:space="preserve">SWOT </w:t>
            </w:r>
            <w:proofErr w:type="gramStart"/>
            <w:r w:rsidRPr="00A6103A">
              <w:rPr>
                <w:rStyle w:val="IntenseEmphasis"/>
                <w:color w:val="112F51" w:themeColor="text2" w:themeShade="BF"/>
              </w:rPr>
              <w:t>Analysis  for</w:t>
            </w:r>
            <w:proofErr w:type="gramEnd"/>
            <w:r w:rsidRPr="00A6103A">
              <w:rPr>
                <w:rStyle w:val="IntenseEmphasis"/>
                <w:color w:val="112F51" w:themeColor="text2" w:themeShade="BF"/>
              </w:rPr>
              <w:t xml:space="preserve"> GoSafe </w:t>
            </w:r>
          </w:p>
          <w:p w14:paraId="68E553F3" w14:textId="2CF191B1" w:rsidR="00E8770D" w:rsidRPr="00E8770D" w:rsidRDefault="00E8770D" w:rsidP="00D25C58">
            <w:pPr>
              <w:jc w:val="both"/>
              <w:rPr>
                <w:rFonts w:cs="Arial"/>
                <w:b/>
                <w:color w:val="FFFFFF" w:themeColor="background1"/>
                <w:sz w:val="22"/>
                <w:szCs w:val="22"/>
              </w:rPr>
            </w:pPr>
            <w:r w:rsidRPr="00E8770D">
              <w:rPr>
                <w:rFonts w:cs="Arial"/>
                <w:b/>
                <w:color w:val="FFFFFF" w:themeColor="background1"/>
                <w:sz w:val="22"/>
                <w:szCs w:val="22"/>
              </w:rPr>
              <w:t>Strength</w:t>
            </w:r>
          </w:p>
        </w:tc>
        <w:tc>
          <w:tcPr>
            <w:tcW w:w="4797" w:type="dxa"/>
            <w:gridSpan w:val="2"/>
            <w:tcBorders>
              <w:top w:val="single" w:sz="4" w:space="0" w:color="auto"/>
              <w:left w:val="single" w:sz="4" w:space="0" w:color="auto"/>
              <w:bottom w:val="nil"/>
              <w:right w:val="single" w:sz="4" w:space="0" w:color="auto"/>
            </w:tcBorders>
            <w:shd w:val="clear" w:color="auto" w:fill="7EAF35"/>
            <w:vAlign w:val="center"/>
            <w:hideMark/>
          </w:tcPr>
          <w:p w14:paraId="40D27AA0" w14:textId="77777777" w:rsidR="00E8770D" w:rsidRPr="00E8770D" w:rsidRDefault="00E8770D" w:rsidP="00D25C58">
            <w:pPr>
              <w:jc w:val="both"/>
              <w:rPr>
                <w:rFonts w:cs="Arial"/>
                <w:sz w:val="22"/>
                <w:szCs w:val="22"/>
              </w:rPr>
            </w:pPr>
            <w:r w:rsidRPr="00E8770D">
              <w:rPr>
                <w:rFonts w:cs="Arial"/>
                <w:b/>
                <w:color w:val="FFFFFF" w:themeColor="background1"/>
                <w:sz w:val="22"/>
                <w:szCs w:val="22"/>
              </w:rPr>
              <w:t>Weakness</w:t>
            </w:r>
          </w:p>
        </w:tc>
      </w:tr>
      <w:tr w:rsidR="00E8770D" w:rsidRPr="00E8770D" w14:paraId="68FAD1A3" w14:textId="77777777" w:rsidTr="00A6103A">
        <w:trPr>
          <w:cantSplit/>
          <w:trHeight w:val="1134"/>
          <w:jc w:val="center"/>
        </w:trPr>
        <w:tc>
          <w:tcPr>
            <w:tcW w:w="404" w:type="dxa"/>
            <w:tcBorders>
              <w:top w:val="nil"/>
              <w:left w:val="single" w:sz="4" w:space="0" w:color="auto"/>
              <w:bottom w:val="single" w:sz="4" w:space="0" w:color="auto"/>
              <w:right w:val="single" w:sz="4" w:space="0" w:color="auto"/>
            </w:tcBorders>
            <w:shd w:val="clear" w:color="auto" w:fill="7EAF35"/>
            <w:textDirection w:val="btLr"/>
            <w:hideMark/>
          </w:tcPr>
          <w:p w14:paraId="40716CCC" w14:textId="77777777" w:rsidR="00E8770D" w:rsidRPr="00E8770D" w:rsidRDefault="00E8770D" w:rsidP="00D25C58">
            <w:pPr>
              <w:ind w:left="113" w:right="113"/>
              <w:jc w:val="both"/>
              <w:rPr>
                <w:rFonts w:cs="Arial"/>
                <w:b/>
                <w:color w:val="FFFFFF" w:themeColor="background1"/>
                <w:sz w:val="22"/>
                <w:szCs w:val="22"/>
              </w:rPr>
            </w:pPr>
            <w:r w:rsidRPr="00E8770D">
              <w:rPr>
                <w:rFonts w:cs="Arial"/>
                <w:b/>
                <w:color w:val="FFFFFF" w:themeColor="background1"/>
                <w:sz w:val="22"/>
                <w:szCs w:val="22"/>
              </w:rPr>
              <w:t>Strength</w:t>
            </w:r>
          </w:p>
        </w:tc>
        <w:tc>
          <w:tcPr>
            <w:tcW w:w="4678" w:type="dxa"/>
            <w:tcBorders>
              <w:top w:val="single" w:sz="4" w:space="0" w:color="auto"/>
              <w:left w:val="single" w:sz="4" w:space="0" w:color="auto"/>
              <w:bottom w:val="single" w:sz="4" w:space="0" w:color="auto"/>
              <w:right w:val="single" w:sz="4" w:space="0" w:color="auto"/>
            </w:tcBorders>
          </w:tcPr>
          <w:p w14:paraId="5A679D28" w14:textId="77777777" w:rsidR="00E8770D" w:rsidRPr="00E8770D" w:rsidRDefault="00E8770D" w:rsidP="00D25C58">
            <w:pPr>
              <w:pStyle w:val="ListParagraph"/>
              <w:widowControl/>
              <w:numPr>
                <w:ilvl w:val="0"/>
                <w:numId w:val="21"/>
              </w:numPr>
              <w:suppressAutoHyphens w:val="0"/>
              <w:jc w:val="both"/>
              <w:rPr>
                <w:rFonts w:cs="Arial"/>
                <w:sz w:val="22"/>
                <w:szCs w:val="22"/>
              </w:rPr>
            </w:pPr>
            <w:r w:rsidRPr="00E8770D">
              <w:rPr>
                <w:rFonts w:cs="Arial"/>
                <w:sz w:val="22"/>
                <w:szCs w:val="22"/>
              </w:rPr>
              <w:t xml:space="preserve">Collaborative practices provide efficiency savings e.g. speed survey framework, centralised knowledge for technology procurement and support, subscription to Road Safety </w:t>
            </w:r>
            <w:proofErr w:type="gramStart"/>
            <w:r w:rsidRPr="00E8770D">
              <w:rPr>
                <w:rFonts w:cs="Arial"/>
                <w:sz w:val="22"/>
                <w:szCs w:val="22"/>
              </w:rPr>
              <w:t>Support  and</w:t>
            </w:r>
            <w:proofErr w:type="gramEnd"/>
            <w:r w:rsidRPr="00E8770D">
              <w:rPr>
                <w:rFonts w:cs="Arial"/>
                <w:sz w:val="22"/>
                <w:szCs w:val="22"/>
              </w:rPr>
              <w:t xml:space="preserve"> MAST for all partners.</w:t>
            </w:r>
          </w:p>
          <w:p w14:paraId="5404F992" w14:textId="77777777" w:rsidR="00E8770D" w:rsidRPr="00E8770D" w:rsidRDefault="00E8770D" w:rsidP="00D25C58">
            <w:pPr>
              <w:pStyle w:val="ListParagraph"/>
              <w:widowControl/>
              <w:numPr>
                <w:ilvl w:val="0"/>
                <w:numId w:val="21"/>
              </w:numPr>
              <w:suppressAutoHyphens w:val="0"/>
              <w:jc w:val="both"/>
              <w:rPr>
                <w:rFonts w:cs="Arial"/>
                <w:sz w:val="22"/>
                <w:szCs w:val="22"/>
              </w:rPr>
            </w:pPr>
            <w:r w:rsidRPr="00E8770D">
              <w:rPr>
                <w:rFonts w:cs="Arial"/>
                <w:sz w:val="22"/>
                <w:szCs w:val="22"/>
              </w:rPr>
              <w:t>Solid approach to partnership working: GoSafe seen as valid contributor to road safety at operational level.</w:t>
            </w:r>
          </w:p>
          <w:p w14:paraId="5DE74169" w14:textId="77777777" w:rsidR="00E8770D" w:rsidRPr="00E8770D" w:rsidRDefault="00E8770D" w:rsidP="00D25C58">
            <w:pPr>
              <w:pStyle w:val="ListParagraph"/>
              <w:widowControl/>
              <w:numPr>
                <w:ilvl w:val="0"/>
                <w:numId w:val="21"/>
              </w:numPr>
              <w:suppressAutoHyphens w:val="0"/>
              <w:jc w:val="both"/>
              <w:rPr>
                <w:rFonts w:cs="Arial"/>
                <w:sz w:val="22"/>
                <w:szCs w:val="22"/>
              </w:rPr>
            </w:pPr>
            <w:r w:rsidRPr="00E8770D">
              <w:rPr>
                <w:rFonts w:cs="Arial"/>
                <w:sz w:val="22"/>
                <w:szCs w:val="22"/>
              </w:rPr>
              <w:t>Ability to demonstrate collision reduction and community engagement/support</w:t>
            </w:r>
          </w:p>
          <w:p w14:paraId="0BC53E27" w14:textId="77777777" w:rsidR="00E8770D" w:rsidRPr="00E8770D" w:rsidRDefault="00E8770D" w:rsidP="00D25C58">
            <w:pPr>
              <w:pStyle w:val="ListParagraph"/>
              <w:widowControl/>
              <w:numPr>
                <w:ilvl w:val="0"/>
                <w:numId w:val="21"/>
              </w:numPr>
              <w:suppressAutoHyphens w:val="0"/>
              <w:jc w:val="both"/>
              <w:rPr>
                <w:rFonts w:cs="Arial"/>
                <w:sz w:val="22"/>
                <w:szCs w:val="22"/>
              </w:rPr>
            </w:pPr>
            <w:r w:rsidRPr="00E8770D">
              <w:rPr>
                <w:rFonts w:cs="Arial"/>
                <w:sz w:val="22"/>
                <w:szCs w:val="22"/>
              </w:rPr>
              <w:t>Enforce 3 out of 5 of the “fatal 5” collision causes</w:t>
            </w:r>
          </w:p>
          <w:p w14:paraId="28EE0BF3" w14:textId="77777777" w:rsidR="00E8770D" w:rsidRPr="00E8770D" w:rsidRDefault="00E8770D" w:rsidP="00D25C58">
            <w:pPr>
              <w:pStyle w:val="ListParagraph"/>
              <w:widowControl/>
              <w:numPr>
                <w:ilvl w:val="0"/>
                <w:numId w:val="21"/>
              </w:numPr>
              <w:suppressAutoHyphens w:val="0"/>
              <w:jc w:val="both"/>
              <w:rPr>
                <w:rFonts w:cs="Arial"/>
                <w:sz w:val="22"/>
                <w:szCs w:val="22"/>
              </w:rPr>
            </w:pPr>
            <w:r w:rsidRPr="00E8770D">
              <w:rPr>
                <w:rFonts w:cs="Arial"/>
                <w:sz w:val="22"/>
                <w:szCs w:val="22"/>
              </w:rPr>
              <w:t>Centralised administration function for managing of offences allows police to do more for less.</w:t>
            </w:r>
          </w:p>
          <w:p w14:paraId="4F4D4271" w14:textId="77777777" w:rsidR="00E8770D" w:rsidRPr="00E8770D" w:rsidRDefault="00E8770D" w:rsidP="00D25C58">
            <w:pPr>
              <w:pStyle w:val="ListParagraph"/>
              <w:widowControl/>
              <w:numPr>
                <w:ilvl w:val="0"/>
                <w:numId w:val="21"/>
              </w:numPr>
              <w:suppressAutoHyphens w:val="0"/>
              <w:jc w:val="both"/>
              <w:rPr>
                <w:rFonts w:cs="Arial"/>
                <w:sz w:val="22"/>
                <w:szCs w:val="22"/>
              </w:rPr>
            </w:pPr>
            <w:r w:rsidRPr="00E8770D">
              <w:rPr>
                <w:rFonts w:cs="Arial"/>
                <w:sz w:val="22"/>
                <w:szCs w:val="22"/>
              </w:rPr>
              <w:t>Expertise in camera process</w:t>
            </w:r>
          </w:p>
          <w:p w14:paraId="61FAC8BC" w14:textId="77777777" w:rsidR="00E8770D" w:rsidRPr="00E8770D" w:rsidRDefault="00E8770D" w:rsidP="00D25C58">
            <w:pPr>
              <w:pStyle w:val="ListParagraph"/>
              <w:widowControl/>
              <w:numPr>
                <w:ilvl w:val="0"/>
                <w:numId w:val="21"/>
              </w:numPr>
              <w:suppressAutoHyphens w:val="0"/>
              <w:jc w:val="both"/>
              <w:rPr>
                <w:rFonts w:cs="Arial"/>
                <w:sz w:val="22"/>
                <w:szCs w:val="22"/>
              </w:rPr>
            </w:pPr>
            <w:r w:rsidRPr="00E8770D">
              <w:rPr>
                <w:rFonts w:cs="Arial"/>
                <w:sz w:val="22"/>
                <w:szCs w:val="22"/>
              </w:rPr>
              <w:t>Community speed watch support</w:t>
            </w:r>
          </w:p>
          <w:p w14:paraId="6CF3AC69" w14:textId="77777777" w:rsidR="00E8770D" w:rsidRPr="00E8770D" w:rsidRDefault="00E8770D" w:rsidP="00D25C58">
            <w:pPr>
              <w:pStyle w:val="ListParagraph"/>
              <w:widowControl/>
              <w:numPr>
                <w:ilvl w:val="0"/>
                <w:numId w:val="21"/>
              </w:numPr>
              <w:suppressAutoHyphens w:val="0"/>
              <w:jc w:val="both"/>
              <w:rPr>
                <w:rFonts w:cs="Arial"/>
                <w:sz w:val="22"/>
                <w:szCs w:val="22"/>
              </w:rPr>
            </w:pPr>
            <w:r w:rsidRPr="00E8770D">
              <w:rPr>
                <w:rFonts w:cs="Arial"/>
                <w:sz w:val="22"/>
                <w:szCs w:val="22"/>
              </w:rPr>
              <w:t>Solid contribution to Communication &amp; Marketing Internally and externally</w:t>
            </w:r>
          </w:p>
          <w:p w14:paraId="5B2A295C" w14:textId="77777777" w:rsidR="00E8770D" w:rsidRPr="00E8770D" w:rsidRDefault="00E8770D" w:rsidP="00D25C58">
            <w:pPr>
              <w:pStyle w:val="ListParagraph"/>
              <w:widowControl/>
              <w:numPr>
                <w:ilvl w:val="0"/>
                <w:numId w:val="21"/>
              </w:numPr>
              <w:suppressAutoHyphens w:val="0"/>
              <w:jc w:val="both"/>
              <w:rPr>
                <w:rFonts w:cs="Arial"/>
                <w:sz w:val="22"/>
                <w:szCs w:val="22"/>
              </w:rPr>
            </w:pPr>
            <w:r w:rsidRPr="00E8770D">
              <w:rPr>
                <w:rFonts w:cs="Arial"/>
                <w:sz w:val="22"/>
                <w:szCs w:val="22"/>
              </w:rPr>
              <w:t>Link to NPCC campaigns and operational calendar</w:t>
            </w:r>
          </w:p>
          <w:p w14:paraId="7B8199F1" w14:textId="77777777" w:rsidR="00E8770D" w:rsidRPr="00E8770D" w:rsidRDefault="00E8770D" w:rsidP="00D25C58">
            <w:pPr>
              <w:pStyle w:val="ListParagraph"/>
              <w:widowControl/>
              <w:numPr>
                <w:ilvl w:val="0"/>
                <w:numId w:val="21"/>
              </w:numPr>
              <w:suppressAutoHyphens w:val="0"/>
              <w:jc w:val="both"/>
              <w:rPr>
                <w:rFonts w:cs="Arial"/>
                <w:sz w:val="22"/>
                <w:szCs w:val="22"/>
              </w:rPr>
            </w:pPr>
            <w:r w:rsidRPr="00E8770D">
              <w:rPr>
                <w:rFonts w:cs="Arial"/>
                <w:sz w:val="22"/>
                <w:szCs w:val="22"/>
              </w:rPr>
              <w:t>Ability to develop campaigns such as SNAP nationally</w:t>
            </w:r>
          </w:p>
          <w:p w14:paraId="35FBA57E" w14:textId="77777777" w:rsidR="00E8770D" w:rsidRPr="00E8770D" w:rsidRDefault="00E8770D" w:rsidP="00D25C58">
            <w:pPr>
              <w:pStyle w:val="ListParagraph"/>
              <w:widowControl/>
              <w:numPr>
                <w:ilvl w:val="0"/>
                <w:numId w:val="21"/>
              </w:numPr>
              <w:suppressAutoHyphens w:val="0"/>
              <w:jc w:val="both"/>
              <w:rPr>
                <w:rFonts w:cs="Arial"/>
                <w:sz w:val="22"/>
                <w:szCs w:val="22"/>
              </w:rPr>
            </w:pPr>
            <w:r w:rsidRPr="00E8770D">
              <w:rPr>
                <w:rFonts w:cs="Arial"/>
                <w:sz w:val="22"/>
                <w:szCs w:val="22"/>
              </w:rPr>
              <w:t>Supportive of local authority collision reduction objectives</w:t>
            </w:r>
          </w:p>
          <w:p w14:paraId="12089ED4" w14:textId="77777777" w:rsidR="00E8770D" w:rsidRPr="00E8770D" w:rsidRDefault="00E8770D" w:rsidP="00D25C58">
            <w:pPr>
              <w:pStyle w:val="ListParagraph"/>
              <w:widowControl/>
              <w:numPr>
                <w:ilvl w:val="0"/>
                <w:numId w:val="21"/>
              </w:numPr>
              <w:suppressAutoHyphens w:val="0"/>
              <w:jc w:val="both"/>
              <w:rPr>
                <w:rFonts w:cs="Arial"/>
                <w:sz w:val="22"/>
                <w:szCs w:val="22"/>
              </w:rPr>
            </w:pPr>
            <w:r w:rsidRPr="00E8770D">
              <w:rPr>
                <w:rFonts w:cs="Arial"/>
                <w:sz w:val="22"/>
                <w:szCs w:val="22"/>
              </w:rPr>
              <w:t>Active role in Road Safety Wales as Vice Chair post is held by the partnership manager</w:t>
            </w:r>
          </w:p>
          <w:p w14:paraId="6FC1EC80" w14:textId="77777777" w:rsidR="00E8770D" w:rsidRPr="00E8770D" w:rsidRDefault="00E8770D" w:rsidP="00D25C58">
            <w:pPr>
              <w:pStyle w:val="ListParagraph"/>
              <w:widowControl/>
              <w:numPr>
                <w:ilvl w:val="0"/>
                <w:numId w:val="21"/>
              </w:numPr>
              <w:suppressAutoHyphens w:val="0"/>
              <w:jc w:val="both"/>
              <w:rPr>
                <w:rFonts w:cs="Arial"/>
                <w:sz w:val="22"/>
                <w:szCs w:val="22"/>
              </w:rPr>
            </w:pPr>
            <w:r w:rsidRPr="00E8770D">
              <w:rPr>
                <w:rFonts w:cs="Arial"/>
                <w:sz w:val="22"/>
                <w:szCs w:val="22"/>
              </w:rPr>
              <w:t>GoSafe national campaigns for high risk groups adopted (Wales by Bike / Deadly Mates) with strong collaboration between ROSPA, RSW and GoSafe</w:t>
            </w:r>
          </w:p>
        </w:tc>
        <w:tc>
          <w:tcPr>
            <w:tcW w:w="4394" w:type="dxa"/>
            <w:tcBorders>
              <w:top w:val="single" w:sz="4" w:space="0" w:color="auto"/>
              <w:left w:val="single" w:sz="4" w:space="0" w:color="auto"/>
              <w:bottom w:val="single" w:sz="4" w:space="0" w:color="auto"/>
              <w:right w:val="single" w:sz="4" w:space="0" w:color="auto"/>
            </w:tcBorders>
            <w:hideMark/>
          </w:tcPr>
          <w:p w14:paraId="7D9AE142" w14:textId="77777777" w:rsidR="00E8770D" w:rsidRPr="00E8770D" w:rsidRDefault="00E8770D" w:rsidP="00D25C58">
            <w:pPr>
              <w:pStyle w:val="ListParagraph"/>
              <w:widowControl/>
              <w:numPr>
                <w:ilvl w:val="0"/>
                <w:numId w:val="19"/>
              </w:numPr>
              <w:suppressAutoHyphens w:val="0"/>
              <w:ind w:left="365" w:hanging="283"/>
              <w:jc w:val="both"/>
              <w:rPr>
                <w:rFonts w:cs="Arial"/>
                <w:sz w:val="22"/>
                <w:szCs w:val="22"/>
              </w:rPr>
            </w:pPr>
            <w:r w:rsidRPr="00E8770D">
              <w:rPr>
                <w:rFonts w:cs="Arial"/>
                <w:sz w:val="22"/>
                <w:szCs w:val="22"/>
              </w:rPr>
              <w:t>Benefits of partnership not apparent to key strategic stakeholders.</w:t>
            </w:r>
          </w:p>
          <w:p w14:paraId="39C09D6F" w14:textId="77777777" w:rsidR="00E8770D" w:rsidRPr="00E8770D" w:rsidRDefault="00E8770D" w:rsidP="00D25C58">
            <w:pPr>
              <w:pStyle w:val="ListParagraph"/>
              <w:widowControl/>
              <w:numPr>
                <w:ilvl w:val="0"/>
                <w:numId w:val="19"/>
              </w:numPr>
              <w:suppressAutoHyphens w:val="0"/>
              <w:ind w:left="365" w:hanging="283"/>
              <w:jc w:val="both"/>
              <w:rPr>
                <w:rFonts w:cs="Arial"/>
                <w:sz w:val="22"/>
                <w:szCs w:val="22"/>
              </w:rPr>
            </w:pPr>
            <w:r w:rsidRPr="00E8770D">
              <w:rPr>
                <w:rFonts w:cs="Arial"/>
                <w:sz w:val="22"/>
                <w:szCs w:val="22"/>
              </w:rPr>
              <w:t>Continuous improvement cycle not applied (status quo)</w:t>
            </w:r>
          </w:p>
          <w:p w14:paraId="2D6479ED" w14:textId="77777777" w:rsidR="00E8770D" w:rsidRPr="00E8770D" w:rsidRDefault="00E8770D" w:rsidP="00D25C58">
            <w:pPr>
              <w:pStyle w:val="ListParagraph"/>
              <w:widowControl/>
              <w:numPr>
                <w:ilvl w:val="0"/>
                <w:numId w:val="19"/>
              </w:numPr>
              <w:suppressAutoHyphens w:val="0"/>
              <w:ind w:left="365" w:hanging="283"/>
              <w:jc w:val="both"/>
              <w:rPr>
                <w:rFonts w:cs="Arial"/>
                <w:sz w:val="22"/>
                <w:szCs w:val="22"/>
              </w:rPr>
            </w:pPr>
            <w:r w:rsidRPr="00E8770D">
              <w:rPr>
                <w:rFonts w:cs="Arial"/>
                <w:sz w:val="22"/>
                <w:szCs w:val="22"/>
              </w:rPr>
              <w:t>Lack of communication/engagement on a 1-1 level with North Wales SCPU and Operational unit from partnership manager</w:t>
            </w:r>
          </w:p>
          <w:p w14:paraId="02A64155" w14:textId="77777777" w:rsidR="00E8770D" w:rsidRPr="00E8770D" w:rsidRDefault="00E8770D" w:rsidP="00D25C58">
            <w:pPr>
              <w:pStyle w:val="ListParagraph"/>
              <w:widowControl/>
              <w:numPr>
                <w:ilvl w:val="0"/>
                <w:numId w:val="19"/>
              </w:numPr>
              <w:suppressAutoHyphens w:val="0"/>
              <w:ind w:left="365" w:hanging="283"/>
              <w:jc w:val="both"/>
              <w:rPr>
                <w:rFonts w:cs="Arial"/>
                <w:sz w:val="22"/>
                <w:szCs w:val="22"/>
              </w:rPr>
            </w:pPr>
            <w:r w:rsidRPr="00E8770D">
              <w:rPr>
                <w:rFonts w:cs="Arial"/>
                <w:sz w:val="22"/>
                <w:szCs w:val="22"/>
              </w:rPr>
              <w:t xml:space="preserve">Critical point of staffing levels in management office with no </w:t>
            </w:r>
            <w:proofErr w:type="gramStart"/>
            <w:r w:rsidRPr="00E8770D">
              <w:rPr>
                <w:rFonts w:cs="Arial"/>
                <w:sz w:val="22"/>
                <w:szCs w:val="22"/>
              </w:rPr>
              <w:t>short term</w:t>
            </w:r>
            <w:proofErr w:type="gramEnd"/>
            <w:r w:rsidRPr="00E8770D">
              <w:rPr>
                <w:rFonts w:cs="Arial"/>
                <w:sz w:val="22"/>
                <w:szCs w:val="22"/>
              </w:rPr>
              <w:t xml:space="preserve"> plan to rectify issue likely to be delivered</w:t>
            </w:r>
          </w:p>
          <w:p w14:paraId="3F251140" w14:textId="77777777" w:rsidR="00E8770D" w:rsidRPr="00E8770D" w:rsidRDefault="00E8770D" w:rsidP="00D25C58">
            <w:pPr>
              <w:pStyle w:val="ListParagraph"/>
              <w:widowControl/>
              <w:numPr>
                <w:ilvl w:val="0"/>
                <w:numId w:val="19"/>
              </w:numPr>
              <w:suppressAutoHyphens w:val="0"/>
              <w:ind w:left="365" w:hanging="283"/>
              <w:jc w:val="both"/>
              <w:rPr>
                <w:rFonts w:cs="Arial"/>
                <w:sz w:val="22"/>
                <w:szCs w:val="22"/>
              </w:rPr>
            </w:pPr>
            <w:r w:rsidRPr="00E8770D">
              <w:rPr>
                <w:rFonts w:cs="Arial"/>
                <w:sz w:val="22"/>
                <w:szCs w:val="22"/>
              </w:rPr>
              <w:t>Operational staff feel disengaged with management office</w:t>
            </w:r>
          </w:p>
        </w:tc>
        <w:tc>
          <w:tcPr>
            <w:tcW w:w="403" w:type="dxa"/>
            <w:tcBorders>
              <w:top w:val="nil"/>
              <w:left w:val="single" w:sz="4" w:space="0" w:color="auto"/>
              <w:bottom w:val="single" w:sz="4" w:space="0" w:color="auto"/>
              <w:right w:val="single" w:sz="4" w:space="0" w:color="auto"/>
            </w:tcBorders>
            <w:shd w:val="clear" w:color="auto" w:fill="7EAF35"/>
            <w:textDirection w:val="tbRl"/>
            <w:vAlign w:val="center"/>
            <w:hideMark/>
          </w:tcPr>
          <w:p w14:paraId="0C13A703" w14:textId="77777777" w:rsidR="00E8770D" w:rsidRPr="00E8770D" w:rsidRDefault="00E8770D" w:rsidP="00D25C58">
            <w:pPr>
              <w:ind w:left="113" w:right="113"/>
              <w:jc w:val="both"/>
              <w:rPr>
                <w:rFonts w:cs="Arial"/>
                <w:b/>
                <w:color w:val="FFFFFF" w:themeColor="background1"/>
                <w:sz w:val="22"/>
                <w:szCs w:val="22"/>
              </w:rPr>
            </w:pPr>
            <w:r w:rsidRPr="00E8770D">
              <w:rPr>
                <w:rFonts w:cs="Arial"/>
                <w:b/>
                <w:color w:val="FFFFFF" w:themeColor="background1"/>
                <w:sz w:val="22"/>
                <w:szCs w:val="22"/>
              </w:rPr>
              <w:t>Weakness</w:t>
            </w:r>
          </w:p>
        </w:tc>
      </w:tr>
      <w:tr w:rsidR="00E8770D" w:rsidRPr="00E8770D" w14:paraId="52DA9529" w14:textId="77777777" w:rsidTr="00A6103A">
        <w:trPr>
          <w:cantSplit/>
          <w:trHeight w:val="4144"/>
          <w:jc w:val="center"/>
        </w:trPr>
        <w:tc>
          <w:tcPr>
            <w:tcW w:w="404" w:type="dxa"/>
            <w:tcBorders>
              <w:top w:val="single" w:sz="4" w:space="0" w:color="auto"/>
              <w:left w:val="single" w:sz="4" w:space="0" w:color="auto"/>
              <w:bottom w:val="nil"/>
              <w:right w:val="single" w:sz="4" w:space="0" w:color="auto"/>
            </w:tcBorders>
            <w:shd w:val="clear" w:color="auto" w:fill="7EAF35"/>
            <w:textDirection w:val="btLr"/>
            <w:hideMark/>
          </w:tcPr>
          <w:p w14:paraId="79495937" w14:textId="77777777" w:rsidR="00E8770D" w:rsidRPr="00E8770D" w:rsidRDefault="00E8770D" w:rsidP="00D25C58">
            <w:pPr>
              <w:ind w:left="113" w:right="113"/>
              <w:jc w:val="both"/>
              <w:rPr>
                <w:rFonts w:cs="Arial"/>
                <w:b/>
                <w:color w:val="FFFFFF" w:themeColor="background1"/>
                <w:sz w:val="22"/>
                <w:szCs w:val="22"/>
              </w:rPr>
            </w:pPr>
            <w:r w:rsidRPr="00E8770D">
              <w:rPr>
                <w:rFonts w:cs="Arial"/>
                <w:b/>
                <w:color w:val="FFFFFF" w:themeColor="background1"/>
                <w:sz w:val="22"/>
                <w:szCs w:val="22"/>
              </w:rPr>
              <w:t>Opportunity</w:t>
            </w:r>
          </w:p>
        </w:tc>
        <w:tc>
          <w:tcPr>
            <w:tcW w:w="4678" w:type="dxa"/>
            <w:tcBorders>
              <w:top w:val="single" w:sz="4" w:space="0" w:color="auto"/>
              <w:left w:val="single" w:sz="4" w:space="0" w:color="auto"/>
              <w:bottom w:val="single" w:sz="4" w:space="0" w:color="auto"/>
              <w:right w:val="single" w:sz="4" w:space="0" w:color="auto"/>
            </w:tcBorders>
            <w:hideMark/>
          </w:tcPr>
          <w:p w14:paraId="0DF08E9E" w14:textId="77777777" w:rsidR="00E8770D" w:rsidRPr="00E8770D" w:rsidRDefault="00E8770D" w:rsidP="00D25C58">
            <w:pPr>
              <w:pStyle w:val="ListParagraph"/>
              <w:widowControl/>
              <w:numPr>
                <w:ilvl w:val="0"/>
                <w:numId w:val="20"/>
              </w:numPr>
              <w:suppressAutoHyphens w:val="0"/>
              <w:jc w:val="both"/>
              <w:rPr>
                <w:rFonts w:cs="Arial"/>
                <w:sz w:val="22"/>
                <w:szCs w:val="22"/>
              </w:rPr>
            </w:pPr>
            <w:r w:rsidRPr="00E8770D">
              <w:rPr>
                <w:rFonts w:cs="Arial"/>
                <w:sz w:val="22"/>
                <w:szCs w:val="22"/>
              </w:rPr>
              <w:t>Clear up ambiguousness around contribution to road safety</w:t>
            </w:r>
          </w:p>
          <w:p w14:paraId="609BEBC8" w14:textId="77777777" w:rsidR="00E8770D" w:rsidRPr="00E8770D" w:rsidRDefault="00E8770D" w:rsidP="00D25C58">
            <w:pPr>
              <w:pStyle w:val="ListParagraph"/>
              <w:widowControl/>
              <w:numPr>
                <w:ilvl w:val="0"/>
                <w:numId w:val="20"/>
              </w:numPr>
              <w:suppressAutoHyphens w:val="0"/>
              <w:jc w:val="both"/>
              <w:rPr>
                <w:rFonts w:cs="Arial"/>
                <w:sz w:val="22"/>
                <w:szCs w:val="22"/>
              </w:rPr>
            </w:pPr>
            <w:r w:rsidRPr="00E8770D">
              <w:rPr>
                <w:rFonts w:cs="Arial"/>
                <w:sz w:val="22"/>
                <w:szCs w:val="22"/>
              </w:rPr>
              <w:t>Improve mobile deployment strategy in line with NIM, e.g. through use of random road watch deployment strategy</w:t>
            </w:r>
          </w:p>
          <w:p w14:paraId="58B15430" w14:textId="77777777" w:rsidR="00E8770D" w:rsidRPr="00E8770D" w:rsidRDefault="00E8770D" w:rsidP="00D25C58">
            <w:pPr>
              <w:pStyle w:val="ListParagraph"/>
              <w:widowControl/>
              <w:numPr>
                <w:ilvl w:val="0"/>
                <w:numId w:val="20"/>
              </w:numPr>
              <w:suppressAutoHyphens w:val="0"/>
              <w:jc w:val="both"/>
              <w:rPr>
                <w:rFonts w:cs="Arial"/>
                <w:sz w:val="22"/>
                <w:szCs w:val="22"/>
              </w:rPr>
            </w:pPr>
            <w:r w:rsidRPr="00E8770D">
              <w:rPr>
                <w:rFonts w:cs="Arial"/>
                <w:sz w:val="22"/>
                <w:szCs w:val="22"/>
              </w:rPr>
              <w:t>Improve communication internally and externally with all partner agencies, at all levels.</w:t>
            </w:r>
          </w:p>
          <w:p w14:paraId="25F78AEF" w14:textId="77777777" w:rsidR="00E8770D" w:rsidRPr="00E8770D" w:rsidRDefault="00E8770D" w:rsidP="00D25C58">
            <w:pPr>
              <w:pStyle w:val="ListParagraph"/>
              <w:widowControl/>
              <w:numPr>
                <w:ilvl w:val="0"/>
                <w:numId w:val="20"/>
              </w:numPr>
              <w:suppressAutoHyphens w:val="0"/>
              <w:jc w:val="both"/>
              <w:rPr>
                <w:rFonts w:cs="Arial"/>
                <w:sz w:val="22"/>
                <w:szCs w:val="22"/>
              </w:rPr>
            </w:pPr>
            <w:r w:rsidRPr="00E8770D">
              <w:rPr>
                <w:rFonts w:cs="Arial"/>
                <w:sz w:val="22"/>
                <w:szCs w:val="22"/>
              </w:rPr>
              <w:t>Link in with police Road Safety Managers to benchmark collision reduction activity and identify areas for concern/action</w:t>
            </w:r>
          </w:p>
        </w:tc>
        <w:tc>
          <w:tcPr>
            <w:tcW w:w="4394" w:type="dxa"/>
            <w:tcBorders>
              <w:top w:val="single" w:sz="4" w:space="0" w:color="auto"/>
              <w:left w:val="single" w:sz="4" w:space="0" w:color="auto"/>
              <w:bottom w:val="single" w:sz="4" w:space="0" w:color="auto"/>
              <w:right w:val="single" w:sz="4" w:space="0" w:color="auto"/>
            </w:tcBorders>
            <w:hideMark/>
          </w:tcPr>
          <w:p w14:paraId="2499AFF8" w14:textId="77777777" w:rsidR="00E8770D" w:rsidRPr="00E8770D" w:rsidRDefault="00E8770D" w:rsidP="00D25C58">
            <w:pPr>
              <w:pStyle w:val="ListParagraph"/>
              <w:widowControl/>
              <w:numPr>
                <w:ilvl w:val="0"/>
                <w:numId w:val="20"/>
              </w:numPr>
              <w:suppressAutoHyphens w:val="0"/>
              <w:jc w:val="both"/>
              <w:rPr>
                <w:rFonts w:cs="Arial"/>
                <w:b/>
                <w:sz w:val="22"/>
                <w:szCs w:val="22"/>
              </w:rPr>
            </w:pPr>
            <w:r w:rsidRPr="00E8770D">
              <w:rPr>
                <w:rFonts w:cs="Arial"/>
                <w:sz w:val="22"/>
                <w:szCs w:val="22"/>
              </w:rPr>
              <w:t>Stakeholder engagement: unable to see benefit may result in reduction of support at strategic level.</w:t>
            </w:r>
          </w:p>
          <w:p w14:paraId="370078F6" w14:textId="77777777" w:rsidR="00E8770D" w:rsidRPr="00E8770D" w:rsidRDefault="00E8770D" w:rsidP="00D25C58">
            <w:pPr>
              <w:pStyle w:val="ListParagraph"/>
              <w:widowControl/>
              <w:numPr>
                <w:ilvl w:val="0"/>
                <w:numId w:val="20"/>
              </w:numPr>
              <w:suppressAutoHyphens w:val="0"/>
              <w:jc w:val="both"/>
              <w:rPr>
                <w:rFonts w:cs="Arial"/>
                <w:b/>
                <w:sz w:val="22"/>
                <w:szCs w:val="22"/>
              </w:rPr>
            </w:pPr>
            <w:r w:rsidRPr="00E8770D">
              <w:rPr>
                <w:rFonts w:cs="Arial"/>
                <w:sz w:val="22"/>
                <w:szCs w:val="22"/>
              </w:rPr>
              <w:t>Lack of appropriately staffed management office, including communications and marketing function, undermines the ability to report accurately on activity and manage critical functions.</w:t>
            </w:r>
          </w:p>
          <w:p w14:paraId="282D543A" w14:textId="77777777" w:rsidR="00E8770D" w:rsidRPr="00E8770D" w:rsidRDefault="00E8770D" w:rsidP="00D25C58">
            <w:pPr>
              <w:pStyle w:val="ListParagraph"/>
              <w:widowControl/>
              <w:numPr>
                <w:ilvl w:val="0"/>
                <w:numId w:val="20"/>
              </w:numPr>
              <w:suppressAutoHyphens w:val="0"/>
              <w:jc w:val="both"/>
              <w:rPr>
                <w:rFonts w:cs="Arial"/>
                <w:b/>
                <w:sz w:val="22"/>
                <w:szCs w:val="22"/>
              </w:rPr>
            </w:pPr>
            <w:r w:rsidRPr="00E8770D">
              <w:rPr>
                <w:rFonts w:cs="Arial"/>
                <w:sz w:val="22"/>
                <w:szCs w:val="22"/>
              </w:rPr>
              <w:t>Employing agencies not taking responsibility to ensure staffing levels are appropriate, and failing to engage in performance management</w:t>
            </w:r>
          </w:p>
        </w:tc>
        <w:tc>
          <w:tcPr>
            <w:tcW w:w="403" w:type="dxa"/>
            <w:vMerge w:val="restart"/>
            <w:tcBorders>
              <w:top w:val="single" w:sz="4" w:space="0" w:color="auto"/>
              <w:left w:val="single" w:sz="4" w:space="0" w:color="auto"/>
              <w:bottom w:val="single" w:sz="4" w:space="0" w:color="auto"/>
              <w:right w:val="single" w:sz="4" w:space="0" w:color="auto"/>
            </w:tcBorders>
            <w:shd w:val="clear" w:color="auto" w:fill="7EAF35"/>
            <w:textDirection w:val="tbRl"/>
            <w:vAlign w:val="center"/>
            <w:hideMark/>
          </w:tcPr>
          <w:p w14:paraId="6E050D42" w14:textId="77777777" w:rsidR="00E8770D" w:rsidRPr="00E8770D" w:rsidRDefault="00E8770D" w:rsidP="00D25C58">
            <w:pPr>
              <w:ind w:left="113" w:right="113"/>
              <w:jc w:val="both"/>
              <w:rPr>
                <w:rFonts w:cs="Arial"/>
                <w:b/>
                <w:color w:val="FFFFFF" w:themeColor="background1"/>
                <w:sz w:val="22"/>
                <w:szCs w:val="22"/>
              </w:rPr>
            </w:pPr>
            <w:r w:rsidRPr="00E8770D">
              <w:rPr>
                <w:rFonts w:cs="Arial"/>
                <w:b/>
                <w:color w:val="FFFFFF" w:themeColor="background1"/>
                <w:sz w:val="22"/>
                <w:szCs w:val="22"/>
              </w:rPr>
              <w:t>Threat</w:t>
            </w:r>
          </w:p>
        </w:tc>
      </w:tr>
      <w:tr w:rsidR="00E8770D" w:rsidRPr="00E8770D" w14:paraId="01921EC6" w14:textId="77777777" w:rsidTr="00A6103A">
        <w:trPr>
          <w:trHeight w:val="420"/>
          <w:jc w:val="center"/>
        </w:trPr>
        <w:tc>
          <w:tcPr>
            <w:tcW w:w="5082" w:type="dxa"/>
            <w:gridSpan w:val="2"/>
            <w:tcBorders>
              <w:top w:val="nil"/>
              <w:left w:val="single" w:sz="4" w:space="0" w:color="auto"/>
              <w:bottom w:val="single" w:sz="4" w:space="0" w:color="auto"/>
              <w:right w:val="single" w:sz="4" w:space="0" w:color="auto"/>
            </w:tcBorders>
            <w:shd w:val="clear" w:color="auto" w:fill="7EAF35"/>
            <w:hideMark/>
          </w:tcPr>
          <w:p w14:paraId="26992D39" w14:textId="77777777" w:rsidR="00E8770D" w:rsidRPr="00E8770D" w:rsidRDefault="00E8770D" w:rsidP="00D25C58">
            <w:pPr>
              <w:jc w:val="both"/>
              <w:rPr>
                <w:rFonts w:cs="Arial"/>
                <w:b/>
                <w:color w:val="FFFFFF" w:themeColor="background1"/>
                <w:sz w:val="22"/>
                <w:szCs w:val="22"/>
              </w:rPr>
            </w:pPr>
            <w:r w:rsidRPr="00E8770D">
              <w:rPr>
                <w:rFonts w:cs="Arial"/>
                <w:b/>
                <w:color w:val="FFFFFF" w:themeColor="background1"/>
                <w:sz w:val="22"/>
                <w:szCs w:val="22"/>
              </w:rPr>
              <w:t>Opportunity</w:t>
            </w:r>
          </w:p>
        </w:tc>
        <w:tc>
          <w:tcPr>
            <w:tcW w:w="4394" w:type="dxa"/>
            <w:tcBorders>
              <w:top w:val="single" w:sz="4" w:space="0" w:color="auto"/>
              <w:left w:val="single" w:sz="4" w:space="0" w:color="auto"/>
              <w:bottom w:val="single" w:sz="4" w:space="0" w:color="auto"/>
              <w:right w:val="nil"/>
            </w:tcBorders>
            <w:shd w:val="clear" w:color="auto" w:fill="7EAF35"/>
            <w:vAlign w:val="center"/>
            <w:hideMark/>
          </w:tcPr>
          <w:p w14:paraId="5D68A9B0" w14:textId="77777777" w:rsidR="00E8770D" w:rsidRPr="00E8770D" w:rsidRDefault="00E8770D" w:rsidP="00D25C58">
            <w:pPr>
              <w:jc w:val="both"/>
              <w:rPr>
                <w:rFonts w:cs="Arial"/>
                <w:b/>
                <w:color w:val="FFFFFF" w:themeColor="background1"/>
                <w:sz w:val="22"/>
                <w:szCs w:val="22"/>
              </w:rPr>
            </w:pPr>
            <w:r w:rsidRPr="00E8770D">
              <w:rPr>
                <w:rFonts w:cs="Arial"/>
                <w:b/>
                <w:color w:val="FFFFFF" w:themeColor="background1"/>
                <w:sz w:val="22"/>
                <w:szCs w:val="22"/>
              </w:rPr>
              <w:t>Threat</w:t>
            </w:r>
          </w:p>
        </w:tc>
        <w:tc>
          <w:tcPr>
            <w:tcW w:w="403" w:type="dxa"/>
            <w:vMerge/>
            <w:tcBorders>
              <w:top w:val="single" w:sz="4" w:space="0" w:color="auto"/>
              <w:left w:val="nil"/>
              <w:bottom w:val="single" w:sz="4" w:space="0" w:color="auto"/>
              <w:right w:val="single" w:sz="4" w:space="0" w:color="auto"/>
            </w:tcBorders>
            <w:vAlign w:val="center"/>
            <w:hideMark/>
          </w:tcPr>
          <w:p w14:paraId="1342B7CE" w14:textId="77777777" w:rsidR="00E8770D" w:rsidRPr="00E8770D" w:rsidRDefault="00E8770D" w:rsidP="00D25C58">
            <w:pPr>
              <w:jc w:val="both"/>
              <w:rPr>
                <w:rFonts w:cs="Arial"/>
                <w:b/>
                <w:color w:val="FFFFFF" w:themeColor="background1"/>
                <w:sz w:val="22"/>
                <w:szCs w:val="22"/>
              </w:rPr>
            </w:pPr>
          </w:p>
        </w:tc>
      </w:tr>
    </w:tbl>
    <w:p w14:paraId="02C4DF6A" w14:textId="2FF86FCA" w:rsidR="00744108" w:rsidRPr="00744108" w:rsidRDefault="00744108" w:rsidP="00D25C58">
      <w:pPr>
        <w:jc w:val="both"/>
      </w:pPr>
    </w:p>
    <w:sectPr w:rsidR="00744108" w:rsidRPr="00744108" w:rsidSect="00E8770D">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D37B13" w14:textId="77777777" w:rsidR="001F6844" w:rsidRDefault="001F6844" w:rsidP="00651834">
      <w:r>
        <w:separator/>
      </w:r>
    </w:p>
  </w:endnote>
  <w:endnote w:type="continuationSeparator" w:id="0">
    <w:p w14:paraId="2BA14335" w14:textId="77777777" w:rsidR="001F6844" w:rsidRDefault="001F6844" w:rsidP="006518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8F414F" w14:textId="77777777" w:rsidR="001F6844" w:rsidRDefault="001F684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0"/>
        <w:szCs w:val="20"/>
      </w:rPr>
      <w:id w:val="-1473593710"/>
      <w:docPartObj>
        <w:docPartGallery w:val="Page Numbers (Bottom of Page)"/>
        <w:docPartUnique/>
      </w:docPartObj>
    </w:sdtPr>
    <w:sdtEndPr>
      <w:rPr>
        <w:noProof/>
      </w:rPr>
    </w:sdtEndPr>
    <w:sdtContent>
      <w:p w14:paraId="2E2D60B1" w14:textId="2FD33143" w:rsidR="001F6844" w:rsidRPr="002B47B1" w:rsidRDefault="001F6844">
        <w:pPr>
          <w:pStyle w:val="Footer"/>
          <w:jc w:val="right"/>
          <w:rPr>
            <w:sz w:val="20"/>
            <w:szCs w:val="20"/>
          </w:rPr>
        </w:pPr>
        <w:r w:rsidRPr="002B47B1">
          <w:rPr>
            <w:sz w:val="20"/>
            <w:szCs w:val="20"/>
          </w:rPr>
          <w:fldChar w:fldCharType="begin"/>
        </w:r>
        <w:r w:rsidRPr="002B47B1">
          <w:rPr>
            <w:sz w:val="20"/>
            <w:szCs w:val="20"/>
          </w:rPr>
          <w:instrText xml:space="preserve"> PAGE   \* MERGEFORMAT </w:instrText>
        </w:r>
        <w:r w:rsidRPr="002B47B1">
          <w:rPr>
            <w:sz w:val="20"/>
            <w:szCs w:val="20"/>
          </w:rPr>
          <w:fldChar w:fldCharType="separate"/>
        </w:r>
        <w:r w:rsidRPr="002B47B1">
          <w:rPr>
            <w:noProof/>
            <w:sz w:val="20"/>
            <w:szCs w:val="20"/>
          </w:rPr>
          <w:t>2</w:t>
        </w:r>
        <w:r w:rsidRPr="002B47B1">
          <w:rPr>
            <w:noProof/>
            <w:sz w:val="20"/>
            <w:szCs w:val="20"/>
          </w:rPr>
          <w:fldChar w:fldCharType="end"/>
        </w:r>
      </w:p>
    </w:sdtContent>
  </w:sdt>
  <w:p w14:paraId="26AC62E5" w14:textId="77777777" w:rsidR="001F6844" w:rsidRPr="002B47B1" w:rsidRDefault="001F6844">
    <w:pPr>
      <w:pStyle w:val="Footer"/>
      <w:rPr>
        <w:sz w:val="20"/>
        <w:szCs w:val="2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9435322"/>
      <w:docPartObj>
        <w:docPartGallery w:val="Page Numbers (Bottom of Page)"/>
        <w:docPartUnique/>
      </w:docPartObj>
    </w:sdtPr>
    <w:sdtEndPr>
      <w:rPr>
        <w:noProof/>
      </w:rPr>
    </w:sdtEndPr>
    <w:sdtContent>
      <w:p w14:paraId="0C026E14" w14:textId="44E59EF0" w:rsidR="001F6844" w:rsidRDefault="004E2D79">
        <w:pPr>
          <w:pStyle w:val="Footer"/>
          <w:jc w:val="right"/>
        </w:pPr>
      </w:p>
    </w:sdtContent>
  </w:sdt>
  <w:p w14:paraId="0796EF57" w14:textId="77777777" w:rsidR="001F6844" w:rsidRDefault="001F684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1157036"/>
      <w:docPartObj>
        <w:docPartGallery w:val="Page Numbers (Bottom of Page)"/>
        <w:docPartUnique/>
      </w:docPartObj>
    </w:sdtPr>
    <w:sdtEndPr>
      <w:rPr>
        <w:noProof/>
      </w:rPr>
    </w:sdtEndPr>
    <w:sdtContent>
      <w:p w14:paraId="7F8A060C" w14:textId="26690E8C" w:rsidR="001F6844" w:rsidRDefault="001F6844">
        <w:pPr>
          <w:pStyle w:val="Footer"/>
          <w:jc w:val="right"/>
        </w:pPr>
        <w:r w:rsidRPr="008C7654">
          <w:rPr>
            <w:sz w:val="20"/>
            <w:szCs w:val="20"/>
          </w:rPr>
          <w:fldChar w:fldCharType="begin"/>
        </w:r>
        <w:r w:rsidRPr="008C7654">
          <w:rPr>
            <w:sz w:val="20"/>
            <w:szCs w:val="20"/>
          </w:rPr>
          <w:instrText xml:space="preserve"> PAGE   \* MERGEFORMAT </w:instrText>
        </w:r>
        <w:r w:rsidRPr="008C7654">
          <w:rPr>
            <w:sz w:val="20"/>
            <w:szCs w:val="20"/>
          </w:rPr>
          <w:fldChar w:fldCharType="separate"/>
        </w:r>
        <w:r w:rsidRPr="008C7654">
          <w:rPr>
            <w:noProof/>
            <w:sz w:val="20"/>
            <w:szCs w:val="20"/>
          </w:rPr>
          <w:t>2</w:t>
        </w:r>
        <w:r w:rsidRPr="008C7654">
          <w:rPr>
            <w:noProof/>
            <w:sz w:val="20"/>
            <w:szCs w:val="20"/>
          </w:rPr>
          <w:fldChar w:fldCharType="end"/>
        </w:r>
      </w:p>
    </w:sdtContent>
  </w:sdt>
  <w:p w14:paraId="4268ADF0" w14:textId="77777777" w:rsidR="001F6844" w:rsidRDefault="001F68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542164" w14:textId="77777777" w:rsidR="001F6844" w:rsidRDefault="001F6844" w:rsidP="00651834">
      <w:r>
        <w:separator/>
      </w:r>
    </w:p>
  </w:footnote>
  <w:footnote w:type="continuationSeparator" w:id="0">
    <w:p w14:paraId="4E94F9C8" w14:textId="77777777" w:rsidR="001F6844" w:rsidRDefault="001F6844" w:rsidP="00651834">
      <w:r>
        <w:continuationSeparator/>
      </w:r>
    </w:p>
  </w:footnote>
  <w:footnote w:id="1">
    <w:p w14:paraId="290A01AE" w14:textId="3818A1AF" w:rsidR="001F6844" w:rsidRDefault="001F6844">
      <w:pPr>
        <w:pStyle w:val="FootnoteText"/>
      </w:pPr>
      <w:r>
        <w:rPr>
          <w:rStyle w:val="FootnoteReference"/>
        </w:rPr>
        <w:footnoteRef/>
      </w:r>
      <w:r>
        <w:t xml:space="preserve"> </w:t>
      </w:r>
      <w:r w:rsidRPr="00BB0702">
        <w:t xml:space="preserve">GoSafe is a multi-agency partnership comprised of several core public sector partners. The governance structure is defined within a service level agreement, which outlines the functions of the partners and gives delegated authority to the Partnership Manager to compose strategic plans to deliver the strategic aims of the partnership.  </w:t>
      </w:r>
      <w:r>
        <w:t xml:space="preserve">The partners comprise four police forces in Wales, 22 Local Authorities and the Welsh Government.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9263C1" w14:textId="77777777" w:rsidR="001F6844" w:rsidRDefault="001F684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EA8B14" w14:textId="77777777" w:rsidR="001F6844" w:rsidRDefault="001F684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43EBC3" w14:textId="77777777" w:rsidR="001F6844" w:rsidRDefault="001F684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56242"/>
    <w:multiLevelType w:val="hybridMultilevel"/>
    <w:tmpl w:val="CD340262"/>
    <w:lvl w:ilvl="0" w:tplc="5EAEA98C">
      <w:start w:val="1"/>
      <w:numFmt w:val="bullet"/>
      <w:lvlText w:val=""/>
      <w:lvlJc w:val="left"/>
      <w:pPr>
        <w:ind w:left="360" w:hanging="360"/>
      </w:pPr>
      <w:rPr>
        <w:rFonts w:ascii="Symbol" w:hAnsi="Symbol" w:hint="default"/>
        <w:b/>
        <w:i w:val="0"/>
        <w:color w:val="auto"/>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 w15:restartNumberingAfterBreak="0">
    <w:nsid w:val="0908265B"/>
    <w:multiLevelType w:val="hybridMultilevel"/>
    <w:tmpl w:val="3B021B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3C3335"/>
    <w:multiLevelType w:val="hybridMultilevel"/>
    <w:tmpl w:val="7A34B1D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CDF0877"/>
    <w:multiLevelType w:val="hybridMultilevel"/>
    <w:tmpl w:val="FE84A1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F2237A1"/>
    <w:multiLevelType w:val="hybridMultilevel"/>
    <w:tmpl w:val="B5F28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E02D82"/>
    <w:multiLevelType w:val="hybridMultilevel"/>
    <w:tmpl w:val="31DAE03A"/>
    <w:lvl w:ilvl="0" w:tplc="A2307B8A">
      <w:numFmt w:val="bullet"/>
      <w:lvlText w:val="•"/>
      <w:lvlJc w:val="left"/>
      <w:pPr>
        <w:ind w:left="1080" w:hanging="72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337121"/>
    <w:multiLevelType w:val="hybridMultilevel"/>
    <w:tmpl w:val="D77C5C28"/>
    <w:lvl w:ilvl="0" w:tplc="A2307B8A">
      <w:numFmt w:val="bullet"/>
      <w:lvlText w:val="•"/>
      <w:lvlJc w:val="left"/>
      <w:pPr>
        <w:ind w:left="1080" w:hanging="72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B15058"/>
    <w:multiLevelType w:val="hybridMultilevel"/>
    <w:tmpl w:val="3250AD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2F1261F"/>
    <w:multiLevelType w:val="hybridMultilevel"/>
    <w:tmpl w:val="3F262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EE1C80"/>
    <w:multiLevelType w:val="hybridMultilevel"/>
    <w:tmpl w:val="536E1050"/>
    <w:lvl w:ilvl="0" w:tplc="A2307B8A">
      <w:numFmt w:val="bullet"/>
      <w:lvlText w:val="•"/>
      <w:lvlJc w:val="left"/>
      <w:pPr>
        <w:ind w:left="1080" w:hanging="72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0D24C3"/>
    <w:multiLevelType w:val="hybridMultilevel"/>
    <w:tmpl w:val="031A79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EF6E1A"/>
    <w:multiLevelType w:val="hybridMultilevel"/>
    <w:tmpl w:val="45ECEDB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2" w15:restartNumberingAfterBreak="0">
    <w:nsid w:val="33090BC9"/>
    <w:multiLevelType w:val="hybridMultilevel"/>
    <w:tmpl w:val="A77270C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3" w15:restartNumberingAfterBreak="0">
    <w:nsid w:val="331B40A3"/>
    <w:multiLevelType w:val="hybridMultilevel"/>
    <w:tmpl w:val="DEA4F5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482F66"/>
    <w:multiLevelType w:val="hybridMultilevel"/>
    <w:tmpl w:val="43B84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8362C7"/>
    <w:multiLevelType w:val="hybridMultilevel"/>
    <w:tmpl w:val="4B5A4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EF50472"/>
    <w:multiLevelType w:val="hybridMultilevel"/>
    <w:tmpl w:val="715675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26A191F"/>
    <w:multiLevelType w:val="hybridMultilevel"/>
    <w:tmpl w:val="C2FE1B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86E5770"/>
    <w:multiLevelType w:val="hybridMultilevel"/>
    <w:tmpl w:val="59A6A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0B20D4C"/>
    <w:multiLevelType w:val="hybridMultilevel"/>
    <w:tmpl w:val="C1125F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6BF1960"/>
    <w:multiLevelType w:val="hybridMultilevel"/>
    <w:tmpl w:val="BD96AD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4D42F8"/>
    <w:multiLevelType w:val="hybridMultilevel"/>
    <w:tmpl w:val="D18EE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30332A8"/>
    <w:multiLevelType w:val="hybridMultilevel"/>
    <w:tmpl w:val="4DDA0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8304D3E"/>
    <w:multiLevelType w:val="hybridMultilevel"/>
    <w:tmpl w:val="E8DE5118"/>
    <w:lvl w:ilvl="0" w:tplc="5EAEA98C">
      <w:start w:val="1"/>
      <w:numFmt w:val="bullet"/>
      <w:lvlText w:val=""/>
      <w:lvlJc w:val="left"/>
      <w:pPr>
        <w:ind w:left="720" w:hanging="360"/>
      </w:pPr>
      <w:rPr>
        <w:rFonts w:ascii="Symbol" w:hAnsi="Symbol" w:hint="default"/>
        <w:b/>
        <w:i w:val="0"/>
        <w:color w:val="auto"/>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71D13628"/>
    <w:multiLevelType w:val="hybridMultilevel"/>
    <w:tmpl w:val="92569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9"/>
  </w:num>
  <w:num w:numId="2">
    <w:abstractNumId w:val="18"/>
  </w:num>
  <w:num w:numId="3">
    <w:abstractNumId w:val="4"/>
  </w:num>
  <w:num w:numId="4">
    <w:abstractNumId w:val="1"/>
  </w:num>
  <w:num w:numId="5">
    <w:abstractNumId w:val="21"/>
  </w:num>
  <w:num w:numId="6">
    <w:abstractNumId w:val="14"/>
  </w:num>
  <w:num w:numId="7">
    <w:abstractNumId w:val="22"/>
  </w:num>
  <w:num w:numId="8">
    <w:abstractNumId w:val="13"/>
  </w:num>
  <w:num w:numId="9">
    <w:abstractNumId w:val="20"/>
  </w:num>
  <w:num w:numId="10">
    <w:abstractNumId w:val="16"/>
  </w:num>
  <w:num w:numId="11">
    <w:abstractNumId w:val="12"/>
  </w:num>
  <w:num w:numId="12">
    <w:abstractNumId w:val="7"/>
  </w:num>
  <w:num w:numId="13">
    <w:abstractNumId w:val="24"/>
  </w:num>
  <w:num w:numId="14">
    <w:abstractNumId w:val="15"/>
  </w:num>
  <w:num w:numId="15">
    <w:abstractNumId w:val="6"/>
  </w:num>
  <w:num w:numId="16">
    <w:abstractNumId w:val="5"/>
  </w:num>
  <w:num w:numId="17">
    <w:abstractNumId w:val="9"/>
  </w:num>
  <w:num w:numId="18">
    <w:abstractNumId w:val="11"/>
  </w:num>
  <w:num w:numId="19">
    <w:abstractNumId w:val="23"/>
  </w:num>
  <w:num w:numId="20">
    <w:abstractNumId w:val="0"/>
  </w:num>
  <w:num w:numId="21">
    <w:abstractNumId w:val="2"/>
  </w:num>
  <w:num w:numId="22">
    <w:abstractNumId w:val="17"/>
  </w:num>
  <w:num w:numId="23">
    <w:abstractNumId w:val="3"/>
  </w:num>
  <w:num w:numId="24">
    <w:abstractNumId w:val="10"/>
  </w:num>
  <w:num w:numId="2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1834"/>
    <w:rsid w:val="00001AC6"/>
    <w:rsid w:val="00007044"/>
    <w:rsid w:val="00017BAB"/>
    <w:rsid w:val="000312DD"/>
    <w:rsid w:val="000438D0"/>
    <w:rsid w:val="00051CFE"/>
    <w:rsid w:val="00080548"/>
    <w:rsid w:val="0009512D"/>
    <w:rsid w:val="000B32CF"/>
    <w:rsid w:val="000C1761"/>
    <w:rsid w:val="000F0164"/>
    <w:rsid w:val="00166802"/>
    <w:rsid w:val="00172190"/>
    <w:rsid w:val="001728C8"/>
    <w:rsid w:val="00177AA6"/>
    <w:rsid w:val="00186433"/>
    <w:rsid w:val="0019098C"/>
    <w:rsid w:val="001A2393"/>
    <w:rsid w:val="001D057B"/>
    <w:rsid w:val="001E5A39"/>
    <w:rsid w:val="001F5067"/>
    <w:rsid w:val="001F6844"/>
    <w:rsid w:val="00206C02"/>
    <w:rsid w:val="00224EFF"/>
    <w:rsid w:val="002263BB"/>
    <w:rsid w:val="00232FD5"/>
    <w:rsid w:val="00236F8D"/>
    <w:rsid w:val="00243335"/>
    <w:rsid w:val="002571DF"/>
    <w:rsid w:val="002801CA"/>
    <w:rsid w:val="00281B4F"/>
    <w:rsid w:val="00285D1B"/>
    <w:rsid w:val="0029160C"/>
    <w:rsid w:val="002A5B3F"/>
    <w:rsid w:val="002B47B1"/>
    <w:rsid w:val="002D469B"/>
    <w:rsid w:val="002E53EC"/>
    <w:rsid w:val="002F75A9"/>
    <w:rsid w:val="0030618E"/>
    <w:rsid w:val="00310D3C"/>
    <w:rsid w:val="00320422"/>
    <w:rsid w:val="003461A6"/>
    <w:rsid w:val="00346D89"/>
    <w:rsid w:val="00350348"/>
    <w:rsid w:val="00350C06"/>
    <w:rsid w:val="003548BF"/>
    <w:rsid w:val="0037548D"/>
    <w:rsid w:val="00377AC1"/>
    <w:rsid w:val="003B1E15"/>
    <w:rsid w:val="003D0218"/>
    <w:rsid w:val="003D476A"/>
    <w:rsid w:val="004046E4"/>
    <w:rsid w:val="0041303B"/>
    <w:rsid w:val="004359B4"/>
    <w:rsid w:val="00440D70"/>
    <w:rsid w:val="00444905"/>
    <w:rsid w:val="00481E54"/>
    <w:rsid w:val="004927D0"/>
    <w:rsid w:val="00494690"/>
    <w:rsid w:val="004A5D7D"/>
    <w:rsid w:val="004D3801"/>
    <w:rsid w:val="004E2D79"/>
    <w:rsid w:val="005022A6"/>
    <w:rsid w:val="005206DB"/>
    <w:rsid w:val="00541329"/>
    <w:rsid w:val="00541B15"/>
    <w:rsid w:val="00565715"/>
    <w:rsid w:val="00576DF3"/>
    <w:rsid w:val="00594C67"/>
    <w:rsid w:val="005A2E8A"/>
    <w:rsid w:val="005A3348"/>
    <w:rsid w:val="005A51F1"/>
    <w:rsid w:val="005B3A12"/>
    <w:rsid w:val="005B71D4"/>
    <w:rsid w:val="005B7807"/>
    <w:rsid w:val="005C59D3"/>
    <w:rsid w:val="005E0D54"/>
    <w:rsid w:val="005E186C"/>
    <w:rsid w:val="00604689"/>
    <w:rsid w:val="006067A3"/>
    <w:rsid w:val="00624046"/>
    <w:rsid w:val="006272FB"/>
    <w:rsid w:val="0064005F"/>
    <w:rsid w:val="006406F8"/>
    <w:rsid w:val="00641F69"/>
    <w:rsid w:val="006443DC"/>
    <w:rsid w:val="00651834"/>
    <w:rsid w:val="006612F2"/>
    <w:rsid w:val="006A2A8D"/>
    <w:rsid w:val="006B03A7"/>
    <w:rsid w:val="006B2622"/>
    <w:rsid w:val="006B3079"/>
    <w:rsid w:val="006B364E"/>
    <w:rsid w:val="006C3BB4"/>
    <w:rsid w:val="006D3E33"/>
    <w:rsid w:val="00727656"/>
    <w:rsid w:val="00744108"/>
    <w:rsid w:val="007517C8"/>
    <w:rsid w:val="007704AA"/>
    <w:rsid w:val="0077645D"/>
    <w:rsid w:val="007771D8"/>
    <w:rsid w:val="007B3E24"/>
    <w:rsid w:val="007B60BE"/>
    <w:rsid w:val="007C317D"/>
    <w:rsid w:val="007E508A"/>
    <w:rsid w:val="007F5CD5"/>
    <w:rsid w:val="0081056F"/>
    <w:rsid w:val="00823AC4"/>
    <w:rsid w:val="008605BE"/>
    <w:rsid w:val="00864130"/>
    <w:rsid w:val="00874F7C"/>
    <w:rsid w:val="008768F0"/>
    <w:rsid w:val="00881D79"/>
    <w:rsid w:val="00885399"/>
    <w:rsid w:val="0088660D"/>
    <w:rsid w:val="00886AC1"/>
    <w:rsid w:val="008B2D7D"/>
    <w:rsid w:val="008B7D6E"/>
    <w:rsid w:val="008C6E0D"/>
    <w:rsid w:val="008C7654"/>
    <w:rsid w:val="008D32C0"/>
    <w:rsid w:val="008D67F1"/>
    <w:rsid w:val="008E7CB6"/>
    <w:rsid w:val="00900876"/>
    <w:rsid w:val="00910DF3"/>
    <w:rsid w:val="00936DA4"/>
    <w:rsid w:val="009947A3"/>
    <w:rsid w:val="009A7E6C"/>
    <w:rsid w:val="009C5533"/>
    <w:rsid w:val="009D0FFB"/>
    <w:rsid w:val="009F2B77"/>
    <w:rsid w:val="009F6175"/>
    <w:rsid w:val="00A044AA"/>
    <w:rsid w:val="00A20A80"/>
    <w:rsid w:val="00A23029"/>
    <w:rsid w:val="00A31C60"/>
    <w:rsid w:val="00A4251E"/>
    <w:rsid w:val="00A452DC"/>
    <w:rsid w:val="00A6103A"/>
    <w:rsid w:val="00A833DA"/>
    <w:rsid w:val="00A956A1"/>
    <w:rsid w:val="00AA1AEC"/>
    <w:rsid w:val="00AA251E"/>
    <w:rsid w:val="00AB1D43"/>
    <w:rsid w:val="00AC1459"/>
    <w:rsid w:val="00AD2FA4"/>
    <w:rsid w:val="00AE13A0"/>
    <w:rsid w:val="00AF3670"/>
    <w:rsid w:val="00B010E2"/>
    <w:rsid w:val="00B061D4"/>
    <w:rsid w:val="00B073E0"/>
    <w:rsid w:val="00B22E26"/>
    <w:rsid w:val="00B3077E"/>
    <w:rsid w:val="00B3213B"/>
    <w:rsid w:val="00B46218"/>
    <w:rsid w:val="00B5027E"/>
    <w:rsid w:val="00B53AF7"/>
    <w:rsid w:val="00B55E7D"/>
    <w:rsid w:val="00B56717"/>
    <w:rsid w:val="00B611F9"/>
    <w:rsid w:val="00B756EB"/>
    <w:rsid w:val="00B8252E"/>
    <w:rsid w:val="00B97AB5"/>
    <w:rsid w:val="00BB0702"/>
    <w:rsid w:val="00BB2CB6"/>
    <w:rsid w:val="00BE2489"/>
    <w:rsid w:val="00BE7A96"/>
    <w:rsid w:val="00C32C86"/>
    <w:rsid w:val="00C46BEA"/>
    <w:rsid w:val="00C64DBD"/>
    <w:rsid w:val="00CD2AE0"/>
    <w:rsid w:val="00CE08B9"/>
    <w:rsid w:val="00D25C58"/>
    <w:rsid w:val="00D3693B"/>
    <w:rsid w:val="00D43EA2"/>
    <w:rsid w:val="00D44D8D"/>
    <w:rsid w:val="00D460D2"/>
    <w:rsid w:val="00D625A9"/>
    <w:rsid w:val="00DA2142"/>
    <w:rsid w:val="00DA41D8"/>
    <w:rsid w:val="00DF0CFD"/>
    <w:rsid w:val="00DF1F1A"/>
    <w:rsid w:val="00E01E11"/>
    <w:rsid w:val="00E249DA"/>
    <w:rsid w:val="00E25068"/>
    <w:rsid w:val="00E30E26"/>
    <w:rsid w:val="00E4502C"/>
    <w:rsid w:val="00E63FF6"/>
    <w:rsid w:val="00E66890"/>
    <w:rsid w:val="00E810D3"/>
    <w:rsid w:val="00E8434B"/>
    <w:rsid w:val="00E86339"/>
    <w:rsid w:val="00E8770D"/>
    <w:rsid w:val="00ED7128"/>
    <w:rsid w:val="00EE20DD"/>
    <w:rsid w:val="00EF5536"/>
    <w:rsid w:val="00F02067"/>
    <w:rsid w:val="00F10602"/>
    <w:rsid w:val="00F24B42"/>
    <w:rsid w:val="00F30464"/>
    <w:rsid w:val="00F3258B"/>
    <w:rsid w:val="00F32EEA"/>
    <w:rsid w:val="00F46354"/>
    <w:rsid w:val="00F667F5"/>
    <w:rsid w:val="00F86D37"/>
    <w:rsid w:val="00F92632"/>
    <w:rsid w:val="00FA10C0"/>
    <w:rsid w:val="00FD4BB5"/>
    <w:rsid w:val="00FD5D93"/>
    <w:rsid w:val="00FE1858"/>
    <w:rsid w:val="00FF6A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A9B7D6"/>
  <w15:chartTrackingRefBased/>
  <w15:docId w15:val="{DCC69E2F-0CB1-4D62-B6C8-E133D5EA95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3A12"/>
    <w:pPr>
      <w:widowControl w:val="0"/>
      <w:suppressAutoHyphens/>
    </w:pPr>
    <w:rPr>
      <w:sz w:val="24"/>
      <w:szCs w:val="24"/>
    </w:rPr>
  </w:style>
  <w:style w:type="paragraph" w:styleId="Heading1">
    <w:name w:val="heading 1"/>
    <w:basedOn w:val="Normal"/>
    <w:next w:val="Normal"/>
    <w:link w:val="Heading1Char"/>
    <w:uiPriority w:val="9"/>
    <w:qFormat/>
    <w:rsid w:val="005B3A12"/>
    <w:pPr>
      <w:keepNext/>
      <w:keepLines/>
      <w:spacing w:before="240"/>
      <w:outlineLvl w:val="0"/>
    </w:pPr>
    <w:rPr>
      <w:rFonts w:asciiTheme="majorHAnsi" w:eastAsiaTheme="majorEastAsia" w:hAnsiTheme="majorHAnsi" w:cstheme="majorBidi"/>
      <w:color w:val="0B5294" w:themeColor="accent1" w:themeShade="BF"/>
      <w:sz w:val="32"/>
      <w:szCs w:val="32"/>
    </w:rPr>
  </w:style>
  <w:style w:type="paragraph" w:styleId="Heading2">
    <w:name w:val="heading 2"/>
    <w:basedOn w:val="Normal"/>
    <w:next w:val="Normal"/>
    <w:link w:val="Heading2Char"/>
    <w:uiPriority w:val="9"/>
    <w:unhideWhenUsed/>
    <w:qFormat/>
    <w:rsid w:val="00E249DA"/>
    <w:pPr>
      <w:keepNext/>
      <w:keepLines/>
      <w:spacing w:before="40"/>
      <w:outlineLvl w:val="1"/>
    </w:pPr>
    <w:rPr>
      <w:rFonts w:asciiTheme="majorHAnsi" w:eastAsiaTheme="majorEastAsia" w:hAnsiTheme="majorHAnsi" w:cstheme="majorBidi"/>
      <w:color w:val="0B5294"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3A12"/>
    <w:rPr>
      <w:rFonts w:asciiTheme="majorHAnsi" w:eastAsiaTheme="majorEastAsia" w:hAnsiTheme="majorHAnsi" w:cstheme="majorBidi"/>
      <w:color w:val="0B5294" w:themeColor="accent1" w:themeShade="BF"/>
      <w:sz w:val="32"/>
      <w:szCs w:val="32"/>
    </w:rPr>
  </w:style>
  <w:style w:type="paragraph" w:styleId="Caption">
    <w:name w:val="caption"/>
    <w:basedOn w:val="Normal"/>
    <w:qFormat/>
    <w:rsid w:val="005B3A12"/>
    <w:pPr>
      <w:suppressLineNumbers/>
      <w:spacing w:before="120" w:after="120"/>
    </w:pPr>
    <w:rPr>
      <w:rFonts w:cs="Tahoma"/>
      <w:i/>
      <w:iCs/>
    </w:rPr>
  </w:style>
  <w:style w:type="paragraph" w:styleId="ListParagraph">
    <w:name w:val="List Paragraph"/>
    <w:basedOn w:val="Normal"/>
    <w:uiPriority w:val="34"/>
    <w:qFormat/>
    <w:rsid w:val="005B3A12"/>
    <w:pPr>
      <w:ind w:left="720"/>
      <w:contextualSpacing/>
    </w:pPr>
  </w:style>
  <w:style w:type="paragraph" w:styleId="TOCHeading">
    <w:name w:val="TOC Heading"/>
    <w:basedOn w:val="Heading1"/>
    <w:next w:val="Normal"/>
    <w:uiPriority w:val="39"/>
    <w:unhideWhenUsed/>
    <w:qFormat/>
    <w:rsid w:val="005B3A12"/>
    <w:pPr>
      <w:widowControl/>
      <w:suppressAutoHyphens w:val="0"/>
      <w:spacing w:line="259" w:lineRule="auto"/>
      <w:outlineLvl w:val="9"/>
    </w:pPr>
    <w:rPr>
      <w:lang w:val="en-US"/>
    </w:rPr>
  </w:style>
  <w:style w:type="paragraph" w:styleId="Title">
    <w:name w:val="Title"/>
    <w:basedOn w:val="Normal"/>
    <w:next w:val="Normal"/>
    <w:link w:val="TitleChar"/>
    <w:uiPriority w:val="10"/>
    <w:qFormat/>
    <w:rsid w:val="00285D1B"/>
    <w:pPr>
      <w:widowControl/>
      <w:suppressAutoHyphens w:val="0"/>
      <w:spacing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285D1B"/>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285D1B"/>
    <w:pPr>
      <w:widowControl/>
      <w:numPr>
        <w:ilvl w:val="1"/>
      </w:numPr>
      <w:suppressAutoHyphens w:val="0"/>
      <w:spacing w:after="160" w:line="259" w:lineRule="auto"/>
    </w:pPr>
    <w:rPr>
      <w:rFonts w:asciiTheme="minorHAnsi" w:eastAsiaTheme="minorEastAsia" w:hAnsiTheme="minorHAnsi"/>
      <w:color w:val="5A5A5A" w:themeColor="text1" w:themeTint="A5"/>
      <w:spacing w:val="15"/>
      <w:sz w:val="22"/>
      <w:szCs w:val="22"/>
      <w:lang w:val="en-US"/>
    </w:rPr>
  </w:style>
  <w:style w:type="character" w:customStyle="1" w:styleId="SubtitleChar">
    <w:name w:val="Subtitle Char"/>
    <w:basedOn w:val="DefaultParagraphFont"/>
    <w:link w:val="Subtitle"/>
    <w:uiPriority w:val="11"/>
    <w:rsid w:val="00285D1B"/>
    <w:rPr>
      <w:rFonts w:asciiTheme="minorHAnsi" w:eastAsiaTheme="minorEastAsia" w:hAnsiTheme="minorHAnsi"/>
      <w:color w:val="5A5A5A" w:themeColor="text1" w:themeTint="A5"/>
      <w:spacing w:val="15"/>
      <w:sz w:val="22"/>
      <w:szCs w:val="22"/>
      <w:lang w:val="en-US"/>
    </w:rPr>
  </w:style>
  <w:style w:type="paragraph" w:styleId="Header">
    <w:name w:val="header"/>
    <w:basedOn w:val="Normal"/>
    <w:link w:val="HeaderChar"/>
    <w:uiPriority w:val="99"/>
    <w:unhideWhenUsed/>
    <w:rsid w:val="002B47B1"/>
    <w:pPr>
      <w:tabs>
        <w:tab w:val="center" w:pos="4513"/>
        <w:tab w:val="right" w:pos="9026"/>
      </w:tabs>
    </w:pPr>
  </w:style>
  <w:style w:type="character" w:customStyle="1" w:styleId="HeaderChar">
    <w:name w:val="Header Char"/>
    <w:basedOn w:val="DefaultParagraphFont"/>
    <w:link w:val="Header"/>
    <w:uiPriority w:val="99"/>
    <w:rsid w:val="002B47B1"/>
    <w:rPr>
      <w:sz w:val="24"/>
      <w:szCs w:val="24"/>
    </w:rPr>
  </w:style>
  <w:style w:type="paragraph" w:styleId="Footer">
    <w:name w:val="footer"/>
    <w:basedOn w:val="Normal"/>
    <w:link w:val="FooterChar"/>
    <w:uiPriority w:val="99"/>
    <w:unhideWhenUsed/>
    <w:rsid w:val="002B47B1"/>
    <w:pPr>
      <w:tabs>
        <w:tab w:val="center" w:pos="4513"/>
        <w:tab w:val="right" w:pos="9026"/>
      </w:tabs>
    </w:pPr>
  </w:style>
  <w:style w:type="character" w:customStyle="1" w:styleId="FooterChar">
    <w:name w:val="Footer Char"/>
    <w:basedOn w:val="DefaultParagraphFont"/>
    <w:link w:val="Footer"/>
    <w:uiPriority w:val="99"/>
    <w:rsid w:val="002B47B1"/>
    <w:rPr>
      <w:sz w:val="24"/>
      <w:szCs w:val="24"/>
    </w:rPr>
  </w:style>
  <w:style w:type="paragraph" w:styleId="NoSpacing">
    <w:name w:val="No Spacing"/>
    <w:link w:val="NoSpacingChar"/>
    <w:uiPriority w:val="1"/>
    <w:qFormat/>
    <w:rsid w:val="008C7654"/>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8C7654"/>
    <w:rPr>
      <w:rFonts w:asciiTheme="minorHAnsi" w:eastAsiaTheme="minorEastAsia" w:hAnsiTheme="minorHAnsi" w:cstheme="minorBidi"/>
      <w:sz w:val="22"/>
      <w:szCs w:val="22"/>
      <w:lang w:val="en-US"/>
    </w:rPr>
  </w:style>
  <w:style w:type="character" w:styleId="CommentReference">
    <w:name w:val="annotation reference"/>
    <w:basedOn w:val="DefaultParagraphFont"/>
    <w:uiPriority w:val="99"/>
    <w:semiHidden/>
    <w:unhideWhenUsed/>
    <w:rsid w:val="008C7654"/>
    <w:rPr>
      <w:sz w:val="16"/>
      <w:szCs w:val="16"/>
    </w:rPr>
  </w:style>
  <w:style w:type="paragraph" w:styleId="CommentText">
    <w:name w:val="annotation text"/>
    <w:basedOn w:val="Normal"/>
    <w:link w:val="CommentTextChar"/>
    <w:uiPriority w:val="99"/>
    <w:semiHidden/>
    <w:unhideWhenUsed/>
    <w:rsid w:val="008C7654"/>
    <w:rPr>
      <w:sz w:val="20"/>
      <w:szCs w:val="20"/>
    </w:rPr>
  </w:style>
  <w:style w:type="character" w:customStyle="1" w:styleId="CommentTextChar">
    <w:name w:val="Comment Text Char"/>
    <w:basedOn w:val="DefaultParagraphFont"/>
    <w:link w:val="CommentText"/>
    <w:uiPriority w:val="99"/>
    <w:semiHidden/>
    <w:rsid w:val="008C7654"/>
  </w:style>
  <w:style w:type="paragraph" w:styleId="CommentSubject">
    <w:name w:val="annotation subject"/>
    <w:basedOn w:val="CommentText"/>
    <w:next w:val="CommentText"/>
    <w:link w:val="CommentSubjectChar"/>
    <w:uiPriority w:val="99"/>
    <w:semiHidden/>
    <w:unhideWhenUsed/>
    <w:rsid w:val="008C7654"/>
    <w:rPr>
      <w:b/>
      <w:bCs/>
    </w:rPr>
  </w:style>
  <w:style w:type="character" w:customStyle="1" w:styleId="CommentSubjectChar">
    <w:name w:val="Comment Subject Char"/>
    <w:basedOn w:val="CommentTextChar"/>
    <w:link w:val="CommentSubject"/>
    <w:uiPriority w:val="99"/>
    <w:semiHidden/>
    <w:rsid w:val="008C7654"/>
    <w:rPr>
      <w:b/>
      <w:bCs/>
    </w:rPr>
  </w:style>
  <w:style w:type="paragraph" w:styleId="BalloonText">
    <w:name w:val="Balloon Text"/>
    <w:basedOn w:val="Normal"/>
    <w:link w:val="BalloonTextChar"/>
    <w:uiPriority w:val="99"/>
    <w:semiHidden/>
    <w:unhideWhenUsed/>
    <w:rsid w:val="008C765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C7654"/>
    <w:rPr>
      <w:rFonts w:ascii="Segoe UI" w:hAnsi="Segoe UI" w:cs="Segoe UI"/>
      <w:sz w:val="18"/>
      <w:szCs w:val="18"/>
    </w:rPr>
  </w:style>
  <w:style w:type="paragraph" w:styleId="Bibliography">
    <w:name w:val="Bibliography"/>
    <w:basedOn w:val="Normal"/>
    <w:next w:val="Normal"/>
    <w:uiPriority w:val="37"/>
    <w:unhideWhenUsed/>
    <w:rsid w:val="00DF0CFD"/>
  </w:style>
  <w:style w:type="character" w:customStyle="1" w:styleId="Heading2Char">
    <w:name w:val="Heading 2 Char"/>
    <w:basedOn w:val="DefaultParagraphFont"/>
    <w:link w:val="Heading2"/>
    <w:uiPriority w:val="9"/>
    <w:rsid w:val="00E249DA"/>
    <w:rPr>
      <w:rFonts w:asciiTheme="majorHAnsi" w:eastAsiaTheme="majorEastAsia" w:hAnsiTheme="majorHAnsi" w:cstheme="majorBidi"/>
      <w:color w:val="0B5294" w:themeColor="accent1" w:themeShade="BF"/>
      <w:sz w:val="26"/>
      <w:szCs w:val="26"/>
    </w:rPr>
  </w:style>
  <w:style w:type="paragraph" w:styleId="FootnoteText">
    <w:name w:val="footnote text"/>
    <w:basedOn w:val="Normal"/>
    <w:link w:val="FootnoteTextChar"/>
    <w:uiPriority w:val="99"/>
    <w:semiHidden/>
    <w:unhideWhenUsed/>
    <w:rsid w:val="0037548D"/>
    <w:rPr>
      <w:sz w:val="20"/>
      <w:szCs w:val="20"/>
    </w:rPr>
  </w:style>
  <w:style w:type="character" w:customStyle="1" w:styleId="FootnoteTextChar">
    <w:name w:val="Footnote Text Char"/>
    <w:basedOn w:val="DefaultParagraphFont"/>
    <w:link w:val="FootnoteText"/>
    <w:uiPriority w:val="99"/>
    <w:semiHidden/>
    <w:rsid w:val="0037548D"/>
  </w:style>
  <w:style w:type="character" w:styleId="FootnoteReference">
    <w:name w:val="footnote reference"/>
    <w:basedOn w:val="DefaultParagraphFont"/>
    <w:uiPriority w:val="99"/>
    <w:semiHidden/>
    <w:unhideWhenUsed/>
    <w:rsid w:val="0037548D"/>
    <w:rPr>
      <w:vertAlign w:val="superscript"/>
    </w:rPr>
  </w:style>
  <w:style w:type="paragraph" w:styleId="TOC1">
    <w:name w:val="toc 1"/>
    <w:basedOn w:val="Normal"/>
    <w:next w:val="Normal"/>
    <w:autoRedefine/>
    <w:uiPriority w:val="39"/>
    <w:unhideWhenUsed/>
    <w:rsid w:val="00DF1F1A"/>
    <w:pPr>
      <w:spacing w:after="100"/>
    </w:pPr>
  </w:style>
  <w:style w:type="paragraph" w:styleId="TOC2">
    <w:name w:val="toc 2"/>
    <w:basedOn w:val="Normal"/>
    <w:next w:val="Normal"/>
    <w:autoRedefine/>
    <w:uiPriority w:val="39"/>
    <w:unhideWhenUsed/>
    <w:rsid w:val="00DF1F1A"/>
    <w:pPr>
      <w:spacing w:after="100"/>
      <w:ind w:left="240"/>
    </w:pPr>
  </w:style>
  <w:style w:type="character" w:styleId="Hyperlink">
    <w:name w:val="Hyperlink"/>
    <w:basedOn w:val="DefaultParagraphFont"/>
    <w:uiPriority w:val="99"/>
    <w:unhideWhenUsed/>
    <w:rsid w:val="00DF1F1A"/>
    <w:rPr>
      <w:color w:val="F49100" w:themeColor="hyperlink"/>
      <w:u w:val="single"/>
    </w:rPr>
  </w:style>
  <w:style w:type="paragraph" w:styleId="Revision">
    <w:name w:val="Revision"/>
    <w:hidden/>
    <w:uiPriority w:val="99"/>
    <w:semiHidden/>
    <w:rsid w:val="004A5D7D"/>
    <w:rPr>
      <w:sz w:val="24"/>
      <w:szCs w:val="24"/>
    </w:rPr>
  </w:style>
  <w:style w:type="character" w:styleId="IntenseEmphasis">
    <w:name w:val="Intense Emphasis"/>
    <w:basedOn w:val="DefaultParagraphFont"/>
    <w:uiPriority w:val="21"/>
    <w:qFormat/>
    <w:rsid w:val="00744108"/>
    <w:rPr>
      <w:i/>
      <w:iCs/>
      <w:color w:val="0F6FC6" w:themeColor="accent1"/>
    </w:rPr>
  </w:style>
  <w:style w:type="table" w:styleId="TableGrid">
    <w:name w:val="Table Grid"/>
    <w:basedOn w:val="TableNormal"/>
    <w:uiPriority w:val="59"/>
    <w:rsid w:val="0074410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25C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51185">
      <w:bodyDiv w:val="1"/>
      <w:marLeft w:val="0"/>
      <w:marRight w:val="0"/>
      <w:marTop w:val="0"/>
      <w:marBottom w:val="0"/>
      <w:divBdr>
        <w:top w:val="none" w:sz="0" w:space="0" w:color="auto"/>
        <w:left w:val="none" w:sz="0" w:space="0" w:color="auto"/>
        <w:bottom w:val="none" w:sz="0" w:space="0" w:color="auto"/>
        <w:right w:val="none" w:sz="0" w:space="0" w:color="auto"/>
      </w:divBdr>
    </w:div>
    <w:div w:id="14969240">
      <w:bodyDiv w:val="1"/>
      <w:marLeft w:val="0"/>
      <w:marRight w:val="0"/>
      <w:marTop w:val="0"/>
      <w:marBottom w:val="0"/>
      <w:divBdr>
        <w:top w:val="none" w:sz="0" w:space="0" w:color="auto"/>
        <w:left w:val="none" w:sz="0" w:space="0" w:color="auto"/>
        <w:bottom w:val="none" w:sz="0" w:space="0" w:color="auto"/>
        <w:right w:val="none" w:sz="0" w:space="0" w:color="auto"/>
      </w:divBdr>
    </w:div>
    <w:div w:id="15347624">
      <w:bodyDiv w:val="1"/>
      <w:marLeft w:val="0"/>
      <w:marRight w:val="0"/>
      <w:marTop w:val="0"/>
      <w:marBottom w:val="0"/>
      <w:divBdr>
        <w:top w:val="none" w:sz="0" w:space="0" w:color="auto"/>
        <w:left w:val="none" w:sz="0" w:space="0" w:color="auto"/>
        <w:bottom w:val="none" w:sz="0" w:space="0" w:color="auto"/>
        <w:right w:val="none" w:sz="0" w:space="0" w:color="auto"/>
      </w:divBdr>
    </w:div>
    <w:div w:id="19668427">
      <w:bodyDiv w:val="1"/>
      <w:marLeft w:val="0"/>
      <w:marRight w:val="0"/>
      <w:marTop w:val="0"/>
      <w:marBottom w:val="0"/>
      <w:divBdr>
        <w:top w:val="none" w:sz="0" w:space="0" w:color="auto"/>
        <w:left w:val="none" w:sz="0" w:space="0" w:color="auto"/>
        <w:bottom w:val="none" w:sz="0" w:space="0" w:color="auto"/>
        <w:right w:val="none" w:sz="0" w:space="0" w:color="auto"/>
      </w:divBdr>
    </w:div>
    <w:div w:id="27145509">
      <w:bodyDiv w:val="1"/>
      <w:marLeft w:val="0"/>
      <w:marRight w:val="0"/>
      <w:marTop w:val="0"/>
      <w:marBottom w:val="0"/>
      <w:divBdr>
        <w:top w:val="none" w:sz="0" w:space="0" w:color="auto"/>
        <w:left w:val="none" w:sz="0" w:space="0" w:color="auto"/>
        <w:bottom w:val="none" w:sz="0" w:space="0" w:color="auto"/>
        <w:right w:val="none" w:sz="0" w:space="0" w:color="auto"/>
      </w:divBdr>
    </w:div>
    <w:div w:id="30541027">
      <w:bodyDiv w:val="1"/>
      <w:marLeft w:val="0"/>
      <w:marRight w:val="0"/>
      <w:marTop w:val="0"/>
      <w:marBottom w:val="0"/>
      <w:divBdr>
        <w:top w:val="none" w:sz="0" w:space="0" w:color="auto"/>
        <w:left w:val="none" w:sz="0" w:space="0" w:color="auto"/>
        <w:bottom w:val="none" w:sz="0" w:space="0" w:color="auto"/>
        <w:right w:val="none" w:sz="0" w:space="0" w:color="auto"/>
      </w:divBdr>
    </w:div>
    <w:div w:id="30570423">
      <w:bodyDiv w:val="1"/>
      <w:marLeft w:val="0"/>
      <w:marRight w:val="0"/>
      <w:marTop w:val="0"/>
      <w:marBottom w:val="0"/>
      <w:divBdr>
        <w:top w:val="none" w:sz="0" w:space="0" w:color="auto"/>
        <w:left w:val="none" w:sz="0" w:space="0" w:color="auto"/>
        <w:bottom w:val="none" w:sz="0" w:space="0" w:color="auto"/>
        <w:right w:val="none" w:sz="0" w:space="0" w:color="auto"/>
      </w:divBdr>
    </w:div>
    <w:div w:id="31344681">
      <w:bodyDiv w:val="1"/>
      <w:marLeft w:val="0"/>
      <w:marRight w:val="0"/>
      <w:marTop w:val="0"/>
      <w:marBottom w:val="0"/>
      <w:divBdr>
        <w:top w:val="none" w:sz="0" w:space="0" w:color="auto"/>
        <w:left w:val="none" w:sz="0" w:space="0" w:color="auto"/>
        <w:bottom w:val="none" w:sz="0" w:space="0" w:color="auto"/>
        <w:right w:val="none" w:sz="0" w:space="0" w:color="auto"/>
      </w:divBdr>
    </w:div>
    <w:div w:id="39743789">
      <w:bodyDiv w:val="1"/>
      <w:marLeft w:val="0"/>
      <w:marRight w:val="0"/>
      <w:marTop w:val="0"/>
      <w:marBottom w:val="0"/>
      <w:divBdr>
        <w:top w:val="none" w:sz="0" w:space="0" w:color="auto"/>
        <w:left w:val="none" w:sz="0" w:space="0" w:color="auto"/>
        <w:bottom w:val="none" w:sz="0" w:space="0" w:color="auto"/>
        <w:right w:val="none" w:sz="0" w:space="0" w:color="auto"/>
      </w:divBdr>
    </w:div>
    <w:div w:id="47075185">
      <w:bodyDiv w:val="1"/>
      <w:marLeft w:val="0"/>
      <w:marRight w:val="0"/>
      <w:marTop w:val="0"/>
      <w:marBottom w:val="0"/>
      <w:divBdr>
        <w:top w:val="none" w:sz="0" w:space="0" w:color="auto"/>
        <w:left w:val="none" w:sz="0" w:space="0" w:color="auto"/>
        <w:bottom w:val="none" w:sz="0" w:space="0" w:color="auto"/>
        <w:right w:val="none" w:sz="0" w:space="0" w:color="auto"/>
      </w:divBdr>
    </w:div>
    <w:div w:id="53160977">
      <w:bodyDiv w:val="1"/>
      <w:marLeft w:val="0"/>
      <w:marRight w:val="0"/>
      <w:marTop w:val="0"/>
      <w:marBottom w:val="0"/>
      <w:divBdr>
        <w:top w:val="none" w:sz="0" w:space="0" w:color="auto"/>
        <w:left w:val="none" w:sz="0" w:space="0" w:color="auto"/>
        <w:bottom w:val="none" w:sz="0" w:space="0" w:color="auto"/>
        <w:right w:val="none" w:sz="0" w:space="0" w:color="auto"/>
      </w:divBdr>
    </w:div>
    <w:div w:id="57174181">
      <w:bodyDiv w:val="1"/>
      <w:marLeft w:val="0"/>
      <w:marRight w:val="0"/>
      <w:marTop w:val="0"/>
      <w:marBottom w:val="0"/>
      <w:divBdr>
        <w:top w:val="none" w:sz="0" w:space="0" w:color="auto"/>
        <w:left w:val="none" w:sz="0" w:space="0" w:color="auto"/>
        <w:bottom w:val="none" w:sz="0" w:space="0" w:color="auto"/>
        <w:right w:val="none" w:sz="0" w:space="0" w:color="auto"/>
      </w:divBdr>
    </w:div>
    <w:div w:id="57293163">
      <w:bodyDiv w:val="1"/>
      <w:marLeft w:val="0"/>
      <w:marRight w:val="0"/>
      <w:marTop w:val="0"/>
      <w:marBottom w:val="0"/>
      <w:divBdr>
        <w:top w:val="none" w:sz="0" w:space="0" w:color="auto"/>
        <w:left w:val="none" w:sz="0" w:space="0" w:color="auto"/>
        <w:bottom w:val="none" w:sz="0" w:space="0" w:color="auto"/>
        <w:right w:val="none" w:sz="0" w:space="0" w:color="auto"/>
      </w:divBdr>
    </w:div>
    <w:div w:id="66151904">
      <w:bodyDiv w:val="1"/>
      <w:marLeft w:val="0"/>
      <w:marRight w:val="0"/>
      <w:marTop w:val="0"/>
      <w:marBottom w:val="0"/>
      <w:divBdr>
        <w:top w:val="none" w:sz="0" w:space="0" w:color="auto"/>
        <w:left w:val="none" w:sz="0" w:space="0" w:color="auto"/>
        <w:bottom w:val="none" w:sz="0" w:space="0" w:color="auto"/>
        <w:right w:val="none" w:sz="0" w:space="0" w:color="auto"/>
      </w:divBdr>
    </w:div>
    <w:div w:id="101807856">
      <w:bodyDiv w:val="1"/>
      <w:marLeft w:val="0"/>
      <w:marRight w:val="0"/>
      <w:marTop w:val="0"/>
      <w:marBottom w:val="0"/>
      <w:divBdr>
        <w:top w:val="none" w:sz="0" w:space="0" w:color="auto"/>
        <w:left w:val="none" w:sz="0" w:space="0" w:color="auto"/>
        <w:bottom w:val="none" w:sz="0" w:space="0" w:color="auto"/>
        <w:right w:val="none" w:sz="0" w:space="0" w:color="auto"/>
      </w:divBdr>
    </w:div>
    <w:div w:id="106313169">
      <w:bodyDiv w:val="1"/>
      <w:marLeft w:val="0"/>
      <w:marRight w:val="0"/>
      <w:marTop w:val="0"/>
      <w:marBottom w:val="0"/>
      <w:divBdr>
        <w:top w:val="none" w:sz="0" w:space="0" w:color="auto"/>
        <w:left w:val="none" w:sz="0" w:space="0" w:color="auto"/>
        <w:bottom w:val="none" w:sz="0" w:space="0" w:color="auto"/>
        <w:right w:val="none" w:sz="0" w:space="0" w:color="auto"/>
      </w:divBdr>
    </w:div>
    <w:div w:id="136848536">
      <w:bodyDiv w:val="1"/>
      <w:marLeft w:val="0"/>
      <w:marRight w:val="0"/>
      <w:marTop w:val="0"/>
      <w:marBottom w:val="0"/>
      <w:divBdr>
        <w:top w:val="none" w:sz="0" w:space="0" w:color="auto"/>
        <w:left w:val="none" w:sz="0" w:space="0" w:color="auto"/>
        <w:bottom w:val="none" w:sz="0" w:space="0" w:color="auto"/>
        <w:right w:val="none" w:sz="0" w:space="0" w:color="auto"/>
      </w:divBdr>
    </w:div>
    <w:div w:id="166288596">
      <w:bodyDiv w:val="1"/>
      <w:marLeft w:val="0"/>
      <w:marRight w:val="0"/>
      <w:marTop w:val="0"/>
      <w:marBottom w:val="0"/>
      <w:divBdr>
        <w:top w:val="none" w:sz="0" w:space="0" w:color="auto"/>
        <w:left w:val="none" w:sz="0" w:space="0" w:color="auto"/>
        <w:bottom w:val="none" w:sz="0" w:space="0" w:color="auto"/>
        <w:right w:val="none" w:sz="0" w:space="0" w:color="auto"/>
      </w:divBdr>
    </w:div>
    <w:div w:id="168520683">
      <w:bodyDiv w:val="1"/>
      <w:marLeft w:val="0"/>
      <w:marRight w:val="0"/>
      <w:marTop w:val="0"/>
      <w:marBottom w:val="0"/>
      <w:divBdr>
        <w:top w:val="none" w:sz="0" w:space="0" w:color="auto"/>
        <w:left w:val="none" w:sz="0" w:space="0" w:color="auto"/>
        <w:bottom w:val="none" w:sz="0" w:space="0" w:color="auto"/>
        <w:right w:val="none" w:sz="0" w:space="0" w:color="auto"/>
      </w:divBdr>
    </w:div>
    <w:div w:id="180239983">
      <w:bodyDiv w:val="1"/>
      <w:marLeft w:val="0"/>
      <w:marRight w:val="0"/>
      <w:marTop w:val="0"/>
      <w:marBottom w:val="0"/>
      <w:divBdr>
        <w:top w:val="none" w:sz="0" w:space="0" w:color="auto"/>
        <w:left w:val="none" w:sz="0" w:space="0" w:color="auto"/>
        <w:bottom w:val="none" w:sz="0" w:space="0" w:color="auto"/>
        <w:right w:val="none" w:sz="0" w:space="0" w:color="auto"/>
      </w:divBdr>
    </w:div>
    <w:div w:id="183137060">
      <w:bodyDiv w:val="1"/>
      <w:marLeft w:val="0"/>
      <w:marRight w:val="0"/>
      <w:marTop w:val="0"/>
      <w:marBottom w:val="0"/>
      <w:divBdr>
        <w:top w:val="none" w:sz="0" w:space="0" w:color="auto"/>
        <w:left w:val="none" w:sz="0" w:space="0" w:color="auto"/>
        <w:bottom w:val="none" w:sz="0" w:space="0" w:color="auto"/>
        <w:right w:val="none" w:sz="0" w:space="0" w:color="auto"/>
      </w:divBdr>
    </w:div>
    <w:div w:id="191070077">
      <w:bodyDiv w:val="1"/>
      <w:marLeft w:val="0"/>
      <w:marRight w:val="0"/>
      <w:marTop w:val="0"/>
      <w:marBottom w:val="0"/>
      <w:divBdr>
        <w:top w:val="none" w:sz="0" w:space="0" w:color="auto"/>
        <w:left w:val="none" w:sz="0" w:space="0" w:color="auto"/>
        <w:bottom w:val="none" w:sz="0" w:space="0" w:color="auto"/>
        <w:right w:val="none" w:sz="0" w:space="0" w:color="auto"/>
      </w:divBdr>
    </w:div>
    <w:div w:id="194581529">
      <w:bodyDiv w:val="1"/>
      <w:marLeft w:val="0"/>
      <w:marRight w:val="0"/>
      <w:marTop w:val="0"/>
      <w:marBottom w:val="0"/>
      <w:divBdr>
        <w:top w:val="none" w:sz="0" w:space="0" w:color="auto"/>
        <w:left w:val="none" w:sz="0" w:space="0" w:color="auto"/>
        <w:bottom w:val="none" w:sz="0" w:space="0" w:color="auto"/>
        <w:right w:val="none" w:sz="0" w:space="0" w:color="auto"/>
      </w:divBdr>
    </w:div>
    <w:div w:id="197932197">
      <w:bodyDiv w:val="1"/>
      <w:marLeft w:val="0"/>
      <w:marRight w:val="0"/>
      <w:marTop w:val="0"/>
      <w:marBottom w:val="0"/>
      <w:divBdr>
        <w:top w:val="none" w:sz="0" w:space="0" w:color="auto"/>
        <w:left w:val="none" w:sz="0" w:space="0" w:color="auto"/>
        <w:bottom w:val="none" w:sz="0" w:space="0" w:color="auto"/>
        <w:right w:val="none" w:sz="0" w:space="0" w:color="auto"/>
      </w:divBdr>
    </w:div>
    <w:div w:id="198276865">
      <w:bodyDiv w:val="1"/>
      <w:marLeft w:val="0"/>
      <w:marRight w:val="0"/>
      <w:marTop w:val="0"/>
      <w:marBottom w:val="0"/>
      <w:divBdr>
        <w:top w:val="none" w:sz="0" w:space="0" w:color="auto"/>
        <w:left w:val="none" w:sz="0" w:space="0" w:color="auto"/>
        <w:bottom w:val="none" w:sz="0" w:space="0" w:color="auto"/>
        <w:right w:val="none" w:sz="0" w:space="0" w:color="auto"/>
      </w:divBdr>
    </w:div>
    <w:div w:id="200048328">
      <w:bodyDiv w:val="1"/>
      <w:marLeft w:val="0"/>
      <w:marRight w:val="0"/>
      <w:marTop w:val="0"/>
      <w:marBottom w:val="0"/>
      <w:divBdr>
        <w:top w:val="none" w:sz="0" w:space="0" w:color="auto"/>
        <w:left w:val="none" w:sz="0" w:space="0" w:color="auto"/>
        <w:bottom w:val="none" w:sz="0" w:space="0" w:color="auto"/>
        <w:right w:val="none" w:sz="0" w:space="0" w:color="auto"/>
      </w:divBdr>
    </w:div>
    <w:div w:id="237524458">
      <w:bodyDiv w:val="1"/>
      <w:marLeft w:val="0"/>
      <w:marRight w:val="0"/>
      <w:marTop w:val="0"/>
      <w:marBottom w:val="0"/>
      <w:divBdr>
        <w:top w:val="none" w:sz="0" w:space="0" w:color="auto"/>
        <w:left w:val="none" w:sz="0" w:space="0" w:color="auto"/>
        <w:bottom w:val="none" w:sz="0" w:space="0" w:color="auto"/>
        <w:right w:val="none" w:sz="0" w:space="0" w:color="auto"/>
      </w:divBdr>
    </w:div>
    <w:div w:id="241378460">
      <w:bodyDiv w:val="1"/>
      <w:marLeft w:val="0"/>
      <w:marRight w:val="0"/>
      <w:marTop w:val="0"/>
      <w:marBottom w:val="0"/>
      <w:divBdr>
        <w:top w:val="none" w:sz="0" w:space="0" w:color="auto"/>
        <w:left w:val="none" w:sz="0" w:space="0" w:color="auto"/>
        <w:bottom w:val="none" w:sz="0" w:space="0" w:color="auto"/>
        <w:right w:val="none" w:sz="0" w:space="0" w:color="auto"/>
      </w:divBdr>
    </w:div>
    <w:div w:id="248778305">
      <w:bodyDiv w:val="1"/>
      <w:marLeft w:val="0"/>
      <w:marRight w:val="0"/>
      <w:marTop w:val="0"/>
      <w:marBottom w:val="0"/>
      <w:divBdr>
        <w:top w:val="none" w:sz="0" w:space="0" w:color="auto"/>
        <w:left w:val="none" w:sz="0" w:space="0" w:color="auto"/>
        <w:bottom w:val="none" w:sz="0" w:space="0" w:color="auto"/>
        <w:right w:val="none" w:sz="0" w:space="0" w:color="auto"/>
      </w:divBdr>
    </w:div>
    <w:div w:id="252326405">
      <w:bodyDiv w:val="1"/>
      <w:marLeft w:val="0"/>
      <w:marRight w:val="0"/>
      <w:marTop w:val="0"/>
      <w:marBottom w:val="0"/>
      <w:divBdr>
        <w:top w:val="none" w:sz="0" w:space="0" w:color="auto"/>
        <w:left w:val="none" w:sz="0" w:space="0" w:color="auto"/>
        <w:bottom w:val="none" w:sz="0" w:space="0" w:color="auto"/>
        <w:right w:val="none" w:sz="0" w:space="0" w:color="auto"/>
      </w:divBdr>
    </w:div>
    <w:div w:id="253442823">
      <w:bodyDiv w:val="1"/>
      <w:marLeft w:val="0"/>
      <w:marRight w:val="0"/>
      <w:marTop w:val="0"/>
      <w:marBottom w:val="0"/>
      <w:divBdr>
        <w:top w:val="none" w:sz="0" w:space="0" w:color="auto"/>
        <w:left w:val="none" w:sz="0" w:space="0" w:color="auto"/>
        <w:bottom w:val="none" w:sz="0" w:space="0" w:color="auto"/>
        <w:right w:val="none" w:sz="0" w:space="0" w:color="auto"/>
      </w:divBdr>
    </w:div>
    <w:div w:id="259484112">
      <w:bodyDiv w:val="1"/>
      <w:marLeft w:val="0"/>
      <w:marRight w:val="0"/>
      <w:marTop w:val="0"/>
      <w:marBottom w:val="0"/>
      <w:divBdr>
        <w:top w:val="none" w:sz="0" w:space="0" w:color="auto"/>
        <w:left w:val="none" w:sz="0" w:space="0" w:color="auto"/>
        <w:bottom w:val="none" w:sz="0" w:space="0" w:color="auto"/>
        <w:right w:val="none" w:sz="0" w:space="0" w:color="auto"/>
      </w:divBdr>
    </w:div>
    <w:div w:id="266281229">
      <w:bodyDiv w:val="1"/>
      <w:marLeft w:val="0"/>
      <w:marRight w:val="0"/>
      <w:marTop w:val="0"/>
      <w:marBottom w:val="0"/>
      <w:divBdr>
        <w:top w:val="none" w:sz="0" w:space="0" w:color="auto"/>
        <w:left w:val="none" w:sz="0" w:space="0" w:color="auto"/>
        <w:bottom w:val="none" w:sz="0" w:space="0" w:color="auto"/>
        <w:right w:val="none" w:sz="0" w:space="0" w:color="auto"/>
      </w:divBdr>
    </w:div>
    <w:div w:id="267473682">
      <w:bodyDiv w:val="1"/>
      <w:marLeft w:val="0"/>
      <w:marRight w:val="0"/>
      <w:marTop w:val="0"/>
      <w:marBottom w:val="0"/>
      <w:divBdr>
        <w:top w:val="none" w:sz="0" w:space="0" w:color="auto"/>
        <w:left w:val="none" w:sz="0" w:space="0" w:color="auto"/>
        <w:bottom w:val="none" w:sz="0" w:space="0" w:color="auto"/>
        <w:right w:val="none" w:sz="0" w:space="0" w:color="auto"/>
      </w:divBdr>
    </w:div>
    <w:div w:id="281425661">
      <w:bodyDiv w:val="1"/>
      <w:marLeft w:val="0"/>
      <w:marRight w:val="0"/>
      <w:marTop w:val="0"/>
      <w:marBottom w:val="0"/>
      <w:divBdr>
        <w:top w:val="none" w:sz="0" w:space="0" w:color="auto"/>
        <w:left w:val="none" w:sz="0" w:space="0" w:color="auto"/>
        <w:bottom w:val="none" w:sz="0" w:space="0" w:color="auto"/>
        <w:right w:val="none" w:sz="0" w:space="0" w:color="auto"/>
      </w:divBdr>
    </w:div>
    <w:div w:id="287510554">
      <w:bodyDiv w:val="1"/>
      <w:marLeft w:val="0"/>
      <w:marRight w:val="0"/>
      <w:marTop w:val="0"/>
      <w:marBottom w:val="0"/>
      <w:divBdr>
        <w:top w:val="none" w:sz="0" w:space="0" w:color="auto"/>
        <w:left w:val="none" w:sz="0" w:space="0" w:color="auto"/>
        <w:bottom w:val="none" w:sz="0" w:space="0" w:color="auto"/>
        <w:right w:val="none" w:sz="0" w:space="0" w:color="auto"/>
      </w:divBdr>
    </w:div>
    <w:div w:id="296692336">
      <w:bodyDiv w:val="1"/>
      <w:marLeft w:val="0"/>
      <w:marRight w:val="0"/>
      <w:marTop w:val="0"/>
      <w:marBottom w:val="0"/>
      <w:divBdr>
        <w:top w:val="none" w:sz="0" w:space="0" w:color="auto"/>
        <w:left w:val="none" w:sz="0" w:space="0" w:color="auto"/>
        <w:bottom w:val="none" w:sz="0" w:space="0" w:color="auto"/>
        <w:right w:val="none" w:sz="0" w:space="0" w:color="auto"/>
      </w:divBdr>
    </w:div>
    <w:div w:id="301663503">
      <w:bodyDiv w:val="1"/>
      <w:marLeft w:val="0"/>
      <w:marRight w:val="0"/>
      <w:marTop w:val="0"/>
      <w:marBottom w:val="0"/>
      <w:divBdr>
        <w:top w:val="none" w:sz="0" w:space="0" w:color="auto"/>
        <w:left w:val="none" w:sz="0" w:space="0" w:color="auto"/>
        <w:bottom w:val="none" w:sz="0" w:space="0" w:color="auto"/>
        <w:right w:val="none" w:sz="0" w:space="0" w:color="auto"/>
      </w:divBdr>
    </w:div>
    <w:div w:id="321130164">
      <w:bodyDiv w:val="1"/>
      <w:marLeft w:val="0"/>
      <w:marRight w:val="0"/>
      <w:marTop w:val="0"/>
      <w:marBottom w:val="0"/>
      <w:divBdr>
        <w:top w:val="none" w:sz="0" w:space="0" w:color="auto"/>
        <w:left w:val="none" w:sz="0" w:space="0" w:color="auto"/>
        <w:bottom w:val="none" w:sz="0" w:space="0" w:color="auto"/>
        <w:right w:val="none" w:sz="0" w:space="0" w:color="auto"/>
      </w:divBdr>
    </w:div>
    <w:div w:id="348677773">
      <w:bodyDiv w:val="1"/>
      <w:marLeft w:val="0"/>
      <w:marRight w:val="0"/>
      <w:marTop w:val="0"/>
      <w:marBottom w:val="0"/>
      <w:divBdr>
        <w:top w:val="none" w:sz="0" w:space="0" w:color="auto"/>
        <w:left w:val="none" w:sz="0" w:space="0" w:color="auto"/>
        <w:bottom w:val="none" w:sz="0" w:space="0" w:color="auto"/>
        <w:right w:val="none" w:sz="0" w:space="0" w:color="auto"/>
      </w:divBdr>
    </w:div>
    <w:div w:id="351692431">
      <w:bodyDiv w:val="1"/>
      <w:marLeft w:val="0"/>
      <w:marRight w:val="0"/>
      <w:marTop w:val="0"/>
      <w:marBottom w:val="0"/>
      <w:divBdr>
        <w:top w:val="none" w:sz="0" w:space="0" w:color="auto"/>
        <w:left w:val="none" w:sz="0" w:space="0" w:color="auto"/>
        <w:bottom w:val="none" w:sz="0" w:space="0" w:color="auto"/>
        <w:right w:val="none" w:sz="0" w:space="0" w:color="auto"/>
      </w:divBdr>
    </w:div>
    <w:div w:id="390622055">
      <w:bodyDiv w:val="1"/>
      <w:marLeft w:val="0"/>
      <w:marRight w:val="0"/>
      <w:marTop w:val="0"/>
      <w:marBottom w:val="0"/>
      <w:divBdr>
        <w:top w:val="none" w:sz="0" w:space="0" w:color="auto"/>
        <w:left w:val="none" w:sz="0" w:space="0" w:color="auto"/>
        <w:bottom w:val="none" w:sz="0" w:space="0" w:color="auto"/>
        <w:right w:val="none" w:sz="0" w:space="0" w:color="auto"/>
      </w:divBdr>
    </w:div>
    <w:div w:id="391932221">
      <w:bodyDiv w:val="1"/>
      <w:marLeft w:val="0"/>
      <w:marRight w:val="0"/>
      <w:marTop w:val="0"/>
      <w:marBottom w:val="0"/>
      <w:divBdr>
        <w:top w:val="none" w:sz="0" w:space="0" w:color="auto"/>
        <w:left w:val="none" w:sz="0" w:space="0" w:color="auto"/>
        <w:bottom w:val="none" w:sz="0" w:space="0" w:color="auto"/>
        <w:right w:val="none" w:sz="0" w:space="0" w:color="auto"/>
      </w:divBdr>
    </w:div>
    <w:div w:id="397628763">
      <w:bodyDiv w:val="1"/>
      <w:marLeft w:val="0"/>
      <w:marRight w:val="0"/>
      <w:marTop w:val="0"/>
      <w:marBottom w:val="0"/>
      <w:divBdr>
        <w:top w:val="none" w:sz="0" w:space="0" w:color="auto"/>
        <w:left w:val="none" w:sz="0" w:space="0" w:color="auto"/>
        <w:bottom w:val="none" w:sz="0" w:space="0" w:color="auto"/>
        <w:right w:val="none" w:sz="0" w:space="0" w:color="auto"/>
      </w:divBdr>
    </w:div>
    <w:div w:id="403256886">
      <w:bodyDiv w:val="1"/>
      <w:marLeft w:val="0"/>
      <w:marRight w:val="0"/>
      <w:marTop w:val="0"/>
      <w:marBottom w:val="0"/>
      <w:divBdr>
        <w:top w:val="none" w:sz="0" w:space="0" w:color="auto"/>
        <w:left w:val="none" w:sz="0" w:space="0" w:color="auto"/>
        <w:bottom w:val="none" w:sz="0" w:space="0" w:color="auto"/>
        <w:right w:val="none" w:sz="0" w:space="0" w:color="auto"/>
      </w:divBdr>
    </w:div>
    <w:div w:id="427118760">
      <w:bodyDiv w:val="1"/>
      <w:marLeft w:val="0"/>
      <w:marRight w:val="0"/>
      <w:marTop w:val="0"/>
      <w:marBottom w:val="0"/>
      <w:divBdr>
        <w:top w:val="none" w:sz="0" w:space="0" w:color="auto"/>
        <w:left w:val="none" w:sz="0" w:space="0" w:color="auto"/>
        <w:bottom w:val="none" w:sz="0" w:space="0" w:color="auto"/>
        <w:right w:val="none" w:sz="0" w:space="0" w:color="auto"/>
      </w:divBdr>
    </w:div>
    <w:div w:id="447166581">
      <w:bodyDiv w:val="1"/>
      <w:marLeft w:val="0"/>
      <w:marRight w:val="0"/>
      <w:marTop w:val="0"/>
      <w:marBottom w:val="0"/>
      <w:divBdr>
        <w:top w:val="none" w:sz="0" w:space="0" w:color="auto"/>
        <w:left w:val="none" w:sz="0" w:space="0" w:color="auto"/>
        <w:bottom w:val="none" w:sz="0" w:space="0" w:color="auto"/>
        <w:right w:val="none" w:sz="0" w:space="0" w:color="auto"/>
      </w:divBdr>
    </w:div>
    <w:div w:id="456875063">
      <w:bodyDiv w:val="1"/>
      <w:marLeft w:val="0"/>
      <w:marRight w:val="0"/>
      <w:marTop w:val="0"/>
      <w:marBottom w:val="0"/>
      <w:divBdr>
        <w:top w:val="none" w:sz="0" w:space="0" w:color="auto"/>
        <w:left w:val="none" w:sz="0" w:space="0" w:color="auto"/>
        <w:bottom w:val="none" w:sz="0" w:space="0" w:color="auto"/>
        <w:right w:val="none" w:sz="0" w:space="0" w:color="auto"/>
      </w:divBdr>
    </w:div>
    <w:div w:id="467432499">
      <w:bodyDiv w:val="1"/>
      <w:marLeft w:val="0"/>
      <w:marRight w:val="0"/>
      <w:marTop w:val="0"/>
      <w:marBottom w:val="0"/>
      <w:divBdr>
        <w:top w:val="none" w:sz="0" w:space="0" w:color="auto"/>
        <w:left w:val="none" w:sz="0" w:space="0" w:color="auto"/>
        <w:bottom w:val="none" w:sz="0" w:space="0" w:color="auto"/>
        <w:right w:val="none" w:sz="0" w:space="0" w:color="auto"/>
      </w:divBdr>
    </w:div>
    <w:div w:id="483669633">
      <w:bodyDiv w:val="1"/>
      <w:marLeft w:val="0"/>
      <w:marRight w:val="0"/>
      <w:marTop w:val="0"/>
      <w:marBottom w:val="0"/>
      <w:divBdr>
        <w:top w:val="none" w:sz="0" w:space="0" w:color="auto"/>
        <w:left w:val="none" w:sz="0" w:space="0" w:color="auto"/>
        <w:bottom w:val="none" w:sz="0" w:space="0" w:color="auto"/>
        <w:right w:val="none" w:sz="0" w:space="0" w:color="auto"/>
      </w:divBdr>
    </w:div>
    <w:div w:id="488054587">
      <w:bodyDiv w:val="1"/>
      <w:marLeft w:val="0"/>
      <w:marRight w:val="0"/>
      <w:marTop w:val="0"/>
      <w:marBottom w:val="0"/>
      <w:divBdr>
        <w:top w:val="none" w:sz="0" w:space="0" w:color="auto"/>
        <w:left w:val="none" w:sz="0" w:space="0" w:color="auto"/>
        <w:bottom w:val="none" w:sz="0" w:space="0" w:color="auto"/>
        <w:right w:val="none" w:sz="0" w:space="0" w:color="auto"/>
      </w:divBdr>
    </w:div>
    <w:div w:id="496846288">
      <w:bodyDiv w:val="1"/>
      <w:marLeft w:val="0"/>
      <w:marRight w:val="0"/>
      <w:marTop w:val="0"/>
      <w:marBottom w:val="0"/>
      <w:divBdr>
        <w:top w:val="none" w:sz="0" w:space="0" w:color="auto"/>
        <w:left w:val="none" w:sz="0" w:space="0" w:color="auto"/>
        <w:bottom w:val="none" w:sz="0" w:space="0" w:color="auto"/>
        <w:right w:val="none" w:sz="0" w:space="0" w:color="auto"/>
      </w:divBdr>
    </w:div>
    <w:div w:id="503980161">
      <w:bodyDiv w:val="1"/>
      <w:marLeft w:val="0"/>
      <w:marRight w:val="0"/>
      <w:marTop w:val="0"/>
      <w:marBottom w:val="0"/>
      <w:divBdr>
        <w:top w:val="none" w:sz="0" w:space="0" w:color="auto"/>
        <w:left w:val="none" w:sz="0" w:space="0" w:color="auto"/>
        <w:bottom w:val="none" w:sz="0" w:space="0" w:color="auto"/>
        <w:right w:val="none" w:sz="0" w:space="0" w:color="auto"/>
      </w:divBdr>
    </w:div>
    <w:div w:id="518128211">
      <w:bodyDiv w:val="1"/>
      <w:marLeft w:val="0"/>
      <w:marRight w:val="0"/>
      <w:marTop w:val="0"/>
      <w:marBottom w:val="0"/>
      <w:divBdr>
        <w:top w:val="none" w:sz="0" w:space="0" w:color="auto"/>
        <w:left w:val="none" w:sz="0" w:space="0" w:color="auto"/>
        <w:bottom w:val="none" w:sz="0" w:space="0" w:color="auto"/>
        <w:right w:val="none" w:sz="0" w:space="0" w:color="auto"/>
      </w:divBdr>
    </w:div>
    <w:div w:id="526600973">
      <w:bodyDiv w:val="1"/>
      <w:marLeft w:val="0"/>
      <w:marRight w:val="0"/>
      <w:marTop w:val="0"/>
      <w:marBottom w:val="0"/>
      <w:divBdr>
        <w:top w:val="none" w:sz="0" w:space="0" w:color="auto"/>
        <w:left w:val="none" w:sz="0" w:space="0" w:color="auto"/>
        <w:bottom w:val="none" w:sz="0" w:space="0" w:color="auto"/>
        <w:right w:val="none" w:sz="0" w:space="0" w:color="auto"/>
      </w:divBdr>
    </w:div>
    <w:div w:id="529757006">
      <w:bodyDiv w:val="1"/>
      <w:marLeft w:val="0"/>
      <w:marRight w:val="0"/>
      <w:marTop w:val="0"/>
      <w:marBottom w:val="0"/>
      <w:divBdr>
        <w:top w:val="none" w:sz="0" w:space="0" w:color="auto"/>
        <w:left w:val="none" w:sz="0" w:space="0" w:color="auto"/>
        <w:bottom w:val="none" w:sz="0" w:space="0" w:color="auto"/>
        <w:right w:val="none" w:sz="0" w:space="0" w:color="auto"/>
      </w:divBdr>
    </w:div>
    <w:div w:id="531654881">
      <w:bodyDiv w:val="1"/>
      <w:marLeft w:val="0"/>
      <w:marRight w:val="0"/>
      <w:marTop w:val="0"/>
      <w:marBottom w:val="0"/>
      <w:divBdr>
        <w:top w:val="none" w:sz="0" w:space="0" w:color="auto"/>
        <w:left w:val="none" w:sz="0" w:space="0" w:color="auto"/>
        <w:bottom w:val="none" w:sz="0" w:space="0" w:color="auto"/>
        <w:right w:val="none" w:sz="0" w:space="0" w:color="auto"/>
      </w:divBdr>
    </w:div>
    <w:div w:id="532578213">
      <w:bodyDiv w:val="1"/>
      <w:marLeft w:val="0"/>
      <w:marRight w:val="0"/>
      <w:marTop w:val="0"/>
      <w:marBottom w:val="0"/>
      <w:divBdr>
        <w:top w:val="none" w:sz="0" w:space="0" w:color="auto"/>
        <w:left w:val="none" w:sz="0" w:space="0" w:color="auto"/>
        <w:bottom w:val="none" w:sz="0" w:space="0" w:color="auto"/>
        <w:right w:val="none" w:sz="0" w:space="0" w:color="auto"/>
      </w:divBdr>
    </w:div>
    <w:div w:id="539049612">
      <w:bodyDiv w:val="1"/>
      <w:marLeft w:val="0"/>
      <w:marRight w:val="0"/>
      <w:marTop w:val="0"/>
      <w:marBottom w:val="0"/>
      <w:divBdr>
        <w:top w:val="none" w:sz="0" w:space="0" w:color="auto"/>
        <w:left w:val="none" w:sz="0" w:space="0" w:color="auto"/>
        <w:bottom w:val="none" w:sz="0" w:space="0" w:color="auto"/>
        <w:right w:val="none" w:sz="0" w:space="0" w:color="auto"/>
      </w:divBdr>
    </w:div>
    <w:div w:id="570964840">
      <w:bodyDiv w:val="1"/>
      <w:marLeft w:val="0"/>
      <w:marRight w:val="0"/>
      <w:marTop w:val="0"/>
      <w:marBottom w:val="0"/>
      <w:divBdr>
        <w:top w:val="none" w:sz="0" w:space="0" w:color="auto"/>
        <w:left w:val="none" w:sz="0" w:space="0" w:color="auto"/>
        <w:bottom w:val="none" w:sz="0" w:space="0" w:color="auto"/>
        <w:right w:val="none" w:sz="0" w:space="0" w:color="auto"/>
      </w:divBdr>
    </w:div>
    <w:div w:id="577901970">
      <w:bodyDiv w:val="1"/>
      <w:marLeft w:val="0"/>
      <w:marRight w:val="0"/>
      <w:marTop w:val="0"/>
      <w:marBottom w:val="0"/>
      <w:divBdr>
        <w:top w:val="none" w:sz="0" w:space="0" w:color="auto"/>
        <w:left w:val="none" w:sz="0" w:space="0" w:color="auto"/>
        <w:bottom w:val="none" w:sz="0" w:space="0" w:color="auto"/>
        <w:right w:val="none" w:sz="0" w:space="0" w:color="auto"/>
      </w:divBdr>
    </w:div>
    <w:div w:id="584732489">
      <w:bodyDiv w:val="1"/>
      <w:marLeft w:val="0"/>
      <w:marRight w:val="0"/>
      <w:marTop w:val="0"/>
      <w:marBottom w:val="0"/>
      <w:divBdr>
        <w:top w:val="none" w:sz="0" w:space="0" w:color="auto"/>
        <w:left w:val="none" w:sz="0" w:space="0" w:color="auto"/>
        <w:bottom w:val="none" w:sz="0" w:space="0" w:color="auto"/>
        <w:right w:val="none" w:sz="0" w:space="0" w:color="auto"/>
      </w:divBdr>
    </w:div>
    <w:div w:id="588471045">
      <w:bodyDiv w:val="1"/>
      <w:marLeft w:val="0"/>
      <w:marRight w:val="0"/>
      <w:marTop w:val="0"/>
      <w:marBottom w:val="0"/>
      <w:divBdr>
        <w:top w:val="none" w:sz="0" w:space="0" w:color="auto"/>
        <w:left w:val="none" w:sz="0" w:space="0" w:color="auto"/>
        <w:bottom w:val="none" w:sz="0" w:space="0" w:color="auto"/>
        <w:right w:val="none" w:sz="0" w:space="0" w:color="auto"/>
      </w:divBdr>
    </w:div>
    <w:div w:id="596865259">
      <w:bodyDiv w:val="1"/>
      <w:marLeft w:val="0"/>
      <w:marRight w:val="0"/>
      <w:marTop w:val="0"/>
      <w:marBottom w:val="0"/>
      <w:divBdr>
        <w:top w:val="none" w:sz="0" w:space="0" w:color="auto"/>
        <w:left w:val="none" w:sz="0" w:space="0" w:color="auto"/>
        <w:bottom w:val="none" w:sz="0" w:space="0" w:color="auto"/>
        <w:right w:val="none" w:sz="0" w:space="0" w:color="auto"/>
      </w:divBdr>
    </w:div>
    <w:div w:id="597641738">
      <w:bodyDiv w:val="1"/>
      <w:marLeft w:val="0"/>
      <w:marRight w:val="0"/>
      <w:marTop w:val="0"/>
      <w:marBottom w:val="0"/>
      <w:divBdr>
        <w:top w:val="none" w:sz="0" w:space="0" w:color="auto"/>
        <w:left w:val="none" w:sz="0" w:space="0" w:color="auto"/>
        <w:bottom w:val="none" w:sz="0" w:space="0" w:color="auto"/>
        <w:right w:val="none" w:sz="0" w:space="0" w:color="auto"/>
      </w:divBdr>
    </w:div>
    <w:div w:id="618488942">
      <w:bodyDiv w:val="1"/>
      <w:marLeft w:val="0"/>
      <w:marRight w:val="0"/>
      <w:marTop w:val="0"/>
      <w:marBottom w:val="0"/>
      <w:divBdr>
        <w:top w:val="none" w:sz="0" w:space="0" w:color="auto"/>
        <w:left w:val="none" w:sz="0" w:space="0" w:color="auto"/>
        <w:bottom w:val="none" w:sz="0" w:space="0" w:color="auto"/>
        <w:right w:val="none" w:sz="0" w:space="0" w:color="auto"/>
      </w:divBdr>
    </w:div>
    <w:div w:id="635990518">
      <w:bodyDiv w:val="1"/>
      <w:marLeft w:val="0"/>
      <w:marRight w:val="0"/>
      <w:marTop w:val="0"/>
      <w:marBottom w:val="0"/>
      <w:divBdr>
        <w:top w:val="none" w:sz="0" w:space="0" w:color="auto"/>
        <w:left w:val="none" w:sz="0" w:space="0" w:color="auto"/>
        <w:bottom w:val="none" w:sz="0" w:space="0" w:color="auto"/>
        <w:right w:val="none" w:sz="0" w:space="0" w:color="auto"/>
      </w:divBdr>
    </w:div>
    <w:div w:id="637347530">
      <w:bodyDiv w:val="1"/>
      <w:marLeft w:val="0"/>
      <w:marRight w:val="0"/>
      <w:marTop w:val="0"/>
      <w:marBottom w:val="0"/>
      <w:divBdr>
        <w:top w:val="none" w:sz="0" w:space="0" w:color="auto"/>
        <w:left w:val="none" w:sz="0" w:space="0" w:color="auto"/>
        <w:bottom w:val="none" w:sz="0" w:space="0" w:color="auto"/>
        <w:right w:val="none" w:sz="0" w:space="0" w:color="auto"/>
      </w:divBdr>
    </w:div>
    <w:div w:id="670763060">
      <w:bodyDiv w:val="1"/>
      <w:marLeft w:val="0"/>
      <w:marRight w:val="0"/>
      <w:marTop w:val="0"/>
      <w:marBottom w:val="0"/>
      <w:divBdr>
        <w:top w:val="none" w:sz="0" w:space="0" w:color="auto"/>
        <w:left w:val="none" w:sz="0" w:space="0" w:color="auto"/>
        <w:bottom w:val="none" w:sz="0" w:space="0" w:color="auto"/>
        <w:right w:val="none" w:sz="0" w:space="0" w:color="auto"/>
      </w:divBdr>
    </w:div>
    <w:div w:id="671031871">
      <w:bodyDiv w:val="1"/>
      <w:marLeft w:val="0"/>
      <w:marRight w:val="0"/>
      <w:marTop w:val="0"/>
      <w:marBottom w:val="0"/>
      <w:divBdr>
        <w:top w:val="none" w:sz="0" w:space="0" w:color="auto"/>
        <w:left w:val="none" w:sz="0" w:space="0" w:color="auto"/>
        <w:bottom w:val="none" w:sz="0" w:space="0" w:color="auto"/>
        <w:right w:val="none" w:sz="0" w:space="0" w:color="auto"/>
      </w:divBdr>
    </w:div>
    <w:div w:id="675309928">
      <w:bodyDiv w:val="1"/>
      <w:marLeft w:val="0"/>
      <w:marRight w:val="0"/>
      <w:marTop w:val="0"/>
      <w:marBottom w:val="0"/>
      <w:divBdr>
        <w:top w:val="none" w:sz="0" w:space="0" w:color="auto"/>
        <w:left w:val="none" w:sz="0" w:space="0" w:color="auto"/>
        <w:bottom w:val="none" w:sz="0" w:space="0" w:color="auto"/>
        <w:right w:val="none" w:sz="0" w:space="0" w:color="auto"/>
      </w:divBdr>
    </w:div>
    <w:div w:id="681858465">
      <w:bodyDiv w:val="1"/>
      <w:marLeft w:val="0"/>
      <w:marRight w:val="0"/>
      <w:marTop w:val="0"/>
      <w:marBottom w:val="0"/>
      <w:divBdr>
        <w:top w:val="none" w:sz="0" w:space="0" w:color="auto"/>
        <w:left w:val="none" w:sz="0" w:space="0" w:color="auto"/>
        <w:bottom w:val="none" w:sz="0" w:space="0" w:color="auto"/>
        <w:right w:val="none" w:sz="0" w:space="0" w:color="auto"/>
      </w:divBdr>
    </w:div>
    <w:div w:id="682627996">
      <w:bodyDiv w:val="1"/>
      <w:marLeft w:val="0"/>
      <w:marRight w:val="0"/>
      <w:marTop w:val="0"/>
      <w:marBottom w:val="0"/>
      <w:divBdr>
        <w:top w:val="none" w:sz="0" w:space="0" w:color="auto"/>
        <w:left w:val="none" w:sz="0" w:space="0" w:color="auto"/>
        <w:bottom w:val="none" w:sz="0" w:space="0" w:color="auto"/>
        <w:right w:val="none" w:sz="0" w:space="0" w:color="auto"/>
      </w:divBdr>
    </w:div>
    <w:div w:id="686565159">
      <w:bodyDiv w:val="1"/>
      <w:marLeft w:val="0"/>
      <w:marRight w:val="0"/>
      <w:marTop w:val="0"/>
      <w:marBottom w:val="0"/>
      <w:divBdr>
        <w:top w:val="none" w:sz="0" w:space="0" w:color="auto"/>
        <w:left w:val="none" w:sz="0" w:space="0" w:color="auto"/>
        <w:bottom w:val="none" w:sz="0" w:space="0" w:color="auto"/>
        <w:right w:val="none" w:sz="0" w:space="0" w:color="auto"/>
      </w:divBdr>
    </w:div>
    <w:div w:id="697198718">
      <w:bodyDiv w:val="1"/>
      <w:marLeft w:val="0"/>
      <w:marRight w:val="0"/>
      <w:marTop w:val="0"/>
      <w:marBottom w:val="0"/>
      <w:divBdr>
        <w:top w:val="none" w:sz="0" w:space="0" w:color="auto"/>
        <w:left w:val="none" w:sz="0" w:space="0" w:color="auto"/>
        <w:bottom w:val="none" w:sz="0" w:space="0" w:color="auto"/>
        <w:right w:val="none" w:sz="0" w:space="0" w:color="auto"/>
      </w:divBdr>
    </w:div>
    <w:div w:id="697780874">
      <w:bodyDiv w:val="1"/>
      <w:marLeft w:val="0"/>
      <w:marRight w:val="0"/>
      <w:marTop w:val="0"/>
      <w:marBottom w:val="0"/>
      <w:divBdr>
        <w:top w:val="none" w:sz="0" w:space="0" w:color="auto"/>
        <w:left w:val="none" w:sz="0" w:space="0" w:color="auto"/>
        <w:bottom w:val="none" w:sz="0" w:space="0" w:color="auto"/>
        <w:right w:val="none" w:sz="0" w:space="0" w:color="auto"/>
      </w:divBdr>
    </w:div>
    <w:div w:id="698235712">
      <w:bodyDiv w:val="1"/>
      <w:marLeft w:val="0"/>
      <w:marRight w:val="0"/>
      <w:marTop w:val="0"/>
      <w:marBottom w:val="0"/>
      <w:divBdr>
        <w:top w:val="none" w:sz="0" w:space="0" w:color="auto"/>
        <w:left w:val="none" w:sz="0" w:space="0" w:color="auto"/>
        <w:bottom w:val="none" w:sz="0" w:space="0" w:color="auto"/>
        <w:right w:val="none" w:sz="0" w:space="0" w:color="auto"/>
      </w:divBdr>
    </w:div>
    <w:div w:id="699166034">
      <w:bodyDiv w:val="1"/>
      <w:marLeft w:val="0"/>
      <w:marRight w:val="0"/>
      <w:marTop w:val="0"/>
      <w:marBottom w:val="0"/>
      <w:divBdr>
        <w:top w:val="none" w:sz="0" w:space="0" w:color="auto"/>
        <w:left w:val="none" w:sz="0" w:space="0" w:color="auto"/>
        <w:bottom w:val="none" w:sz="0" w:space="0" w:color="auto"/>
        <w:right w:val="none" w:sz="0" w:space="0" w:color="auto"/>
      </w:divBdr>
    </w:div>
    <w:div w:id="710344808">
      <w:bodyDiv w:val="1"/>
      <w:marLeft w:val="0"/>
      <w:marRight w:val="0"/>
      <w:marTop w:val="0"/>
      <w:marBottom w:val="0"/>
      <w:divBdr>
        <w:top w:val="none" w:sz="0" w:space="0" w:color="auto"/>
        <w:left w:val="none" w:sz="0" w:space="0" w:color="auto"/>
        <w:bottom w:val="none" w:sz="0" w:space="0" w:color="auto"/>
        <w:right w:val="none" w:sz="0" w:space="0" w:color="auto"/>
      </w:divBdr>
    </w:div>
    <w:div w:id="723257180">
      <w:bodyDiv w:val="1"/>
      <w:marLeft w:val="0"/>
      <w:marRight w:val="0"/>
      <w:marTop w:val="0"/>
      <w:marBottom w:val="0"/>
      <w:divBdr>
        <w:top w:val="none" w:sz="0" w:space="0" w:color="auto"/>
        <w:left w:val="none" w:sz="0" w:space="0" w:color="auto"/>
        <w:bottom w:val="none" w:sz="0" w:space="0" w:color="auto"/>
        <w:right w:val="none" w:sz="0" w:space="0" w:color="auto"/>
      </w:divBdr>
    </w:div>
    <w:div w:id="723600464">
      <w:bodyDiv w:val="1"/>
      <w:marLeft w:val="0"/>
      <w:marRight w:val="0"/>
      <w:marTop w:val="0"/>
      <w:marBottom w:val="0"/>
      <w:divBdr>
        <w:top w:val="none" w:sz="0" w:space="0" w:color="auto"/>
        <w:left w:val="none" w:sz="0" w:space="0" w:color="auto"/>
        <w:bottom w:val="none" w:sz="0" w:space="0" w:color="auto"/>
        <w:right w:val="none" w:sz="0" w:space="0" w:color="auto"/>
      </w:divBdr>
    </w:div>
    <w:div w:id="729114387">
      <w:bodyDiv w:val="1"/>
      <w:marLeft w:val="0"/>
      <w:marRight w:val="0"/>
      <w:marTop w:val="0"/>
      <w:marBottom w:val="0"/>
      <w:divBdr>
        <w:top w:val="none" w:sz="0" w:space="0" w:color="auto"/>
        <w:left w:val="none" w:sz="0" w:space="0" w:color="auto"/>
        <w:bottom w:val="none" w:sz="0" w:space="0" w:color="auto"/>
        <w:right w:val="none" w:sz="0" w:space="0" w:color="auto"/>
      </w:divBdr>
    </w:div>
    <w:div w:id="733742326">
      <w:bodyDiv w:val="1"/>
      <w:marLeft w:val="0"/>
      <w:marRight w:val="0"/>
      <w:marTop w:val="0"/>
      <w:marBottom w:val="0"/>
      <w:divBdr>
        <w:top w:val="none" w:sz="0" w:space="0" w:color="auto"/>
        <w:left w:val="none" w:sz="0" w:space="0" w:color="auto"/>
        <w:bottom w:val="none" w:sz="0" w:space="0" w:color="auto"/>
        <w:right w:val="none" w:sz="0" w:space="0" w:color="auto"/>
      </w:divBdr>
    </w:div>
    <w:div w:id="740443557">
      <w:bodyDiv w:val="1"/>
      <w:marLeft w:val="0"/>
      <w:marRight w:val="0"/>
      <w:marTop w:val="0"/>
      <w:marBottom w:val="0"/>
      <w:divBdr>
        <w:top w:val="none" w:sz="0" w:space="0" w:color="auto"/>
        <w:left w:val="none" w:sz="0" w:space="0" w:color="auto"/>
        <w:bottom w:val="none" w:sz="0" w:space="0" w:color="auto"/>
        <w:right w:val="none" w:sz="0" w:space="0" w:color="auto"/>
      </w:divBdr>
    </w:div>
    <w:div w:id="740446180">
      <w:bodyDiv w:val="1"/>
      <w:marLeft w:val="0"/>
      <w:marRight w:val="0"/>
      <w:marTop w:val="0"/>
      <w:marBottom w:val="0"/>
      <w:divBdr>
        <w:top w:val="none" w:sz="0" w:space="0" w:color="auto"/>
        <w:left w:val="none" w:sz="0" w:space="0" w:color="auto"/>
        <w:bottom w:val="none" w:sz="0" w:space="0" w:color="auto"/>
        <w:right w:val="none" w:sz="0" w:space="0" w:color="auto"/>
      </w:divBdr>
    </w:div>
    <w:div w:id="776801499">
      <w:bodyDiv w:val="1"/>
      <w:marLeft w:val="0"/>
      <w:marRight w:val="0"/>
      <w:marTop w:val="0"/>
      <w:marBottom w:val="0"/>
      <w:divBdr>
        <w:top w:val="none" w:sz="0" w:space="0" w:color="auto"/>
        <w:left w:val="none" w:sz="0" w:space="0" w:color="auto"/>
        <w:bottom w:val="none" w:sz="0" w:space="0" w:color="auto"/>
        <w:right w:val="none" w:sz="0" w:space="0" w:color="auto"/>
      </w:divBdr>
    </w:div>
    <w:div w:id="777525591">
      <w:bodyDiv w:val="1"/>
      <w:marLeft w:val="0"/>
      <w:marRight w:val="0"/>
      <w:marTop w:val="0"/>
      <w:marBottom w:val="0"/>
      <w:divBdr>
        <w:top w:val="none" w:sz="0" w:space="0" w:color="auto"/>
        <w:left w:val="none" w:sz="0" w:space="0" w:color="auto"/>
        <w:bottom w:val="none" w:sz="0" w:space="0" w:color="auto"/>
        <w:right w:val="none" w:sz="0" w:space="0" w:color="auto"/>
      </w:divBdr>
    </w:div>
    <w:div w:id="790050497">
      <w:bodyDiv w:val="1"/>
      <w:marLeft w:val="0"/>
      <w:marRight w:val="0"/>
      <w:marTop w:val="0"/>
      <w:marBottom w:val="0"/>
      <w:divBdr>
        <w:top w:val="none" w:sz="0" w:space="0" w:color="auto"/>
        <w:left w:val="none" w:sz="0" w:space="0" w:color="auto"/>
        <w:bottom w:val="none" w:sz="0" w:space="0" w:color="auto"/>
        <w:right w:val="none" w:sz="0" w:space="0" w:color="auto"/>
      </w:divBdr>
    </w:div>
    <w:div w:id="793598158">
      <w:bodyDiv w:val="1"/>
      <w:marLeft w:val="0"/>
      <w:marRight w:val="0"/>
      <w:marTop w:val="0"/>
      <w:marBottom w:val="0"/>
      <w:divBdr>
        <w:top w:val="none" w:sz="0" w:space="0" w:color="auto"/>
        <w:left w:val="none" w:sz="0" w:space="0" w:color="auto"/>
        <w:bottom w:val="none" w:sz="0" w:space="0" w:color="auto"/>
        <w:right w:val="none" w:sz="0" w:space="0" w:color="auto"/>
      </w:divBdr>
    </w:div>
    <w:div w:id="798063806">
      <w:bodyDiv w:val="1"/>
      <w:marLeft w:val="0"/>
      <w:marRight w:val="0"/>
      <w:marTop w:val="0"/>
      <w:marBottom w:val="0"/>
      <w:divBdr>
        <w:top w:val="none" w:sz="0" w:space="0" w:color="auto"/>
        <w:left w:val="none" w:sz="0" w:space="0" w:color="auto"/>
        <w:bottom w:val="none" w:sz="0" w:space="0" w:color="auto"/>
        <w:right w:val="none" w:sz="0" w:space="0" w:color="auto"/>
      </w:divBdr>
    </w:div>
    <w:div w:id="810634638">
      <w:bodyDiv w:val="1"/>
      <w:marLeft w:val="0"/>
      <w:marRight w:val="0"/>
      <w:marTop w:val="0"/>
      <w:marBottom w:val="0"/>
      <w:divBdr>
        <w:top w:val="none" w:sz="0" w:space="0" w:color="auto"/>
        <w:left w:val="none" w:sz="0" w:space="0" w:color="auto"/>
        <w:bottom w:val="none" w:sz="0" w:space="0" w:color="auto"/>
        <w:right w:val="none" w:sz="0" w:space="0" w:color="auto"/>
      </w:divBdr>
    </w:div>
    <w:div w:id="811798754">
      <w:bodyDiv w:val="1"/>
      <w:marLeft w:val="0"/>
      <w:marRight w:val="0"/>
      <w:marTop w:val="0"/>
      <w:marBottom w:val="0"/>
      <w:divBdr>
        <w:top w:val="none" w:sz="0" w:space="0" w:color="auto"/>
        <w:left w:val="none" w:sz="0" w:space="0" w:color="auto"/>
        <w:bottom w:val="none" w:sz="0" w:space="0" w:color="auto"/>
        <w:right w:val="none" w:sz="0" w:space="0" w:color="auto"/>
      </w:divBdr>
    </w:div>
    <w:div w:id="827793782">
      <w:bodyDiv w:val="1"/>
      <w:marLeft w:val="0"/>
      <w:marRight w:val="0"/>
      <w:marTop w:val="0"/>
      <w:marBottom w:val="0"/>
      <w:divBdr>
        <w:top w:val="none" w:sz="0" w:space="0" w:color="auto"/>
        <w:left w:val="none" w:sz="0" w:space="0" w:color="auto"/>
        <w:bottom w:val="none" w:sz="0" w:space="0" w:color="auto"/>
        <w:right w:val="none" w:sz="0" w:space="0" w:color="auto"/>
      </w:divBdr>
    </w:div>
    <w:div w:id="839657812">
      <w:bodyDiv w:val="1"/>
      <w:marLeft w:val="0"/>
      <w:marRight w:val="0"/>
      <w:marTop w:val="0"/>
      <w:marBottom w:val="0"/>
      <w:divBdr>
        <w:top w:val="none" w:sz="0" w:space="0" w:color="auto"/>
        <w:left w:val="none" w:sz="0" w:space="0" w:color="auto"/>
        <w:bottom w:val="none" w:sz="0" w:space="0" w:color="auto"/>
        <w:right w:val="none" w:sz="0" w:space="0" w:color="auto"/>
      </w:divBdr>
    </w:div>
    <w:div w:id="840193406">
      <w:bodyDiv w:val="1"/>
      <w:marLeft w:val="0"/>
      <w:marRight w:val="0"/>
      <w:marTop w:val="0"/>
      <w:marBottom w:val="0"/>
      <w:divBdr>
        <w:top w:val="none" w:sz="0" w:space="0" w:color="auto"/>
        <w:left w:val="none" w:sz="0" w:space="0" w:color="auto"/>
        <w:bottom w:val="none" w:sz="0" w:space="0" w:color="auto"/>
        <w:right w:val="none" w:sz="0" w:space="0" w:color="auto"/>
      </w:divBdr>
    </w:div>
    <w:div w:id="893394641">
      <w:bodyDiv w:val="1"/>
      <w:marLeft w:val="0"/>
      <w:marRight w:val="0"/>
      <w:marTop w:val="0"/>
      <w:marBottom w:val="0"/>
      <w:divBdr>
        <w:top w:val="none" w:sz="0" w:space="0" w:color="auto"/>
        <w:left w:val="none" w:sz="0" w:space="0" w:color="auto"/>
        <w:bottom w:val="none" w:sz="0" w:space="0" w:color="auto"/>
        <w:right w:val="none" w:sz="0" w:space="0" w:color="auto"/>
      </w:divBdr>
    </w:div>
    <w:div w:id="912276715">
      <w:bodyDiv w:val="1"/>
      <w:marLeft w:val="0"/>
      <w:marRight w:val="0"/>
      <w:marTop w:val="0"/>
      <w:marBottom w:val="0"/>
      <w:divBdr>
        <w:top w:val="none" w:sz="0" w:space="0" w:color="auto"/>
        <w:left w:val="none" w:sz="0" w:space="0" w:color="auto"/>
        <w:bottom w:val="none" w:sz="0" w:space="0" w:color="auto"/>
        <w:right w:val="none" w:sz="0" w:space="0" w:color="auto"/>
      </w:divBdr>
    </w:div>
    <w:div w:id="920024003">
      <w:bodyDiv w:val="1"/>
      <w:marLeft w:val="0"/>
      <w:marRight w:val="0"/>
      <w:marTop w:val="0"/>
      <w:marBottom w:val="0"/>
      <w:divBdr>
        <w:top w:val="none" w:sz="0" w:space="0" w:color="auto"/>
        <w:left w:val="none" w:sz="0" w:space="0" w:color="auto"/>
        <w:bottom w:val="none" w:sz="0" w:space="0" w:color="auto"/>
        <w:right w:val="none" w:sz="0" w:space="0" w:color="auto"/>
      </w:divBdr>
    </w:div>
    <w:div w:id="926382199">
      <w:bodyDiv w:val="1"/>
      <w:marLeft w:val="0"/>
      <w:marRight w:val="0"/>
      <w:marTop w:val="0"/>
      <w:marBottom w:val="0"/>
      <w:divBdr>
        <w:top w:val="none" w:sz="0" w:space="0" w:color="auto"/>
        <w:left w:val="none" w:sz="0" w:space="0" w:color="auto"/>
        <w:bottom w:val="none" w:sz="0" w:space="0" w:color="auto"/>
        <w:right w:val="none" w:sz="0" w:space="0" w:color="auto"/>
      </w:divBdr>
    </w:div>
    <w:div w:id="935014370">
      <w:bodyDiv w:val="1"/>
      <w:marLeft w:val="0"/>
      <w:marRight w:val="0"/>
      <w:marTop w:val="0"/>
      <w:marBottom w:val="0"/>
      <w:divBdr>
        <w:top w:val="none" w:sz="0" w:space="0" w:color="auto"/>
        <w:left w:val="none" w:sz="0" w:space="0" w:color="auto"/>
        <w:bottom w:val="none" w:sz="0" w:space="0" w:color="auto"/>
        <w:right w:val="none" w:sz="0" w:space="0" w:color="auto"/>
      </w:divBdr>
    </w:div>
    <w:div w:id="972980157">
      <w:bodyDiv w:val="1"/>
      <w:marLeft w:val="0"/>
      <w:marRight w:val="0"/>
      <w:marTop w:val="0"/>
      <w:marBottom w:val="0"/>
      <w:divBdr>
        <w:top w:val="none" w:sz="0" w:space="0" w:color="auto"/>
        <w:left w:val="none" w:sz="0" w:space="0" w:color="auto"/>
        <w:bottom w:val="none" w:sz="0" w:space="0" w:color="auto"/>
        <w:right w:val="none" w:sz="0" w:space="0" w:color="auto"/>
      </w:divBdr>
    </w:div>
    <w:div w:id="977151610">
      <w:bodyDiv w:val="1"/>
      <w:marLeft w:val="0"/>
      <w:marRight w:val="0"/>
      <w:marTop w:val="0"/>
      <w:marBottom w:val="0"/>
      <w:divBdr>
        <w:top w:val="none" w:sz="0" w:space="0" w:color="auto"/>
        <w:left w:val="none" w:sz="0" w:space="0" w:color="auto"/>
        <w:bottom w:val="none" w:sz="0" w:space="0" w:color="auto"/>
        <w:right w:val="none" w:sz="0" w:space="0" w:color="auto"/>
      </w:divBdr>
    </w:div>
    <w:div w:id="979386874">
      <w:bodyDiv w:val="1"/>
      <w:marLeft w:val="0"/>
      <w:marRight w:val="0"/>
      <w:marTop w:val="0"/>
      <w:marBottom w:val="0"/>
      <w:divBdr>
        <w:top w:val="none" w:sz="0" w:space="0" w:color="auto"/>
        <w:left w:val="none" w:sz="0" w:space="0" w:color="auto"/>
        <w:bottom w:val="none" w:sz="0" w:space="0" w:color="auto"/>
        <w:right w:val="none" w:sz="0" w:space="0" w:color="auto"/>
      </w:divBdr>
    </w:div>
    <w:div w:id="1005061298">
      <w:bodyDiv w:val="1"/>
      <w:marLeft w:val="0"/>
      <w:marRight w:val="0"/>
      <w:marTop w:val="0"/>
      <w:marBottom w:val="0"/>
      <w:divBdr>
        <w:top w:val="none" w:sz="0" w:space="0" w:color="auto"/>
        <w:left w:val="none" w:sz="0" w:space="0" w:color="auto"/>
        <w:bottom w:val="none" w:sz="0" w:space="0" w:color="auto"/>
        <w:right w:val="none" w:sz="0" w:space="0" w:color="auto"/>
      </w:divBdr>
    </w:div>
    <w:div w:id="1019505859">
      <w:bodyDiv w:val="1"/>
      <w:marLeft w:val="0"/>
      <w:marRight w:val="0"/>
      <w:marTop w:val="0"/>
      <w:marBottom w:val="0"/>
      <w:divBdr>
        <w:top w:val="none" w:sz="0" w:space="0" w:color="auto"/>
        <w:left w:val="none" w:sz="0" w:space="0" w:color="auto"/>
        <w:bottom w:val="none" w:sz="0" w:space="0" w:color="auto"/>
        <w:right w:val="none" w:sz="0" w:space="0" w:color="auto"/>
      </w:divBdr>
    </w:div>
    <w:div w:id="1022365873">
      <w:bodyDiv w:val="1"/>
      <w:marLeft w:val="0"/>
      <w:marRight w:val="0"/>
      <w:marTop w:val="0"/>
      <w:marBottom w:val="0"/>
      <w:divBdr>
        <w:top w:val="none" w:sz="0" w:space="0" w:color="auto"/>
        <w:left w:val="none" w:sz="0" w:space="0" w:color="auto"/>
        <w:bottom w:val="none" w:sz="0" w:space="0" w:color="auto"/>
        <w:right w:val="none" w:sz="0" w:space="0" w:color="auto"/>
      </w:divBdr>
    </w:div>
    <w:div w:id="1050150451">
      <w:bodyDiv w:val="1"/>
      <w:marLeft w:val="0"/>
      <w:marRight w:val="0"/>
      <w:marTop w:val="0"/>
      <w:marBottom w:val="0"/>
      <w:divBdr>
        <w:top w:val="none" w:sz="0" w:space="0" w:color="auto"/>
        <w:left w:val="none" w:sz="0" w:space="0" w:color="auto"/>
        <w:bottom w:val="none" w:sz="0" w:space="0" w:color="auto"/>
        <w:right w:val="none" w:sz="0" w:space="0" w:color="auto"/>
      </w:divBdr>
    </w:div>
    <w:div w:id="1052929058">
      <w:bodyDiv w:val="1"/>
      <w:marLeft w:val="0"/>
      <w:marRight w:val="0"/>
      <w:marTop w:val="0"/>
      <w:marBottom w:val="0"/>
      <w:divBdr>
        <w:top w:val="none" w:sz="0" w:space="0" w:color="auto"/>
        <w:left w:val="none" w:sz="0" w:space="0" w:color="auto"/>
        <w:bottom w:val="none" w:sz="0" w:space="0" w:color="auto"/>
        <w:right w:val="none" w:sz="0" w:space="0" w:color="auto"/>
      </w:divBdr>
    </w:div>
    <w:div w:id="1056856172">
      <w:bodyDiv w:val="1"/>
      <w:marLeft w:val="0"/>
      <w:marRight w:val="0"/>
      <w:marTop w:val="0"/>
      <w:marBottom w:val="0"/>
      <w:divBdr>
        <w:top w:val="none" w:sz="0" w:space="0" w:color="auto"/>
        <w:left w:val="none" w:sz="0" w:space="0" w:color="auto"/>
        <w:bottom w:val="none" w:sz="0" w:space="0" w:color="auto"/>
        <w:right w:val="none" w:sz="0" w:space="0" w:color="auto"/>
      </w:divBdr>
    </w:div>
    <w:div w:id="1070077833">
      <w:bodyDiv w:val="1"/>
      <w:marLeft w:val="0"/>
      <w:marRight w:val="0"/>
      <w:marTop w:val="0"/>
      <w:marBottom w:val="0"/>
      <w:divBdr>
        <w:top w:val="none" w:sz="0" w:space="0" w:color="auto"/>
        <w:left w:val="none" w:sz="0" w:space="0" w:color="auto"/>
        <w:bottom w:val="none" w:sz="0" w:space="0" w:color="auto"/>
        <w:right w:val="none" w:sz="0" w:space="0" w:color="auto"/>
      </w:divBdr>
    </w:div>
    <w:div w:id="1075470550">
      <w:bodyDiv w:val="1"/>
      <w:marLeft w:val="0"/>
      <w:marRight w:val="0"/>
      <w:marTop w:val="0"/>
      <w:marBottom w:val="0"/>
      <w:divBdr>
        <w:top w:val="none" w:sz="0" w:space="0" w:color="auto"/>
        <w:left w:val="none" w:sz="0" w:space="0" w:color="auto"/>
        <w:bottom w:val="none" w:sz="0" w:space="0" w:color="auto"/>
        <w:right w:val="none" w:sz="0" w:space="0" w:color="auto"/>
      </w:divBdr>
    </w:div>
    <w:div w:id="1083914595">
      <w:bodyDiv w:val="1"/>
      <w:marLeft w:val="0"/>
      <w:marRight w:val="0"/>
      <w:marTop w:val="0"/>
      <w:marBottom w:val="0"/>
      <w:divBdr>
        <w:top w:val="none" w:sz="0" w:space="0" w:color="auto"/>
        <w:left w:val="none" w:sz="0" w:space="0" w:color="auto"/>
        <w:bottom w:val="none" w:sz="0" w:space="0" w:color="auto"/>
        <w:right w:val="none" w:sz="0" w:space="0" w:color="auto"/>
      </w:divBdr>
    </w:div>
    <w:div w:id="1118255503">
      <w:bodyDiv w:val="1"/>
      <w:marLeft w:val="0"/>
      <w:marRight w:val="0"/>
      <w:marTop w:val="0"/>
      <w:marBottom w:val="0"/>
      <w:divBdr>
        <w:top w:val="none" w:sz="0" w:space="0" w:color="auto"/>
        <w:left w:val="none" w:sz="0" w:space="0" w:color="auto"/>
        <w:bottom w:val="none" w:sz="0" w:space="0" w:color="auto"/>
        <w:right w:val="none" w:sz="0" w:space="0" w:color="auto"/>
      </w:divBdr>
    </w:div>
    <w:div w:id="1123227749">
      <w:bodyDiv w:val="1"/>
      <w:marLeft w:val="0"/>
      <w:marRight w:val="0"/>
      <w:marTop w:val="0"/>
      <w:marBottom w:val="0"/>
      <w:divBdr>
        <w:top w:val="none" w:sz="0" w:space="0" w:color="auto"/>
        <w:left w:val="none" w:sz="0" w:space="0" w:color="auto"/>
        <w:bottom w:val="none" w:sz="0" w:space="0" w:color="auto"/>
        <w:right w:val="none" w:sz="0" w:space="0" w:color="auto"/>
      </w:divBdr>
    </w:div>
    <w:div w:id="1168524088">
      <w:bodyDiv w:val="1"/>
      <w:marLeft w:val="0"/>
      <w:marRight w:val="0"/>
      <w:marTop w:val="0"/>
      <w:marBottom w:val="0"/>
      <w:divBdr>
        <w:top w:val="none" w:sz="0" w:space="0" w:color="auto"/>
        <w:left w:val="none" w:sz="0" w:space="0" w:color="auto"/>
        <w:bottom w:val="none" w:sz="0" w:space="0" w:color="auto"/>
        <w:right w:val="none" w:sz="0" w:space="0" w:color="auto"/>
      </w:divBdr>
    </w:div>
    <w:div w:id="1170604621">
      <w:bodyDiv w:val="1"/>
      <w:marLeft w:val="0"/>
      <w:marRight w:val="0"/>
      <w:marTop w:val="0"/>
      <w:marBottom w:val="0"/>
      <w:divBdr>
        <w:top w:val="none" w:sz="0" w:space="0" w:color="auto"/>
        <w:left w:val="none" w:sz="0" w:space="0" w:color="auto"/>
        <w:bottom w:val="none" w:sz="0" w:space="0" w:color="auto"/>
        <w:right w:val="none" w:sz="0" w:space="0" w:color="auto"/>
      </w:divBdr>
    </w:div>
    <w:div w:id="1182163893">
      <w:bodyDiv w:val="1"/>
      <w:marLeft w:val="0"/>
      <w:marRight w:val="0"/>
      <w:marTop w:val="0"/>
      <w:marBottom w:val="0"/>
      <w:divBdr>
        <w:top w:val="none" w:sz="0" w:space="0" w:color="auto"/>
        <w:left w:val="none" w:sz="0" w:space="0" w:color="auto"/>
        <w:bottom w:val="none" w:sz="0" w:space="0" w:color="auto"/>
        <w:right w:val="none" w:sz="0" w:space="0" w:color="auto"/>
      </w:divBdr>
    </w:div>
    <w:div w:id="1196041144">
      <w:bodyDiv w:val="1"/>
      <w:marLeft w:val="0"/>
      <w:marRight w:val="0"/>
      <w:marTop w:val="0"/>
      <w:marBottom w:val="0"/>
      <w:divBdr>
        <w:top w:val="none" w:sz="0" w:space="0" w:color="auto"/>
        <w:left w:val="none" w:sz="0" w:space="0" w:color="auto"/>
        <w:bottom w:val="none" w:sz="0" w:space="0" w:color="auto"/>
        <w:right w:val="none" w:sz="0" w:space="0" w:color="auto"/>
      </w:divBdr>
    </w:div>
    <w:div w:id="1239706064">
      <w:bodyDiv w:val="1"/>
      <w:marLeft w:val="0"/>
      <w:marRight w:val="0"/>
      <w:marTop w:val="0"/>
      <w:marBottom w:val="0"/>
      <w:divBdr>
        <w:top w:val="none" w:sz="0" w:space="0" w:color="auto"/>
        <w:left w:val="none" w:sz="0" w:space="0" w:color="auto"/>
        <w:bottom w:val="none" w:sz="0" w:space="0" w:color="auto"/>
        <w:right w:val="none" w:sz="0" w:space="0" w:color="auto"/>
      </w:divBdr>
    </w:div>
    <w:div w:id="1248269534">
      <w:bodyDiv w:val="1"/>
      <w:marLeft w:val="0"/>
      <w:marRight w:val="0"/>
      <w:marTop w:val="0"/>
      <w:marBottom w:val="0"/>
      <w:divBdr>
        <w:top w:val="none" w:sz="0" w:space="0" w:color="auto"/>
        <w:left w:val="none" w:sz="0" w:space="0" w:color="auto"/>
        <w:bottom w:val="none" w:sz="0" w:space="0" w:color="auto"/>
        <w:right w:val="none" w:sz="0" w:space="0" w:color="auto"/>
      </w:divBdr>
    </w:div>
    <w:div w:id="1255675768">
      <w:bodyDiv w:val="1"/>
      <w:marLeft w:val="0"/>
      <w:marRight w:val="0"/>
      <w:marTop w:val="0"/>
      <w:marBottom w:val="0"/>
      <w:divBdr>
        <w:top w:val="none" w:sz="0" w:space="0" w:color="auto"/>
        <w:left w:val="none" w:sz="0" w:space="0" w:color="auto"/>
        <w:bottom w:val="none" w:sz="0" w:space="0" w:color="auto"/>
        <w:right w:val="none" w:sz="0" w:space="0" w:color="auto"/>
      </w:divBdr>
    </w:div>
    <w:div w:id="1264070862">
      <w:bodyDiv w:val="1"/>
      <w:marLeft w:val="0"/>
      <w:marRight w:val="0"/>
      <w:marTop w:val="0"/>
      <w:marBottom w:val="0"/>
      <w:divBdr>
        <w:top w:val="none" w:sz="0" w:space="0" w:color="auto"/>
        <w:left w:val="none" w:sz="0" w:space="0" w:color="auto"/>
        <w:bottom w:val="none" w:sz="0" w:space="0" w:color="auto"/>
        <w:right w:val="none" w:sz="0" w:space="0" w:color="auto"/>
      </w:divBdr>
    </w:div>
    <w:div w:id="1270547469">
      <w:bodyDiv w:val="1"/>
      <w:marLeft w:val="0"/>
      <w:marRight w:val="0"/>
      <w:marTop w:val="0"/>
      <w:marBottom w:val="0"/>
      <w:divBdr>
        <w:top w:val="none" w:sz="0" w:space="0" w:color="auto"/>
        <w:left w:val="none" w:sz="0" w:space="0" w:color="auto"/>
        <w:bottom w:val="none" w:sz="0" w:space="0" w:color="auto"/>
        <w:right w:val="none" w:sz="0" w:space="0" w:color="auto"/>
      </w:divBdr>
    </w:div>
    <w:div w:id="1270550537">
      <w:bodyDiv w:val="1"/>
      <w:marLeft w:val="0"/>
      <w:marRight w:val="0"/>
      <w:marTop w:val="0"/>
      <w:marBottom w:val="0"/>
      <w:divBdr>
        <w:top w:val="none" w:sz="0" w:space="0" w:color="auto"/>
        <w:left w:val="none" w:sz="0" w:space="0" w:color="auto"/>
        <w:bottom w:val="none" w:sz="0" w:space="0" w:color="auto"/>
        <w:right w:val="none" w:sz="0" w:space="0" w:color="auto"/>
      </w:divBdr>
    </w:div>
    <w:div w:id="1273172762">
      <w:bodyDiv w:val="1"/>
      <w:marLeft w:val="0"/>
      <w:marRight w:val="0"/>
      <w:marTop w:val="0"/>
      <w:marBottom w:val="0"/>
      <w:divBdr>
        <w:top w:val="none" w:sz="0" w:space="0" w:color="auto"/>
        <w:left w:val="none" w:sz="0" w:space="0" w:color="auto"/>
        <w:bottom w:val="none" w:sz="0" w:space="0" w:color="auto"/>
        <w:right w:val="none" w:sz="0" w:space="0" w:color="auto"/>
      </w:divBdr>
    </w:div>
    <w:div w:id="1280645844">
      <w:bodyDiv w:val="1"/>
      <w:marLeft w:val="0"/>
      <w:marRight w:val="0"/>
      <w:marTop w:val="0"/>
      <w:marBottom w:val="0"/>
      <w:divBdr>
        <w:top w:val="none" w:sz="0" w:space="0" w:color="auto"/>
        <w:left w:val="none" w:sz="0" w:space="0" w:color="auto"/>
        <w:bottom w:val="none" w:sz="0" w:space="0" w:color="auto"/>
        <w:right w:val="none" w:sz="0" w:space="0" w:color="auto"/>
      </w:divBdr>
    </w:div>
    <w:div w:id="1286085185">
      <w:bodyDiv w:val="1"/>
      <w:marLeft w:val="0"/>
      <w:marRight w:val="0"/>
      <w:marTop w:val="0"/>
      <w:marBottom w:val="0"/>
      <w:divBdr>
        <w:top w:val="none" w:sz="0" w:space="0" w:color="auto"/>
        <w:left w:val="none" w:sz="0" w:space="0" w:color="auto"/>
        <w:bottom w:val="none" w:sz="0" w:space="0" w:color="auto"/>
        <w:right w:val="none" w:sz="0" w:space="0" w:color="auto"/>
      </w:divBdr>
    </w:div>
    <w:div w:id="1308046616">
      <w:bodyDiv w:val="1"/>
      <w:marLeft w:val="0"/>
      <w:marRight w:val="0"/>
      <w:marTop w:val="0"/>
      <w:marBottom w:val="0"/>
      <w:divBdr>
        <w:top w:val="none" w:sz="0" w:space="0" w:color="auto"/>
        <w:left w:val="none" w:sz="0" w:space="0" w:color="auto"/>
        <w:bottom w:val="none" w:sz="0" w:space="0" w:color="auto"/>
        <w:right w:val="none" w:sz="0" w:space="0" w:color="auto"/>
      </w:divBdr>
    </w:div>
    <w:div w:id="1314875932">
      <w:bodyDiv w:val="1"/>
      <w:marLeft w:val="0"/>
      <w:marRight w:val="0"/>
      <w:marTop w:val="0"/>
      <w:marBottom w:val="0"/>
      <w:divBdr>
        <w:top w:val="none" w:sz="0" w:space="0" w:color="auto"/>
        <w:left w:val="none" w:sz="0" w:space="0" w:color="auto"/>
        <w:bottom w:val="none" w:sz="0" w:space="0" w:color="auto"/>
        <w:right w:val="none" w:sz="0" w:space="0" w:color="auto"/>
      </w:divBdr>
    </w:div>
    <w:div w:id="1318218394">
      <w:bodyDiv w:val="1"/>
      <w:marLeft w:val="0"/>
      <w:marRight w:val="0"/>
      <w:marTop w:val="0"/>
      <w:marBottom w:val="0"/>
      <w:divBdr>
        <w:top w:val="none" w:sz="0" w:space="0" w:color="auto"/>
        <w:left w:val="none" w:sz="0" w:space="0" w:color="auto"/>
        <w:bottom w:val="none" w:sz="0" w:space="0" w:color="auto"/>
        <w:right w:val="none" w:sz="0" w:space="0" w:color="auto"/>
      </w:divBdr>
    </w:div>
    <w:div w:id="1321033900">
      <w:bodyDiv w:val="1"/>
      <w:marLeft w:val="0"/>
      <w:marRight w:val="0"/>
      <w:marTop w:val="0"/>
      <w:marBottom w:val="0"/>
      <w:divBdr>
        <w:top w:val="none" w:sz="0" w:space="0" w:color="auto"/>
        <w:left w:val="none" w:sz="0" w:space="0" w:color="auto"/>
        <w:bottom w:val="none" w:sz="0" w:space="0" w:color="auto"/>
        <w:right w:val="none" w:sz="0" w:space="0" w:color="auto"/>
      </w:divBdr>
    </w:div>
    <w:div w:id="1331522752">
      <w:bodyDiv w:val="1"/>
      <w:marLeft w:val="0"/>
      <w:marRight w:val="0"/>
      <w:marTop w:val="0"/>
      <w:marBottom w:val="0"/>
      <w:divBdr>
        <w:top w:val="none" w:sz="0" w:space="0" w:color="auto"/>
        <w:left w:val="none" w:sz="0" w:space="0" w:color="auto"/>
        <w:bottom w:val="none" w:sz="0" w:space="0" w:color="auto"/>
        <w:right w:val="none" w:sz="0" w:space="0" w:color="auto"/>
      </w:divBdr>
    </w:div>
    <w:div w:id="1347055743">
      <w:bodyDiv w:val="1"/>
      <w:marLeft w:val="0"/>
      <w:marRight w:val="0"/>
      <w:marTop w:val="0"/>
      <w:marBottom w:val="0"/>
      <w:divBdr>
        <w:top w:val="none" w:sz="0" w:space="0" w:color="auto"/>
        <w:left w:val="none" w:sz="0" w:space="0" w:color="auto"/>
        <w:bottom w:val="none" w:sz="0" w:space="0" w:color="auto"/>
        <w:right w:val="none" w:sz="0" w:space="0" w:color="auto"/>
      </w:divBdr>
    </w:div>
    <w:div w:id="1350907161">
      <w:bodyDiv w:val="1"/>
      <w:marLeft w:val="0"/>
      <w:marRight w:val="0"/>
      <w:marTop w:val="0"/>
      <w:marBottom w:val="0"/>
      <w:divBdr>
        <w:top w:val="none" w:sz="0" w:space="0" w:color="auto"/>
        <w:left w:val="none" w:sz="0" w:space="0" w:color="auto"/>
        <w:bottom w:val="none" w:sz="0" w:space="0" w:color="auto"/>
        <w:right w:val="none" w:sz="0" w:space="0" w:color="auto"/>
      </w:divBdr>
    </w:div>
    <w:div w:id="1361054440">
      <w:bodyDiv w:val="1"/>
      <w:marLeft w:val="0"/>
      <w:marRight w:val="0"/>
      <w:marTop w:val="0"/>
      <w:marBottom w:val="0"/>
      <w:divBdr>
        <w:top w:val="none" w:sz="0" w:space="0" w:color="auto"/>
        <w:left w:val="none" w:sz="0" w:space="0" w:color="auto"/>
        <w:bottom w:val="none" w:sz="0" w:space="0" w:color="auto"/>
        <w:right w:val="none" w:sz="0" w:space="0" w:color="auto"/>
      </w:divBdr>
    </w:div>
    <w:div w:id="1365670264">
      <w:bodyDiv w:val="1"/>
      <w:marLeft w:val="0"/>
      <w:marRight w:val="0"/>
      <w:marTop w:val="0"/>
      <w:marBottom w:val="0"/>
      <w:divBdr>
        <w:top w:val="none" w:sz="0" w:space="0" w:color="auto"/>
        <w:left w:val="none" w:sz="0" w:space="0" w:color="auto"/>
        <w:bottom w:val="none" w:sz="0" w:space="0" w:color="auto"/>
        <w:right w:val="none" w:sz="0" w:space="0" w:color="auto"/>
      </w:divBdr>
    </w:div>
    <w:div w:id="1378360858">
      <w:bodyDiv w:val="1"/>
      <w:marLeft w:val="0"/>
      <w:marRight w:val="0"/>
      <w:marTop w:val="0"/>
      <w:marBottom w:val="0"/>
      <w:divBdr>
        <w:top w:val="none" w:sz="0" w:space="0" w:color="auto"/>
        <w:left w:val="none" w:sz="0" w:space="0" w:color="auto"/>
        <w:bottom w:val="none" w:sz="0" w:space="0" w:color="auto"/>
        <w:right w:val="none" w:sz="0" w:space="0" w:color="auto"/>
      </w:divBdr>
    </w:div>
    <w:div w:id="1391536896">
      <w:bodyDiv w:val="1"/>
      <w:marLeft w:val="0"/>
      <w:marRight w:val="0"/>
      <w:marTop w:val="0"/>
      <w:marBottom w:val="0"/>
      <w:divBdr>
        <w:top w:val="none" w:sz="0" w:space="0" w:color="auto"/>
        <w:left w:val="none" w:sz="0" w:space="0" w:color="auto"/>
        <w:bottom w:val="none" w:sz="0" w:space="0" w:color="auto"/>
        <w:right w:val="none" w:sz="0" w:space="0" w:color="auto"/>
      </w:divBdr>
    </w:div>
    <w:div w:id="1396465034">
      <w:bodyDiv w:val="1"/>
      <w:marLeft w:val="0"/>
      <w:marRight w:val="0"/>
      <w:marTop w:val="0"/>
      <w:marBottom w:val="0"/>
      <w:divBdr>
        <w:top w:val="none" w:sz="0" w:space="0" w:color="auto"/>
        <w:left w:val="none" w:sz="0" w:space="0" w:color="auto"/>
        <w:bottom w:val="none" w:sz="0" w:space="0" w:color="auto"/>
        <w:right w:val="none" w:sz="0" w:space="0" w:color="auto"/>
      </w:divBdr>
    </w:div>
    <w:div w:id="1396585939">
      <w:bodyDiv w:val="1"/>
      <w:marLeft w:val="0"/>
      <w:marRight w:val="0"/>
      <w:marTop w:val="0"/>
      <w:marBottom w:val="0"/>
      <w:divBdr>
        <w:top w:val="none" w:sz="0" w:space="0" w:color="auto"/>
        <w:left w:val="none" w:sz="0" w:space="0" w:color="auto"/>
        <w:bottom w:val="none" w:sz="0" w:space="0" w:color="auto"/>
        <w:right w:val="none" w:sz="0" w:space="0" w:color="auto"/>
      </w:divBdr>
    </w:div>
    <w:div w:id="1397625909">
      <w:bodyDiv w:val="1"/>
      <w:marLeft w:val="0"/>
      <w:marRight w:val="0"/>
      <w:marTop w:val="0"/>
      <w:marBottom w:val="0"/>
      <w:divBdr>
        <w:top w:val="none" w:sz="0" w:space="0" w:color="auto"/>
        <w:left w:val="none" w:sz="0" w:space="0" w:color="auto"/>
        <w:bottom w:val="none" w:sz="0" w:space="0" w:color="auto"/>
        <w:right w:val="none" w:sz="0" w:space="0" w:color="auto"/>
      </w:divBdr>
    </w:div>
    <w:div w:id="1398673746">
      <w:bodyDiv w:val="1"/>
      <w:marLeft w:val="0"/>
      <w:marRight w:val="0"/>
      <w:marTop w:val="0"/>
      <w:marBottom w:val="0"/>
      <w:divBdr>
        <w:top w:val="none" w:sz="0" w:space="0" w:color="auto"/>
        <w:left w:val="none" w:sz="0" w:space="0" w:color="auto"/>
        <w:bottom w:val="none" w:sz="0" w:space="0" w:color="auto"/>
        <w:right w:val="none" w:sz="0" w:space="0" w:color="auto"/>
      </w:divBdr>
    </w:div>
    <w:div w:id="1429275863">
      <w:bodyDiv w:val="1"/>
      <w:marLeft w:val="0"/>
      <w:marRight w:val="0"/>
      <w:marTop w:val="0"/>
      <w:marBottom w:val="0"/>
      <w:divBdr>
        <w:top w:val="none" w:sz="0" w:space="0" w:color="auto"/>
        <w:left w:val="none" w:sz="0" w:space="0" w:color="auto"/>
        <w:bottom w:val="none" w:sz="0" w:space="0" w:color="auto"/>
        <w:right w:val="none" w:sz="0" w:space="0" w:color="auto"/>
      </w:divBdr>
    </w:div>
    <w:div w:id="1444151610">
      <w:bodyDiv w:val="1"/>
      <w:marLeft w:val="0"/>
      <w:marRight w:val="0"/>
      <w:marTop w:val="0"/>
      <w:marBottom w:val="0"/>
      <w:divBdr>
        <w:top w:val="none" w:sz="0" w:space="0" w:color="auto"/>
        <w:left w:val="none" w:sz="0" w:space="0" w:color="auto"/>
        <w:bottom w:val="none" w:sz="0" w:space="0" w:color="auto"/>
        <w:right w:val="none" w:sz="0" w:space="0" w:color="auto"/>
      </w:divBdr>
    </w:div>
    <w:div w:id="1444692717">
      <w:bodyDiv w:val="1"/>
      <w:marLeft w:val="0"/>
      <w:marRight w:val="0"/>
      <w:marTop w:val="0"/>
      <w:marBottom w:val="0"/>
      <w:divBdr>
        <w:top w:val="none" w:sz="0" w:space="0" w:color="auto"/>
        <w:left w:val="none" w:sz="0" w:space="0" w:color="auto"/>
        <w:bottom w:val="none" w:sz="0" w:space="0" w:color="auto"/>
        <w:right w:val="none" w:sz="0" w:space="0" w:color="auto"/>
      </w:divBdr>
    </w:div>
    <w:div w:id="1451046708">
      <w:bodyDiv w:val="1"/>
      <w:marLeft w:val="0"/>
      <w:marRight w:val="0"/>
      <w:marTop w:val="0"/>
      <w:marBottom w:val="0"/>
      <w:divBdr>
        <w:top w:val="none" w:sz="0" w:space="0" w:color="auto"/>
        <w:left w:val="none" w:sz="0" w:space="0" w:color="auto"/>
        <w:bottom w:val="none" w:sz="0" w:space="0" w:color="auto"/>
        <w:right w:val="none" w:sz="0" w:space="0" w:color="auto"/>
      </w:divBdr>
    </w:div>
    <w:div w:id="1457722294">
      <w:bodyDiv w:val="1"/>
      <w:marLeft w:val="0"/>
      <w:marRight w:val="0"/>
      <w:marTop w:val="0"/>
      <w:marBottom w:val="0"/>
      <w:divBdr>
        <w:top w:val="none" w:sz="0" w:space="0" w:color="auto"/>
        <w:left w:val="none" w:sz="0" w:space="0" w:color="auto"/>
        <w:bottom w:val="none" w:sz="0" w:space="0" w:color="auto"/>
        <w:right w:val="none" w:sz="0" w:space="0" w:color="auto"/>
      </w:divBdr>
    </w:div>
    <w:div w:id="1458450050">
      <w:bodyDiv w:val="1"/>
      <w:marLeft w:val="0"/>
      <w:marRight w:val="0"/>
      <w:marTop w:val="0"/>
      <w:marBottom w:val="0"/>
      <w:divBdr>
        <w:top w:val="none" w:sz="0" w:space="0" w:color="auto"/>
        <w:left w:val="none" w:sz="0" w:space="0" w:color="auto"/>
        <w:bottom w:val="none" w:sz="0" w:space="0" w:color="auto"/>
        <w:right w:val="none" w:sz="0" w:space="0" w:color="auto"/>
      </w:divBdr>
    </w:div>
    <w:div w:id="1467238929">
      <w:bodyDiv w:val="1"/>
      <w:marLeft w:val="0"/>
      <w:marRight w:val="0"/>
      <w:marTop w:val="0"/>
      <w:marBottom w:val="0"/>
      <w:divBdr>
        <w:top w:val="none" w:sz="0" w:space="0" w:color="auto"/>
        <w:left w:val="none" w:sz="0" w:space="0" w:color="auto"/>
        <w:bottom w:val="none" w:sz="0" w:space="0" w:color="auto"/>
        <w:right w:val="none" w:sz="0" w:space="0" w:color="auto"/>
      </w:divBdr>
    </w:div>
    <w:div w:id="1467242530">
      <w:bodyDiv w:val="1"/>
      <w:marLeft w:val="0"/>
      <w:marRight w:val="0"/>
      <w:marTop w:val="0"/>
      <w:marBottom w:val="0"/>
      <w:divBdr>
        <w:top w:val="none" w:sz="0" w:space="0" w:color="auto"/>
        <w:left w:val="none" w:sz="0" w:space="0" w:color="auto"/>
        <w:bottom w:val="none" w:sz="0" w:space="0" w:color="auto"/>
        <w:right w:val="none" w:sz="0" w:space="0" w:color="auto"/>
      </w:divBdr>
    </w:div>
    <w:div w:id="1488083991">
      <w:bodyDiv w:val="1"/>
      <w:marLeft w:val="0"/>
      <w:marRight w:val="0"/>
      <w:marTop w:val="0"/>
      <w:marBottom w:val="0"/>
      <w:divBdr>
        <w:top w:val="none" w:sz="0" w:space="0" w:color="auto"/>
        <w:left w:val="none" w:sz="0" w:space="0" w:color="auto"/>
        <w:bottom w:val="none" w:sz="0" w:space="0" w:color="auto"/>
        <w:right w:val="none" w:sz="0" w:space="0" w:color="auto"/>
      </w:divBdr>
    </w:div>
    <w:div w:id="1490947486">
      <w:bodyDiv w:val="1"/>
      <w:marLeft w:val="0"/>
      <w:marRight w:val="0"/>
      <w:marTop w:val="0"/>
      <w:marBottom w:val="0"/>
      <w:divBdr>
        <w:top w:val="none" w:sz="0" w:space="0" w:color="auto"/>
        <w:left w:val="none" w:sz="0" w:space="0" w:color="auto"/>
        <w:bottom w:val="none" w:sz="0" w:space="0" w:color="auto"/>
        <w:right w:val="none" w:sz="0" w:space="0" w:color="auto"/>
      </w:divBdr>
    </w:div>
    <w:div w:id="1496846482">
      <w:bodyDiv w:val="1"/>
      <w:marLeft w:val="0"/>
      <w:marRight w:val="0"/>
      <w:marTop w:val="0"/>
      <w:marBottom w:val="0"/>
      <w:divBdr>
        <w:top w:val="none" w:sz="0" w:space="0" w:color="auto"/>
        <w:left w:val="none" w:sz="0" w:space="0" w:color="auto"/>
        <w:bottom w:val="none" w:sz="0" w:space="0" w:color="auto"/>
        <w:right w:val="none" w:sz="0" w:space="0" w:color="auto"/>
      </w:divBdr>
    </w:div>
    <w:div w:id="1504589054">
      <w:bodyDiv w:val="1"/>
      <w:marLeft w:val="0"/>
      <w:marRight w:val="0"/>
      <w:marTop w:val="0"/>
      <w:marBottom w:val="0"/>
      <w:divBdr>
        <w:top w:val="none" w:sz="0" w:space="0" w:color="auto"/>
        <w:left w:val="none" w:sz="0" w:space="0" w:color="auto"/>
        <w:bottom w:val="none" w:sz="0" w:space="0" w:color="auto"/>
        <w:right w:val="none" w:sz="0" w:space="0" w:color="auto"/>
      </w:divBdr>
    </w:div>
    <w:div w:id="1509558193">
      <w:bodyDiv w:val="1"/>
      <w:marLeft w:val="0"/>
      <w:marRight w:val="0"/>
      <w:marTop w:val="0"/>
      <w:marBottom w:val="0"/>
      <w:divBdr>
        <w:top w:val="none" w:sz="0" w:space="0" w:color="auto"/>
        <w:left w:val="none" w:sz="0" w:space="0" w:color="auto"/>
        <w:bottom w:val="none" w:sz="0" w:space="0" w:color="auto"/>
        <w:right w:val="none" w:sz="0" w:space="0" w:color="auto"/>
      </w:divBdr>
    </w:div>
    <w:div w:id="1516378330">
      <w:bodyDiv w:val="1"/>
      <w:marLeft w:val="0"/>
      <w:marRight w:val="0"/>
      <w:marTop w:val="0"/>
      <w:marBottom w:val="0"/>
      <w:divBdr>
        <w:top w:val="none" w:sz="0" w:space="0" w:color="auto"/>
        <w:left w:val="none" w:sz="0" w:space="0" w:color="auto"/>
        <w:bottom w:val="none" w:sz="0" w:space="0" w:color="auto"/>
        <w:right w:val="none" w:sz="0" w:space="0" w:color="auto"/>
      </w:divBdr>
    </w:div>
    <w:div w:id="1521047865">
      <w:bodyDiv w:val="1"/>
      <w:marLeft w:val="0"/>
      <w:marRight w:val="0"/>
      <w:marTop w:val="0"/>
      <w:marBottom w:val="0"/>
      <w:divBdr>
        <w:top w:val="none" w:sz="0" w:space="0" w:color="auto"/>
        <w:left w:val="none" w:sz="0" w:space="0" w:color="auto"/>
        <w:bottom w:val="none" w:sz="0" w:space="0" w:color="auto"/>
        <w:right w:val="none" w:sz="0" w:space="0" w:color="auto"/>
      </w:divBdr>
    </w:div>
    <w:div w:id="1527207845">
      <w:bodyDiv w:val="1"/>
      <w:marLeft w:val="0"/>
      <w:marRight w:val="0"/>
      <w:marTop w:val="0"/>
      <w:marBottom w:val="0"/>
      <w:divBdr>
        <w:top w:val="none" w:sz="0" w:space="0" w:color="auto"/>
        <w:left w:val="none" w:sz="0" w:space="0" w:color="auto"/>
        <w:bottom w:val="none" w:sz="0" w:space="0" w:color="auto"/>
        <w:right w:val="none" w:sz="0" w:space="0" w:color="auto"/>
      </w:divBdr>
    </w:div>
    <w:div w:id="1535656926">
      <w:bodyDiv w:val="1"/>
      <w:marLeft w:val="0"/>
      <w:marRight w:val="0"/>
      <w:marTop w:val="0"/>
      <w:marBottom w:val="0"/>
      <w:divBdr>
        <w:top w:val="none" w:sz="0" w:space="0" w:color="auto"/>
        <w:left w:val="none" w:sz="0" w:space="0" w:color="auto"/>
        <w:bottom w:val="none" w:sz="0" w:space="0" w:color="auto"/>
        <w:right w:val="none" w:sz="0" w:space="0" w:color="auto"/>
      </w:divBdr>
    </w:div>
    <w:div w:id="1600597539">
      <w:bodyDiv w:val="1"/>
      <w:marLeft w:val="0"/>
      <w:marRight w:val="0"/>
      <w:marTop w:val="0"/>
      <w:marBottom w:val="0"/>
      <w:divBdr>
        <w:top w:val="none" w:sz="0" w:space="0" w:color="auto"/>
        <w:left w:val="none" w:sz="0" w:space="0" w:color="auto"/>
        <w:bottom w:val="none" w:sz="0" w:space="0" w:color="auto"/>
        <w:right w:val="none" w:sz="0" w:space="0" w:color="auto"/>
      </w:divBdr>
    </w:div>
    <w:div w:id="1602910192">
      <w:bodyDiv w:val="1"/>
      <w:marLeft w:val="0"/>
      <w:marRight w:val="0"/>
      <w:marTop w:val="0"/>
      <w:marBottom w:val="0"/>
      <w:divBdr>
        <w:top w:val="none" w:sz="0" w:space="0" w:color="auto"/>
        <w:left w:val="none" w:sz="0" w:space="0" w:color="auto"/>
        <w:bottom w:val="none" w:sz="0" w:space="0" w:color="auto"/>
        <w:right w:val="none" w:sz="0" w:space="0" w:color="auto"/>
      </w:divBdr>
    </w:div>
    <w:div w:id="1609659478">
      <w:bodyDiv w:val="1"/>
      <w:marLeft w:val="0"/>
      <w:marRight w:val="0"/>
      <w:marTop w:val="0"/>
      <w:marBottom w:val="0"/>
      <w:divBdr>
        <w:top w:val="none" w:sz="0" w:space="0" w:color="auto"/>
        <w:left w:val="none" w:sz="0" w:space="0" w:color="auto"/>
        <w:bottom w:val="none" w:sz="0" w:space="0" w:color="auto"/>
        <w:right w:val="none" w:sz="0" w:space="0" w:color="auto"/>
      </w:divBdr>
    </w:div>
    <w:div w:id="1613394213">
      <w:bodyDiv w:val="1"/>
      <w:marLeft w:val="0"/>
      <w:marRight w:val="0"/>
      <w:marTop w:val="0"/>
      <w:marBottom w:val="0"/>
      <w:divBdr>
        <w:top w:val="none" w:sz="0" w:space="0" w:color="auto"/>
        <w:left w:val="none" w:sz="0" w:space="0" w:color="auto"/>
        <w:bottom w:val="none" w:sz="0" w:space="0" w:color="auto"/>
        <w:right w:val="none" w:sz="0" w:space="0" w:color="auto"/>
      </w:divBdr>
    </w:div>
    <w:div w:id="1614820094">
      <w:bodyDiv w:val="1"/>
      <w:marLeft w:val="0"/>
      <w:marRight w:val="0"/>
      <w:marTop w:val="0"/>
      <w:marBottom w:val="0"/>
      <w:divBdr>
        <w:top w:val="none" w:sz="0" w:space="0" w:color="auto"/>
        <w:left w:val="none" w:sz="0" w:space="0" w:color="auto"/>
        <w:bottom w:val="none" w:sz="0" w:space="0" w:color="auto"/>
        <w:right w:val="none" w:sz="0" w:space="0" w:color="auto"/>
      </w:divBdr>
    </w:div>
    <w:div w:id="1619215221">
      <w:bodyDiv w:val="1"/>
      <w:marLeft w:val="0"/>
      <w:marRight w:val="0"/>
      <w:marTop w:val="0"/>
      <w:marBottom w:val="0"/>
      <w:divBdr>
        <w:top w:val="none" w:sz="0" w:space="0" w:color="auto"/>
        <w:left w:val="none" w:sz="0" w:space="0" w:color="auto"/>
        <w:bottom w:val="none" w:sz="0" w:space="0" w:color="auto"/>
        <w:right w:val="none" w:sz="0" w:space="0" w:color="auto"/>
      </w:divBdr>
    </w:div>
    <w:div w:id="1626426438">
      <w:bodyDiv w:val="1"/>
      <w:marLeft w:val="0"/>
      <w:marRight w:val="0"/>
      <w:marTop w:val="0"/>
      <w:marBottom w:val="0"/>
      <w:divBdr>
        <w:top w:val="none" w:sz="0" w:space="0" w:color="auto"/>
        <w:left w:val="none" w:sz="0" w:space="0" w:color="auto"/>
        <w:bottom w:val="none" w:sz="0" w:space="0" w:color="auto"/>
        <w:right w:val="none" w:sz="0" w:space="0" w:color="auto"/>
      </w:divBdr>
    </w:div>
    <w:div w:id="1633629076">
      <w:bodyDiv w:val="1"/>
      <w:marLeft w:val="0"/>
      <w:marRight w:val="0"/>
      <w:marTop w:val="0"/>
      <w:marBottom w:val="0"/>
      <w:divBdr>
        <w:top w:val="none" w:sz="0" w:space="0" w:color="auto"/>
        <w:left w:val="none" w:sz="0" w:space="0" w:color="auto"/>
        <w:bottom w:val="none" w:sz="0" w:space="0" w:color="auto"/>
        <w:right w:val="none" w:sz="0" w:space="0" w:color="auto"/>
      </w:divBdr>
    </w:div>
    <w:div w:id="1634094014">
      <w:bodyDiv w:val="1"/>
      <w:marLeft w:val="0"/>
      <w:marRight w:val="0"/>
      <w:marTop w:val="0"/>
      <w:marBottom w:val="0"/>
      <w:divBdr>
        <w:top w:val="none" w:sz="0" w:space="0" w:color="auto"/>
        <w:left w:val="none" w:sz="0" w:space="0" w:color="auto"/>
        <w:bottom w:val="none" w:sz="0" w:space="0" w:color="auto"/>
        <w:right w:val="none" w:sz="0" w:space="0" w:color="auto"/>
      </w:divBdr>
    </w:div>
    <w:div w:id="1644888169">
      <w:bodyDiv w:val="1"/>
      <w:marLeft w:val="0"/>
      <w:marRight w:val="0"/>
      <w:marTop w:val="0"/>
      <w:marBottom w:val="0"/>
      <w:divBdr>
        <w:top w:val="none" w:sz="0" w:space="0" w:color="auto"/>
        <w:left w:val="none" w:sz="0" w:space="0" w:color="auto"/>
        <w:bottom w:val="none" w:sz="0" w:space="0" w:color="auto"/>
        <w:right w:val="none" w:sz="0" w:space="0" w:color="auto"/>
      </w:divBdr>
    </w:div>
    <w:div w:id="1647928261">
      <w:bodyDiv w:val="1"/>
      <w:marLeft w:val="0"/>
      <w:marRight w:val="0"/>
      <w:marTop w:val="0"/>
      <w:marBottom w:val="0"/>
      <w:divBdr>
        <w:top w:val="none" w:sz="0" w:space="0" w:color="auto"/>
        <w:left w:val="none" w:sz="0" w:space="0" w:color="auto"/>
        <w:bottom w:val="none" w:sz="0" w:space="0" w:color="auto"/>
        <w:right w:val="none" w:sz="0" w:space="0" w:color="auto"/>
      </w:divBdr>
    </w:div>
    <w:div w:id="1652294298">
      <w:bodyDiv w:val="1"/>
      <w:marLeft w:val="0"/>
      <w:marRight w:val="0"/>
      <w:marTop w:val="0"/>
      <w:marBottom w:val="0"/>
      <w:divBdr>
        <w:top w:val="none" w:sz="0" w:space="0" w:color="auto"/>
        <w:left w:val="none" w:sz="0" w:space="0" w:color="auto"/>
        <w:bottom w:val="none" w:sz="0" w:space="0" w:color="auto"/>
        <w:right w:val="none" w:sz="0" w:space="0" w:color="auto"/>
      </w:divBdr>
    </w:div>
    <w:div w:id="1699812652">
      <w:bodyDiv w:val="1"/>
      <w:marLeft w:val="0"/>
      <w:marRight w:val="0"/>
      <w:marTop w:val="0"/>
      <w:marBottom w:val="0"/>
      <w:divBdr>
        <w:top w:val="none" w:sz="0" w:space="0" w:color="auto"/>
        <w:left w:val="none" w:sz="0" w:space="0" w:color="auto"/>
        <w:bottom w:val="none" w:sz="0" w:space="0" w:color="auto"/>
        <w:right w:val="none" w:sz="0" w:space="0" w:color="auto"/>
      </w:divBdr>
    </w:div>
    <w:div w:id="1713260996">
      <w:bodyDiv w:val="1"/>
      <w:marLeft w:val="0"/>
      <w:marRight w:val="0"/>
      <w:marTop w:val="0"/>
      <w:marBottom w:val="0"/>
      <w:divBdr>
        <w:top w:val="none" w:sz="0" w:space="0" w:color="auto"/>
        <w:left w:val="none" w:sz="0" w:space="0" w:color="auto"/>
        <w:bottom w:val="none" w:sz="0" w:space="0" w:color="auto"/>
        <w:right w:val="none" w:sz="0" w:space="0" w:color="auto"/>
      </w:divBdr>
    </w:div>
    <w:div w:id="1724870834">
      <w:bodyDiv w:val="1"/>
      <w:marLeft w:val="0"/>
      <w:marRight w:val="0"/>
      <w:marTop w:val="0"/>
      <w:marBottom w:val="0"/>
      <w:divBdr>
        <w:top w:val="none" w:sz="0" w:space="0" w:color="auto"/>
        <w:left w:val="none" w:sz="0" w:space="0" w:color="auto"/>
        <w:bottom w:val="none" w:sz="0" w:space="0" w:color="auto"/>
        <w:right w:val="none" w:sz="0" w:space="0" w:color="auto"/>
      </w:divBdr>
    </w:div>
    <w:div w:id="1727217831">
      <w:bodyDiv w:val="1"/>
      <w:marLeft w:val="0"/>
      <w:marRight w:val="0"/>
      <w:marTop w:val="0"/>
      <w:marBottom w:val="0"/>
      <w:divBdr>
        <w:top w:val="none" w:sz="0" w:space="0" w:color="auto"/>
        <w:left w:val="none" w:sz="0" w:space="0" w:color="auto"/>
        <w:bottom w:val="none" w:sz="0" w:space="0" w:color="auto"/>
        <w:right w:val="none" w:sz="0" w:space="0" w:color="auto"/>
      </w:divBdr>
    </w:div>
    <w:div w:id="1747727789">
      <w:bodyDiv w:val="1"/>
      <w:marLeft w:val="0"/>
      <w:marRight w:val="0"/>
      <w:marTop w:val="0"/>
      <w:marBottom w:val="0"/>
      <w:divBdr>
        <w:top w:val="none" w:sz="0" w:space="0" w:color="auto"/>
        <w:left w:val="none" w:sz="0" w:space="0" w:color="auto"/>
        <w:bottom w:val="none" w:sz="0" w:space="0" w:color="auto"/>
        <w:right w:val="none" w:sz="0" w:space="0" w:color="auto"/>
      </w:divBdr>
    </w:div>
    <w:div w:id="1777601164">
      <w:bodyDiv w:val="1"/>
      <w:marLeft w:val="0"/>
      <w:marRight w:val="0"/>
      <w:marTop w:val="0"/>
      <w:marBottom w:val="0"/>
      <w:divBdr>
        <w:top w:val="none" w:sz="0" w:space="0" w:color="auto"/>
        <w:left w:val="none" w:sz="0" w:space="0" w:color="auto"/>
        <w:bottom w:val="none" w:sz="0" w:space="0" w:color="auto"/>
        <w:right w:val="none" w:sz="0" w:space="0" w:color="auto"/>
      </w:divBdr>
    </w:div>
    <w:div w:id="1784302549">
      <w:bodyDiv w:val="1"/>
      <w:marLeft w:val="0"/>
      <w:marRight w:val="0"/>
      <w:marTop w:val="0"/>
      <w:marBottom w:val="0"/>
      <w:divBdr>
        <w:top w:val="none" w:sz="0" w:space="0" w:color="auto"/>
        <w:left w:val="none" w:sz="0" w:space="0" w:color="auto"/>
        <w:bottom w:val="none" w:sz="0" w:space="0" w:color="auto"/>
        <w:right w:val="none" w:sz="0" w:space="0" w:color="auto"/>
      </w:divBdr>
    </w:div>
    <w:div w:id="1785029311">
      <w:bodyDiv w:val="1"/>
      <w:marLeft w:val="0"/>
      <w:marRight w:val="0"/>
      <w:marTop w:val="0"/>
      <w:marBottom w:val="0"/>
      <w:divBdr>
        <w:top w:val="none" w:sz="0" w:space="0" w:color="auto"/>
        <w:left w:val="none" w:sz="0" w:space="0" w:color="auto"/>
        <w:bottom w:val="none" w:sz="0" w:space="0" w:color="auto"/>
        <w:right w:val="none" w:sz="0" w:space="0" w:color="auto"/>
      </w:divBdr>
    </w:div>
    <w:div w:id="1787890961">
      <w:bodyDiv w:val="1"/>
      <w:marLeft w:val="0"/>
      <w:marRight w:val="0"/>
      <w:marTop w:val="0"/>
      <w:marBottom w:val="0"/>
      <w:divBdr>
        <w:top w:val="none" w:sz="0" w:space="0" w:color="auto"/>
        <w:left w:val="none" w:sz="0" w:space="0" w:color="auto"/>
        <w:bottom w:val="none" w:sz="0" w:space="0" w:color="auto"/>
        <w:right w:val="none" w:sz="0" w:space="0" w:color="auto"/>
      </w:divBdr>
    </w:div>
    <w:div w:id="1796218008">
      <w:bodyDiv w:val="1"/>
      <w:marLeft w:val="0"/>
      <w:marRight w:val="0"/>
      <w:marTop w:val="0"/>
      <w:marBottom w:val="0"/>
      <w:divBdr>
        <w:top w:val="none" w:sz="0" w:space="0" w:color="auto"/>
        <w:left w:val="none" w:sz="0" w:space="0" w:color="auto"/>
        <w:bottom w:val="none" w:sz="0" w:space="0" w:color="auto"/>
        <w:right w:val="none" w:sz="0" w:space="0" w:color="auto"/>
      </w:divBdr>
    </w:div>
    <w:div w:id="1800538456">
      <w:bodyDiv w:val="1"/>
      <w:marLeft w:val="0"/>
      <w:marRight w:val="0"/>
      <w:marTop w:val="0"/>
      <w:marBottom w:val="0"/>
      <w:divBdr>
        <w:top w:val="none" w:sz="0" w:space="0" w:color="auto"/>
        <w:left w:val="none" w:sz="0" w:space="0" w:color="auto"/>
        <w:bottom w:val="none" w:sz="0" w:space="0" w:color="auto"/>
        <w:right w:val="none" w:sz="0" w:space="0" w:color="auto"/>
      </w:divBdr>
    </w:div>
    <w:div w:id="1801149918">
      <w:bodyDiv w:val="1"/>
      <w:marLeft w:val="0"/>
      <w:marRight w:val="0"/>
      <w:marTop w:val="0"/>
      <w:marBottom w:val="0"/>
      <w:divBdr>
        <w:top w:val="none" w:sz="0" w:space="0" w:color="auto"/>
        <w:left w:val="none" w:sz="0" w:space="0" w:color="auto"/>
        <w:bottom w:val="none" w:sz="0" w:space="0" w:color="auto"/>
        <w:right w:val="none" w:sz="0" w:space="0" w:color="auto"/>
      </w:divBdr>
    </w:div>
    <w:div w:id="1802917608">
      <w:bodyDiv w:val="1"/>
      <w:marLeft w:val="0"/>
      <w:marRight w:val="0"/>
      <w:marTop w:val="0"/>
      <w:marBottom w:val="0"/>
      <w:divBdr>
        <w:top w:val="none" w:sz="0" w:space="0" w:color="auto"/>
        <w:left w:val="none" w:sz="0" w:space="0" w:color="auto"/>
        <w:bottom w:val="none" w:sz="0" w:space="0" w:color="auto"/>
        <w:right w:val="none" w:sz="0" w:space="0" w:color="auto"/>
      </w:divBdr>
    </w:div>
    <w:div w:id="1807314727">
      <w:bodyDiv w:val="1"/>
      <w:marLeft w:val="0"/>
      <w:marRight w:val="0"/>
      <w:marTop w:val="0"/>
      <w:marBottom w:val="0"/>
      <w:divBdr>
        <w:top w:val="none" w:sz="0" w:space="0" w:color="auto"/>
        <w:left w:val="none" w:sz="0" w:space="0" w:color="auto"/>
        <w:bottom w:val="none" w:sz="0" w:space="0" w:color="auto"/>
        <w:right w:val="none" w:sz="0" w:space="0" w:color="auto"/>
      </w:divBdr>
    </w:div>
    <w:div w:id="1809278599">
      <w:bodyDiv w:val="1"/>
      <w:marLeft w:val="0"/>
      <w:marRight w:val="0"/>
      <w:marTop w:val="0"/>
      <w:marBottom w:val="0"/>
      <w:divBdr>
        <w:top w:val="none" w:sz="0" w:space="0" w:color="auto"/>
        <w:left w:val="none" w:sz="0" w:space="0" w:color="auto"/>
        <w:bottom w:val="none" w:sz="0" w:space="0" w:color="auto"/>
        <w:right w:val="none" w:sz="0" w:space="0" w:color="auto"/>
      </w:divBdr>
    </w:div>
    <w:div w:id="1814786593">
      <w:bodyDiv w:val="1"/>
      <w:marLeft w:val="0"/>
      <w:marRight w:val="0"/>
      <w:marTop w:val="0"/>
      <w:marBottom w:val="0"/>
      <w:divBdr>
        <w:top w:val="none" w:sz="0" w:space="0" w:color="auto"/>
        <w:left w:val="none" w:sz="0" w:space="0" w:color="auto"/>
        <w:bottom w:val="none" w:sz="0" w:space="0" w:color="auto"/>
        <w:right w:val="none" w:sz="0" w:space="0" w:color="auto"/>
      </w:divBdr>
    </w:div>
    <w:div w:id="1829784055">
      <w:bodyDiv w:val="1"/>
      <w:marLeft w:val="0"/>
      <w:marRight w:val="0"/>
      <w:marTop w:val="0"/>
      <w:marBottom w:val="0"/>
      <w:divBdr>
        <w:top w:val="none" w:sz="0" w:space="0" w:color="auto"/>
        <w:left w:val="none" w:sz="0" w:space="0" w:color="auto"/>
        <w:bottom w:val="none" w:sz="0" w:space="0" w:color="auto"/>
        <w:right w:val="none" w:sz="0" w:space="0" w:color="auto"/>
      </w:divBdr>
    </w:div>
    <w:div w:id="1833912735">
      <w:bodyDiv w:val="1"/>
      <w:marLeft w:val="0"/>
      <w:marRight w:val="0"/>
      <w:marTop w:val="0"/>
      <w:marBottom w:val="0"/>
      <w:divBdr>
        <w:top w:val="none" w:sz="0" w:space="0" w:color="auto"/>
        <w:left w:val="none" w:sz="0" w:space="0" w:color="auto"/>
        <w:bottom w:val="none" w:sz="0" w:space="0" w:color="auto"/>
        <w:right w:val="none" w:sz="0" w:space="0" w:color="auto"/>
      </w:divBdr>
    </w:div>
    <w:div w:id="1835947346">
      <w:bodyDiv w:val="1"/>
      <w:marLeft w:val="0"/>
      <w:marRight w:val="0"/>
      <w:marTop w:val="0"/>
      <w:marBottom w:val="0"/>
      <w:divBdr>
        <w:top w:val="none" w:sz="0" w:space="0" w:color="auto"/>
        <w:left w:val="none" w:sz="0" w:space="0" w:color="auto"/>
        <w:bottom w:val="none" w:sz="0" w:space="0" w:color="auto"/>
        <w:right w:val="none" w:sz="0" w:space="0" w:color="auto"/>
      </w:divBdr>
    </w:div>
    <w:div w:id="1836259624">
      <w:bodyDiv w:val="1"/>
      <w:marLeft w:val="0"/>
      <w:marRight w:val="0"/>
      <w:marTop w:val="0"/>
      <w:marBottom w:val="0"/>
      <w:divBdr>
        <w:top w:val="none" w:sz="0" w:space="0" w:color="auto"/>
        <w:left w:val="none" w:sz="0" w:space="0" w:color="auto"/>
        <w:bottom w:val="none" w:sz="0" w:space="0" w:color="auto"/>
        <w:right w:val="none" w:sz="0" w:space="0" w:color="auto"/>
      </w:divBdr>
    </w:div>
    <w:div w:id="1849519172">
      <w:bodyDiv w:val="1"/>
      <w:marLeft w:val="0"/>
      <w:marRight w:val="0"/>
      <w:marTop w:val="0"/>
      <w:marBottom w:val="0"/>
      <w:divBdr>
        <w:top w:val="none" w:sz="0" w:space="0" w:color="auto"/>
        <w:left w:val="none" w:sz="0" w:space="0" w:color="auto"/>
        <w:bottom w:val="none" w:sz="0" w:space="0" w:color="auto"/>
        <w:right w:val="none" w:sz="0" w:space="0" w:color="auto"/>
      </w:divBdr>
    </w:div>
    <w:div w:id="1854177136">
      <w:bodyDiv w:val="1"/>
      <w:marLeft w:val="0"/>
      <w:marRight w:val="0"/>
      <w:marTop w:val="0"/>
      <w:marBottom w:val="0"/>
      <w:divBdr>
        <w:top w:val="none" w:sz="0" w:space="0" w:color="auto"/>
        <w:left w:val="none" w:sz="0" w:space="0" w:color="auto"/>
        <w:bottom w:val="none" w:sz="0" w:space="0" w:color="auto"/>
        <w:right w:val="none" w:sz="0" w:space="0" w:color="auto"/>
      </w:divBdr>
    </w:div>
    <w:div w:id="1855193962">
      <w:bodyDiv w:val="1"/>
      <w:marLeft w:val="0"/>
      <w:marRight w:val="0"/>
      <w:marTop w:val="0"/>
      <w:marBottom w:val="0"/>
      <w:divBdr>
        <w:top w:val="none" w:sz="0" w:space="0" w:color="auto"/>
        <w:left w:val="none" w:sz="0" w:space="0" w:color="auto"/>
        <w:bottom w:val="none" w:sz="0" w:space="0" w:color="auto"/>
        <w:right w:val="none" w:sz="0" w:space="0" w:color="auto"/>
      </w:divBdr>
    </w:div>
    <w:div w:id="1856117152">
      <w:bodyDiv w:val="1"/>
      <w:marLeft w:val="0"/>
      <w:marRight w:val="0"/>
      <w:marTop w:val="0"/>
      <w:marBottom w:val="0"/>
      <w:divBdr>
        <w:top w:val="none" w:sz="0" w:space="0" w:color="auto"/>
        <w:left w:val="none" w:sz="0" w:space="0" w:color="auto"/>
        <w:bottom w:val="none" w:sz="0" w:space="0" w:color="auto"/>
        <w:right w:val="none" w:sz="0" w:space="0" w:color="auto"/>
      </w:divBdr>
    </w:div>
    <w:div w:id="1902447436">
      <w:bodyDiv w:val="1"/>
      <w:marLeft w:val="0"/>
      <w:marRight w:val="0"/>
      <w:marTop w:val="0"/>
      <w:marBottom w:val="0"/>
      <w:divBdr>
        <w:top w:val="none" w:sz="0" w:space="0" w:color="auto"/>
        <w:left w:val="none" w:sz="0" w:space="0" w:color="auto"/>
        <w:bottom w:val="none" w:sz="0" w:space="0" w:color="auto"/>
        <w:right w:val="none" w:sz="0" w:space="0" w:color="auto"/>
      </w:divBdr>
    </w:div>
    <w:div w:id="1921214119">
      <w:bodyDiv w:val="1"/>
      <w:marLeft w:val="0"/>
      <w:marRight w:val="0"/>
      <w:marTop w:val="0"/>
      <w:marBottom w:val="0"/>
      <w:divBdr>
        <w:top w:val="none" w:sz="0" w:space="0" w:color="auto"/>
        <w:left w:val="none" w:sz="0" w:space="0" w:color="auto"/>
        <w:bottom w:val="none" w:sz="0" w:space="0" w:color="auto"/>
        <w:right w:val="none" w:sz="0" w:space="0" w:color="auto"/>
      </w:divBdr>
    </w:div>
    <w:div w:id="1941062459">
      <w:bodyDiv w:val="1"/>
      <w:marLeft w:val="0"/>
      <w:marRight w:val="0"/>
      <w:marTop w:val="0"/>
      <w:marBottom w:val="0"/>
      <w:divBdr>
        <w:top w:val="none" w:sz="0" w:space="0" w:color="auto"/>
        <w:left w:val="none" w:sz="0" w:space="0" w:color="auto"/>
        <w:bottom w:val="none" w:sz="0" w:space="0" w:color="auto"/>
        <w:right w:val="none" w:sz="0" w:space="0" w:color="auto"/>
      </w:divBdr>
    </w:div>
    <w:div w:id="1949652126">
      <w:bodyDiv w:val="1"/>
      <w:marLeft w:val="0"/>
      <w:marRight w:val="0"/>
      <w:marTop w:val="0"/>
      <w:marBottom w:val="0"/>
      <w:divBdr>
        <w:top w:val="none" w:sz="0" w:space="0" w:color="auto"/>
        <w:left w:val="none" w:sz="0" w:space="0" w:color="auto"/>
        <w:bottom w:val="none" w:sz="0" w:space="0" w:color="auto"/>
        <w:right w:val="none" w:sz="0" w:space="0" w:color="auto"/>
      </w:divBdr>
    </w:div>
    <w:div w:id="1956136333">
      <w:bodyDiv w:val="1"/>
      <w:marLeft w:val="0"/>
      <w:marRight w:val="0"/>
      <w:marTop w:val="0"/>
      <w:marBottom w:val="0"/>
      <w:divBdr>
        <w:top w:val="none" w:sz="0" w:space="0" w:color="auto"/>
        <w:left w:val="none" w:sz="0" w:space="0" w:color="auto"/>
        <w:bottom w:val="none" w:sz="0" w:space="0" w:color="auto"/>
        <w:right w:val="none" w:sz="0" w:space="0" w:color="auto"/>
      </w:divBdr>
    </w:div>
    <w:div w:id="1984770711">
      <w:bodyDiv w:val="1"/>
      <w:marLeft w:val="0"/>
      <w:marRight w:val="0"/>
      <w:marTop w:val="0"/>
      <w:marBottom w:val="0"/>
      <w:divBdr>
        <w:top w:val="none" w:sz="0" w:space="0" w:color="auto"/>
        <w:left w:val="none" w:sz="0" w:space="0" w:color="auto"/>
        <w:bottom w:val="none" w:sz="0" w:space="0" w:color="auto"/>
        <w:right w:val="none" w:sz="0" w:space="0" w:color="auto"/>
      </w:divBdr>
    </w:div>
    <w:div w:id="1988852624">
      <w:bodyDiv w:val="1"/>
      <w:marLeft w:val="0"/>
      <w:marRight w:val="0"/>
      <w:marTop w:val="0"/>
      <w:marBottom w:val="0"/>
      <w:divBdr>
        <w:top w:val="none" w:sz="0" w:space="0" w:color="auto"/>
        <w:left w:val="none" w:sz="0" w:space="0" w:color="auto"/>
        <w:bottom w:val="none" w:sz="0" w:space="0" w:color="auto"/>
        <w:right w:val="none" w:sz="0" w:space="0" w:color="auto"/>
      </w:divBdr>
    </w:div>
    <w:div w:id="1993480498">
      <w:bodyDiv w:val="1"/>
      <w:marLeft w:val="0"/>
      <w:marRight w:val="0"/>
      <w:marTop w:val="0"/>
      <w:marBottom w:val="0"/>
      <w:divBdr>
        <w:top w:val="none" w:sz="0" w:space="0" w:color="auto"/>
        <w:left w:val="none" w:sz="0" w:space="0" w:color="auto"/>
        <w:bottom w:val="none" w:sz="0" w:space="0" w:color="auto"/>
        <w:right w:val="none" w:sz="0" w:space="0" w:color="auto"/>
      </w:divBdr>
    </w:div>
    <w:div w:id="2018844251">
      <w:bodyDiv w:val="1"/>
      <w:marLeft w:val="0"/>
      <w:marRight w:val="0"/>
      <w:marTop w:val="0"/>
      <w:marBottom w:val="0"/>
      <w:divBdr>
        <w:top w:val="none" w:sz="0" w:space="0" w:color="auto"/>
        <w:left w:val="none" w:sz="0" w:space="0" w:color="auto"/>
        <w:bottom w:val="none" w:sz="0" w:space="0" w:color="auto"/>
        <w:right w:val="none" w:sz="0" w:space="0" w:color="auto"/>
      </w:divBdr>
    </w:div>
    <w:div w:id="2032221697">
      <w:bodyDiv w:val="1"/>
      <w:marLeft w:val="0"/>
      <w:marRight w:val="0"/>
      <w:marTop w:val="0"/>
      <w:marBottom w:val="0"/>
      <w:divBdr>
        <w:top w:val="none" w:sz="0" w:space="0" w:color="auto"/>
        <w:left w:val="none" w:sz="0" w:space="0" w:color="auto"/>
        <w:bottom w:val="none" w:sz="0" w:space="0" w:color="auto"/>
        <w:right w:val="none" w:sz="0" w:space="0" w:color="auto"/>
      </w:divBdr>
    </w:div>
    <w:div w:id="2035811594">
      <w:bodyDiv w:val="1"/>
      <w:marLeft w:val="0"/>
      <w:marRight w:val="0"/>
      <w:marTop w:val="0"/>
      <w:marBottom w:val="0"/>
      <w:divBdr>
        <w:top w:val="none" w:sz="0" w:space="0" w:color="auto"/>
        <w:left w:val="none" w:sz="0" w:space="0" w:color="auto"/>
        <w:bottom w:val="none" w:sz="0" w:space="0" w:color="auto"/>
        <w:right w:val="none" w:sz="0" w:space="0" w:color="auto"/>
      </w:divBdr>
    </w:div>
    <w:div w:id="2050379210">
      <w:bodyDiv w:val="1"/>
      <w:marLeft w:val="0"/>
      <w:marRight w:val="0"/>
      <w:marTop w:val="0"/>
      <w:marBottom w:val="0"/>
      <w:divBdr>
        <w:top w:val="none" w:sz="0" w:space="0" w:color="auto"/>
        <w:left w:val="none" w:sz="0" w:space="0" w:color="auto"/>
        <w:bottom w:val="none" w:sz="0" w:space="0" w:color="auto"/>
        <w:right w:val="none" w:sz="0" w:space="0" w:color="auto"/>
      </w:divBdr>
    </w:div>
    <w:div w:id="2053847464">
      <w:bodyDiv w:val="1"/>
      <w:marLeft w:val="0"/>
      <w:marRight w:val="0"/>
      <w:marTop w:val="0"/>
      <w:marBottom w:val="0"/>
      <w:divBdr>
        <w:top w:val="none" w:sz="0" w:space="0" w:color="auto"/>
        <w:left w:val="none" w:sz="0" w:space="0" w:color="auto"/>
        <w:bottom w:val="none" w:sz="0" w:space="0" w:color="auto"/>
        <w:right w:val="none" w:sz="0" w:space="0" w:color="auto"/>
      </w:divBdr>
    </w:div>
    <w:div w:id="2057898661">
      <w:bodyDiv w:val="1"/>
      <w:marLeft w:val="0"/>
      <w:marRight w:val="0"/>
      <w:marTop w:val="0"/>
      <w:marBottom w:val="0"/>
      <w:divBdr>
        <w:top w:val="none" w:sz="0" w:space="0" w:color="auto"/>
        <w:left w:val="none" w:sz="0" w:space="0" w:color="auto"/>
        <w:bottom w:val="none" w:sz="0" w:space="0" w:color="auto"/>
        <w:right w:val="none" w:sz="0" w:space="0" w:color="auto"/>
      </w:divBdr>
    </w:div>
    <w:div w:id="2058043473">
      <w:bodyDiv w:val="1"/>
      <w:marLeft w:val="0"/>
      <w:marRight w:val="0"/>
      <w:marTop w:val="0"/>
      <w:marBottom w:val="0"/>
      <w:divBdr>
        <w:top w:val="none" w:sz="0" w:space="0" w:color="auto"/>
        <w:left w:val="none" w:sz="0" w:space="0" w:color="auto"/>
        <w:bottom w:val="none" w:sz="0" w:space="0" w:color="auto"/>
        <w:right w:val="none" w:sz="0" w:space="0" w:color="auto"/>
      </w:divBdr>
    </w:div>
    <w:div w:id="2066365936">
      <w:bodyDiv w:val="1"/>
      <w:marLeft w:val="0"/>
      <w:marRight w:val="0"/>
      <w:marTop w:val="0"/>
      <w:marBottom w:val="0"/>
      <w:divBdr>
        <w:top w:val="none" w:sz="0" w:space="0" w:color="auto"/>
        <w:left w:val="none" w:sz="0" w:space="0" w:color="auto"/>
        <w:bottom w:val="none" w:sz="0" w:space="0" w:color="auto"/>
        <w:right w:val="none" w:sz="0" w:space="0" w:color="auto"/>
      </w:divBdr>
    </w:div>
    <w:div w:id="2068456649">
      <w:bodyDiv w:val="1"/>
      <w:marLeft w:val="0"/>
      <w:marRight w:val="0"/>
      <w:marTop w:val="0"/>
      <w:marBottom w:val="0"/>
      <w:divBdr>
        <w:top w:val="none" w:sz="0" w:space="0" w:color="auto"/>
        <w:left w:val="none" w:sz="0" w:space="0" w:color="auto"/>
        <w:bottom w:val="none" w:sz="0" w:space="0" w:color="auto"/>
        <w:right w:val="none" w:sz="0" w:space="0" w:color="auto"/>
      </w:divBdr>
    </w:div>
    <w:div w:id="2069762345">
      <w:bodyDiv w:val="1"/>
      <w:marLeft w:val="0"/>
      <w:marRight w:val="0"/>
      <w:marTop w:val="0"/>
      <w:marBottom w:val="0"/>
      <w:divBdr>
        <w:top w:val="none" w:sz="0" w:space="0" w:color="auto"/>
        <w:left w:val="none" w:sz="0" w:space="0" w:color="auto"/>
        <w:bottom w:val="none" w:sz="0" w:space="0" w:color="auto"/>
        <w:right w:val="none" w:sz="0" w:space="0" w:color="auto"/>
      </w:divBdr>
    </w:div>
    <w:div w:id="2073119893">
      <w:bodyDiv w:val="1"/>
      <w:marLeft w:val="0"/>
      <w:marRight w:val="0"/>
      <w:marTop w:val="0"/>
      <w:marBottom w:val="0"/>
      <w:divBdr>
        <w:top w:val="none" w:sz="0" w:space="0" w:color="auto"/>
        <w:left w:val="none" w:sz="0" w:space="0" w:color="auto"/>
        <w:bottom w:val="none" w:sz="0" w:space="0" w:color="auto"/>
        <w:right w:val="none" w:sz="0" w:space="0" w:color="auto"/>
      </w:divBdr>
    </w:div>
    <w:div w:id="2079285146">
      <w:bodyDiv w:val="1"/>
      <w:marLeft w:val="0"/>
      <w:marRight w:val="0"/>
      <w:marTop w:val="0"/>
      <w:marBottom w:val="0"/>
      <w:divBdr>
        <w:top w:val="none" w:sz="0" w:space="0" w:color="auto"/>
        <w:left w:val="none" w:sz="0" w:space="0" w:color="auto"/>
        <w:bottom w:val="none" w:sz="0" w:space="0" w:color="auto"/>
        <w:right w:val="none" w:sz="0" w:space="0" w:color="auto"/>
      </w:divBdr>
    </w:div>
    <w:div w:id="2091147649">
      <w:bodyDiv w:val="1"/>
      <w:marLeft w:val="0"/>
      <w:marRight w:val="0"/>
      <w:marTop w:val="0"/>
      <w:marBottom w:val="0"/>
      <w:divBdr>
        <w:top w:val="none" w:sz="0" w:space="0" w:color="auto"/>
        <w:left w:val="none" w:sz="0" w:space="0" w:color="auto"/>
        <w:bottom w:val="none" w:sz="0" w:space="0" w:color="auto"/>
        <w:right w:val="none" w:sz="0" w:space="0" w:color="auto"/>
      </w:divBdr>
    </w:div>
    <w:div w:id="2096781761">
      <w:bodyDiv w:val="1"/>
      <w:marLeft w:val="0"/>
      <w:marRight w:val="0"/>
      <w:marTop w:val="0"/>
      <w:marBottom w:val="0"/>
      <w:divBdr>
        <w:top w:val="none" w:sz="0" w:space="0" w:color="auto"/>
        <w:left w:val="none" w:sz="0" w:space="0" w:color="auto"/>
        <w:bottom w:val="none" w:sz="0" w:space="0" w:color="auto"/>
        <w:right w:val="none" w:sz="0" w:space="0" w:color="auto"/>
      </w:divBdr>
    </w:div>
    <w:div w:id="2101757425">
      <w:bodyDiv w:val="1"/>
      <w:marLeft w:val="0"/>
      <w:marRight w:val="0"/>
      <w:marTop w:val="0"/>
      <w:marBottom w:val="0"/>
      <w:divBdr>
        <w:top w:val="none" w:sz="0" w:space="0" w:color="auto"/>
        <w:left w:val="none" w:sz="0" w:space="0" w:color="auto"/>
        <w:bottom w:val="none" w:sz="0" w:space="0" w:color="auto"/>
        <w:right w:val="none" w:sz="0" w:space="0" w:color="auto"/>
      </w:divBdr>
    </w:div>
    <w:div w:id="2131169674">
      <w:bodyDiv w:val="1"/>
      <w:marLeft w:val="0"/>
      <w:marRight w:val="0"/>
      <w:marTop w:val="0"/>
      <w:marBottom w:val="0"/>
      <w:divBdr>
        <w:top w:val="none" w:sz="0" w:space="0" w:color="auto"/>
        <w:left w:val="none" w:sz="0" w:space="0" w:color="auto"/>
        <w:bottom w:val="none" w:sz="0" w:space="0" w:color="auto"/>
        <w:right w:val="none" w:sz="0" w:space="0" w:color="auto"/>
      </w:divBdr>
    </w:div>
    <w:div w:id="2134669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diagramLayout" Target="diagrams/layout1.xml"/><Relationship Id="rId26" Type="http://schemas.microsoft.com/office/2007/relationships/diagramDrawing" Target="diagrams/drawing2.xml"/><Relationship Id="rId3" Type="http://schemas.openxmlformats.org/officeDocument/2006/relationships/numbering" Target="numbering.xml"/><Relationship Id="rId21" Type="http://schemas.microsoft.com/office/2007/relationships/diagramDrawing" Target="diagrams/drawing1.xml"/><Relationship Id="rId7" Type="http://schemas.openxmlformats.org/officeDocument/2006/relationships/footnotes" Target="footnotes.xml"/><Relationship Id="rId12" Type="http://schemas.openxmlformats.org/officeDocument/2006/relationships/header" Target="header2.xml"/><Relationship Id="rId17" Type="http://schemas.openxmlformats.org/officeDocument/2006/relationships/diagramData" Target="diagrams/data1.xml"/><Relationship Id="rId25" Type="http://schemas.openxmlformats.org/officeDocument/2006/relationships/diagramColors" Target="diagrams/colors2.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diagramColors" Target="diagrams/colors1.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24" Type="http://schemas.openxmlformats.org/officeDocument/2006/relationships/diagramQuickStyle" Target="diagrams/quickStyle2.xml"/><Relationship Id="rId5" Type="http://schemas.openxmlformats.org/officeDocument/2006/relationships/settings" Target="settings.xml"/><Relationship Id="rId15" Type="http://schemas.openxmlformats.org/officeDocument/2006/relationships/header" Target="header3.xml"/><Relationship Id="rId23" Type="http://schemas.openxmlformats.org/officeDocument/2006/relationships/diagramLayout" Target="diagrams/layout2.xml"/><Relationship Id="rId28" Type="http://schemas.openxmlformats.org/officeDocument/2006/relationships/fontTable" Target="fontTable.xml"/><Relationship Id="rId10" Type="http://schemas.openxmlformats.org/officeDocument/2006/relationships/hyperlink" Target="http://www.creative-commons-images.com/highway-signs/s/strategy.html" TargetMode="External"/><Relationship Id="rId19" Type="http://schemas.openxmlformats.org/officeDocument/2006/relationships/diagramQuickStyle" Target="diagrams/quickStyle1.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footer" Target="footer2.xml"/><Relationship Id="rId22" Type="http://schemas.openxmlformats.org/officeDocument/2006/relationships/diagramData" Target="diagrams/data2.xml"/><Relationship Id="rId27" Type="http://schemas.openxmlformats.org/officeDocument/2006/relationships/footer" Target="footer4.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33D61B2-D755-4229-A7F8-86C46FF39ADE}" type="doc">
      <dgm:prSet loTypeId="urn:microsoft.com/office/officeart/2005/8/layout/cycle2" loCatId="cycle" qsTypeId="urn:microsoft.com/office/officeart/2005/8/quickstyle/simple3" qsCatId="simple" csTypeId="urn:microsoft.com/office/officeart/2005/8/colors/accent1_2" csCatId="accent1" phldr="1"/>
      <dgm:spPr/>
      <dgm:t>
        <a:bodyPr/>
        <a:lstStyle/>
        <a:p>
          <a:endParaRPr lang="en-GB"/>
        </a:p>
      </dgm:t>
    </dgm:pt>
    <dgm:pt modelId="{78B9E373-0D0C-4E27-BDBD-94215C33B6C0}">
      <dgm:prSet phldrT="[Text]"/>
      <dgm:spPr/>
      <dgm:t>
        <a:bodyPr/>
        <a:lstStyle/>
        <a:p>
          <a:r>
            <a:rPr lang="en-GB"/>
            <a:t>Environment Basics</a:t>
          </a:r>
        </a:p>
      </dgm:t>
    </dgm:pt>
    <dgm:pt modelId="{0C22A2F7-383F-48CA-BCE9-018BB606AE70}" type="parTrans" cxnId="{C14EB3B6-84E9-4F79-BE1A-9E4A219C8C38}">
      <dgm:prSet/>
      <dgm:spPr/>
      <dgm:t>
        <a:bodyPr/>
        <a:lstStyle/>
        <a:p>
          <a:endParaRPr lang="en-GB"/>
        </a:p>
      </dgm:t>
    </dgm:pt>
    <dgm:pt modelId="{624D27FB-731C-4761-8941-22F886818BFA}" type="sibTrans" cxnId="{C14EB3B6-84E9-4F79-BE1A-9E4A219C8C38}">
      <dgm:prSet/>
      <dgm:spPr/>
      <dgm:t>
        <a:bodyPr/>
        <a:lstStyle/>
        <a:p>
          <a:endParaRPr lang="en-GB"/>
        </a:p>
      </dgm:t>
    </dgm:pt>
    <dgm:pt modelId="{DE1A9AAD-B01A-4E53-B4D4-B4BEC985386F}">
      <dgm:prSet phldrT="[Text]"/>
      <dgm:spPr/>
      <dgm:t>
        <a:bodyPr/>
        <a:lstStyle/>
        <a:p>
          <a:r>
            <a:rPr lang="en-GB"/>
            <a:t>Background (PESTEL)</a:t>
          </a:r>
        </a:p>
      </dgm:t>
    </dgm:pt>
    <dgm:pt modelId="{45CB5CAD-F1DF-4F3C-8EC9-1FBB4175258A}" type="parTrans" cxnId="{13CAF950-4DA1-4022-B63D-D1390F10B4E4}">
      <dgm:prSet/>
      <dgm:spPr/>
      <dgm:t>
        <a:bodyPr/>
        <a:lstStyle/>
        <a:p>
          <a:endParaRPr lang="en-GB"/>
        </a:p>
      </dgm:t>
    </dgm:pt>
    <dgm:pt modelId="{1D975D37-E931-4495-BC88-A8D89C948288}" type="sibTrans" cxnId="{13CAF950-4DA1-4022-B63D-D1390F10B4E4}">
      <dgm:prSet/>
      <dgm:spPr/>
      <dgm:t>
        <a:bodyPr/>
        <a:lstStyle/>
        <a:p>
          <a:endParaRPr lang="en-GB"/>
        </a:p>
      </dgm:t>
    </dgm:pt>
    <dgm:pt modelId="{C3448D28-99F5-421D-BCF2-81D29FF8C3DC}">
      <dgm:prSet phldrT="[Text]"/>
      <dgm:spPr/>
      <dgm:t>
        <a:bodyPr/>
        <a:lstStyle/>
        <a:p>
          <a:r>
            <a:rPr lang="en-GB"/>
            <a:t>Market/Industry life cycle</a:t>
          </a:r>
        </a:p>
      </dgm:t>
    </dgm:pt>
    <dgm:pt modelId="{81B35E4D-38C4-4A72-802B-15015EC97221}" type="parTrans" cxnId="{84B3A2AB-E3EB-4352-B464-C101A86AE1F9}">
      <dgm:prSet/>
      <dgm:spPr/>
      <dgm:t>
        <a:bodyPr/>
        <a:lstStyle/>
        <a:p>
          <a:endParaRPr lang="en-GB"/>
        </a:p>
      </dgm:t>
    </dgm:pt>
    <dgm:pt modelId="{8CC624AA-E270-421A-B8ED-D8B272000E88}" type="sibTrans" cxnId="{84B3A2AB-E3EB-4352-B464-C101A86AE1F9}">
      <dgm:prSet/>
      <dgm:spPr/>
      <dgm:t>
        <a:bodyPr/>
        <a:lstStyle/>
        <a:p>
          <a:endParaRPr lang="en-GB"/>
        </a:p>
      </dgm:t>
    </dgm:pt>
    <dgm:pt modelId="{EA6A5224-41F7-4626-B715-BF6C7903882E}">
      <dgm:prSet phldrT="[Text]"/>
      <dgm:spPr/>
      <dgm:t>
        <a:bodyPr/>
        <a:lstStyle/>
        <a:p>
          <a:r>
            <a:rPr lang="en-GB"/>
            <a:t>Balance of power (five forces)</a:t>
          </a:r>
        </a:p>
      </dgm:t>
    </dgm:pt>
    <dgm:pt modelId="{0DEC50F6-4217-4980-9240-2D74487490AA}" type="parTrans" cxnId="{233F66E6-79FA-4239-BEDC-82E0AF52BF8E}">
      <dgm:prSet/>
      <dgm:spPr/>
      <dgm:t>
        <a:bodyPr/>
        <a:lstStyle/>
        <a:p>
          <a:endParaRPr lang="en-GB"/>
        </a:p>
      </dgm:t>
    </dgm:pt>
    <dgm:pt modelId="{68FC4AD5-F97D-4B4C-8396-AB580EB81890}" type="sibTrans" cxnId="{233F66E6-79FA-4239-BEDC-82E0AF52BF8E}">
      <dgm:prSet/>
      <dgm:spPr/>
      <dgm:t>
        <a:bodyPr/>
        <a:lstStyle/>
        <a:p>
          <a:endParaRPr lang="en-GB"/>
        </a:p>
      </dgm:t>
    </dgm:pt>
    <dgm:pt modelId="{AD450D05-9FD0-4103-A0CE-0EA7E07C5E8B}">
      <dgm:prSet phldrT="[Text]"/>
      <dgm:spPr/>
      <dgm:t>
        <a:bodyPr/>
        <a:lstStyle/>
        <a:p>
          <a:r>
            <a:rPr lang="en-GB"/>
            <a:t>Co-Operation (four links)</a:t>
          </a:r>
        </a:p>
      </dgm:t>
    </dgm:pt>
    <dgm:pt modelId="{C5880827-EC32-4FBD-AA9F-9E9FEB9E369E}" type="parTrans" cxnId="{1D993546-067F-4D72-ABFF-26121399F82D}">
      <dgm:prSet/>
      <dgm:spPr/>
      <dgm:t>
        <a:bodyPr/>
        <a:lstStyle/>
        <a:p>
          <a:endParaRPr lang="en-GB"/>
        </a:p>
      </dgm:t>
    </dgm:pt>
    <dgm:pt modelId="{CC4BCE64-456C-4725-9A91-101094EFD802}" type="sibTrans" cxnId="{1D993546-067F-4D72-ABFF-26121399F82D}">
      <dgm:prSet/>
      <dgm:spPr/>
      <dgm:t>
        <a:bodyPr/>
        <a:lstStyle/>
        <a:p>
          <a:endParaRPr lang="en-GB"/>
        </a:p>
      </dgm:t>
    </dgm:pt>
    <dgm:pt modelId="{AE69B8E0-D102-4A33-9E7E-8BDDEE8EADA5}">
      <dgm:prSet phldrT="[Text]"/>
      <dgm:spPr/>
      <dgm:t>
        <a:bodyPr/>
        <a:lstStyle/>
        <a:p>
          <a:r>
            <a:rPr lang="en-GB"/>
            <a:t>Turbulence</a:t>
          </a:r>
        </a:p>
      </dgm:t>
    </dgm:pt>
    <dgm:pt modelId="{E3D1B260-7E72-4D7F-A9A3-F9F10D84DF57}" type="parTrans" cxnId="{F4C69BDB-3D37-49CE-8014-9266CA8EE5A3}">
      <dgm:prSet/>
      <dgm:spPr/>
      <dgm:t>
        <a:bodyPr/>
        <a:lstStyle/>
        <a:p>
          <a:endParaRPr lang="en-GB"/>
        </a:p>
      </dgm:t>
    </dgm:pt>
    <dgm:pt modelId="{FB160AA6-68BA-491B-8C3E-4E7DF7C27125}" type="sibTrans" cxnId="{F4C69BDB-3D37-49CE-8014-9266CA8EE5A3}">
      <dgm:prSet/>
      <dgm:spPr/>
      <dgm:t>
        <a:bodyPr/>
        <a:lstStyle/>
        <a:p>
          <a:endParaRPr lang="en-GB"/>
        </a:p>
      </dgm:t>
    </dgm:pt>
    <dgm:pt modelId="{70E1B19D-12C5-4B53-B251-325BE9D18E41}">
      <dgm:prSet phldrT="[Text]"/>
      <dgm:spPr/>
      <dgm:t>
        <a:bodyPr/>
        <a:lstStyle/>
        <a:p>
          <a:r>
            <a:rPr lang="en-GB"/>
            <a:t>Industry Specific</a:t>
          </a:r>
        </a:p>
      </dgm:t>
    </dgm:pt>
    <dgm:pt modelId="{0A5B23E7-F436-4721-9732-47DBE85062F1}" type="parTrans" cxnId="{B01EC6E2-C0E4-46EE-A5AF-1DF1F8C68657}">
      <dgm:prSet/>
      <dgm:spPr/>
      <dgm:t>
        <a:bodyPr/>
        <a:lstStyle/>
        <a:p>
          <a:endParaRPr lang="en-GB"/>
        </a:p>
      </dgm:t>
    </dgm:pt>
    <dgm:pt modelId="{BAE15C2A-FF49-440E-B87A-9997A1D20662}" type="sibTrans" cxnId="{B01EC6E2-C0E4-46EE-A5AF-1DF1F8C68657}">
      <dgm:prSet/>
      <dgm:spPr/>
      <dgm:t>
        <a:bodyPr/>
        <a:lstStyle/>
        <a:p>
          <a:endParaRPr lang="en-GB"/>
        </a:p>
      </dgm:t>
    </dgm:pt>
    <dgm:pt modelId="{8B3E0B1D-A192-40BC-891C-47B78FEC64F6}">
      <dgm:prSet phldrT="[Text]"/>
      <dgm:spPr/>
      <dgm:t>
        <a:bodyPr/>
        <a:lstStyle/>
        <a:p>
          <a:r>
            <a:rPr lang="en-GB"/>
            <a:t>Competitor Analysis</a:t>
          </a:r>
        </a:p>
      </dgm:t>
    </dgm:pt>
    <dgm:pt modelId="{AF76269C-10FC-4951-BE5C-6B7FB8D2B594}" type="parTrans" cxnId="{19161AF5-967D-4555-B5CA-68FB6A41E678}">
      <dgm:prSet/>
      <dgm:spPr/>
      <dgm:t>
        <a:bodyPr/>
        <a:lstStyle/>
        <a:p>
          <a:endParaRPr lang="en-GB"/>
        </a:p>
      </dgm:t>
    </dgm:pt>
    <dgm:pt modelId="{C5FA8058-A1C2-42C6-94D3-B4B3737C7C5C}" type="sibTrans" cxnId="{19161AF5-967D-4555-B5CA-68FB6A41E678}">
      <dgm:prSet/>
      <dgm:spPr/>
      <dgm:t>
        <a:bodyPr/>
        <a:lstStyle/>
        <a:p>
          <a:endParaRPr lang="en-GB"/>
        </a:p>
      </dgm:t>
    </dgm:pt>
    <dgm:pt modelId="{0229C9C2-06BD-4E72-8869-BC785A42AC02}">
      <dgm:prSet phldrT="[Text]"/>
      <dgm:spPr/>
      <dgm:t>
        <a:bodyPr/>
        <a:lstStyle/>
        <a:p>
          <a:r>
            <a:rPr lang="en-GB"/>
            <a:t>Customer Analysis</a:t>
          </a:r>
        </a:p>
      </dgm:t>
    </dgm:pt>
    <dgm:pt modelId="{66A713FC-8DB9-41AC-8C74-722F0672B9DA}" type="parTrans" cxnId="{1ABEC6C9-3FFD-4424-9212-9AA4901B998C}">
      <dgm:prSet/>
      <dgm:spPr/>
      <dgm:t>
        <a:bodyPr/>
        <a:lstStyle/>
        <a:p>
          <a:endParaRPr lang="en-GB"/>
        </a:p>
      </dgm:t>
    </dgm:pt>
    <dgm:pt modelId="{EB5D6FFF-38F7-4713-B699-BC1B1333F2F4}" type="sibTrans" cxnId="{1ABEC6C9-3FFD-4424-9212-9AA4901B998C}">
      <dgm:prSet/>
      <dgm:spPr/>
      <dgm:t>
        <a:bodyPr/>
        <a:lstStyle/>
        <a:p>
          <a:endParaRPr lang="en-GB"/>
        </a:p>
      </dgm:t>
    </dgm:pt>
    <dgm:pt modelId="{13F49271-EEE5-4304-A056-FBD37E9297D1}" type="pres">
      <dgm:prSet presAssocID="{733D61B2-D755-4229-A7F8-86C46FF39ADE}" presName="cycle" presStyleCnt="0">
        <dgm:presLayoutVars>
          <dgm:dir/>
          <dgm:resizeHandles val="exact"/>
        </dgm:presLayoutVars>
      </dgm:prSet>
      <dgm:spPr/>
    </dgm:pt>
    <dgm:pt modelId="{CB16D56E-266E-4171-AC39-2CA6DEF61177}" type="pres">
      <dgm:prSet presAssocID="{78B9E373-0D0C-4E27-BDBD-94215C33B6C0}" presName="node" presStyleLbl="node1" presStyleIdx="0" presStyleCnt="9">
        <dgm:presLayoutVars>
          <dgm:bulletEnabled val="1"/>
        </dgm:presLayoutVars>
      </dgm:prSet>
      <dgm:spPr/>
    </dgm:pt>
    <dgm:pt modelId="{9A9D55A4-EDB4-415C-9AA4-AF0E891287F9}" type="pres">
      <dgm:prSet presAssocID="{624D27FB-731C-4761-8941-22F886818BFA}" presName="sibTrans" presStyleLbl="sibTrans2D1" presStyleIdx="0" presStyleCnt="9"/>
      <dgm:spPr/>
    </dgm:pt>
    <dgm:pt modelId="{70671D2B-C2D8-45F4-B739-68A7E3707493}" type="pres">
      <dgm:prSet presAssocID="{624D27FB-731C-4761-8941-22F886818BFA}" presName="connectorText" presStyleLbl="sibTrans2D1" presStyleIdx="0" presStyleCnt="9"/>
      <dgm:spPr/>
    </dgm:pt>
    <dgm:pt modelId="{ED259510-3F86-47BF-8027-BC68480D9C6A}" type="pres">
      <dgm:prSet presAssocID="{AE69B8E0-D102-4A33-9E7E-8BDDEE8EADA5}" presName="node" presStyleLbl="node1" presStyleIdx="1" presStyleCnt="9">
        <dgm:presLayoutVars>
          <dgm:bulletEnabled val="1"/>
        </dgm:presLayoutVars>
      </dgm:prSet>
      <dgm:spPr/>
    </dgm:pt>
    <dgm:pt modelId="{1986961C-1EDC-4AB3-B0A4-5FD2A562A565}" type="pres">
      <dgm:prSet presAssocID="{FB160AA6-68BA-491B-8C3E-4E7DF7C27125}" presName="sibTrans" presStyleLbl="sibTrans2D1" presStyleIdx="1" presStyleCnt="9"/>
      <dgm:spPr/>
    </dgm:pt>
    <dgm:pt modelId="{F1D96912-8BF1-4828-B34D-B7EED0E6C076}" type="pres">
      <dgm:prSet presAssocID="{FB160AA6-68BA-491B-8C3E-4E7DF7C27125}" presName="connectorText" presStyleLbl="sibTrans2D1" presStyleIdx="1" presStyleCnt="9"/>
      <dgm:spPr/>
    </dgm:pt>
    <dgm:pt modelId="{F6FD02D1-DCAE-4B18-A460-8127440E6D23}" type="pres">
      <dgm:prSet presAssocID="{DE1A9AAD-B01A-4E53-B4D4-B4BEC985386F}" presName="node" presStyleLbl="node1" presStyleIdx="2" presStyleCnt="9">
        <dgm:presLayoutVars>
          <dgm:bulletEnabled val="1"/>
        </dgm:presLayoutVars>
      </dgm:prSet>
      <dgm:spPr/>
    </dgm:pt>
    <dgm:pt modelId="{013341FF-58C1-473D-97E2-EAFA7AA1FEBA}" type="pres">
      <dgm:prSet presAssocID="{1D975D37-E931-4495-BC88-A8D89C948288}" presName="sibTrans" presStyleLbl="sibTrans2D1" presStyleIdx="2" presStyleCnt="9"/>
      <dgm:spPr/>
    </dgm:pt>
    <dgm:pt modelId="{2A4CCB9D-473B-4ED6-8B4C-858341578789}" type="pres">
      <dgm:prSet presAssocID="{1D975D37-E931-4495-BC88-A8D89C948288}" presName="connectorText" presStyleLbl="sibTrans2D1" presStyleIdx="2" presStyleCnt="9"/>
      <dgm:spPr/>
    </dgm:pt>
    <dgm:pt modelId="{1729D02F-CE72-452D-AAF6-907D69E98599}" type="pres">
      <dgm:prSet presAssocID="{C3448D28-99F5-421D-BCF2-81D29FF8C3DC}" presName="node" presStyleLbl="node1" presStyleIdx="3" presStyleCnt="9">
        <dgm:presLayoutVars>
          <dgm:bulletEnabled val="1"/>
        </dgm:presLayoutVars>
      </dgm:prSet>
      <dgm:spPr/>
    </dgm:pt>
    <dgm:pt modelId="{CC6456AC-4A9B-43E7-AD0C-45AD87B540EB}" type="pres">
      <dgm:prSet presAssocID="{8CC624AA-E270-421A-B8ED-D8B272000E88}" presName="sibTrans" presStyleLbl="sibTrans2D1" presStyleIdx="3" presStyleCnt="9"/>
      <dgm:spPr/>
    </dgm:pt>
    <dgm:pt modelId="{82D94A0E-DF2B-4148-8A3D-7AF2FC43BD0D}" type="pres">
      <dgm:prSet presAssocID="{8CC624AA-E270-421A-B8ED-D8B272000E88}" presName="connectorText" presStyleLbl="sibTrans2D1" presStyleIdx="3" presStyleCnt="9"/>
      <dgm:spPr/>
    </dgm:pt>
    <dgm:pt modelId="{6F5D3036-54CC-44AD-8CEA-73E63858730B}" type="pres">
      <dgm:prSet presAssocID="{70E1B19D-12C5-4B53-B251-325BE9D18E41}" presName="node" presStyleLbl="node1" presStyleIdx="4" presStyleCnt="9">
        <dgm:presLayoutVars>
          <dgm:bulletEnabled val="1"/>
        </dgm:presLayoutVars>
      </dgm:prSet>
      <dgm:spPr/>
    </dgm:pt>
    <dgm:pt modelId="{ABF0310C-4203-4209-BDBE-8EE500FE7D39}" type="pres">
      <dgm:prSet presAssocID="{BAE15C2A-FF49-440E-B87A-9997A1D20662}" presName="sibTrans" presStyleLbl="sibTrans2D1" presStyleIdx="4" presStyleCnt="9"/>
      <dgm:spPr/>
    </dgm:pt>
    <dgm:pt modelId="{1890658A-6A82-499E-8097-29BCC89C06B9}" type="pres">
      <dgm:prSet presAssocID="{BAE15C2A-FF49-440E-B87A-9997A1D20662}" presName="connectorText" presStyleLbl="sibTrans2D1" presStyleIdx="4" presStyleCnt="9"/>
      <dgm:spPr/>
    </dgm:pt>
    <dgm:pt modelId="{F46E1882-E4F3-49E4-98A9-9CC9A2324A63}" type="pres">
      <dgm:prSet presAssocID="{EA6A5224-41F7-4626-B715-BF6C7903882E}" presName="node" presStyleLbl="node1" presStyleIdx="5" presStyleCnt="9">
        <dgm:presLayoutVars>
          <dgm:bulletEnabled val="1"/>
        </dgm:presLayoutVars>
      </dgm:prSet>
      <dgm:spPr/>
    </dgm:pt>
    <dgm:pt modelId="{BD52C944-D856-4730-A144-F268149A77A1}" type="pres">
      <dgm:prSet presAssocID="{68FC4AD5-F97D-4B4C-8396-AB580EB81890}" presName="sibTrans" presStyleLbl="sibTrans2D1" presStyleIdx="5" presStyleCnt="9"/>
      <dgm:spPr/>
    </dgm:pt>
    <dgm:pt modelId="{75AA8D86-1CB3-4311-B8DA-E654E266166B}" type="pres">
      <dgm:prSet presAssocID="{68FC4AD5-F97D-4B4C-8396-AB580EB81890}" presName="connectorText" presStyleLbl="sibTrans2D1" presStyleIdx="5" presStyleCnt="9"/>
      <dgm:spPr/>
    </dgm:pt>
    <dgm:pt modelId="{18A7B518-15AC-46D8-BDD6-B8D3A078BF00}" type="pres">
      <dgm:prSet presAssocID="{AD450D05-9FD0-4103-A0CE-0EA7E07C5E8B}" presName="node" presStyleLbl="node1" presStyleIdx="6" presStyleCnt="9">
        <dgm:presLayoutVars>
          <dgm:bulletEnabled val="1"/>
        </dgm:presLayoutVars>
      </dgm:prSet>
      <dgm:spPr/>
    </dgm:pt>
    <dgm:pt modelId="{8D2766DC-1E18-440F-AAC8-B50857171118}" type="pres">
      <dgm:prSet presAssocID="{CC4BCE64-456C-4725-9A91-101094EFD802}" presName="sibTrans" presStyleLbl="sibTrans2D1" presStyleIdx="6" presStyleCnt="9"/>
      <dgm:spPr/>
    </dgm:pt>
    <dgm:pt modelId="{1012128B-07FF-46FB-BB3B-A277B9056082}" type="pres">
      <dgm:prSet presAssocID="{CC4BCE64-456C-4725-9A91-101094EFD802}" presName="connectorText" presStyleLbl="sibTrans2D1" presStyleIdx="6" presStyleCnt="9"/>
      <dgm:spPr/>
    </dgm:pt>
    <dgm:pt modelId="{9469002E-7CBD-487F-AA94-72902EAD0422}" type="pres">
      <dgm:prSet presAssocID="{8B3E0B1D-A192-40BC-891C-47B78FEC64F6}" presName="node" presStyleLbl="node1" presStyleIdx="7" presStyleCnt="9">
        <dgm:presLayoutVars>
          <dgm:bulletEnabled val="1"/>
        </dgm:presLayoutVars>
      </dgm:prSet>
      <dgm:spPr/>
    </dgm:pt>
    <dgm:pt modelId="{A60CDD8A-3F2B-47B9-9349-B8E3B68B773F}" type="pres">
      <dgm:prSet presAssocID="{C5FA8058-A1C2-42C6-94D3-B4B3737C7C5C}" presName="sibTrans" presStyleLbl="sibTrans2D1" presStyleIdx="7" presStyleCnt="9"/>
      <dgm:spPr/>
    </dgm:pt>
    <dgm:pt modelId="{0839E1A0-38AD-49F3-BFD9-5EBDF5234AEA}" type="pres">
      <dgm:prSet presAssocID="{C5FA8058-A1C2-42C6-94D3-B4B3737C7C5C}" presName="connectorText" presStyleLbl="sibTrans2D1" presStyleIdx="7" presStyleCnt="9"/>
      <dgm:spPr/>
    </dgm:pt>
    <dgm:pt modelId="{88B5D7E3-A819-45D3-8300-B5470BEABB8B}" type="pres">
      <dgm:prSet presAssocID="{0229C9C2-06BD-4E72-8869-BC785A42AC02}" presName="node" presStyleLbl="node1" presStyleIdx="8" presStyleCnt="9">
        <dgm:presLayoutVars>
          <dgm:bulletEnabled val="1"/>
        </dgm:presLayoutVars>
      </dgm:prSet>
      <dgm:spPr/>
    </dgm:pt>
    <dgm:pt modelId="{7A86CB19-F827-4F24-B3B2-9121AE96AEB5}" type="pres">
      <dgm:prSet presAssocID="{EB5D6FFF-38F7-4713-B699-BC1B1333F2F4}" presName="sibTrans" presStyleLbl="sibTrans2D1" presStyleIdx="8" presStyleCnt="9"/>
      <dgm:spPr/>
    </dgm:pt>
    <dgm:pt modelId="{C4B7EC4B-480A-44E0-A055-2555A88DA5AA}" type="pres">
      <dgm:prSet presAssocID="{EB5D6FFF-38F7-4713-B699-BC1B1333F2F4}" presName="connectorText" presStyleLbl="sibTrans2D1" presStyleIdx="8" presStyleCnt="9"/>
      <dgm:spPr/>
    </dgm:pt>
  </dgm:ptLst>
  <dgm:cxnLst>
    <dgm:cxn modelId="{AD8F0010-6321-4211-A0B0-F52A14EC4215}" type="presOf" srcId="{624D27FB-731C-4761-8941-22F886818BFA}" destId="{70671D2B-C2D8-45F4-B739-68A7E3707493}" srcOrd="1" destOrd="0" presId="urn:microsoft.com/office/officeart/2005/8/layout/cycle2"/>
    <dgm:cxn modelId="{A9F7F823-0520-4F06-BAD9-3C20C9F7DDF1}" type="presOf" srcId="{EB5D6FFF-38F7-4713-B699-BC1B1333F2F4}" destId="{C4B7EC4B-480A-44E0-A055-2555A88DA5AA}" srcOrd="1" destOrd="0" presId="urn:microsoft.com/office/officeart/2005/8/layout/cycle2"/>
    <dgm:cxn modelId="{D96D7130-0F6E-40EB-8585-A25F48C8760D}" type="presOf" srcId="{0229C9C2-06BD-4E72-8869-BC785A42AC02}" destId="{88B5D7E3-A819-45D3-8300-B5470BEABB8B}" srcOrd="0" destOrd="0" presId="urn:microsoft.com/office/officeart/2005/8/layout/cycle2"/>
    <dgm:cxn modelId="{761B4A36-3B18-43A6-9CE8-A1147EEAFFB4}" type="presOf" srcId="{8CC624AA-E270-421A-B8ED-D8B272000E88}" destId="{CC6456AC-4A9B-43E7-AD0C-45AD87B540EB}" srcOrd="0" destOrd="0" presId="urn:microsoft.com/office/officeart/2005/8/layout/cycle2"/>
    <dgm:cxn modelId="{40C76A36-444F-470D-A079-20F1CFF8DA99}" type="presOf" srcId="{EA6A5224-41F7-4626-B715-BF6C7903882E}" destId="{F46E1882-E4F3-49E4-98A9-9CC9A2324A63}" srcOrd="0" destOrd="0" presId="urn:microsoft.com/office/officeart/2005/8/layout/cycle2"/>
    <dgm:cxn modelId="{5D3F6361-5989-47DE-ABBB-77BE334E79DE}" type="presOf" srcId="{DE1A9AAD-B01A-4E53-B4D4-B4BEC985386F}" destId="{F6FD02D1-DCAE-4B18-A460-8127440E6D23}" srcOrd="0" destOrd="0" presId="urn:microsoft.com/office/officeart/2005/8/layout/cycle2"/>
    <dgm:cxn modelId="{219B2665-76AC-46B0-93F9-7047C1B164C8}" type="presOf" srcId="{BAE15C2A-FF49-440E-B87A-9997A1D20662}" destId="{1890658A-6A82-499E-8097-29BCC89C06B9}" srcOrd="1" destOrd="0" presId="urn:microsoft.com/office/officeart/2005/8/layout/cycle2"/>
    <dgm:cxn modelId="{1D993546-067F-4D72-ABFF-26121399F82D}" srcId="{733D61B2-D755-4229-A7F8-86C46FF39ADE}" destId="{AD450D05-9FD0-4103-A0CE-0EA7E07C5E8B}" srcOrd="6" destOrd="0" parTransId="{C5880827-EC32-4FBD-AA9F-9E9FEB9E369E}" sibTransId="{CC4BCE64-456C-4725-9A91-101094EFD802}"/>
    <dgm:cxn modelId="{40B3044B-0D53-4DFC-953A-7F4AC4CBBA94}" type="presOf" srcId="{8B3E0B1D-A192-40BC-891C-47B78FEC64F6}" destId="{9469002E-7CBD-487F-AA94-72902EAD0422}" srcOrd="0" destOrd="0" presId="urn:microsoft.com/office/officeart/2005/8/layout/cycle2"/>
    <dgm:cxn modelId="{CC439D4B-D0C6-4665-A745-AAA7EB020171}" type="presOf" srcId="{BAE15C2A-FF49-440E-B87A-9997A1D20662}" destId="{ABF0310C-4203-4209-BDBE-8EE500FE7D39}" srcOrd="0" destOrd="0" presId="urn:microsoft.com/office/officeart/2005/8/layout/cycle2"/>
    <dgm:cxn modelId="{13CAF950-4DA1-4022-B63D-D1390F10B4E4}" srcId="{733D61B2-D755-4229-A7F8-86C46FF39ADE}" destId="{DE1A9AAD-B01A-4E53-B4D4-B4BEC985386F}" srcOrd="2" destOrd="0" parTransId="{45CB5CAD-F1DF-4F3C-8EC9-1FBB4175258A}" sibTransId="{1D975D37-E931-4495-BC88-A8D89C948288}"/>
    <dgm:cxn modelId="{C5860379-F949-48CF-BE91-516DAE752A5E}" type="presOf" srcId="{AE69B8E0-D102-4A33-9E7E-8BDDEE8EADA5}" destId="{ED259510-3F86-47BF-8027-BC68480D9C6A}" srcOrd="0" destOrd="0" presId="urn:microsoft.com/office/officeart/2005/8/layout/cycle2"/>
    <dgm:cxn modelId="{C08DB55A-398B-47BA-B5B3-5B9A5B2AF729}" type="presOf" srcId="{FB160AA6-68BA-491B-8C3E-4E7DF7C27125}" destId="{1986961C-1EDC-4AB3-B0A4-5FD2A562A565}" srcOrd="0" destOrd="0" presId="urn:microsoft.com/office/officeart/2005/8/layout/cycle2"/>
    <dgm:cxn modelId="{DF37BE7E-1673-4EDD-B249-E6A9FDDC7365}" type="presOf" srcId="{CC4BCE64-456C-4725-9A91-101094EFD802}" destId="{8D2766DC-1E18-440F-AAC8-B50857171118}" srcOrd="0" destOrd="0" presId="urn:microsoft.com/office/officeart/2005/8/layout/cycle2"/>
    <dgm:cxn modelId="{25B854A7-6D22-4CF2-AE2A-AB42CA1E13D1}" type="presOf" srcId="{1D975D37-E931-4495-BC88-A8D89C948288}" destId="{013341FF-58C1-473D-97E2-EAFA7AA1FEBA}" srcOrd="0" destOrd="0" presId="urn:microsoft.com/office/officeart/2005/8/layout/cycle2"/>
    <dgm:cxn modelId="{F1B555A7-B05F-4F15-9539-4D21E5577475}" type="presOf" srcId="{FB160AA6-68BA-491B-8C3E-4E7DF7C27125}" destId="{F1D96912-8BF1-4828-B34D-B7EED0E6C076}" srcOrd="1" destOrd="0" presId="urn:microsoft.com/office/officeart/2005/8/layout/cycle2"/>
    <dgm:cxn modelId="{84B3A2AB-E3EB-4352-B464-C101A86AE1F9}" srcId="{733D61B2-D755-4229-A7F8-86C46FF39ADE}" destId="{C3448D28-99F5-421D-BCF2-81D29FF8C3DC}" srcOrd="3" destOrd="0" parTransId="{81B35E4D-38C4-4A72-802B-15015EC97221}" sibTransId="{8CC624AA-E270-421A-B8ED-D8B272000E88}"/>
    <dgm:cxn modelId="{D2D797AE-A4F5-467E-AA19-1C88192AD469}" type="presOf" srcId="{733D61B2-D755-4229-A7F8-86C46FF39ADE}" destId="{13F49271-EEE5-4304-A056-FBD37E9297D1}" srcOrd="0" destOrd="0" presId="urn:microsoft.com/office/officeart/2005/8/layout/cycle2"/>
    <dgm:cxn modelId="{66BF01B2-4749-4FF5-A9AC-C67EA9F428D5}" type="presOf" srcId="{C5FA8058-A1C2-42C6-94D3-B4B3737C7C5C}" destId="{0839E1A0-38AD-49F3-BFD9-5EBDF5234AEA}" srcOrd="1" destOrd="0" presId="urn:microsoft.com/office/officeart/2005/8/layout/cycle2"/>
    <dgm:cxn modelId="{C14EB3B6-84E9-4F79-BE1A-9E4A219C8C38}" srcId="{733D61B2-D755-4229-A7F8-86C46FF39ADE}" destId="{78B9E373-0D0C-4E27-BDBD-94215C33B6C0}" srcOrd="0" destOrd="0" parTransId="{0C22A2F7-383F-48CA-BCE9-018BB606AE70}" sibTransId="{624D27FB-731C-4761-8941-22F886818BFA}"/>
    <dgm:cxn modelId="{611069BB-C3BC-4EB0-B9DD-308E209464F6}" type="presOf" srcId="{68FC4AD5-F97D-4B4C-8396-AB580EB81890}" destId="{BD52C944-D856-4730-A144-F268149A77A1}" srcOrd="0" destOrd="0" presId="urn:microsoft.com/office/officeart/2005/8/layout/cycle2"/>
    <dgm:cxn modelId="{CB3C9FBE-3614-4B82-A692-BC33699038F0}" type="presOf" srcId="{EB5D6FFF-38F7-4713-B699-BC1B1333F2F4}" destId="{7A86CB19-F827-4F24-B3B2-9121AE96AEB5}" srcOrd="0" destOrd="0" presId="urn:microsoft.com/office/officeart/2005/8/layout/cycle2"/>
    <dgm:cxn modelId="{1ABEC6C9-3FFD-4424-9212-9AA4901B998C}" srcId="{733D61B2-D755-4229-A7F8-86C46FF39ADE}" destId="{0229C9C2-06BD-4E72-8869-BC785A42AC02}" srcOrd="8" destOrd="0" parTransId="{66A713FC-8DB9-41AC-8C74-722F0672B9DA}" sibTransId="{EB5D6FFF-38F7-4713-B699-BC1B1333F2F4}"/>
    <dgm:cxn modelId="{9D68B8CD-C6FF-4B41-8A94-A20D86A6B4A9}" type="presOf" srcId="{70E1B19D-12C5-4B53-B251-325BE9D18E41}" destId="{6F5D3036-54CC-44AD-8CEA-73E63858730B}" srcOrd="0" destOrd="0" presId="urn:microsoft.com/office/officeart/2005/8/layout/cycle2"/>
    <dgm:cxn modelId="{F892B2CE-52A3-485F-AE1A-6E247775930F}" type="presOf" srcId="{78B9E373-0D0C-4E27-BDBD-94215C33B6C0}" destId="{CB16D56E-266E-4171-AC39-2CA6DEF61177}" srcOrd="0" destOrd="0" presId="urn:microsoft.com/office/officeart/2005/8/layout/cycle2"/>
    <dgm:cxn modelId="{F4C69BDB-3D37-49CE-8014-9266CA8EE5A3}" srcId="{733D61B2-D755-4229-A7F8-86C46FF39ADE}" destId="{AE69B8E0-D102-4A33-9E7E-8BDDEE8EADA5}" srcOrd="1" destOrd="0" parTransId="{E3D1B260-7E72-4D7F-A9A3-F9F10D84DF57}" sibTransId="{FB160AA6-68BA-491B-8C3E-4E7DF7C27125}"/>
    <dgm:cxn modelId="{96F3F3DC-FC05-49F0-8457-7A435ED7BA27}" type="presOf" srcId="{C5FA8058-A1C2-42C6-94D3-B4B3737C7C5C}" destId="{A60CDD8A-3F2B-47B9-9349-B8E3B68B773F}" srcOrd="0" destOrd="0" presId="urn:microsoft.com/office/officeart/2005/8/layout/cycle2"/>
    <dgm:cxn modelId="{D46D3AE2-849E-46A1-91B1-1F7EFB075DA9}" type="presOf" srcId="{624D27FB-731C-4761-8941-22F886818BFA}" destId="{9A9D55A4-EDB4-415C-9AA4-AF0E891287F9}" srcOrd="0" destOrd="0" presId="urn:microsoft.com/office/officeart/2005/8/layout/cycle2"/>
    <dgm:cxn modelId="{B01EC6E2-C0E4-46EE-A5AF-1DF1F8C68657}" srcId="{733D61B2-D755-4229-A7F8-86C46FF39ADE}" destId="{70E1B19D-12C5-4B53-B251-325BE9D18E41}" srcOrd="4" destOrd="0" parTransId="{0A5B23E7-F436-4721-9732-47DBE85062F1}" sibTransId="{BAE15C2A-FF49-440E-B87A-9997A1D20662}"/>
    <dgm:cxn modelId="{0A6998E3-B6C7-40FC-8800-EBB225F5F5D3}" type="presOf" srcId="{C3448D28-99F5-421D-BCF2-81D29FF8C3DC}" destId="{1729D02F-CE72-452D-AAF6-907D69E98599}" srcOrd="0" destOrd="0" presId="urn:microsoft.com/office/officeart/2005/8/layout/cycle2"/>
    <dgm:cxn modelId="{815C57E4-7FB8-4D9D-8D27-7AB52FDD9380}" type="presOf" srcId="{CC4BCE64-456C-4725-9A91-101094EFD802}" destId="{1012128B-07FF-46FB-BB3B-A277B9056082}" srcOrd="1" destOrd="0" presId="urn:microsoft.com/office/officeart/2005/8/layout/cycle2"/>
    <dgm:cxn modelId="{233F66E6-79FA-4239-BEDC-82E0AF52BF8E}" srcId="{733D61B2-D755-4229-A7F8-86C46FF39ADE}" destId="{EA6A5224-41F7-4626-B715-BF6C7903882E}" srcOrd="5" destOrd="0" parTransId="{0DEC50F6-4217-4980-9240-2D74487490AA}" sibTransId="{68FC4AD5-F97D-4B4C-8396-AB580EB81890}"/>
    <dgm:cxn modelId="{DC320AE9-7F40-47D3-86EE-86DFEB23D743}" type="presOf" srcId="{1D975D37-E931-4495-BC88-A8D89C948288}" destId="{2A4CCB9D-473B-4ED6-8B4C-858341578789}" srcOrd="1" destOrd="0" presId="urn:microsoft.com/office/officeart/2005/8/layout/cycle2"/>
    <dgm:cxn modelId="{63A52FEF-40E0-45C7-A63F-2854ABF144A3}" type="presOf" srcId="{8CC624AA-E270-421A-B8ED-D8B272000E88}" destId="{82D94A0E-DF2B-4148-8A3D-7AF2FC43BD0D}" srcOrd="1" destOrd="0" presId="urn:microsoft.com/office/officeart/2005/8/layout/cycle2"/>
    <dgm:cxn modelId="{19161AF5-967D-4555-B5CA-68FB6A41E678}" srcId="{733D61B2-D755-4229-A7F8-86C46FF39ADE}" destId="{8B3E0B1D-A192-40BC-891C-47B78FEC64F6}" srcOrd="7" destOrd="0" parTransId="{AF76269C-10FC-4951-BE5C-6B7FB8D2B594}" sibTransId="{C5FA8058-A1C2-42C6-94D3-B4B3737C7C5C}"/>
    <dgm:cxn modelId="{AABDA7F9-8384-4C3B-8D7B-9FDD5B9097DD}" type="presOf" srcId="{68FC4AD5-F97D-4B4C-8396-AB580EB81890}" destId="{75AA8D86-1CB3-4311-B8DA-E654E266166B}" srcOrd="1" destOrd="0" presId="urn:microsoft.com/office/officeart/2005/8/layout/cycle2"/>
    <dgm:cxn modelId="{A47FE2FF-7A1E-489A-B1DA-E543AB1E7339}" type="presOf" srcId="{AD450D05-9FD0-4103-A0CE-0EA7E07C5E8B}" destId="{18A7B518-15AC-46D8-BDD6-B8D3A078BF00}" srcOrd="0" destOrd="0" presId="urn:microsoft.com/office/officeart/2005/8/layout/cycle2"/>
    <dgm:cxn modelId="{A8E743DC-2D9B-487B-83E4-FFA6E039F374}" type="presParOf" srcId="{13F49271-EEE5-4304-A056-FBD37E9297D1}" destId="{CB16D56E-266E-4171-AC39-2CA6DEF61177}" srcOrd="0" destOrd="0" presId="urn:microsoft.com/office/officeart/2005/8/layout/cycle2"/>
    <dgm:cxn modelId="{EAF6CBD3-687B-4EB8-8BB1-3E119829F8CF}" type="presParOf" srcId="{13F49271-EEE5-4304-A056-FBD37E9297D1}" destId="{9A9D55A4-EDB4-415C-9AA4-AF0E891287F9}" srcOrd="1" destOrd="0" presId="urn:microsoft.com/office/officeart/2005/8/layout/cycle2"/>
    <dgm:cxn modelId="{6C049952-DA00-4CCB-A366-408B1745BE5D}" type="presParOf" srcId="{9A9D55A4-EDB4-415C-9AA4-AF0E891287F9}" destId="{70671D2B-C2D8-45F4-B739-68A7E3707493}" srcOrd="0" destOrd="0" presId="urn:microsoft.com/office/officeart/2005/8/layout/cycle2"/>
    <dgm:cxn modelId="{D48DB95C-F55D-4A4E-9955-D0FAFC233AD2}" type="presParOf" srcId="{13F49271-EEE5-4304-A056-FBD37E9297D1}" destId="{ED259510-3F86-47BF-8027-BC68480D9C6A}" srcOrd="2" destOrd="0" presId="urn:microsoft.com/office/officeart/2005/8/layout/cycle2"/>
    <dgm:cxn modelId="{849031CA-E049-4712-8E54-7353B0F462ED}" type="presParOf" srcId="{13F49271-EEE5-4304-A056-FBD37E9297D1}" destId="{1986961C-1EDC-4AB3-B0A4-5FD2A562A565}" srcOrd="3" destOrd="0" presId="urn:microsoft.com/office/officeart/2005/8/layout/cycle2"/>
    <dgm:cxn modelId="{3B249828-B54A-4898-93CD-D34A4ADA4EFA}" type="presParOf" srcId="{1986961C-1EDC-4AB3-B0A4-5FD2A562A565}" destId="{F1D96912-8BF1-4828-B34D-B7EED0E6C076}" srcOrd="0" destOrd="0" presId="urn:microsoft.com/office/officeart/2005/8/layout/cycle2"/>
    <dgm:cxn modelId="{00B8DDA5-613A-4104-BFF1-7C56579478FD}" type="presParOf" srcId="{13F49271-EEE5-4304-A056-FBD37E9297D1}" destId="{F6FD02D1-DCAE-4B18-A460-8127440E6D23}" srcOrd="4" destOrd="0" presId="urn:microsoft.com/office/officeart/2005/8/layout/cycle2"/>
    <dgm:cxn modelId="{CBB0A26A-D3F5-4D87-94EB-B97A93388D28}" type="presParOf" srcId="{13F49271-EEE5-4304-A056-FBD37E9297D1}" destId="{013341FF-58C1-473D-97E2-EAFA7AA1FEBA}" srcOrd="5" destOrd="0" presId="urn:microsoft.com/office/officeart/2005/8/layout/cycle2"/>
    <dgm:cxn modelId="{304E3B73-E6C5-47A6-9112-103C6C32EEFA}" type="presParOf" srcId="{013341FF-58C1-473D-97E2-EAFA7AA1FEBA}" destId="{2A4CCB9D-473B-4ED6-8B4C-858341578789}" srcOrd="0" destOrd="0" presId="urn:microsoft.com/office/officeart/2005/8/layout/cycle2"/>
    <dgm:cxn modelId="{C1FD18E1-6840-4BD8-B83E-B4D83A4E2775}" type="presParOf" srcId="{13F49271-EEE5-4304-A056-FBD37E9297D1}" destId="{1729D02F-CE72-452D-AAF6-907D69E98599}" srcOrd="6" destOrd="0" presId="urn:microsoft.com/office/officeart/2005/8/layout/cycle2"/>
    <dgm:cxn modelId="{3E2B74F8-D73A-41AB-A719-66F465B31D97}" type="presParOf" srcId="{13F49271-EEE5-4304-A056-FBD37E9297D1}" destId="{CC6456AC-4A9B-43E7-AD0C-45AD87B540EB}" srcOrd="7" destOrd="0" presId="urn:microsoft.com/office/officeart/2005/8/layout/cycle2"/>
    <dgm:cxn modelId="{9BEB8544-FFCC-4FDD-9BAD-D339F235D941}" type="presParOf" srcId="{CC6456AC-4A9B-43E7-AD0C-45AD87B540EB}" destId="{82D94A0E-DF2B-4148-8A3D-7AF2FC43BD0D}" srcOrd="0" destOrd="0" presId="urn:microsoft.com/office/officeart/2005/8/layout/cycle2"/>
    <dgm:cxn modelId="{9AC48A3B-6DBF-4982-9394-3167A72E66FC}" type="presParOf" srcId="{13F49271-EEE5-4304-A056-FBD37E9297D1}" destId="{6F5D3036-54CC-44AD-8CEA-73E63858730B}" srcOrd="8" destOrd="0" presId="urn:microsoft.com/office/officeart/2005/8/layout/cycle2"/>
    <dgm:cxn modelId="{612D3386-36D6-4B4E-9A09-ABC535E2D675}" type="presParOf" srcId="{13F49271-EEE5-4304-A056-FBD37E9297D1}" destId="{ABF0310C-4203-4209-BDBE-8EE500FE7D39}" srcOrd="9" destOrd="0" presId="urn:microsoft.com/office/officeart/2005/8/layout/cycle2"/>
    <dgm:cxn modelId="{AC998307-D291-445B-BF87-FAC84A86114F}" type="presParOf" srcId="{ABF0310C-4203-4209-BDBE-8EE500FE7D39}" destId="{1890658A-6A82-499E-8097-29BCC89C06B9}" srcOrd="0" destOrd="0" presId="urn:microsoft.com/office/officeart/2005/8/layout/cycle2"/>
    <dgm:cxn modelId="{2319F6A5-B942-4459-A86E-49B488352196}" type="presParOf" srcId="{13F49271-EEE5-4304-A056-FBD37E9297D1}" destId="{F46E1882-E4F3-49E4-98A9-9CC9A2324A63}" srcOrd="10" destOrd="0" presId="urn:microsoft.com/office/officeart/2005/8/layout/cycle2"/>
    <dgm:cxn modelId="{56493895-AE5D-4102-8A36-FCFEF233B6EA}" type="presParOf" srcId="{13F49271-EEE5-4304-A056-FBD37E9297D1}" destId="{BD52C944-D856-4730-A144-F268149A77A1}" srcOrd="11" destOrd="0" presId="urn:microsoft.com/office/officeart/2005/8/layout/cycle2"/>
    <dgm:cxn modelId="{308AB008-8596-45FA-9D9F-EF6226484BE6}" type="presParOf" srcId="{BD52C944-D856-4730-A144-F268149A77A1}" destId="{75AA8D86-1CB3-4311-B8DA-E654E266166B}" srcOrd="0" destOrd="0" presId="urn:microsoft.com/office/officeart/2005/8/layout/cycle2"/>
    <dgm:cxn modelId="{0A032F25-E1F5-45DC-A824-78DBED499A72}" type="presParOf" srcId="{13F49271-EEE5-4304-A056-FBD37E9297D1}" destId="{18A7B518-15AC-46D8-BDD6-B8D3A078BF00}" srcOrd="12" destOrd="0" presId="urn:microsoft.com/office/officeart/2005/8/layout/cycle2"/>
    <dgm:cxn modelId="{44FB3B05-8917-46D6-8E1B-4E5EF892E440}" type="presParOf" srcId="{13F49271-EEE5-4304-A056-FBD37E9297D1}" destId="{8D2766DC-1E18-440F-AAC8-B50857171118}" srcOrd="13" destOrd="0" presId="urn:microsoft.com/office/officeart/2005/8/layout/cycle2"/>
    <dgm:cxn modelId="{50533CA9-C519-44B8-87C7-2EC43A0E9512}" type="presParOf" srcId="{8D2766DC-1E18-440F-AAC8-B50857171118}" destId="{1012128B-07FF-46FB-BB3B-A277B9056082}" srcOrd="0" destOrd="0" presId="urn:microsoft.com/office/officeart/2005/8/layout/cycle2"/>
    <dgm:cxn modelId="{F20C77FC-FFA4-4877-8293-A492AA4602F9}" type="presParOf" srcId="{13F49271-EEE5-4304-A056-FBD37E9297D1}" destId="{9469002E-7CBD-487F-AA94-72902EAD0422}" srcOrd="14" destOrd="0" presId="urn:microsoft.com/office/officeart/2005/8/layout/cycle2"/>
    <dgm:cxn modelId="{0C09F537-463C-4AEA-8B5C-B7C2A3AAB468}" type="presParOf" srcId="{13F49271-EEE5-4304-A056-FBD37E9297D1}" destId="{A60CDD8A-3F2B-47B9-9349-B8E3B68B773F}" srcOrd="15" destOrd="0" presId="urn:microsoft.com/office/officeart/2005/8/layout/cycle2"/>
    <dgm:cxn modelId="{7D74D566-D9F0-4ADC-A362-AA8B85A2A0FF}" type="presParOf" srcId="{A60CDD8A-3F2B-47B9-9349-B8E3B68B773F}" destId="{0839E1A0-38AD-49F3-BFD9-5EBDF5234AEA}" srcOrd="0" destOrd="0" presId="urn:microsoft.com/office/officeart/2005/8/layout/cycle2"/>
    <dgm:cxn modelId="{D8148329-6FBE-493A-BBDB-03DEC716DC07}" type="presParOf" srcId="{13F49271-EEE5-4304-A056-FBD37E9297D1}" destId="{88B5D7E3-A819-45D3-8300-B5470BEABB8B}" srcOrd="16" destOrd="0" presId="urn:microsoft.com/office/officeart/2005/8/layout/cycle2"/>
    <dgm:cxn modelId="{DBCFB99D-931E-451E-B4FC-5589F9B029E7}" type="presParOf" srcId="{13F49271-EEE5-4304-A056-FBD37E9297D1}" destId="{7A86CB19-F827-4F24-B3B2-9121AE96AEB5}" srcOrd="17" destOrd="0" presId="urn:microsoft.com/office/officeart/2005/8/layout/cycle2"/>
    <dgm:cxn modelId="{7C800E15-E454-42BD-9ECF-01045C16F5C4}" type="presParOf" srcId="{7A86CB19-F827-4F24-B3B2-9121AE96AEB5}" destId="{C4B7EC4B-480A-44E0-A055-2555A88DA5AA}" srcOrd="0" destOrd="0" presId="urn:microsoft.com/office/officeart/2005/8/layout/cycle2"/>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5481BC8-B2DD-4CDC-83AD-E35C4E65EB68}" type="doc">
      <dgm:prSet loTypeId="urn:microsoft.com/office/officeart/2005/8/layout/radial5" loCatId="cycle" qsTypeId="urn:microsoft.com/office/officeart/2005/8/quickstyle/simple4" qsCatId="simple" csTypeId="urn:microsoft.com/office/officeart/2005/8/colors/accent1_2" csCatId="accent1" phldr="1"/>
      <dgm:spPr/>
      <dgm:t>
        <a:bodyPr/>
        <a:lstStyle/>
        <a:p>
          <a:endParaRPr lang="en-GB"/>
        </a:p>
      </dgm:t>
    </dgm:pt>
    <dgm:pt modelId="{3CCA9F21-D664-43F0-9277-25E6388C7756}">
      <dgm:prSet phldrT="[Text]"/>
      <dgm:spPr/>
      <dgm:t>
        <a:bodyPr/>
        <a:lstStyle/>
        <a:p>
          <a:r>
            <a:rPr lang="en-GB"/>
            <a:t>Organisation</a:t>
          </a:r>
        </a:p>
      </dgm:t>
    </dgm:pt>
    <dgm:pt modelId="{17FD4F55-3CC3-43B8-A5EC-1EAFED24407C}" type="parTrans" cxnId="{E1CC471B-9B03-4FDF-BEED-E599D7A1EBE1}">
      <dgm:prSet/>
      <dgm:spPr/>
      <dgm:t>
        <a:bodyPr/>
        <a:lstStyle/>
        <a:p>
          <a:endParaRPr lang="en-GB"/>
        </a:p>
      </dgm:t>
    </dgm:pt>
    <dgm:pt modelId="{DED63741-D323-4F0A-BDAB-C9714C67CCC3}" type="sibTrans" cxnId="{E1CC471B-9B03-4FDF-BEED-E599D7A1EBE1}">
      <dgm:prSet/>
      <dgm:spPr/>
      <dgm:t>
        <a:bodyPr/>
        <a:lstStyle/>
        <a:p>
          <a:endParaRPr lang="en-GB"/>
        </a:p>
      </dgm:t>
    </dgm:pt>
    <dgm:pt modelId="{4F0D7D09-9AC9-497F-A5D4-8B863364C2E6}">
      <dgm:prSet phldrT="[Text]"/>
      <dgm:spPr/>
      <dgm:t>
        <a:bodyPr/>
        <a:lstStyle/>
        <a:p>
          <a:r>
            <a:rPr lang="en-GB"/>
            <a:t>Informal Cooperative Links</a:t>
          </a:r>
        </a:p>
      </dgm:t>
    </dgm:pt>
    <dgm:pt modelId="{B127FC93-D476-4E21-AE80-DE92CAA16690}" type="parTrans" cxnId="{074C33D5-53F6-426A-83DF-4AE8143BDCD9}">
      <dgm:prSet/>
      <dgm:spPr/>
      <dgm:t>
        <a:bodyPr/>
        <a:lstStyle/>
        <a:p>
          <a:endParaRPr lang="en-GB"/>
        </a:p>
      </dgm:t>
    </dgm:pt>
    <dgm:pt modelId="{AD1B0B39-2352-4EDF-BD9C-1625B948B1F9}" type="sibTrans" cxnId="{074C33D5-53F6-426A-83DF-4AE8143BDCD9}">
      <dgm:prSet/>
      <dgm:spPr/>
      <dgm:t>
        <a:bodyPr/>
        <a:lstStyle/>
        <a:p>
          <a:endParaRPr lang="en-GB"/>
        </a:p>
      </dgm:t>
    </dgm:pt>
    <dgm:pt modelId="{06AADCC9-DB1B-4CDB-8FB8-1E755ACE293B}">
      <dgm:prSet phldrT="[Text]"/>
      <dgm:spPr/>
      <dgm:t>
        <a:bodyPr/>
        <a:lstStyle/>
        <a:p>
          <a:r>
            <a:rPr lang="en-GB"/>
            <a:t>Formal </a:t>
          </a:r>
        </a:p>
        <a:p>
          <a:r>
            <a:rPr lang="en-GB"/>
            <a:t>Cooperative Links</a:t>
          </a:r>
        </a:p>
      </dgm:t>
    </dgm:pt>
    <dgm:pt modelId="{28DB670D-01A5-4A85-8EC1-9FE678428E61}" type="parTrans" cxnId="{56C19F69-5F82-4714-B53F-C34C06564735}">
      <dgm:prSet/>
      <dgm:spPr/>
      <dgm:t>
        <a:bodyPr/>
        <a:lstStyle/>
        <a:p>
          <a:endParaRPr lang="en-GB"/>
        </a:p>
      </dgm:t>
    </dgm:pt>
    <dgm:pt modelId="{67CDD886-DBBE-453C-9AB2-CE5183BC468B}" type="sibTrans" cxnId="{56C19F69-5F82-4714-B53F-C34C06564735}">
      <dgm:prSet/>
      <dgm:spPr/>
      <dgm:t>
        <a:bodyPr/>
        <a:lstStyle/>
        <a:p>
          <a:endParaRPr lang="en-GB"/>
        </a:p>
      </dgm:t>
    </dgm:pt>
    <dgm:pt modelId="{D5040115-23C4-4EC2-B18B-C0F90466772B}">
      <dgm:prSet phldrT="[Text]"/>
      <dgm:spPr/>
      <dgm:t>
        <a:bodyPr/>
        <a:lstStyle/>
        <a:p>
          <a:r>
            <a:rPr lang="en-GB"/>
            <a:t>Government</a:t>
          </a:r>
        </a:p>
      </dgm:t>
    </dgm:pt>
    <dgm:pt modelId="{9500698C-E363-477E-8CFD-389162D2D7E6}" type="parTrans" cxnId="{962BB5CA-1A11-4B78-B095-586F842D3096}">
      <dgm:prSet/>
      <dgm:spPr/>
      <dgm:t>
        <a:bodyPr/>
        <a:lstStyle/>
        <a:p>
          <a:endParaRPr lang="en-GB"/>
        </a:p>
      </dgm:t>
    </dgm:pt>
    <dgm:pt modelId="{8BA91E24-5D05-4B73-AB80-9A83F7999FB5}" type="sibTrans" cxnId="{962BB5CA-1A11-4B78-B095-586F842D3096}">
      <dgm:prSet/>
      <dgm:spPr/>
      <dgm:t>
        <a:bodyPr/>
        <a:lstStyle/>
        <a:p>
          <a:endParaRPr lang="en-GB"/>
        </a:p>
      </dgm:t>
    </dgm:pt>
    <dgm:pt modelId="{09B40006-F91D-4146-A656-E18EC30B2ECC}">
      <dgm:prSet phldrT="[Text]"/>
      <dgm:spPr/>
      <dgm:t>
        <a:bodyPr/>
        <a:lstStyle/>
        <a:p>
          <a:r>
            <a:rPr lang="en-GB"/>
            <a:t>Complementors</a:t>
          </a:r>
        </a:p>
      </dgm:t>
    </dgm:pt>
    <dgm:pt modelId="{4A61A338-1C8A-4B8D-9CF9-50696B6FE9D5}" type="parTrans" cxnId="{FA3B8D11-D2AE-4BCE-8509-84B88BFEED47}">
      <dgm:prSet/>
      <dgm:spPr/>
      <dgm:t>
        <a:bodyPr/>
        <a:lstStyle/>
        <a:p>
          <a:endParaRPr lang="en-GB"/>
        </a:p>
      </dgm:t>
    </dgm:pt>
    <dgm:pt modelId="{0C4A8AD6-D34F-4574-A5FA-05FD1E904421}" type="sibTrans" cxnId="{FA3B8D11-D2AE-4BCE-8509-84B88BFEED47}">
      <dgm:prSet/>
      <dgm:spPr/>
      <dgm:t>
        <a:bodyPr/>
        <a:lstStyle/>
        <a:p>
          <a:endParaRPr lang="en-GB"/>
        </a:p>
      </dgm:t>
    </dgm:pt>
    <dgm:pt modelId="{00E9DD64-C3F3-4ADD-9766-92229C99462E}" type="pres">
      <dgm:prSet presAssocID="{55481BC8-B2DD-4CDC-83AD-E35C4E65EB68}" presName="Name0" presStyleCnt="0">
        <dgm:presLayoutVars>
          <dgm:chMax val="1"/>
          <dgm:dir/>
          <dgm:animLvl val="ctr"/>
          <dgm:resizeHandles val="exact"/>
        </dgm:presLayoutVars>
      </dgm:prSet>
      <dgm:spPr/>
    </dgm:pt>
    <dgm:pt modelId="{A0478634-D9A9-4D06-9F3C-44935229459D}" type="pres">
      <dgm:prSet presAssocID="{3CCA9F21-D664-43F0-9277-25E6388C7756}" presName="centerShape" presStyleLbl="node0" presStyleIdx="0" presStyleCnt="1"/>
      <dgm:spPr/>
    </dgm:pt>
    <dgm:pt modelId="{F1102847-8534-4CCD-86A8-0AE8444634E6}" type="pres">
      <dgm:prSet presAssocID="{B127FC93-D476-4E21-AE80-DE92CAA16690}" presName="parTrans" presStyleLbl="sibTrans2D1" presStyleIdx="0" presStyleCnt="4"/>
      <dgm:spPr/>
    </dgm:pt>
    <dgm:pt modelId="{BB8058CB-C1B5-4312-B5DC-B1436B9A0D28}" type="pres">
      <dgm:prSet presAssocID="{B127FC93-D476-4E21-AE80-DE92CAA16690}" presName="connectorText" presStyleLbl="sibTrans2D1" presStyleIdx="0" presStyleCnt="4"/>
      <dgm:spPr/>
    </dgm:pt>
    <dgm:pt modelId="{85A60E70-5516-49B6-B323-1611D74FC197}" type="pres">
      <dgm:prSet presAssocID="{4F0D7D09-9AC9-497F-A5D4-8B863364C2E6}" presName="node" presStyleLbl="node1" presStyleIdx="0" presStyleCnt="4">
        <dgm:presLayoutVars>
          <dgm:bulletEnabled val="1"/>
        </dgm:presLayoutVars>
      </dgm:prSet>
      <dgm:spPr/>
    </dgm:pt>
    <dgm:pt modelId="{AEC904AF-6127-41BF-A990-CE4D92E43E60}" type="pres">
      <dgm:prSet presAssocID="{28DB670D-01A5-4A85-8EC1-9FE678428E61}" presName="parTrans" presStyleLbl="sibTrans2D1" presStyleIdx="1" presStyleCnt="4"/>
      <dgm:spPr/>
    </dgm:pt>
    <dgm:pt modelId="{E4E2F737-F734-41C6-8E7F-C4678C87E96E}" type="pres">
      <dgm:prSet presAssocID="{28DB670D-01A5-4A85-8EC1-9FE678428E61}" presName="connectorText" presStyleLbl="sibTrans2D1" presStyleIdx="1" presStyleCnt="4"/>
      <dgm:spPr/>
    </dgm:pt>
    <dgm:pt modelId="{70C56F70-0E09-4CA2-AEC2-A09A4DDAE140}" type="pres">
      <dgm:prSet presAssocID="{06AADCC9-DB1B-4CDB-8FB8-1E755ACE293B}" presName="node" presStyleLbl="node1" presStyleIdx="1" presStyleCnt="4">
        <dgm:presLayoutVars>
          <dgm:bulletEnabled val="1"/>
        </dgm:presLayoutVars>
      </dgm:prSet>
      <dgm:spPr/>
    </dgm:pt>
    <dgm:pt modelId="{51477B3C-2984-445F-8DC2-2888FBCC815C}" type="pres">
      <dgm:prSet presAssocID="{9500698C-E363-477E-8CFD-389162D2D7E6}" presName="parTrans" presStyleLbl="sibTrans2D1" presStyleIdx="2" presStyleCnt="4"/>
      <dgm:spPr/>
    </dgm:pt>
    <dgm:pt modelId="{2384B1E4-E6D6-4FE8-8435-3B66582B7814}" type="pres">
      <dgm:prSet presAssocID="{9500698C-E363-477E-8CFD-389162D2D7E6}" presName="connectorText" presStyleLbl="sibTrans2D1" presStyleIdx="2" presStyleCnt="4"/>
      <dgm:spPr/>
    </dgm:pt>
    <dgm:pt modelId="{29F44CA0-A7BA-43B3-A884-BCFBA0927066}" type="pres">
      <dgm:prSet presAssocID="{D5040115-23C4-4EC2-B18B-C0F90466772B}" presName="node" presStyleLbl="node1" presStyleIdx="2" presStyleCnt="4">
        <dgm:presLayoutVars>
          <dgm:bulletEnabled val="1"/>
        </dgm:presLayoutVars>
      </dgm:prSet>
      <dgm:spPr/>
    </dgm:pt>
    <dgm:pt modelId="{463C9FD4-ABE3-4152-9E5C-FF80D7F03558}" type="pres">
      <dgm:prSet presAssocID="{4A61A338-1C8A-4B8D-9CF9-50696B6FE9D5}" presName="parTrans" presStyleLbl="sibTrans2D1" presStyleIdx="3" presStyleCnt="4"/>
      <dgm:spPr/>
    </dgm:pt>
    <dgm:pt modelId="{C62BB0F2-B2BE-4A1C-B837-0B8553956FCB}" type="pres">
      <dgm:prSet presAssocID="{4A61A338-1C8A-4B8D-9CF9-50696B6FE9D5}" presName="connectorText" presStyleLbl="sibTrans2D1" presStyleIdx="3" presStyleCnt="4"/>
      <dgm:spPr/>
    </dgm:pt>
    <dgm:pt modelId="{56C4E18C-F407-4035-8353-111CAAFB1092}" type="pres">
      <dgm:prSet presAssocID="{09B40006-F91D-4146-A656-E18EC30B2ECC}" presName="node" presStyleLbl="node1" presStyleIdx="3" presStyleCnt="4">
        <dgm:presLayoutVars>
          <dgm:bulletEnabled val="1"/>
        </dgm:presLayoutVars>
      </dgm:prSet>
      <dgm:spPr/>
    </dgm:pt>
  </dgm:ptLst>
  <dgm:cxnLst>
    <dgm:cxn modelId="{06997702-54A9-4DDF-B7F0-C8B59DF0C21B}" type="presOf" srcId="{28DB670D-01A5-4A85-8EC1-9FE678428E61}" destId="{AEC904AF-6127-41BF-A990-CE4D92E43E60}" srcOrd="0" destOrd="0" presId="urn:microsoft.com/office/officeart/2005/8/layout/radial5"/>
    <dgm:cxn modelId="{FA3B8D11-D2AE-4BCE-8509-84B88BFEED47}" srcId="{3CCA9F21-D664-43F0-9277-25E6388C7756}" destId="{09B40006-F91D-4146-A656-E18EC30B2ECC}" srcOrd="3" destOrd="0" parTransId="{4A61A338-1C8A-4B8D-9CF9-50696B6FE9D5}" sibTransId="{0C4A8AD6-D34F-4574-A5FA-05FD1E904421}"/>
    <dgm:cxn modelId="{39D7E015-FCC1-4A6D-9F3B-9A9463C69DF6}" type="presOf" srcId="{06AADCC9-DB1B-4CDB-8FB8-1E755ACE293B}" destId="{70C56F70-0E09-4CA2-AEC2-A09A4DDAE140}" srcOrd="0" destOrd="0" presId="urn:microsoft.com/office/officeart/2005/8/layout/radial5"/>
    <dgm:cxn modelId="{E1CC471B-9B03-4FDF-BEED-E599D7A1EBE1}" srcId="{55481BC8-B2DD-4CDC-83AD-E35C4E65EB68}" destId="{3CCA9F21-D664-43F0-9277-25E6388C7756}" srcOrd="0" destOrd="0" parTransId="{17FD4F55-3CC3-43B8-A5EC-1EAFED24407C}" sibTransId="{DED63741-D323-4F0A-BDAB-C9714C67CCC3}"/>
    <dgm:cxn modelId="{B5602C2C-4CEE-41C3-89DC-E3774748F496}" type="presOf" srcId="{4A61A338-1C8A-4B8D-9CF9-50696B6FE9D5}" destId="{463C9FD4-ABE3-4152-9E5C-FF80D7F03558}" srcOrd="0" destOrd="0" presId="urn:microsoft.com/office/officeart/2005/8/layout/radial5"/>
    <dgm:cxn modelId="{51001131-1220-40E3-8FF7-0B165482248A}" type="presOf" srcId="{4A61A338-1C8A-4B8D-9CF9-50696B6FE9D5}" destId="{C62BB0F2-B2BE-4A1C-B837-0B8553956FCB}" srcOrd="1" destOrd="0" presId="urn:microsoft.com/office/officeart/2005/8/layout/radial5"/>
    <dgm:cxn modelId="{CC66645B-62AB-4D72-B003-70BABD837ADD}" type="presOf" srcId="{D5040115-23C4-4EC2-B18B-C0F90466772B}" destId="{29F44CA0-A7BA-43B3-A884-BCFBA0927066}" srcOrd="0" destOrd="0" presId="urn:microsoft.com/office/officeart/2005/8/layout/radial5"/>
    <dgm:cxn modelId="{BA06B95D-AB3E-4C96-8E03-516AB2FB4686}" type="presOf" srcId="{28DB670D-01A5-4A85-8EC1-9FE678428E61}" destId="{E4E2F737-F734-41C6-8E7F-C4678C87E96E}" srcOrd="1" destOrd="0" presId="urn:microsoft.com/office/officeart/2005/8/layout/radial5"/>
    <dgm:cxn modelId="{976E9642-5EAC-4453-AD52-9635F30D7A6B}" type="presOf" srcId="{09B40006-F91D-4146-A656-E18EC30B2ECC}" destId="{56C4E18C-F407-4035-8353-111CAAFB1092}" srcOrd="0" destOrd="0" presId="urn:microsoft.com/office/officeart/2005/8/layout/radial5"/>
    <dgm:cxn modelId="{56C19F69-5F82-4714-B53F-C34C06564735}" srcId="{3CCA9F21-D664-43F0-9277-25E6388C7756}" destId="{06AADCC9-DB1B-4CDB-8FB8-1E755ACE293B}" srcOrd="1" destOrd="0" parTransId="{28DB670D-01A5-4A85-8EC1-9FE678428E61}" sibTransId="{67CDD886-DBBE-453C-9AB2-CE5183BC468B}"/>
    <dgm:cxn modelId="{7DB27E6B-3391-4DC6-931A-41AD3282FB80}" type="presOf" srcId="{9500698C-E363-477E-8CFD-389162D2D7E6}" destId="{51477B3C-2984-445F-8DC2-2888FBCC815C}" srcOrd="0" destOrd="0" presId="urn:microsoft.com/office/officeart/2005/8/layout/radial5"/>
    <dgm:cxn modelId="{E86E555A-05BE-46EC-A46F-EB2DE81477EA}" type="presOf" srcId="{4F0D7D09-9AC9-497F-A5D4-8B863364C2E6}" destId="{85A60E70-5516-49B6-B323-1611D74FC197}" srcOrd="0" destOrd="0" presId="urn:microsoft.com/office/officeart/2005/8/layout/radial5"/>
    <dgm:cxn modelId="{E417497C-33F5-4A03-BBA7-6A8CEF38279E}" type="presOf" srcId="{B127FC93-D476-4E21-AE80-DE92CAA16690}" destId="{F1102847-8534-4CCD-86A8-0AE8444634E6}" srcOrd="0" destOrd="0" presId="urn:microsoft.com/office/officeart/2005/8/layout/radial5"/>
    <dgm:cxn modelId="{D25E0BA4-79C4-45A0-88DF-F4F1E9A33FE9}" type="presOf" srcId="{9500698C-E363-477E-8CFD-389162D2D7E6}" destId="{2384B1E4-E6D6-4FE8-8435-3B66582B7814}" srcOrd="1" destOrd="0" presId="urn:microsoft.com/office/officeart/2005/8/layout/radial5"/>
    <dgm:cxn modelId="{D6DE9BB2-AE95-40FA-9523-67C8D6AC1214}" type="presOf" srcId="{B127FC93-D476-4E21-AE80-DE92CAA16690}" destId="{BB8058CB-C1B5-4312-B5DC-B1436B9A0D28}" srcOrd="1" destOrd="0" presId="urn:microsoft.com/office/officeart/2005/8/layout/radial5"/>
    <dgm:cxn modelId="{AEBEBFBE-8447-4D72-985C-0A8FC505AF7A}" type="presOf" srcId="{55481BC8-B2DD-4CDC-83AD-E35C4E65EB68}" destId="{00E9DD64-C3F3-4ADD-9766-92229C99462E}" srcOrd="0" destOrd="0" presId="urn:microsoft.com/office/officeart/2005/8/layout/radial5"/>
    <dgm:cxn modelId="{C1D102C6-E4E1-4E4A-AD1C-9BF57780DA3D}" type="presOf" srcId="{3CCA9F21-D664-43F0-9277-25E6388C7756}" destId="{A0478634-D9A9-4D06-9F3C-44935229459D}" srcOrd="0" destOrd="0" presId="urn:microsoft.com/office/officeart/2005/8/layout/radial5"/>
    <dgm:cxn modelId="{962BB5CA-1A11-4B78-B095-586F842D3096}" srcId="{3CCA9F21-D664-43F0-9277-25E6388C7756}" destId="{D5040115-23C4-4EC2-B18B-C0F90466772B}" srcOrd="2" destOrd="0" parTransId="{9500698C-E363-477E-8CFD-389162D2D7E6}" sibTransId="{8BA91E24-5D05-4B73-AB80-9A83F7999FB5}"/>
    <dgm:cxn modelId="{074C33D5-53F6-426A-83DF-4AE8143BDCD9}" srcId="{3CCA9F21-D664-43F0-9277-25E6388C7756}" destId="{4F0D7D09-9AC9-497F-A5D4-8B863364C2E6}" srcOrd="0" destOrd="0" parTransId="{B127FC93-D476-4E21-AE80-DE92CAA16690}" sibTransId="{AD1B0B39-2352-4EDF-BD9C-1625B948B1F9}"/>
    <dgm:cxn modelId="{77D73588-26EB-4EE0-8F94-A5F1670A22D1}" type="presParOf" srcId="{00E9DD64-C3F3-4ADD-9766-92229C99462E}" destId="{A0478634-D9A9-4D06-9F3C-44935229459D}" srcOrd="0" destOrd="0" presId="urn:microsoft.com/office/officeart/2005/8/layout/radial5"/>
    <dgm:cxn modelId="{9C1457D9-8097-4135-8213-967283115497}" type="presParOf" srcId="{00E9DD64-C3F3-4ADD-9766-92229C99462E}" destId="{F1102847-8534-4CCD-86A8-0AE8444634E6}" srcOrd="1" destOrd="0" presId="urn:microsoft.com/office/officeart/2005/8/layout/radial5"/>
    <dgm:cxn modelId="{982141D4-5C13-46C3-B268-62ABA9BDC7A7}" type="presParOf" srcId="{F1102847-8534-4CCD-86A8-0AE8444634E6}" destId="{BB8058CB-C1B5-4312-B5DC-B1436B9A0D28}" srcOrd="0" destOrd="0" presId="urn:microsoft.com/office/officeart/2005/8/layout/radial5"/>
    <dgm:cxn modelId="{49C45CCC-A8E7-44F9-942D-B1797EE10346}" type="presParOf" srcId="{00E9DD64-C3F3-4ADD-9766-92229C99462E}" destId="{85A60E70-5516-49B6-B323-1611D74FC197}" srcOrd="2" destOrd="0" presId="urn:microsoft.com/office/officeart/2005/8/layout/radial5"/>
    <dgm:cxn modelId="{9CFF7948-8BF0-481A-8E03-EEA159D8F29D}" type="presParOf" srcId="{00E9DD64-C3F3-4ADD-9766-92229C99462E}" destId="{AEC904AF-6127-41BF-A990-CE4D92E43E60}" srcOrd="3" destOrd="0" presId="urn:microsoft.com/office/officeart/2005/8/layout/radial5"/>
    <dgm:cxn modelId="{E7279143-B32A-4E84-944C-FA0E5BF46B13}" type="presParOf" srcId="{AEC904AF-6127-41BF-A990-CE4D92E43E60}" destId="{E4E2F737-F734-41C6-8E7F-C4678C87E96E}" srcOrd="0" destOrd="0" presId="urn:microsoft.com/office/officeart/2005/8/layout/radial5"/>
    <dgm:cxn modelId="{6202055F-44CB-4D0B-89BD-4DBBD2BCC0EA}" type="presParOf" srcId="{00E9DD64-C3F3-4ADD-9766-92229C99462E}" destId="{70C56F70-0E09-4CA2-AEC2-A09A4DDAE140}" srcOrd="4" destOrd="0" presId="urn:microsoft.com/office/officeart/2005/8/layout/radial5"/>
    <dgm:cxn modelId="{D0E9D067-C954-49E2-BEC2-9F89ABFD0007}" type="presParOf" srcId="{00E9DD64-C3F3-4ADD-9766-92229C99462E}" destId="{51477B3C-2984-445F-8DC2-2888FBCC815C}" srcOrd="5" destOrd="0" presId="urn:microsoft.com/office/officeart/2005/8/layout/radial5"/>
    <dgm:cxn modelId="{DCF7AE2E-7958-4581-95D1-480BF6F28737}" type="presParOf" srcId="{51477B3C-2984-445F-8DC2-2888FBCC815C}" destId="{2384B1E4-E6D6-4FE8-8435-3B66582B7814}" srcOrd="0" destOrd="0" presId="urn:microsoft.com/office/officeart/2005/8/layout/radial5"/>
    <dgm:cxn modelId="{70468C1A-A042-45A8-9652-2305E8832843}" type="presParOf" srcId="{00E9DD64-C3F3-4ADD-9766-92229C99462E}" destId="{29F44CA0-A7BA-43B3-A884-BCFBA0927066}" srcOrd="6" destOrd="0" presId="urn:microsoft.com/office/officeart/2005/8/layout/radial5"/>
    <dgm:cxn modelId="{B4DB7599-BDD7-4AB2-AE13-39C6AE47A797}" type="presParOf" srcId="{00E9DD64-C3F3-4ADD-9766-92229C99462E}" destId="{463C9FD4-ABE3-4152-9E5C-FF80D7F03558}" srcOrd="7" destOrd="0" presId="urn:microsoft.com/office/officeart/2005/8/layout/radial5"/>
    <dgm:cxn modelId="{5E1C57A4-1208-46B8-B143-2BB97430BF2B}" type="presParOf" srcId="{463C9FD4-ABE3-4152-9E5C-FF80D7F03558}" destId="{C62BB0F2-B2BE-4A1C-B837-0B8553956FCB}" srcOrd="0" destOrd="0" presId="urn:microsoft.com/office/officeart/2005/8/layout/radial5"/>
    <dgm:cxn modelId="{AB8F6252-9534-4ADF-AD79-4C8B610A22B7}" type="presParOf" srcId="{00E9DD64-C3F3-4ADD-9766-92229C99462E}" destId="{56C4E18C-F407-4035-8353-111CAAFB1092}" srcOrd="8" destOrd="0" presId="urn:microsoft.com/office/officeart/2005/8/layout/radial5"/>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B16D56E-266E-4171-AC39-2CA6DEF61177}">
      <dsp:nvSpPr>
        <dsp:cNvPr id="0" name=""/>
        <dsp:cNvSpPr/>
      </dsp:nvSpPr>
      <dsp:spPr>
        <a:xfrm>
          <a:off x="1966372" y="729"/>
          <a:ext cx="510985" cy="510985"/>
        </a:xfrm>
        <a:prstGeom prst="ellipse">
          <a:avLst/>
        </a:prstGeom>
        <a:gradFill rotWithShape="0">
          <a:gsLst>
            <a:gs pos="0">
              <a:schemeClr val="accent1">
                <a:hueOff val="0"/>
                <a:satOff val="0"/>
                <a:lumOff val="0"/>
                <a:alphaOff val="0"/>
                <a:tint val="62000"/>
                <a:satMod val="180000"/>
              </a:schemeClr>
            </a:gs>
            <a:gs pos="65000">
              <a:schemeClr val="accent1">
                <a:hueOff val="0"/>
                <a:satOff val="0"/>
                <a:lumOff val="0"/>
                <a:alphaOff val="0"/>
                <a:tint val="32000"/>
                <a:satMod val="250000"/>
              </a:schemeClr>
            </a:gs>
            <a:gs pos="100000">
              <a:schemeClr val="accent1">
                <a:hueOff val="0"/>
                <a:satOff val="0"/>
                <a:lumOff val="0"/>
                <a:alphaOff val="0"/>
                <a:tint val="23000"/>
                <a:satMod val="300000"/>
              </a:schemeClr>
            </a:gs>
          </a:gsLst>
          <a:lin ang="16200000" scaled="0"/>
        </a:gradFill>
        <a:ln>
          <a:noFill/>
        </a:ln>
        <a:effectLst>
          <a:outerShdw blurRad="50800" dist="38100" dir="5400000" rotWithShape="0">
            <a:srgbClr val="000000">
              <a:alpha val="35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Environment Basics</a:t>
          </a:r>
        </a:p>
      </dsp:txBody>
      <dsp:txXfrm>
        <a:off x="2041204" y="75561"/>
        <a:ext cx="361321" cy="361321"/>
      </dsp:txXfrm>
    </dsp:sp>
    <dsp:sp modelId="{9A9D55A4-EDB4-415C-9AA4-AF0E891287F9}">
      <dsp:nvSpPr>
        <dsp:cNvPr id="0" name=""/>
        <dsp:cNvSpPr/>
      </dsp:nvSpPr>
      <dsp:spPr>
        <a:xfrm rot="1200000">
          <a:off x="2510695" y="299766"/>
          <a:ext cx="135439" cy="172457"/>
        </a:xfrm>
        <a:prstGeom prst="rightArrow">
          <a:avLst>
            <a:gd name="adj1" fmla="val 60000"/>
            <a:gd name="adj2" fmla="val 50000"/>
          </a:avLst>
        </a:prstGeom>
        <a:gradFill rotWithShape="0">
          <a:gsLst>
            <a:gs pos="0">
              <a:schemeClr val="accent1">
                <a:tint val="60000"/>
                <a:hueOff val="0"/>
                <a:satOff val="0"/>
                <a:lumOff val="0"/>
                <a:alphaOff val="0"/>
                <a:tint val="62000"/>
                <a:satMod val="180000"/>
              </a:schemeClr>
            </a:gs>
            <a:gs pos="65000">
              <a:schemeClr val="accent1">
                <a:tint val="60000"/>
                <a:hueOff val="0"/>
                <a:satOff val="0"/>
                <a:lumOff val="0"/>
                <a:alphaOff val="0"/>
                <a:tint val="32000"/>
                <a:satMod val="250000"/>
              </a:schemeClr>
            </a:gs>
            <a:gs pos="100000">
              <a:schemeClr val="accent1">
                <a:tint val="60000"/>
                <a:hueOff val="0"/>
                <a:satOff val="0"/>
                <a:lumOff val="0"/>
                <a:alphaOff val="0"/>
                <a:tint val="23000"/>
                <a:satMod val="300000"/>
              </a:schemeClr>
            </a:gs>
          </a:gsLst>
          <a:lin ang="16200000" scaled="0"/>
        </a:gradFill>
        <a:ln>
          <a:noFill/>
        </a:ln>
        <a:effectLst>
          <a:outerShdw blurRad="50800" dist="38100" dir="5400000" rotWithShape="0">
            <a:srgbClr val="000000">
              <a:alpha val="35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2511920" y="327309"/>
        <a:ext cx="94807" cy="103475"/>
      </dsp:txXfrm>
    </dsp:sp>
    <dsp:sp modelId="{ED259510-3F86-47BF-8027-BC68480D9C6A}">
      <dsp:nvSpPr>
        <dsp:cNvPr id="0" name=""/>
        <dsp:cNvSpPr/>
      </dsp:nvSpPr>
      <dsp:spPr>
        <a:xfrm>
          <a:off x="2686675" y="262898"/>
          <a:ext cx="510985" cy="510985"/>
        </a:xfrm>
        <a:prstGeom prst="ellipse">
          <a:avLst/>
        </a:prstGeom>
        <a:gradFill rotWithShape="0">
          <a:gsLst>
            <a:gs pos="0">
              <a:schemeClr val="accent1">
                <a:hueOff val="0"/>
                <a:satOff val="0"/>
                <a:lumOff val="0"/>
                <a:alphaOff val="0"/>
                <a:tint val="62000"/>
                <a:satMod val="180000"/>
              </a:schemeClr>
            </a:gs>
            <a:gs pos="65000">
              <a:schemeClr val="accent1">
                <a:hueOff val="0"/>
                <a:satOff val="0"/>
                <a:lumOff val="0"/>
                <a:alphaOff val="0"/>
                <a:tint val="32000"/>
                <a:satMod val="250000"/>
              </a:schemeClr>
            </a:gs>
            <a:gs pos="100000">
              <a:schemeClr val="accent1">
                <a:hueOff val="0"/>
                <a:satOff val="0"/>
                <a:lumOff val="0"/>
                <a:alphaOff val="0"/>
                <a:tint val="23000"/>
                <a:satMod val="300000"/>
              </a:schemeClr>
            </a:gs>
          </a:gsLst>
          <a:lin ang="16200000" scaled="0"/>
        </a:gradFill>
        <a:ln>
          <a:noFill/>
        </a:ln>
        <a:effectLst>
          <a:outerShdw blurRad="50800" dist="38100" dir="5400000" rotWithShape="0">
            <a:srgbClr val="000000">
              <a:alpha val="35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Turbulence</a:t>
          </a:r>
        </a:p>
      </dsp:txBody>
      <dsp:txXfrm>
        <a:off x="2761507" y="337730"/>
        <a:ext cx="361321" cy="361321"/>
      </dsp:txXfrm>
    </dsp:sp>
    <dsp:sp modelId="{1986961C-1EDC-4AB3-B0A4-5FD2A562A565}">
      <dsp:nvSpPr>
        <dsp:cNvPr id="0" name=""/>
        <dsp:cNvSpPr/>
      </dsp:nvSpPr>
      <dsp:spPr>
        <a:xfrm rot="3600000">
          <a:off x="3064165" y="760760"/>
          <a:ext cx="135439" cy="172457"/>
        </a:xfrm>
        <a:prstGeom prst="rightArrow">
          <a:avLst>
            <a:gd name="adj1" fmla="val 60000"/>
            <a:gd name="adj2" fmla="val 50000"/>
          </a:avLst>
        </a:prstGeom>
        <a:gradFill rotWithShape="0">
          <a:gsLst>
            <a:gs pos="0">
              <a:schemeClr val="accent1">
                <a:tint val="60000"/>
                <a:hueOff val="0"/>
                <a:satOff val="0"/>
                <a:lumOff val="0"/>
                <a:alphaOff val="0"/>
                <a:tint val="62000"/>
                <a:satMod val="180000"/>
              </a:schemeClr>
            </a:gs>
            <a:gs pos="65000">
              <a:schemeClr val="accent1">
                <a:tint val="60000"/>
                <a:hueOff val="0"/>
                <a:satOff val="0"/>
                <a:lumOff val="0"/>
                <a:alphaOff val="0"/>
                <a:tint val="32000"/>
                <a:satMod val="250000"/>
              </a:schemeClr>
            </a:gs>
            <a:gs pos="100000">
              <a:schemeClr val="accent1">
                <a:tint val="60000"/>
                <a:hueOff val="0"/>
                <a:satOff val="0"/>
                <a:lumOff val="0"/>
                <a:alphaOff val="0"/>
                <a:tint val="23000"/>
                <a:satMod val="300000"/>
              </a:schemeClr>
            </a:gs>
          </a:gsLst>
          <a:lin ang="16200000" scaled="0"/>
        </a:gradFill>
        <a:ln>
          <a:noFill/>
        </a:ln>
        <a:effectLst>
          <a:outerShdw blurRad="50800" dist="38100" dir="5400000" rotWithShape="0">
            <a:srgbClr val="000000">
              <a:alpha val="35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3074323" y="777657"/>
        <a:ext cx="94807" cy="103475"/>
      </dsp:txXfrm>
    </dsp:sp>
    <dsp:sp modelId="{F6FD02D1-DCAE-4B18-A460-8127440E6D23}">
      <dsp:nvSpPr>
        <dsp:cNvPr id="0" name=""/>
        <dsp:cNvSpPr/>
      </dsp:nvSpPr>
      <dsp:spPr>
        <a:xfrm>
          <a:off x="3069941" y="926733"/>
          <a:ext cx="510985" cy="510985"/>
        </a:xfrm>
        <a:prstGeom prst="ellipse">
          <a:avLst/>
        </a:prstGeom>
        <a:gradFill rotWithShape="0">
          <a:gsLst>
            <a:gs pos="0">
              <a:schemeClr val="accent1">
                <a:hueOff val="0"/>
                <a:satOff val="0"/>
                <a:lumOff val="0"/>
                <a:alphaOff val="0"/>
                <a:tint val="62000"/>
                <a:satMod val="180000"/>
              </a:schemeClr>
            </a:gs>
            <a:gs pos="65000">
              <a:schemeClr val="accent1">
                <a:hueOff val="0"/>
                <a:satOff val="0"/>
                <a:lumOff val="0"/>
                <a:alphaOff val="0"/>
                <a:tint val="32000"/>
                <a:satMod val="250000"/>
              </a:schemeClr>
            </a:gs>
            <a:gs pos="100000">
              <a:schemeClr val="accent1">
                <a:hueOff val="0"/>
                <a:satOff val="0"/>
                <a:lumOff val="0"/>
                <a:alphaOff val="0"/>
                <a:tint val="23000"/>
                <a:satMod val="300000"/>
              </a:schemeClr>
            </a:gs>
          </a:gsLst>
          <a:lin ang="16200000" scaled="0"/>
        </a:gradFill>
        <a:ln>
          <a:noFill/>
        </a:ln>
        <a:effectLst>
          <a:outerShdw blurRad="50800" dist="38100" dir="5400000" rotWithShape="0">
            <a:srgbClr val="000000">
              <a:alpha val="35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Background (PESTEL)</a:t>
          </a:r>
        </a:p>
      </dsp:txBody>
      <dsp:txXfrm>
        <a:off x="3144773" y="1001565"/>
        <a:ext cx="361321" cy="361321"/>
      </dsp:txXfrm>
    </dsp:sp>
    <dsp:sp modelId="{013341FF-58C1-473D-97E2-EAFA7AA1FEBA}">
      <dsp:nvSpPr>
        <dsp:cNvPr id="0" name=""/>
        <dsp:cNvSpPr/>
      </dsp:nvSpPr>
      <dsp:spPr>
        <a:xfrm rot="6000000">
          <a:off x="3191826" y="1469665"/>
          <a:ext cx="135439" cy="172457"/>
        </a:xfrm>
        <a:prstGeom prst="rightArrow">
          <a:avLst>
            <a:gd name="adj1" fmla="val 60000"/>
            <a:gd name="adj2" fmla="val 50000"/>
          </a:avLst>
        </a:prstGeom>
        <a:gradFill rotWithShape="0">
          <a:gsLst>
            <a:gs pos="0">
              <a:schemeClr val="accent1">
                <a:tint val="60000"/>
                <a:hueOff val="0"/>
                <a:satOff val="0"/>
                <a:lumOff val="0"/>
                <a:alphaOff val="0"/>
                <a:tint val="62000"/>
                <a:satMod val="180000"/>
              </a:schemeClr>
            </a:gs>
            <a:gs pos="65000">
              <a:schemeClr val="accent1">
                <a:tint val="60000"/>
                <a:hueOff val="0"/>
                <a:satOff val="0"/>
                <a:lumOff val="0"/>
                <a:alphaOff val="0"/>
                <a:tint val="32000"/>
                <a:satMod val="250000"/>
              </a:schemeClr>
            </a:gs>
            <a:gs pos="100000">
              <a:schemeClr val="accent1">
                <a:tint val="60000"/>
                <a:hueOff val="0"/>
                <a:satOff val="0"/>
                <a:lumOff val="0"/>
                <a:alphaOff val="0"/>
                <a:tint val="23000"/>
                <a:satMod val="300000"/>
              </a:schemeClr>
            </a:gs>
          </a:gsLst>
          <a:lin ang="16200000" scaled="0"/>
        </a:gradFill>
        <a:ln>
          <a:noFill/>
        </a:ln>
        <a:effectLst>
          <a:outerShdw blurRad="50800" dist="38100" dir="5400000" rotWithShape="0">
            <a:srgbClr val="000000">
              <a:alpha val="35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rot="10800000">
        <a:off x="3215670" y="1484149"/>
        <a:ext cx="94807" cy="103475"/>
      </dsp:txXfrm>
    </dsp:sp>
    <dsp:sp modelId="{1729D02F-CE72-452D-AAF6-907D69E98599}">
      <dsp:nvSpPr>
        <dsp:cNvPr id="0" name=""/>
        <dsp:cNvSpPr/>
      </dsp:nvSpPr>
      <dsp:spPr>
        <a:xfrm>
          <a:off x="2936834" y="1681618"/>
          <a:ext cx="510985" cy="510985"/>
        </a:xfrm>
        <a:prstGeom prst="ellipse">
          <a:avLst/>
        </a:prstGeom>
        <a:gradFill rotWithShape="0">
          <a:gsLst>
            <a:gs pos="0">
              <a:schemeClr val="accent1">
                <a:hueOff val="0"/>
                <a:satOff val="0"/>
                <a:lumOff val="0"/>
                <a:alphaOff val="0"/>
                <a:tint val="62000"/>
                <a:satMod val="180000"/>
              </a:schemeClr>
            </a:gs>
            <a:gs pos="65000">
              <a:schemeClr val="accent1">
                <a:hueOff val="0"/>
                <a:satOff val="0"/>
                <a:lumOff val="0"/>
                <a:alphaOff val="0"/>
                <a:tint val="32000"/>
                <a:satMod val="250000"/>
              </a:schemeClr>
            </a:gs>
            <a:gs pos="100000">
              <a:schemeClr val="accent1">
                <a:hueOff val="0"/>
                <a:satOff val="0"/>
                <a:lumOff val="0"/>
                <a:alphaOff val="0"/>
                <a:tint val="23000"/>
                <a:satMod val="300000"/>
              </a:schemeClr>
            </a:gs>
          </a:gsLst>
          <a:lin ang="16200000" scaled="0"/>
        </a:gradFill>
        <a:ln>
          <a:noFill/>
        </a:ln>
        <a:effectLst>
          <a:outerShdw blurRad="50800" dist="38100" dir="5400000" rotWithShape="0">
            <a:srgbClr val="000000">
              <a:alpha val="35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Market/Industry life cycle</a:t>
          </a:r>
        </a:p>
      </dsp:txBody>
      <dsp:txXfrm>
        <a:off x="3011666" y="1756450"/>
        <a:ext cx="361321" cy="361321"/>
      </dsp:txXfrm>
    </dsp:sp>
    <dsp:sp modelId="{CC6456AC-4A9B-43E7-AD0C-45AD87B540EB}">
      <dsp:nvSpPr>
        <dsp:cNvPr id="0" name=""/>
        <dsp:cNvSpPr/>
      </dsp:nvSpPr>
      <dsp:spPr>
        <a:xfrm rot="8400000">
          <a:off x="2833945" y="2094777"/>
          <a:ext cx="135439" cy="172457"/>
        </a:xfrm>
        <a:prstGeom prst="rightArrow">
          <a:avLst>
            <a:gd name="adj1" fmla="val 60000"/>
            <a:gd name="adj2" fmla="val 50000"/>
          </a:avLst>
        </a:prstGeom>
        <a:gradFill rotWithShape="0">
          <a:gsLst>
            <a:gs pos="0">
              <a:schemeClr val="accent1">
                <a:tint val="60000"/>
                <a:hueOff val="0"/>
                <a:satOff val="0"/>
                <a:lumOff val="0"/>
                <a:alphaOff val="0"/>
                <a:tint val="62000"/>
                <a:satMod val="180000"/>
              </a:schemeClr>
            </a:gs>
            <a:gs pos="65000">
              <a:schemeClr val="accent1">
                <a:tint val="60000"/>
                <a:hueOff val="0"/>
                <a:satOff val="0"/>
                <a:lumOff val="0"/>
                <a:alphaOff val="0"/>
                <a:tint val="32000"/>
                <a:satMod val="250000"/>
              </a:schemeClr>
            </a:gs>
            <a:gs pos="100000">
              <a:schemeClr val="accent1">
                <a:tint val="60000"/>
                <a:hueOff val="0"/>
                <a:satOff val="0"/>
                <a:lumOff val="0"/>
                <a:alphaOff val="0"/>
                <a:tint val="23000"/>
                <a:satMod val="300000"/>
              </a:schemeClr>
            </a:gs>
          </a:gsLst>
          <a:lin ang="16200000" scaled="0"/>
        </a:gradFill>
        <a:ln>
          <a:noFill/>
        </a:ln>
        <a:effectLst>
          <a:outerShdw blurRad="50800" dist="38100" dir="5400000" rotWithShape="0">
            <a:srgbClr val="000000">
              <a:alpha val="35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rot="10800000">
        <a:off x="2869824" y="2116209"/>
        <a:ext cx="94807" cy="103475"/>
      </dsp:txXfrm>
    </dsp:sp>
    <dsp:sp modelId="{6F5D3036-54CC-44AD-8CEA-73E63858730B}">
      <dsp:nvSpPr>
        <dsp:cNvPr id="0" name=""/>
        <dsp:cNvSpPr/>
      </dsp:nvSpPr>
      <dsp:spPr>
        <a:xfrm>
          <a:off x="2349637" y="2174335"/>
          <a:ext cx="510985" cy="510985"/>
        </a:xfrm>
        <a:prstGeom prst="ellipse">
          <a:avLst/>
        </a:prstGeom>
        <a:gradFill rotWithShape="0">
          <a:gsLst>
            <a:gs pos="0">
              <a:schemeClr val="accent1">
                <a:hueOff val="0"/>
                <a:satOff val="0"/>
                <a:lumOff val="0"/>
                <a:alphaOff val="0"/>
                <a:tint val="62000"/>
                <a:satMod val="180000"/>
              </a:schemeClr>
            </a:gs>
            <a:gs pos="65000">
              <a:schemeClr val="accent1">
                <a:hueOff val="0"/>
                <a:satOff val="0"/>
                <a:lumOff val="0"/>
                <a:alphaOff val="0"/>
                <a:tint val="32000"/>
                <a:satMod val="250000"/>
              </a:schemeClr>
            </a:gs>
            <a:gs pos="100000">
              <a:schemeClr val="accent1">
                <a:hueOff val="0"/>
                <a:satOff val="0"/>
                <a:lumOff val="0"/>
                <a:alphaOff val="0"/>
                <a:tint val="23000"/>
                <a:satMod val="300000"/>
              </a:schemeClr>
            </a:gs>
          </a:gsLst>
          <a:lin ang="16200000" scaled="0"/>
        </a:gradFill>
        <a:ln>
          <a:noFill/>
        </a:ln>
        <a:effectLst>
          <a:outerShdw blurRad="50800" dist="38100" dir="5400000" rotWithShape="0">
            <a:srgbClr val="000000">
              <a:alpha val="35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Industry Specific</a:t>
          </a:r>
        </a:p>
      </dsp:txBody>
      <dsp:txXfrm>
        <a:off x="2424469" y="2249167"/>
        <a:ext cx="361321" cy="361321"/>
      </dsp:txXfrm>
    </dsp:sp>
    <dsp:sp modelId="{ABF0310C-4203-4209-BDBE-8EE500FE7D39}">
      <dsp:nvSpPr>
        <dsp:cNvPr id="0" name=""/>
        <dsp:cNvSpPr/>
      </dsp:nvSpPr>
      <dsp:spPr>
        <a:xfrm rot="10800000">
          <a:off x="2157978" y="2343599"/>
          <a:ext cx="135439" cy="172457"/>
        </a:xfrm>
        <a:prstGeom prst="rightArrow">
          <a:avLst>
            <a:gd name="adj1" fmla="val 60000"/>
            <a:gd name="adj2" fmla="val 50000"/>
          </a:avLst>
        </a:prstGeom>
        <a:gradFill rotWithShape="0">
          <a:gsLst>
            <a:gs pos="0">
              <a:schemeClr val="accent1">
                <a:tint val="60000"/>
                <a:hueOff val="0"/>
                <a:satOff val="0"/>
                <a:lumOff val="0"/>
                <a:alphaOff val="0"/>
                <a:tint val="62000"/>
                <a:satMod val="180000"/>
              </a:schemeClr>
            </a:gs>
            <a:gs pos="65000">
              <a:schemeClr val="accent1">
                <a:tint val="60000"/>
                <a:hueOff val="0"/>
                <a:satOff val="0"/>
                <a:lumOff val="0"/>
                <a:alphaOff val="0"/>
                <a:tint val="32000"/>
                <a:satMod val="250000"/>
              </a:schemeClr>
            </a:gs>
            <a:gs pos="100000">
              <a:schemeClr val="accent1">
                <a:tint val="60000"/>
                <a:hueOff val="0"/>
                <a:satOff val="0"/>
                <a:lumOff val="0"/>
                <a:alphaOff val="0"/>
                <a:tint val="23000"/>
                <a:satMod val="300000"/>
              </a:schemeClr>
            </a:gs>
          </a:gsLst>
          <a:lin ang="16200000" scaled="0"/>
        </a:gradFill>
        <a:ln>
          <a:noFill/>
        </a:ln>
        <a:effectLst>
          <a:outerShdw blurRad="50800" dist="38100" dir="5400000" rotWithShape="0">
            <a:srgbClr val="000000">
              <a:alpha val="35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rot="10800000">
        <a:off x="2198610" y="2378090"/>
        <a:ext cx="94807" cy="103475"/>
      </dsp:txXfrm>
    </dsp:sp>
    <dsp:sp modelId="{F46E1882-E4F3-49E4-98A9-9CC9A2324A63}">
      <dsp:nvSpPr>
        <dsp:cNvPr id="0" name=""/>
        <dsp:cNvSpPr/>
      </dsp:nvSpPr>
      <dsp:spPr>
        <a:xfrm>
          <a:off x="1583106" y="2174335"/>
          <a:ext cx="510985" cy="510985"/>
        </a:xfrm>
        <a:prstGeom prst="ellipse">
          <a:avLst/>
        </a:prstGeom>
        <a:gradFill rotWithShape="0">
          <a:gsLst>
            <a:gs pos="0">
              <a:schemeClr val="accent1">
                <a:hueOff val="0"/>
                <a:satOff val="0"/>
                <a:lumOff val="0"/>
                <a:alphaOff val="0"/>
                <a:tint val="62000"/>
                <a:satMod val="180000"/>
              </a:schemeClr>
            </a:gs>
            <a:gs pos="65000">
              <a:schemeClr val="accent1">
                <a:hueOff val="0"/>
                <a:satOff val="0"/>
                <a:lumOff val="0"/>
                <a:alphaOff val="0"/>
                <a:tint val="32000"/>
                <a:satMod val="250000"/>
              </a:schemeClr>
            </a:gs>
            <a:gs pos="100000">
              <a:schemeClr val="accent1">
                <a:hueOff val="0"/>
                <a:satOff val="0"/>
                <a:lumOff val="0"/>
                <a:alphaOff val="0"/>
                <a:tint val="23000"/>
                <a:satMod val="300000"/>
              </a:schemeClr>
            </a:gs>
          </a:gsLst>
          <a:lin ang="16200000" scaled="0"/>
        </a:gradFill>
        <a:ln>
          <a:noFill/>
        </a:ln>
        <a:effectLst>
          <a:outerShdw blurRad="50800" dist="38100" dir="5400000" rotWithShape="0">
            <a:srgbClr val="000000">
              <a:alpha val="35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Balance of power (five forces)</a:t>
          </a:r>
        </a:p>
      </dsp:txBody>
      <dsp:txXfrm>
        <a:off x="1657938" y="2249167"/>
        <a:ext cx="361321" cy="361321"/>
      </dsp:txXfrm>
    </dsp:sp>
    <dsp:sp modelId="{BD52C944-D856-4730-A144-F268149A77A1}">
      <dsp:nvSpPr>
        <dsp:cNvPr id="0" name=""/>
        <dsp:cNvSpPr/>
      </dsp:nvSpPr>
      <dsp:spPr>
        <a:xfrm rot="13200000">
          <a:off x="1480218" y="2099704"/>
          <a:ext cx="135439" cy="172457"/>
        </a:xfrm>
        <a:prstGeom prst="rightArrow">
          <a:avLst>
            <a:gd name="adj1" fmla="val 60000"/>
            <a:gd name="adj2" fmla="val 50000"/>
          </a:avLst>
        </a:prstGeom>
        <a:gradFill rotWithShape="0">
          <a:gsLst>
            <a:gs pos="0">
              <a:schemeClr val="accent1">
                <a:tint val="60000"/>
                <a:hueOff val="0"/>
                <a:satOff val="0"/>
                <a:lumOff val="0"/>
                <a:alphaOff val="0"/>
                <a:tint val="62000"/>
                <a:satMod val="180000"/>
              </a:schemeClr>
            </a:gs>
            <a:gs pos="65000">
              <a:schemeClr val="accent1">
                <a:tint val="60000"/>
                <a:hueOff val="0"/>
                <a:satOff val="0"/>
                <a:lumOff val="0"/>
                <a:alphaOff val="0"/>
                <a:tint val="32000"/>
                <a:satMod val="250000"/>
              </a:schemeClr>
            </a:gs>
            <a:gs pos="100000">
              <a:schemeClr val="accent1">
                <a:tint val="60000"/>
                <a:hueOff val="0"/>
                <a:satOff val="0"/>
                <a:lumOff val="0"/>
                <a:alphaOff val="0"/>
                <a:tint val="23000"/>
                <a:satMod val="300000"/>
              </a:schemeClr>
            </a:gs>
          </a:gsLst>
          <a:lin ang="16200000" scaled="0"/>
        </a:gradFill>
        <a:ln>
          <a:noFill/>
        </a:ln>
        <a:effectLst>
          <a:outerShdw blurRad="50800" dist="38100" dir="5400000" rotWithShape="0">
            <a:srgbClr val="000000">
              <a:alpha val="35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rot="10800000">
        <a:off x="1516097" y="2147254"/>
        <a:ext cx="94807" cy="103475"/>
      </dsp:txXfrm>
    </dsp:sp>
    <dsp:sp modelId="{18A7B518-15AC-46D8-BDD6-B8D3A078BF00}">
      <dsp:nvSpPr>
        <dsp:cNvPr id="0" name=""/>
        <dsp:cNvSpPr/>
      </dsp:nvSpPr>
      <dsp:spPr>
        <a:xfrm>
          <a:off x="995910" y="1681618"/>
          <a:ext cx="510985" cy="510985"/>
        </a:xfrm>
        <a:prstGeom prst="ellipse">
          <a:avLst/>
        </a:prstGeom>
        <a:gradFill rotWithShape="0">
          <a:gsLst>
            <a:gs pos="0">
              <a:schemeClr val="accent1">
                <a:hueOff val="0"/>
                <a:satOff val="0"/>
                <a:lumOff val="0"/>
                <a:alphaOff val="0"/>
                <a:tint val="62000"/>
                <a:satMod val="180000"/>
              </a:schemeClr>
            </a:gs>
            <a:gs pos="65000">
              <a:schemeClr val="accent1">
                <a:hueOff val="0"/>
                <a:satOff val="0"/>
                <a:lumOff val="0"/>
                <a:alphaOff val="0"/>
                <a:tint val="32000"/>
                <a:satMod val="250000"/>
              </a:schemeClr>
            </a:gs>
            <a:gs pos="100000">
              <a:schemeClr val="accent1">
                <a:hueOff val="0"/>
                <a:satOff val="0"/>
                <a:lumOff val="0"/>
                <a:alphaOff val="0"/>
                <a:tint val="23000"/>
                <a:satMod val="300000"/>
              </a:schemeClr>
            </a:gs>
          </a:gsLst>
          <a:lin ang="16200000" scaled="0"/>
        </a:gradFill>
        <a:ln>
          <a:noFill/>
        </a:ln>
        <a:effectLst>
          <a:outerShdw blurRad="50800" dist="38100" dir="5400000" rotWithShape="0">
            <a:srgbClr val="000000">
              <a:alpha val="35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Co-Operation (four links)</a:t>
          </a:r>
        </a:p>
      </dsp:txBody>
      <dsp:txXfrm>
        <a:off x="1070742" y="1756450"/>
        <a:ext cx="361321" cy="361321"/>
      </dsp:txXfrm>
    </dsp:sp>
    <dsp:sp modelId="{8D2766DC-1E18-440F-AAC8-B50857171118}">
      <dsp:nvSpPr>
        <dsp:cNvPr id="0" name=""/>
        <dsp:cNvSpPr/>
      </dsp:nvSpPr>
      <dsp:spPr>
        <a:xfrm rot="15600000">
          <a:off x="1117795" y="1477214"/>
          <a:ext cx="135439" cy="172457"/>
        </a:xfrm>
        <a:prstGeom prst="rightArrow">
          <a:avLst>
            <a:gd name="adj1" fmla="val 60000"/>
            <a:gd name="adj2" fmla="val 50000"/>
          </a:avLst>
        </a:prstGeom>
        <a:gradFill rotWithShape="0">
          <a:gsLst>
            <a:gs pos="0">
              <a:schemeClr val="accent1">
                <a:tint val="60000"/>
                <a:hueOff val="0"/>
                <a:satOff val="0"/>
                <a:lumOff val="0"/>
                <a:alphaOff val="0"/>
                <a:tint val="62000"/>
                <a:satMod val="180000"/>
              </a:schemeClr>
            </a:gs>
            <a:gs pos="65000">
              <a:schemeClr val="accent1">
                <a:tint val="60000"/>
                <a:hueOff val="0"/>
                <a:satOff val="0"/>
                <a:lumOff val="0"/>
                <a:alphaOff val="0"/>
                <a:tint val="32000"/>
                <a:satMod val="250000"/>
              </a:schemeClr>
            </a:gs>
            <a:gs pos="100000">
              <a:schemeClr val="accent1">
                <a:tint val="60000"/>
                <a:hueOff val="0"/>
                <a:satOff val="0"/>
                <a:lumOff val="0"/>
                <a:alphaOff val="0"/>
                <a:tint val="23000"/>
                <a:satMod val="300000"/>
              </a:schemeClr>
            </a:gs>
          </a:gsLst>
          <a:lin ang="16200000" scaled="0"/>
        </a:gradFill>
        <a:ln>
          <a:noFill/>
        </a:ln>
        <a:effectLst>
          <a:outerShdw blurRad="50800" dist="38100" dir="5400000" rotWithShape="0">
            <a:srgbClr val="000000">
              <a:alpha val="35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rot="10800000">
        <a:off x="1141639" y="1531712"/>
        <a:ext cx="94807" cy="103475"/>
      </dsp:txXfrm>
    </dsp:sp>
    <dsp:sp modelId="{9469002E-7CBD-487F-AA94-72902EAD0422}">
      <dsp:nvSpPr>
        <dsp:cNvPr id="0" name=""/>
        <dsp:cNvSpPr/>
      </dsp:nvSpPr>
      <dsp:spPr>
        <a:xfrm>
          <a:off x="862803" y="926733"/>
          <a:ext cx="510985" cy="510985"/>
        </a:xfrm>
        <a:prstGeom prst="ellipse">
          <a:avLst/>
        </a:prstGeom>
        <a:gradFill rotWithShape="0">
          <a:gsLst>
            <a:gs pos="0">
              <a:schemeClr val="accent1">
                <a:hueOff val="0"/>
                <a:satOff val="0"/>
                <a:lumOff val="0"/>
                <a:alphaOff val="0"/>
                <a:tint val="62000"/>
                <a:satMod val="180000"/>
              </a:schemeClr>
            </a:gs>
            <a:gs pos="65000">
              <a:schemeClr val="accent1">
                <a:hueOff val="0"/>
                <a:satOff val="0"/>
                <a:lumOff val="0"/>
                <a:alphaOff val="0"/>
                <a:tint val="32000"/>
                <a:satMod val="250000"/>
              </a:schemeClr>
            </a:gs>
            <a:gs pos="100000">
              <a:schemeClr val="accent1">
                <a:hueOff val="0"/>
                <a:satOff val="0"/>
                <a:lumOff val="0"/>
                <a:alphaOff val="0"/>
                <a:tint val="23000"/>
                <a:satMod val="300000"/>
              </a:schemeClr>
            </a:gs>
          </a:gsLst>
          <a:lin ang="16200000" scaled="0"/>
        </a:gradFill>
        <a:ln>
          <a:noFill/>
        </a:ln>
        <a:effectLst>
          <a:outerShdw blurRad="50800" dist="38100" dir="5400000" rotWithShape="0">
            <a:srgbClr val="000000">
              <a:alpha val="35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Competitor Analysis</a:t>
          </a:r>
        </a:p>
      </dsp:txBody>
      <dsp:txXfrm>
        <a:off x="937635" y="1001565"/>
        <a:ext cx="361321" cy="361321"/>
      </dsp:txXfrm>
    </dsp:sp>
    <dsp:sp modelId="{A60CDD8A-3F2B-47B9-9349-B8E3B68B773F}">
      <dsp:nvSpPr>
        <dsp:cNvPr id="0" name=""/>
        <dsp:cNvSpPr/>
      </dsp:nvSpPr>
      <dsp:spPr>
        <a:xfrm rot="18000000">
          <a:off x="1240292" y="767399"/>
          <a:ext cx="135439" cy="172457"/>
        </a:xfrm>
        <a:prstGeom prst="rightArrow">
          <a:avLst>
            <a:gd name="adj1" fmla="val 60000"/>
            <a:gd name="adj2" fmla="val 50000"/>
          </a:avLst>
        </a:prstGeom>
        <a:gradFill rotWithShape="0">
          <a:gsLst>
            <a:gs pos="0">
              <a:schemeClr val="accent1">
                <a:tint val="60000"/>
                <a:hueOff val="0"/>
                <a:satOff val="0"/>
                <a:lumOff val="0"/>
                <a:alphaOff val="0"/>
                <a:tint val="62000"/>
                <a:satMod val="180000"/>
              </a:schemeClr>
            </a:gs>
            <a:gs pos="65000">
              <a:schemeClr val="accent1">
                <a:tint val="60000"/>
                <a:hueOff val="0"/>
                <a:satOff val="0"/>
                <a:lumOff val="0"/>
                <a:alphaOff val="0"/>
                <a:tint val="32000"/>
                <a:satMod val="250000"/>
              </a:schemeClr>
            </a:gs>
            <a:gs pos="100000">
              <a:schemeClr val="accent1">
                <a:tint val="60000"/>
                <a:hueOff val="0"/>
                <a:satOff val="0"/>
                <a:lumOff val="0"/>
                <a:alphaOff val="0"/>
                <a:tint val="23000"/>
                <a:satMod val="300000"/>
              </a:schemeClr>
            </a:gs>
          </a:gsLst>
          <a:lin ang="16200000" scaled="0"/>
        </a:gradFill>
        <a:ln>
          <a:noFill/>
        </a:ln>
        <a:effectLst>
          <a:outerShdw blurRad="50800" dist="38100" dir="5400000" rotWithShape="0">
            <a:srgbClr val="000000">
              <a:alpha val="35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1250450" y="819484"/>
        <a:ext cx="94807" cy="103475"/>
      </dsp:txXfrm>
    </dsp:sp>
    <dsp:sp modelId="{88B5D7E3-A819-45D3-8300-B5470BEABB8B}">
      <dsp:nvSpPr>
        <dsp:cNvPr id="0" name=""/>
        <dsp:cNvSpPr/>
      </dsp:nvSpPr>
      <dsp:spPr>
        <a:xfrm>
          <a:off x="1246068" y="262898"/>
          <a:ext cx="510985" cy="510985"/>
        </a:xfrm>
        <a:prstGeom prst="ellipse">
          <a:avLst/>
        </a:prstGeom>
        <a:gradFill rotWithShape="0">
          <a:gsLst>
            <a:gs pos="0">
              <a:schemeClr val="accent1">
                <a:hueOff val="0"/>
                <a:satOff val="0"/>
                <a:lumOff val="0"/>
                <a:alphaOff val="0"/>
                <a:tint val="62000"/>
                <a:satMod val="180000"/>
              </a:schemeClr>
            </a:gs>
            <a:gs pos="65000">
              <a:schemeClr val="accent1">
                <a:hueOff val="0"/>
                <a:satOff val="0"/>
                <a:lumOff val="0"/>
                <a:alphaOff val="0"/>
                <a:tint val="32000"/>
                <a:satMod val="250000"/>
              </a:schemeClr>
            </a:gs>
            <a:gs pos="100000">
              <a:schemeClr val="accent1">
                <a:hueOff val="0"/>
                <a:satOff val="0"/>
                <a:lumOff val="0"/>
                <a:alphaOff val="0"/>
                <a:tint val="23000"/>
                <a:satMod val="300000"/>
              </a:schemeClr>
            </a:gs>
          </a:gsLst>
          <a:lin ang="16200000" scaled="0"/>
        </a:gradFill>
        <a:ln>
          <a:noFill/>
        </a:ln>
        <a:effectLst>
          <a:outerShdw blurRad="50800" dist="38100" dir="5400000" rotWithShape="0">
            <a:srgbClr val="000000">
              <a:alpha val="35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Customer Analysis</a:t>
          </a:r>
        </a:p>
      </dsp:txBody>
      <dsp:txXfrm>
        <a:off x="1320900" y="337730"/>
        <a:ext cx="361321" cy="361321"/>
      </dsp:txXfrm>
    </dsp:sp>
    <dsp:sp modelId="{7A86CB19-F827-4F24-B3B2-9121AE96AEB5}">
      <dsp:nvSpPr>
        <dsp:cNvPr id="0" name=""/>
        <dsp:cNvSpPr/>
      </dsp:nvSpPr>
      <dsp:spPr>
        <a:xfrm rot="20400000">
          <a:off x="1790391" y="302388"/>
          <a:ext cx="135439" cy="172457"/>
        </a:xfrm>
        <a:prstGeom prst="rightArrow">
          <a:avLst>
            <a:gd name="adj1" fmla="val 60000"/>
            <a:gd name="adj2" fmla="val 50000"/>
          </a:avLst>
        </a:prstGeom>
        <a:gradFill rotWithShape="0">
          <a:gsLst>
            <a:gs pos="0">
              <a:schemeClr val="accent1">
                <a:tint val="60000"/>
                <a:hueOff val="0"/>
                <a:satOff val="0"/>
                <a:lumOff val="0"/>
                <a:alphaOff val="0"/>
                <a:tint val="62000"/>
                <a:satMod val="180000"/>
              </a:schemeClr>
            </a:gs>
            <a:gs pos="65000">
              <a:schemeClr val="accent1">
                <a:tint val="60000"/>
                <a:hueOff val="0"/>
                <a:satOff val="0"/>
                <a:lumOff val="0"/>
                <a:alphaOff val="0"/>
                <a:tint val="32000"/>
                <a:satMod val="250000"/>
              </a:schemeClr>
            </a:gs>
            <a:gs pos="100000">
              <a:schemeClr val="accent1">
                <a:tint val="60000"/>
                <a:hueOff val="0"/>
                <a:satOff val="0"/>
                <a:lumOff val="0"/>
                <a:alphaOff val="0"/>
                <a:tint val="23000"/>
                <a:satMod val="300000"/>
              </a:schemeClr>
            </a:gs>
          </a:gsLst>
          <a:lin ang="16200000" scaled="0"/>
        </a:gradFill>
        <a:ln>
          <a:noFill/>
        </a:ln>
        <a:effectLst>
          <a:outerShdw blurRad="50800" dist="38100" dir="5400000" rotWithShape="0">
            <a:srgbClr val="000000">
              <a:alpha val="35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1791616" y="343827"/>
        <a:ext cx="94807" cy="10347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0478634-D9A9-4D06-9F3C-44935229459D}">
      <dsp:nvSpPr>
        <dsp:cNvPr id="0" name=""/>
        <dsp:cNvSpPr/>
      </dsp:nvSpPr>
      <dsp:spPr>
        <a:xfrm>
          <a:off x="1446753" y="803498"/>
          <a:ext cx="485963" cy="485963"/>
        </a:xfrm>
        <a:prstGeom prst="ellipse">
          <a:avLst/>
        </a:prstGeom>
        <a:gradFill rotWithShape="0">
          <a:gsLst>
            <a:gs pos="0">
              <a:schemeClr val="accent1">
                <a:hueOff val="0"/>
                <a:satOff val="0"/>
                <a:lumOff val="0"/>
                <a:alphaOff val="0"/>
                <a:shade val="15000"/>
                <a:satMod val="180000"/>
              </a:schemeClr>
            </a:gs>
            <a:gs pos="50000">
              <a:schemeClr val="accent1">
                <a:hueOff val="0"/>
                <a:satOff val="0"/>
                <a:lumOff val="0"/>
                <a:alphaOff val="0"/>
                <a:shade val="45000"/>
                <a:satMod val="170000"/>
              </a:schemeClr>
            </a:gs>
            <a:gs pos="70000">
              <a:schemeClr val="accent1">
                <a:hueOff val="0"/>
                <a:satOff val="0"/>
                <a:lumOff val="0"/>
                <a:alphaOff val="0"/>
                <a:tint val="99000"/>
                <a:shade val="65000"/>
                <a:satMod val="155000"/>
              </a:schemeClr>
            </a:gs>
            <a:gs pos="100000">
              <a:schemeClr val="accent1">
                <a:hueOff val="0"/>
                <a:satOff val="0"/>
                <a:lumOff val="0"/>
                <a:alphaOff val="0"/>
                <a:tint val="95500"/>
                <a:shade val="100000"/>
                <a:satMod val="155000"/>
              </a:schemeClr>
            </a:gs>
          </a:gsLst>
          <a:lin ang="16200000" scaled="0"/>
        </a:gradFill>
        <a:ln>
          <a:noFill/>
        </a:ln>
        <a:effectLst>
          <a:outerShdw blurRad="50800" dist="381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Organisation</a:t>
          </a:r>
        </a:p>
      </dsp:txBody>
      <dsp:txXfrm>
        <a:off x="1517921" y="874666"/>
        <a:ext cx="343627" cy="343627"/>
      </dsp:txXfrm>
    </dsp:sp>
    <dsp:sp modelId="{F1102847-8534-4CCD-86A8-0AE8444634E6}">
      <dsp:nvSpPr>
        <dsp:cNvPr id="0" name=""/>
        <dsp:cNvSpPr/>
      </dsp:nvSpPr>
      <dsp:spPr>
        <a:xfrm rot="16200000">
          <a:off x="1638069" y="626326"/>
          <a:ext cx="103331" cy="165227"/>
        </a:xfrm>
        <a:prstGeom prst="rightArrow">
          <a:avLst>
            <a:gd name="adj1" fmla="val 60000"/>
            <a:gd name="adj2" fmla="val 50000"/>
          </a:avLst>
        </a:prstGeom>
        <a:gradFill rotWithShape="0">
          <a:gsLst>
            <a:gs pos="0">
              <a:schemeClr val="accent1">
                <a:tint val="60000"/>
                <a:hueOff val="0"/>
                <a:satOff val="0"/>
                <a:lumOff val="0"/>
                <a:alphaOff val="0"/>
                <a:shade val="15000"/>
                <a:satMod val="180000"/>
              </a:schemeClr>
            </a:gs>
            <a:gs pos="50000">
              <a:schemeClr val="accent1">
                <a:tint val="60000"/>
                <a:hueOff val="0"/>
                <a:satOff val="0"/>
                <a:lumOff val="0"/>
                <a:alphaOff val="0"/>
                <a:shade val="45000"/>
                <a:satMod val="170000"/>
              </a:schemeClr>
            </a:gs>
            <a:gs pos="70000">
              <a:schemeClr val="accent1">
                <a:tint val="60000"/>
                <a:hueOff val="0"/>
                <a:satOff val="0"/>
                <a:lumOff val="0"/>
                <a:alphaOff val="0"/>
                <a:tint val="99000"/>
                <a:shade val="65000"/>
                <a:satMod val="155000"/>
              </a:schemeClr>
            </a:gs>
            <a:gs pos="100000">
              <a:schemeClr val="accent1">
                <a:tint val="60000"/>
                <a:hueOff val="0"/>
                <a:satOff val="0"/>
                <a:lumOff val="0"/>
                <a:alphaOff val="0"/>
                <a:tint val="95500"/>
                <a:shade val="100000"/>
                <a:satMod val="155000"/>
              </a:schemeClr>
            </a:gs>
          </a:gsLst>
          <a:lin ang="16200000" scaled="0"/>
        </a:gradFill>
        <a:ln>
          <a:noFill/>
        </a:ln>
        <a:effectLst>
          <a:outerShdw blurRad="50800" dist="381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1653569" y="674871"/>
        <a:ext cx="72332" cy="99137"/>
      </dsp:txXfrm>
    </dsp:sp>
    <dsp:sp modelId="{85A60E70-5516-49B6-B323-1611D74FC197}">
      <dsp:nvSpPr>
        <dsp:cNvPr id="0" name=""/>
        <dsp:cNvSpPr/>
      </dsp:nvSpPr>
      <dsp:spPr>
        <a:xfrm>
          <a:off x="1386007" y="1078"/>
          <a:ext cx="607454" cy="607454"/>
        </a:xfrm>
        <a:prstGeom prst="ellipse">
          <a:avLst/>
        </a:prstGeom>
        <a:gradFill rotWithShape="0">
          <a:gsLst>
            <a:gs pos="0">
              <a:schemeClr val="accent1">
                <a:hueOff val="0"/>
                <a:satOff val="0"/>
                <a:lumOff val="0"/>
                <a:alphaOff val="0"/>
                <a:shade val="15000"/>
                <a:satMod val="180000"/>
              </a:schemeClr>
            </a:gs>
            <a:gs pos="50000">
              <a:schemeClr val="accent1">
                <a:hueOff val="0"/>
                <a:satOff val="0"/>
                <a:lumOff val="0"/>
                <a:alphaOff val="0"/>
                <a:shade val="45000"/>
                <a:satMod val="170000"/>
              </a:schemeClr>
            </a:gs>
            <a:gs pos="70000">
              <a:schemeClr val="accent1">
                <a:hueOff val="0"/>
                <a:satOff val="0"/>
                <a:lumOff val="0"/>
                <a:alphaOff val="0"/>
                <a:tint val="99000"/>
                <a:shade val="65000"/>
                <a:satMod val="155000"/>
              </a:schemeClr>
            </a:gs>
            <a:gs pos="100000">
              <a:schemeClr val="accent1">
                <a:hueOff val="0"/>
                <a:satOff val="0"/>
                <a:lumOff val="0"/>
                <a:alphaOff val="0"/>
                <a:tint val="95500"/>
                <a:shade val="100000"/>
                <a:satMod val="155000"/>
              </a:schemeClr>
            </a:gs>
          </a:gsLst>
          <a:lin ang="16200000" scaled="0"/>
        </a:gradFill>
        <a:ln>
          <a:noFill/>
        </a:ln>
        <a:effectLst>
          <a:outerShdw blurRad="50800" dist="381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Informal Cooperative Links</a:t>
          </a:r>
        </a:p>
      </dsp:txBody>
      <dsp:txXfrm>
        <a:off x="1474967" y="90038"/>
        <a:ext cx="429534" cy="429534"/>
      </dsp:txXfrm>
    </dsp:sp>
    <dsp:sp modelId="{AEC904AF-6127-41BF-A990-CE4D92E43E60}">
      <dsp:nvSpPr>
        <dsp:cNvPr id="0" name=""/>
        <dsp:cNvSpPr/>
      </dsp:nvSpPr>
      <dsp:spPr>
        <a:xfrm>
          <a:off x="1975609" y="963866"/>
          <a:ext cx="103331" cy="165227"/>
        </a:xfrm>
        <a:prstGeom prst="rightArrow">
          <a:avLst>
            <a:gd name="adj1" fmla="val 60000"/>
            <a:gd name="adj2" fmla="val 50000"/>
          </a:avLst>
        </a:prstGeom>
        <a:gradFill rotWithShape="0">
          <a:gsLst>
            <a:gs pos="0">
              <a:schemeClr val="accent1">
                <a:tint val="60000"/>
                <a:hueOff val="0"/>
                <a:satOff val="0"/>
                <a:lumOff val="0"/>
                <a:alphaOff val="0"/>
                <a:shade val="15000"/>
                <a:satMod val="180000"/>
              </a:schemeClr>
            </a:gs>
            <a:gs pos="50000">
              <a:schemeClr val="accent1">
                <a:tint val="60000"/>
                <a:hueOff val="0"/>
                <a:satOff val="0"/>
                <a:lumOff val="0"/>
                <a:alphaOff val="0"/>
                <a:shade val="45000"/>
                <a:satMod val="170000"/>
              </a:schemeClr>
            </a:gs>
            <a:gs pos="70000">
              <a:schemeClr val="accent1">
                <a:tint val="60000"/>
                <a:hueOff val="0"/>
                <a:satOff val="0"/>
                <a:lumOff val="0"/>
                <a:alphaOff val="0"/>
                <a:tint val="99000"/>
                <a:shade val="65000"/>
                <a:satMod val="155000"/>
              </a:schemeClr>
            </a:gs>
            <a:gs pos="100000">
              <a:schemeClr val="accent1">
                <a:tint val="60000"/>
                <a:hueOff val="0"/>
                <a:satOff val="0"/>
                <a:lumOff val="0"/>
                <a:alphaOff val="0"/>
                <a:tint val="95500"/>
                <a:shade val="100000"/>
                <a:satMod val="155000"/>
              </a:schemeClr>
            </a:gs>
          </a:gsLst>
          <a:lin ang="16200000" scaled="0"/>
        </a:gradFill>
        <a:ln>
          <a:noFill/>
        </a:ln>
        <a:effectLst>
          <a:outerShdw blurRad="50800" dist="381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1975609" y="996911"/>
        <a:ext cx="72332" cy="99137"/>
      </dsp:txXfrm>
    </dsp:sp>
    <dsp:sp modelId="{70C56F70-0E09-4CA2-AEC2-A09A4DDAE140}">
      <dsp:nvSpPr>
        <dsp:cNvPr id="0" name=""/>
        <dsp:cNvSpPr/>
      </dsp:nvSpPr>
      <dsp:spPr>
        <a:xfrm>
          <a:off x="2127681" y="742752"/>
          <a:ext cx="607454" cy="607454"/>
        </a:xfrm>
        <a:prstGeom prst="ellipse">
          <a:avLst/>
        </a:prstGeom>
        <a:gradFill rotWithShape="0">
          <a:gsLst>
            <a:gs pos="0">
              <a:schemeClr val="accent1">
                <a:hueOff val="0"/>
                <a:satOff val="0"/>
                <a:lumOff val="0"/>
                <a:alphaOff val="0"/>
                <a:shade val="15000"/>
                <a:satMod val="180000"/>
              </a:schemeClr>
            </a:gs>
            <a:gs pos="50000">
              <a:schemeClr val="accent1">
                <a:hueOff val="0"/>
                <a:satOff val="0"/>
                <a:lumOff val="0"/>
                <a:alphaOff val="0"/>
                <a:shade val="45000"/>
                <a:satMod val="170000"/>
              </a:schemeClr>
            </a:gs>
            <a:gs pos="70000">
              <a:schemeClr val="accent1">
                <a:hueOff val="0"/>
                <a:satOff val="0"/>
                <a:lumOff val="0"/>
                <a:alphaOff val="0"/>
                <a:tint val="99000"/>
                <a:shade val="65000"/>
                <a:satMod val="155000"/>
              </a:schemeClr>
            </a:gs>
            <a:gs pos="100000">
              <a:schemeClr val="accent1">
                <a:hueOff val="0"/>
                <a:satOff val="0"/>
                <a:lumOff val="0"/>
                <a:alphaOff val="0"/>
                <a:tint val="95500"/>
                <a:shade val="100000"/>
                <a:satMod val="155000"/>
              </a:schemeClr>
            </a:gs>
          </a:gsLst>
          <a:lin ang="16200000" scaled="0"/>
        </a:gradFill>
        <a:ln>
          <a:noFill/>
        </a:ln>
        <a:effectLst>
          <a:outerShdw blurRad="50800" dist="381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Formal </a:t>
          </a:r>
        </a:p>
        <a:p>
          <a:pPr marL="0" lvl="0" indent="0" algn="ctr" defTabSz="222250">
            <a:lnSpc>
              <a:spcPct val="90000"/>
            </a:lnSpc>
            <a:spcBef>
              <a:spcPct val="0"/>
            </a:spcBef>
            <a:spcAft>
              <a:spcPct val="35000"/>
            </a:spcAft>
            <a:buNone/>
          </a:pPr>
          <a:r>
            <a:rPr lang="en-GB" sz="500" kern="1200"/>
            <a:t>Cooperative Links</a:t>
          </a:r>
        </a:p>
      </dsp:txBody>
      <dsp:txXfrm>
        <a:off x="2216641" y="831712"/>
        <a:ext cx="429534" cy="429534"/>
      </dsp:txXfrm>
    </dsp:sp>
    <dsp:sp modelId="{51477B3C-2984-445F-8DC2-2888FBCC815C}">
      <dsp:nvSpPr>
        <dsp:cNvPr id="0" name=""/>
        <dsp:cNvSpPr/>
      </dsp:nvSpPr>
      <dsp:spPr>
        <a:xfrm rot="5400000">
          <a:off x="1638069" y="1301405"/>
          <a:ext cx="103331" cy="165227"/>
        </a:xfrm>
        <a:prstGeom prst="rightArrow">
          <a:avLst>
            <a:gd name="adj1" fmla="val 60000"/>
            <a:gd name="adj2" fmla="val 50000"/>
          </a:avLst>
        </a:prstGeom>
        <a:gradFill rotWithShape="0">
          <a:gsLst>
            <a:gs pos="0">
              <a:schemeClr val="accent1">
                <a:tint val="60000"/>
                <a:hueOff val="0"/>
                <a:satOff val="0"/>
                <a:lumOff val="0"/>
                <a:alphaOff val="0"/>
                <a:shade val="15000"/>
                <a:satMod val="180000"/>
              </a:schemeClr>
            </a:gs>
            <a:gs pos="50000">
              <a:schemeClr val="accent1">
                <a:tint val="60000"/>
                <a:hueOff val="0"/>
                <a:satOff val="0"/>
                <a:lumOff val="0"/>
                <a:alphaOff val="0"/>
                <a:shade val="45000"/>
                <a:satMod val="170000"/>
              </a:schemeClr>
            </a:gs>
            <a:gs pos="70000">
              <a:schemeClr val="accent1">
                <a:tint val="60000"/>
                <a:hueOff val="0"/>
                <a:satOff val="0"/>
                <a:lumOff val="0"/>
                <a:alphaOff val="0"/>
                <a:tint val="99000"/>
                <a:shade val="65000"/>
                <a:satMod val="155000"/>
              </a:schemeClr>
            </a:gs>
            <a:gs pos="100000">
              <a:schemeClr val="accent1">
                <a:tint val="60000"/>
                <a:hueOff val="0"/>
                <a:satOff val="0"/>
                <a:lumOff val="0"/>
                <a:alphaOff val="0"/>
                <a:tint val="95500"/>
                <a:shade val="100000"/>
                <a:satMod val="155000"/>
              </a:schemeClr>
            </a:gs>
          </a:gsLst>
          <a:lin ang="16200000" scaled="0"/>
        </a:gradFill>
        <a:ln>
          <a:noFill/>
        </a:ln>
        <a:effectLst>
          <a:outerShdw blurRad="50800" dist="381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1653569" y="1318951"/>
        <a:ext cx="72332" cy="99137"/>
      </dsp:txXfrm>
    </dsp:sp>
    <dsp:sp modelId="{29F44CA0-A7BA-43B3-A884-BCFBA0927066}">
      <dsp:nvSpPr>
        <dsp:cNvPr id="0" name=""/>
        <dsp:cNvSpPr/>
      </dsp:nvSpPr>
      <dsp:spPr>
        <a:xfrm>
          <a:off x="1386007" y="1484426"/>
          <a:ext cx="607454" cy="607454"/>
        </a:xfrm>
        <a:prstGeom prst="ellipse">
          <a:avLst/>
        </a:prstGeom>
        <a:gradFill rotWithShape="0">
          <a:gsLst>
            <a:gs pos="0">
              <a:schemeClr val="accent1">
                <a:hueOff val="0"/>
                <a:satOff val="0"/>
                <a:lumOff val="0"/>
                <a:alphaOff val="0"/>
                <a:shade val="15000"/>
                <a:satMod val="180000"/>
              </a:schemeClr>
            </a:gs>
            <a:gs pos="50000">
              <a:schemeClr val="accent1">
                <a:hueOff val="0"/>
                <a:satOff val="0"/>
                <a:lumOff val="0"/>
                <a:alphaOff val="0"/>
                <a:shade val="45000"/>
                <a:satMod val="170000"/>
              </a:schemeClr>
            </a:gs>
            <a:gs pos="70000">
              <a:schemeClr val="accent1">
                <a:hueOff val="0"/>
                <a:satOff val="0"/>
                <a:lumOff val="0"/>
                <a:alphaOff val="0"/>
                <a:tint val="99000"/>
                <a:shade val="65000"/>
                <a:satMod val="155000"/>
              </a:schemeClr>
            </a:gs>
            <a:gs pos="100000">
              <a:schemeClr val="accent1">
                <a:hueOff val="0"/>
                <a:satOff val="0"/>
                <a:lumOff val="0"/>
                <a:alphaOff val="0"/>
                <a:tint val="95500"/>
                <a:shade val="100000"/>
                <a:satMod val="155000"/>
              </a:schemeClr>
            </a:gs>
          </a:gsLst>
          <a:lin ang="16200000" scaled="0"/>
        </a:gradFill>
        <a:ln>
          <a:noFill/>
        </a:ln>
        <a:effectLst>
          <a:outerShdw blurRad="50800" dist="381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Government</a:t>
          </a:r>
        </a:p>
      </dsp:txBody>
      <dsp:txXfrm>
        <a:off x="1474967" y="1573386"/>
        <a:ext cx="429534" cy="429534"/>
      </dsp:txXfrm>
    </dsp:sp>
    <dsp:sp modelId="{463C9FD4-ABE3-4152-9E5C-FF80D7F03558}">
      <dsp:nvSpPr>
        <dsp:cNvPr id="0" name=""/>
        <dsp:cNvSpPr/>
      </dsp:nvSpPr>
      <dsp:spPr>
        <a:xfrm rot="10800000">
          <a:off x="1300529" y="963866"/>
          <a:ext cx="103331" cy="165227"/>
        </a:xfrm>
        <a:prstGeom prst="rightArrow">
          <a:avLst>
            <a:gd name="adj1" fmla="val 60000"/>
            <a:gd name="adj2" fmla="val 50000"/>
          </a:avLst>
        </a:prstGeom>
        <a:gradFill rotWithShape="0">
          <a:gsLst>
            <a:gs pos="0">
              <a:schemeClr val="accent1">
                <a:tint val="60000"/>
                <a:hueOff val="0"/>
                <a:satOff val="0"/>
                <a:lumOff val="0"/>
                <a:alphaOff val="0"/>
                <a:shade val="15000"/>
                <a:satMod val="180000"/>
              </a:schemeClr>
            </a:gs>
            <a:gs pos="50000">
              <a:schemeClr val="accent1">
                <a:tint val="60000"/>
                <a:hueOff val="0"/>
                <a:satOff val="0"/>
                <a:lumOff val="0"/>
                <a:alphaOff val="0"/>
                <a:shade val="45000"/>
                <a:satMod val="170000"/>
              </a:schemeClr>
            </a:gs>
            <a:gs pos="70000">
              <a:schemeClr val="accent1">
                <a:tint val="60000"/>
                <a:hueOff val="0"/>
                <a:satOff val="0"/>
                <a:lumOff val="0"/>
                <a:alphaOff val="0"/>
                <a:tint val="99000"/>
                <a:shade val="65000"/>
                <a:satMod val="155000"/>
              </a:schemeClr>
            </a:gs>
            <a:gs pos="100000">
              <a:schemeClr val="accent1">
                <a:tint val="60000"/>
                <a:hueOff val="0"/>
                <a:satOff val="0"/>
                <a:lumOff val="0"/>
                <a:alphaOff val="0"/>
                <a:tint val="95500"/>
                <a:shade val="100000"/>
                <a:satMod val="155000"/>
              </a:schemeClr>
            </a:gs>
          </a:gsLst>
          <a:lin ang="16200000" scaled="0"/>
        </a:gradFill>
        <a:ln>
          <a:noFill/>
        </a:ln>
        <a:effectLst>
          <a:outerShdw blurRad="50800" dist="381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rot="10800000">
        <a:off x="1331528" y="996911"/>
        <a:ext cx="72332" cy="99137"/>
      </dsp:txXfrm>
    </dsp:sp>
    <dsp:sp modelId="{56C4E18C-F407-4035-8353-111CAAFB1092}">
      <dsp:nvSpPr>
        <dsp:cNvPr id="0" name=""/>
        <dsp:cNvSpPr/>
      </dsp:nvSpPr>
      <dsp:spPr>
        <a:xfrm>
          <a:off x="644333" y="742752"/>
          <a:ext cx="607454" cy="607454"/>
        </a:xfrm>
        <a:prstGeom prst="ellipse">
          <a:avLst/>
        </a:prstGeom>
        <a:gradFill rotWithShape="0">
          <a:gsLst>
            <a:gs pos="0">
              <a:schemeClr val="accent1">
                <a:hueOff val="0"/>
                <a:satOff val="0"/>
                <a:lumOff val="0"/>
                <a:alphaOff val="0"/>
                <a:shade val="15000"/>
                <a:satMod val="180000"/>
              </a:schemeClr>
            </a:gs>
            <a:gs pos="50000">
              <a:schemeClr val="accent1">
                <a:hueOff val="0"/>
                <a:satOff val="0"/>
                <a:lumOff val="0"/>
                <a:alphaOff val="0"/>
                <a:shade val="45000"/>
                <a:satMod val="170000"/>
              </a:schemeClr>
            </a:gs>
            <a:gs pos="70000">
              <a:schemeClr val="accent1">
                <a:hueOff val="0"/>
                <a:satOff val="0"/>
                <a:lumOff val="0"/>
                <a:alphaOff val="0"/>
                <a:tint val="99000"/>
                <a:shade val="65000"/>
                <a:satMod val="155000"/>
              </a:schemeClr>
            </a:gs>
            <a:gs pos="100000">
              <a:schemeClr val="accent1">
                <a:hueOff val="0"/>
                <a:satOff val="0"/>
                <a:lumOff val="0"/>
                <a:alphaOff val="0"/>
                <a:tint val="95500"/>
                <a:shade val="100000"/>
                <a:satMod val="155000"/>
              </a:schemeClr>
            </a:gs>
          </a:gsLst>
          <a:lin ang="16200000" scaled="0"/>
        </a:gradFill>
        <a:ln>
          <a:noFill/>
        </a:ln>
        <a:effectLst>
          <a:outerShdw blurRad="50800" dist="381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Complementors</a:t>
          </a:r>
        </a:p>
      </dsp:txBody>
      <dsp:txXfrm>
        <a:off x="733293" y="831712"/>
        <a:ext cx="429534" cy="429534"/>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Glossy">
      <a:fillStyleLst>
        <a:solidFill>
          <a:schemeClr val="phClr"/>
        </a:solidFill>
        <a:gradFill rotWithShape="1">
          <a:gsLst>
            <a:gs pos="0">
              <a:schemeClr val="phClr">
                <a:tint val="62000"/>
                <a:satMod val="180000"/>
              </a:schemeClr>
            </a:gs>
            <a:gs pos="65000">
              <a:schemeClr val="phClr">
                <a:tint val="32000"/>
                <a:satMod val="250000"/>
              </a:schemeClr>
            </a:gs>
            <a:gs pos="100000">
              <a:schemeClr val="phClr">
                <a:tint val="23000"/>
                <a:satMod val="300000"/>
              </a:schemeClr>
            </a:gs>
          </a:gsLst>
          <a:lin ang="16200000" scaled="0"/>
        </a:gradFill>
        <a:gradFill rotWithShape="1">
          <a:gsLst>
            <a:gs pos="0">
              <a:schemeClr val="phClr">
                <a:shade val="15000"/>
                <a:satMod val="180000"/>
              </a:schemeClr>
            </a:gs>
            <a:gs pos="50000">
              <a:schemeClr val="phClr">
                <a:shade val="45000"/>
                <a:satMod val="170000"/>
              </a:schemeClr>
            </a:gs>
            <a:gs pos="70000">
              <a:schemeClr val="phClr">
                <a:tint val="99000"/>
                <a:shade val="65000"/>
                <a:satMod val="155000"/>
              </a:schemeClr>
            </a:gs>
            <a:gs pos="100000">
              <a:schemeClr val="phClr">
                <a:tint val="95500"/>
                <a:shade val="100000"/>
                <a:satMod val="155000"/>
              </a:schemeClr>
            </a:gs>
          </a:gsLst>
          <a:lin ang="16200000" scaled="0"/>
        </a:gradFill>
      </a:fillStyleLst>
      <a:lnStyleLst>
        <a:ln w="12700" cap="flat" cmpd="sng" algn="ctr">
          <a:solidFill>
            <a:schemeClr val="phClr">
              <a:tint val="95000"/>
              <a:shade val="95000"/>
              <a:satMod val="120000"/>
            </a:schemeClr>
          </a:solidFill>
          <a:prstDash val="solid"/>
        </a:ln>
        <a:ln w="55000" cap="flat" cmpd="thickThin" algn="ctr">
          <a:solidFill>
            <a:schemeClr val="phClr">
              <a:tint val="90000"/>
              <a:satMod val="130000"/>
            </a:schemeClr>
          </a:solidFill>
          <a:prstDash val="solid"/>
        </a:ln>
        <a:ln w="50800" cap="flat" cmpd="sng" algn="ctr">
          <a:solidFill>
            <a:schemeClr val="phClr"/>
          </a:solidFill>
          <a:prstDash val="solid"/>
        </a:ln>
      </a:lnStyleLst>
      <a:effectStyleLst>
        <a:effectStyle>
          <a:effectLst>
            <a:outerShdw blurRad="50800" dist="38100" dir="5400000" rotWithShape="0">
              <a:srgbClr val="000000">
                <a:alpha val="35000"/>
              </a:srgbClr>
            </a:outerShdw>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45000"/>
              </a:srgbClr>
            </a:outerShdw>
          </a:effectLst>
          <a:scene3d>
            <a:camera prst="orthographicFront">
              <a:rot lat="0" lon="0" rev="0"/>
            </a:camera>
            <a:lightRig rig="glow" dir="t">
              <a:rot lat="0" lon="0" rev="6360000"/>
            </a:lightRig>
          </a:scene3d>
          <a:sp3d contourW="1000" prstMaterial="flat">
            <a:bevelT w="95250" h="101600"/>
            <a:contourClr>
              <a:schemeClr val="phClr">
                <a:satMod val="30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2022-01-10T00:00:00</PublishDate>
  <Abstract>MSc Policing (Operational and Strategic Leadership)</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Obo08</b:Tag>
    <b:SourceType>Book</b:SourceType>
    <b:Guid>{83CE41D3-B1E3-4550-8BC0-DF35FAF2DE71}</b:Guid>
    <b:Title>The Triumph of the Political Class</b:Title>
    <b:Year>2008</b:Year>
    <b:City>London</b:City>
    <b:Publisher>Pocket Books</b:Publisher>
    <b:Author>
      <b:Author>
        <b:NameList>
          <b:Person>
            <b:Last>Oborne</b:Last>
            <b:First>Peter</b:First>
          </b:Person>
        </b:NameList>
      </b:Author>
    </b:Author>
    <b:RefOrder>22</b:RefOrder>
  </b:Source>
  <b:Source>
    <b:Tag>Ell20</b:Tag>
    <b:SourceType>JournalArticle</b:SourceType>
    <b:Guid>{D07856BA-E713-4B2B-A281-A92D02E796B5}</b:Guid>
    <b:Title>Strategic Planning activity, middle manager divergent thinking, external stakeholder salience, and organizational performance: a study of English and Welsh police forces</b:Title>
    <b:JournalName>Public Management Review</b:JournalName>
    <b:Year>2020</b:Year>
    <b:Pages>1581-1602</b:Pages>
    <b:Author>
      <b:Author>
        <b:NameList>
          <b:Person>
            <b:Last>Elliot</b:Last>
            <b:First>Garry</b:First>
          </b:Person>
          <b:Person>
            <b:Last>Day</b:Last>
            <b:First>Marc</b:First>
          </b:Person>
          <b:Person>
            <b:Last>Lichtenstein</b:Last>
            <b:First>Scott</b:First>
          </b:Person>
        </b:NameList>
      </b:Author>
    </b:Author>
    <b:Publisher>Routledge</b:Publisher>
    <b:Volume>22</b:Volume>
    <b:Issue>11</b:Issue>
    <b:DOI>10.1080/14719037.2019.1635194</b:DOI>
    <b:RefOrder>10</b:RefOrder>
  </b:Source>
  <b:Source>
    <b:Tag>Fly15</b:Tag>
    <b:SourceType>DocumentFromInternetSite</b:SourceType>
    <b:Guid>{00605871-F45D-4A9F-95EE-EDEF2064EB88}</b:Guid>
    <b:Title>Toward a Profession of Police Leadership</b:Title>
    <b:Year>2015</b:Year>
    <b:InternetSiteTitle>National Institute of Justice</b:InternetSiteTitle>
    <b:Month>June</b:Month>
    <b:URL>https://nij.ojp.gov/library/publications/toward-profession-police-leadership</b:URL>
    <b:Author>
      <b:Author>
        <b:NameList>
          <b:Person>
            <b:Last>Flynn</b:Last>
            <b:Middle>A</b:Middle>
            <b:First>Edward</b:First>
          </b:Person>
          <b:Person>
            <b:Last>Herrington</b:Last>
            <b:First>Victoria</b:First>
          </b:Person>
        </b:NameList>
      </b:Author>
    </b:Author>
    <b:RefOrder>11</b:RefOrder>
  </b:Source>
  <b:Source>
    <b:Tag>Dav01</b:Tag>
    <b:SourceType>Book</b:SourceType>
    <b:Guid>{33E9B405-73F9-4F55-B737-C2B6A832C29B}</b:Guid>
    <b:Title>Strategic Management Concepts and Cases</b:Title>
    <b:Year>2001</b:Year>
    <b:City>New Jersey</b:City>
    <b:Publisher>Pearson Prentice Hall</b:Publisher>
    <b:Author>
      <b:Author>
        <b:NameList>
          <b:Person>
            <b:Last>David</b:Last>
            <b:Middle>R</b:Middle>
            <b:First>Fred</b:First>
          </b:Person>
        </b:NameList>
      </b:Author>
    </b:Author>
    <b:Edition>12th</b:Edition>
    <b:RefOrder>5</b:RefOrder>
  </b:Source>
  <b:Source>
    <b:Tag>Fly17</b:Tag>
    <b:SourceType>Book</b:SourceType>
    <b:Guid>{E60E2C69-B153-4BDE-8453-2354829418E0}</b:Guid>
    <b:Title>Public Sector Management</b:Title>
    <b:Year>2017</b:Year>
    <b:City>London</b:City>
    <b:Publisher>Sage Publications Ltd</b:Publisher>
    <b:Author>
      <b:Author>
        <b:NameList>
          <b:Person>
            <b:Last>Flynn</b:Last>
            <b:First>Norman</b:First>
          </b:Person>
          <b:Person>
            <b:Last>Asquer</b:Last>
            <b:First>Alberto</b:First>
          </b:Person>
        </b:NameList>
      </b:Author>
    </b:Author>
    <b:Edition>7th</b:Edition>
    <b:RefOrder>23</b:RefOrder>
  </b:Source>
  <b:Source>
    <b:Tag>Fer15</b:Tag>
    <b:SourceType>Book</b:SourceType>
    <b:Guid>{B8AA4E16-9AC1-41BA-8A4C-B1F46DEC248E}</b:Guid>
    <b:Title>Strategic Management in Public Services Organisations</b:Title>
    <b:Year>2015</b:Year>
    <b:City>Oxon</b:City>
    <b:Publisher>Routledge</b:Publisher>
    <b:Author>
      <b:Author>
        <b:NameList>
          <b:Person>
            <b:Last>Ferlie</b:Last>
            <b:First>Ewan</b:First>
          </b:Person>
          <b:Person>
            <b:Last>Ongaro</b:Last>
            <b:First>Edoardo</b:First>
          </b:Person>
        </b:NameList>
      </b:Author>
    </b:Author>
    <b:Edition>1st</b:Edition>
    <b:RefOrder>4</b:RefOrder>
  </b:Source>
  <b:Source>
    <b:Tag>Joh14</b:Tag>
    <b:SourceType>Book</b:SourceType>
    <b:Guid>{BD232620-84EE-472D-AB36-444E2394970A}</b:Guid>
    <b:Title>Exploring Strategy</b:Title>
    <b:Year>2014</b:Year>
    <b:City>Harlow</b:City>
    <b:Publisher>Pearson</b:Publisher>
    <b:Author>
      <b:Author>
        <b:NameList>
          <b:Person>
            <b:Last>Johnson</b:Last>
            <b:First>Gerry</b:First>
          </b:Person>
          <b:Person>
            <b:Last>Whittington</b:Last>
            <b:First>Richard</b:First>
          </b:Person>
          <b:Person>
            <b:Last>Scholes</b:Last>
            <b:First>Kevan</b:First>
          </b:Person>
          <b:Person>
            <b:Last>Angwin</b:Last>
            <b:First>Duncan</b:First>
          </b:Person>
          <b:Person>
            <b:Last>Regner</b:Last>
            <b:First>Patrick</b:First>
          </b:Person>
        </b:NameList>
      </b:Author>
    </b:Author>
    <b:Edition>10th</b:Edition>
    <b:RefOrder>24</b:RefOrder>
  </b:Source>
  <b:Source>
    <b:Tag>Fin00</b:Tag>
    <b:SourceType>Book</b:SourceType>
    <b:Guid>{18F78707-70E6-4AA4-9BDA-CF42EB8CB7A5}</b:Guid>
    <b:Title>Strategic Management: An Introduction to Business and Corporate Strategy</b:Title>
    <b:Year>2000</b:Year>
    <b:City>Essex</b:City>
    <b:Publisher>Pearson Education Limited</b:Publisher>
    <b:Author>
      <b:Author>
        <b:NameList>
          <b:Person>
            <b:Last>Finlay</b:Last>
            <b:First>Paul</b:First>
          </b:Person>
        </b:NameList>
      </b:Author>
    </b:Author>
    <b:Edition>1st</b:Edition>
    <b:RefOrder>7</b:RefOrder>
  </b:Source>
  <b:Source>
    <b:Tag>Sta07</b:Tag>
    <b:SourceType>Book</b:SourceType>
    <b:Guid>{6866431C-F30F-4060-B7D7-28B18F6AAB60}</b:Guid>
    <b:Title>Strategic Management and Organisational Dynamics: The Challenge of Complexity</b:Title>
    <b:Year>2007</b:Year>
    <b:City>Essex</b:City>
    <b:Publisher>Pearson Educational Limited</b:Publisher>
    <b:Author>
      <b:Author>
        <b:NameList>
          <b:Person>
            <b:Last>Stacey</b:Last>
            <b:Middle>D</b:Middle>
            <b:First>Ralph</b:First>
          </b:Person>
        </b:NameList>
      </b:Author>
    </b:Author>
    <b:Edition>5th</b:Edition>
    <b:RefOrder>25</b:RefOrder>
  </b:Source>
  <b:Source>
    <b:Tag>Sut04</b:Tag>
    <b:SourceType>Book</b:SourceType>
    <b:Guid>{5594F66F-F424-40EA-870E-22835D0A7231}</b:Guid>
    <b:Title>Key Concepts in Strategic Management</b:Title>
    <b:Year>2004</b:Year>
    <b:City>London</b:City>
    <b:Publisher>Palgrave Macmillan</b:Publisher>
    <b:Author>
      <b:Author>
        <b:NameList>
          <b:Person>
            <b:Last>Sutherland</b:Last>
            <b:First>Jonathan</b:First>
          </b:Person>
          <b:Person>
            <b:Last>Canwell</b:Last>
            <b:First>Diane</b:First>
          </b:Person>
        </b:NameList>
      </b:Author>
    </b:Author>
    <b:Edition>1st</b:Edition>
    <b:RefOrder>20</b:RefOrder>
  </b:Source>
  <b:Source>
    <b:Tag>Gor92</b:Tag>
    <b:SourceType>Book</b:SourceType>
    <b:Guid>{FB1589C8-CB5B-47CB-A55E-EBCAFBFE0A4F}</b:Guid>
    <b:Title>Strategic Decison-Making</b:Title>
    <b:Year>1992</b:Year>
    <b:City>London</b:City>
    <b:Publisher>Cassell</b:Publisher>
    <b:Author>
      <b:Author>
        <b:NameList>
          <b:Person>
            <b:Last>Gore</b:Last>
            <b:First>Chris</b:First>
          </b:Person>
          <b:Person>
            <b:Last>Murray</b:Last>
            <b:First>Kate</b:First>
          </b:Person>
          <b:Person>
            <b:Last>Richardson</b:Last>
            <b:First>Bill</b:First>
          </b:Person>
        </b:NameList>
      </b:Author>
    </b:Author>
    <b:Edition>1st</b:Edition>
    <b:RefOrder>26</b:RefOrder>
  </b:Source>
  <b:Source>
    <b:Tag>Col01</b:Tag>
    <b:SourceType>Book</b:SourceType>
    <b:Guid>{CF6A599F-1979-4C87-BF83-08DFDD29AFAD}</b:Guid>
    <b:Title>Strategic Management</b:Title>
    <b:Year>2001</b:Year>
    <b:City>Berwick Upon Tweed</b:City>
    <b:Publisher>Continuum</b:Publisher>
    <b:Author>
      <b:Author>
        <b:NameList>
          <b:Person>
            <b:Last>Cole</b:Last>
            <b:Middle>A</b:Middle>
            <b:First>G</b:First>
          </b:Person>
        </b:NameList>
      </b:Author>
    </b:Author>
    <b:Edition>2nd</b:Edition>
    <b:RefOrder>27</b:RefOrder>
  </b:Source>
  <b:Source>
    <b:Tag>Bov</b:Tag>
    <b:SourceType>Book</b:SourceType>
    <b:Guid>{C483F51E-23AE-4C5A-A5A8-C1591CFF7938}</b:Guid>
    <b:Title>Public Management and Governance</b:Title>
    <b:Author>
      <b:Author>
        <b:NameList>
          <b:Person>
            <b:Last>Bovaird</b:Last>
            <b:First>Tony</b:First>
          </b:Person>
          <b:Person>
            <b:Last>Loeffler</b:Last>
            <b:First>Elke</b:First>
          </b:Person>
        </b:NameList>
      </b:Author>
    </b:Author>
    <b:Year>2016</b:Year>
    <b:City>Oxon</b:City>
    <b:Publisher>Routledge</b:Publisher>
    <b:Edition>3rd</b:Edition>
    <b:RefOrder>14</b:RefOrder>
  </b:Source>
  <b:Source>
    <b:Tag>Las12</b:Tag>
    <b:SourceType>Book</b:SourceType>
    <b:Guid>{0DEB476A-6A70-49A2-90A2-4655982C30B2}</b:Guid>
    <b:Title>Global Strategic Management</b:Title>
    <b:Year>2012</b:Year>
    <b:City>Basingstoke</b:City>
    <b:Publisher>Palgrave Macmillan</b:Publisher>
    <b:Author>
      <b:Author>
        <b:NameList>
          <b:Person>
            <b:Last>Lasserre</b:Last>
            <b:First>Philippe</b:First>
          </b:Person>
        </b:NameList>
      </b:Author>
    </b:Author>
    <b:Edition>3rd</b:Edition>
    <b:RefOrder>28</b:RefOrder>
  </b:Source>
  <b:Source>
    <b:Tag>Ans91</b:Tag>
    <b:SourceType>JournalArticle</b:SourceType>
    <b:Guid>{CDFE96D7-DCF6-469E-ABA5-A1BF64041FFA}</b:Guid>
    <b:Title>Critique of Henry Mintzberg's 'the Design School: Reconsidering the Basic Premises of Strategic Management'</b:Title>
    <b:Year>1991</b:Year>
    <b:Publisher>John Wiley &amp; Sons, Ltd</b:Publisher>
    <b:JournalName>Strategic Management Jornal</b:JournalName>
    <b:Pages>449-461</b:Pages>
    <b:Author>
      <b:Author>
        <b:NameList>
          <b:Person>
            <b:Last>Ansoff</b:Last>
            <b:Middle>Igor</b:Middle>
            <b:First>H</b:First>
          </b:Person>
        </b:NameList>
      </b:Author>
    </b:Author>
    <b:Month>September</b:Month>
    <b:Volume>12</b:Volume>
    <b:Issue>6</b:Issue>
    <b:YearAccessed>2021</b:YearAccessed>
    <b:MonthAccessed>November</b:MonthAccessed>
    <b:DayAccessed>03</b:DayAccessed>
    <b:DOI>10.1002/smj.4250120605</b:DOI>
    <b:RefOrder>29</b:RefOrder>
  </b:Source>
  <b:Source>
    <b:Tag>Squ11</b:Tag>
    <b:SourceType>Report</b:SourceType>
    <b:Guid>{009634F4-BDC3-4B1F-9DBF-FF9755A9FCAC}</b:Guid>
    <b:Title>COMPSTAT 2.0 An Innovative Police Strategic Management Plan That Facilitates Performance in the All Crimes and All Hazards Environment</b:Title>
    <b:Year>2011</b:Year>
    <b:Author>
      <b:Author>
        <b:NameList>
          <b:Person>
            <b:Last>Squires</b:Last>
            <b:Middle>G</b:Middle>
            <b:First>David</b:First>
          </b:Person>
        </b:NameList>
      </b:Author>
    </b:Author>
    <b:Publisher>Naval Postgraduate School</b:Publisher>
    <b:City>California</b:City>
    <b:URL>https://apps.dtic.mil/sti/citations/ADA542972</b:URL>
    <b:YearAccessed>2021</b:YearAccessed>
    <b:MonthAccessed>November</b:MonthAccessed>
    <b:DayAccessed>03</b:DayAccessed>
    <b:RefOrder>30</b:RefOrder>
  </b:Source>
  <b:Source>
    <b:Tag>Dwo16</b:Tag>
    <b:SourceType>JournalArticle</b:SourceType>
    <b:Guid>{CCB2059C-E445-4906-9F16-48EC6BCB9291}</b:Guid>
    <b:Title>Strategic Management within the realms of the police related organisation</b:Title>
    <b:JournalName>Science &amp; Military Journal</b:JournalName>
    <b:Year>2016</b:Year>
    <b:Pages>48-56</b:Pages>
    <b:Author>
      <b:Author>
        <b:NameList>
          <b:Person>
            <b:Last>Dworzecki</b:Last>
            <b:First>Jacek</b:First>
          </b:Person>
          <b:Person>
            <b:Last>Hryszkiewicz</b:Last>
            <b:First>Dominik</b:First>
          </b:Person>
        </b:NameList>
      </b:Author>
    </b:Author>
    <b:Month>07</b:Month>
    <b:Day>01</b:Day>
    <b:Volume>11</b:Volume>
    <b:YearAccessed>2021</b:YearAccessed>
    <b:MonthAccessed>November</b:MonthAccessed>
    <b:DayAccessed>03</b:DayAccessed>
    <b:URL>https://www.proquest.com/scholarly-journals/strategic-management-within-realms-police-related/docview/1860875167/se-2?accountid=130472</b:URL>
    <b:Publisher>Armed Forces Academy</b:Publisher>
    <b:Issue>2</b:Issue>
    <b:RefOrder>31</b:RefOrder>
  </b:Source>
  <b:Source>
    <b:Tag>Loo02</b:Tag>
    <b:SourceType>JournalArticle</b:SourceType>
    <b:Guid>{C193F1C2-FB0E-47E2-A03D-54090EFFE732}</b:Guid>
    <b:Title>The Delphi Method: a powerful tool for strategic management</b:Title>
    <b:Year>2002</b:Year>
    <b:Publisher>MCB UP Ltd</b:Publisher>
    <b:JournalName>Policing: An International Journal of Police Strategies &amp; Management</b:JournalName>
    <b:Pages>762-769</b:Pages>
    <b:Author>
      <b:Author>
        <b:NameList>
          <b:Person>
            <b:Last>Loo</b:Last>
            <b:First>Robert</b:First>
          </b:Person>
        </b:NameList>
      </b:Author>
    </b:Author>
    <b:Volume>25</b:Volume>
    <b:Issue>4</b:Issue>
    <b:DOI>10.1108/13639510210450677</b:DOI>
    <b:RefOrder>32</b:RefOrder>
  </b:Source>
  <b:Source>
    <b:Tag>Dru07</b:Tag>
    <b:SourceType>JournalArticle</b:SourceType>
    <b:Guid>{3F7048F8-FD5D-4717-A7CF-9AAB00012408}</b:Guid>
    <b:Title>Strategic management: a tool for public management?: An overview of the Belgian federal experience</b:Title>
    <b:JournalName>The International journal of public sector management</b:JournalName>
    <b:Year>2007</b:Year>
    <b:Pages>638-654</b:Pages>
    <b:Author>
      <b:Author>
        <b:NameList>
          <b:Person>
            <b:Last>Drumaux</b:Last>
            <b:First>Anne</b:First>
          </b:Person>
          <b:Person>
            <b:Last>Goethals</b:Last>
            <b:First>Christophe</b:First>
          </b:Person>
        </b:NameList>
      </b:Author>
    </b:Author>
    <b:City>Bradford</b:City>
    <b:Publisher>Emerald Group Publishing Limited</b:Publisher>
    <b:Volume>20</b:Volume>
    <b:Issue>7</b:Issue>
    <b:DOI>10.1108/09513550710823533</b:DOI>
    <b:RefOrder>33</b:RefOrder>
  </b:Source>
  <b:Source>
    <b:Tag>Nar13</b:Tag>
    <b:SourceType>JournalArticle</b:SourceType>
    <b:Guid>{EB3494C0-EAF4-4536-9669-9BE407091823}</b:Guid>
    <b:Title>Seven management follies that threaten strategic success</b:Title>
    <b:JournalName>Strategy &amp; leadership</b:JournalName>
    <b:Year>2013</b:Year>
    <b:Pages>24-29</b:Pages>
    <b:Author>
      <b:Author>
        <b:NameList>
          <b:Person>
            <b:Last>Narayanan</b:Last>
            <b:Middle>K</b:Middle>
            <b:First>V</b:First>
          </b:Person>
          <b:Person>
            <b:Last>Fahey</b:Last>
            <b:First>Liam</b:First>
          </b:Person>
        </b:NameList>
      </b:Author>
    </b:Author>
    <b:Publisher>Emerald Group Publishing Limited</b:Publisher>
    <b:Volume>41</b:Volume>
    <b:Issue>4</b:Issue>
    <b:DOI>10.1108/SL-04-2013-0022</b:DOI>
    <b:RefOrder>17</b:RefOrder>
  </b:Source>
  <b:Source>
    <b:Tag>Wor98</b:Tag>
    <b:SourceType>JournalArticle</b:SourceType>
    <b:Guid>{67679AA3-BA9B-486F-B6D4-98D001AB6F11}</b:Guid>
    <b:Title>Managing strategy in local government</b:Title>
    <b:JournalName>The International journal of public sector management</b:JournalName>
    <b:Year>1998</b:Year>
    <b:Pages>472-493</b:Pages>
    <b:Author>
      <b:Author>
        <b:NameList>
          <b:Person>
            <b:Last>Worrall</b:Last>
            <b:First>Les</b:First>
          </b:Person>
          <b:Person>
            <b:Last>Collinge</b:Last>
            <b:First>Chris</b:First>
          </b:Person>
          <b:Person>
            <b:Last>Bill</b:Last>
            <b:First>Tony</b:First>
          </b:Person>
        </b:NameList>
      </b:Author>
    </b:Author>
    <b:Publisher>MCB UP Ltd</b:Publisher>
    <b:Volume>11</b:Volume>
    <b:Issue>6</b:Issue>
    <b:DOI>10.1108/09513559810246354</b:DOI>
    <b:RefOrder>8</b:RefOrder>
  </b:Source>
  <b:Source>
    <b:Tag>Bun92</b:Tag>
    <b:SourceType>JournalArticle</b:SourceType>
    <b:Guid>{19BDCBA6-EC6D-473C-8D81-E63DC58BDC27}</b:Guid>
    <b:Title>Effective Strategic Planning in the Public Sector: Some Learnings</b:Title>
    <b:JournalName>The International journal of public sector management</b:JournalName>
    <b:Year>1992</b:Year>
    <b:Pages>54-59</b:Pages>
    <b:Author>
      <b:Author>
        <b:NameList>
          <b:Person>
            <b:Last>Bunning</b:Last>
            <b:Middle>R</b:Middle>
            <b:First>C</b:First>
          </b:Person>
        </b:NameList>
      </b:Author>
    </b:Author>
    <b:Publisher>MCB UP Ltd</b:Publisher>
    <b:Volume>5</b:Volume>
    <b:Issue>4</b:Issue>
    <b:DOI>10.1108/09513559210016391</b:DOI>
    <b:RefOrder>18</b:RefOrder>
  </b:Source>
  <b:Source>
    <b:Tag>Zan10</b:Tag>
    <b:SourceType>JournalArticle</b:SourceType>
    <b:Guid>{D57ECA94-D7B9-4FB6-86BC-3432BAB6810D}</b:Guid>
    <b:Title>Drucker's strategic thinking process: three key techniques</b:Title>
    <b:JournalName>Strategy &amp; Leadership</b:JournalName>
    <b:Year>2010</b:Year>
    <b:Pages>23-28</b:Pages>
    <b:Author>
      <b:Author>
        <b:NameList>
          <b:Person>
            <b:Last>Zand</b:Last>
            <b:Middle>E</b:Middle>
            <b:First>Dale</b:First>
          </b:Person>
        </b:NameList>
      </b:Author>
    </b:Author>
    <b:Publisher>Emerald Group Publishing Limited</b:Publisher>
    <b:Volume>38</b:Volume>
    <b:Issue>3</b:Issue>
    <b:DOI>10.1108/10878571011042078</b:DOI>
    <b:RefOrder>13</b:RefOrder>
  </b:Source>
  <b:Source>
    <b:Tag>Abd15</b:Tag>
    <b:SourceType>JournalArticle</b:SourceType>
    <b:Guid>{AAC45F11-C171-44E3-B464-C846BC72597C}</b:Guid>
    <b:Title>The use of performance information in strategic decision making in public organizations</b:Title>
    <b:JournalName>The International journal of public sector management</b:JournalName>
    <b:Year>2015</b:Year>
    <b:Pages>528-549</b:Pages>
    <b:Author>
      <b:Author>
        <b:NameList>
          <b:Person>
            <b:Last>Abdel-Maksoud</b:Last>
            <b:First>Ahmed</b:First>
          </b:Person>
          <b:Person>
            <b:Last>Elbanna</b:Last>
            <b:First>Said</b:First>
          </b:Person>
          <b:Person>
            <b:Last>Mahama</b:Last>
            <b:First>Habib</b:First>
          </b:Person>
          <b:Person>
            <b:Last>Pollanen</b:Last>
            <b:First>Raili</b:First>
          </b:Person>
        </b:NameList>
      </b:Author>
    </b:Author>
    <b:Publisher>Emerald Group Publishing Limited</b:Publisher>
    <b:Volume>28</b:Volume>
    <b:Issue>7</b:Issue>
    <b:DOI>10.1108/IJPSM-06-2015-0114</b:DOI>
    <b:RefOrder>34</b:RefOrder>
  </b:Source>
  <b:Source>
    <b:Tag>Bar12</b:Tag>
    <b:SourceType>Book</b:SourceType>
    <b:Guid>{E2EB686C-6E0C-4EAB-8428-878512CC9716}</b:Guid>
    <b:Title>Strategic Management and Competitive Advantage</b:Title>
    <b:Year>2012</b:Year>
    <b:City>London</b:City>
    <b:Publisher>Pearson Education Inc</b:Publisher>
    <b:Author>
      <b:Author>
        <b:NameList>
          <b:Person>
            <b:Last>Barney</b:Last>
            <b:Middle>B</b:Middle>
            <b:First>Jay</b:First>
          </b:Person>
          <b:Person>
            <b:Last>Hesterly</b:Last>
            <b:Middle>S</b:Middle>
            <b:First>William</b:First>
          </b:Person>
        </b:NameList>
      </b:Author>
    </b:Author>
    <b:Edition>4th</b:Edition>
    <b:RefOrder>2</b:RefOrder>
  </b:Source>
  <b:Source>
    <b:Tag>Cap08</b:Tag>
    <b:SourceType>Book</b:SourceType>
    <b:Guid>{0141E420-31E7-4FBB-AD41-8BE8BFD55F58}</b:Guid>
    <b:Title>Understanding Strategic Management</b:Title>
    <b:Year>2008</b:Year>
    <b:City>Essex</b:City>
    <b:Publisher>Pearson Education Limited</b:Publisher>
    <b:Author>
      <b:Author>
        <b:NameList>
          <b:Person>
            <b:Last>Capon</b:Last>
            <b:First>Claire</b:First>
          </b:Person>
        </b:NameList>
      </b:Author>
    </b:Author>
    <b:Edition>1st</b:Edition>
    <b:RefOrder>19</b:RefOrder>
  </b:Source>
  <b:Source>
    <b:Tag>Gre09</b:Tag>
    <b:SourceType>Book</b:SourceType>
    <b:Guid>{7662C0D4-0E2E-4827-8D76-9D0E5FC71648}</b:Guid>
    <b:Title>Public Management: A Critical Text</b:Title>
    <b:Year>2009</b:Year>
    <b:City>London</b:City>
    <b:Publisher>Palgrave Macmillan</b:Publisher>
    <b:Author>
      <b:Author>
        <b:NameList>
          <b:Person>
            <b:Last>Greener</b:Last>
            <b:First>Ian</b:First>
          </b:Person>
        </b:NameList>
      </b:Author>
    </b:Author>
    <b:Edition>1st</b:Edition>
    <b:RefOrder>35</b:RefOrder>
  </b:Source>
  <b:Source>
    <b:Tag>Col212</b:Tag>
    <b:SourceType>JournalArticle</b:SourceType>
    <b:Guid>{1673694F-4F78-4EE7-8D99-751B3ADD2DE2}</b:Guid>
    <b:Title>Why Do So Many Strategies Fail?</b:Title>
    <b:Year>2021</b:Year>
    <b:JournalName>Harvard Business Review</b:JournalName>
    <b:Pages>82-93</b:Pages>
    <b:Author>
      <b:Author>
        <b:NameList>
          <b:Person>
            <b:Last>Collis</b:Last>
            <b:Middle>J</b:Middle>
            <b:First>David</b:First>
          </b:Person>
        </b:NameList>
      </b:Author>
    </b:Author>
    <b:Month>July/August</b:Month>
    <b:YearAccessed>2021</b:YearAccessed>
    <b:MonthAccessed>November</b:MonthAccessed>
    <b:DayAccessed>04</b:DayAccessed>
    <b:URL>https://web-p-ebscohost-com.ezproxy.uwtsd.ac.uk/ehost/detail/detail?vid=2&amp;sid=8e237a0b-4d48-4a96-bb18-abca756e02d3%40redis&amp;bdata=JnNpdGU9ZWhvc3QtbGl2ZQ%3d%3d#AN=150884750&amp;db=bth</b:URL>
    <b:RefOrder>1</b:RefOrder>
  </b:Source>
  <b:Source>
    <b:Tag>Buc19</b:Tag>
    <b:SourceType>Book</b:SourceType>
    <b:Guid>{4022FC8E-B1E7-4191-879D-AD860FA69DAB}</b:Guid>
    <b:Title>Organizational Behaviour</b:Title>
    <b:Year>2019</b:Year>
    <b:City>Harlow</b:City>
    <b:Publisher>Pearson Education</b:Publisher>
    <b:Author>
      <b:Author>
        <b:NameList>
          <b:Person>
            <b:Last>Buchanan</b:Last>
            <b:Middle>A</b:Middle>
            <b:First>David</b:First>
          </b:Person>
          <b:Person>
            <b:Last>Huczynski</b:Last>
            <b:Middle>A</b:Middle>
            <b:First>Andrzej</b:First>
          </b:Person>
        </b:NameList>
      </b:Author>
    </b:Author>
    <b:Edition>10th</b:Edition>
    <b:RefOrder>16</b:RefOrder>
  </b:Source>
  <b:Source>
    <b:Tag>Reiner</b:Tag>
    <b:SourceType>Book</b:SourceType>
    <b:Guid>{49F9043F-C6B8-4AFA-B1B7-6ED57BEB0FA9}</b:Guid>
    <b:Title>The Politics of the Police</b:Title>
    <b:Year>2019</b:Year>
    <b:City>Oxford</b:City>
    <b:Publisher>Oxford University Press</b:Publisher>
    <b:Author>
      <b:Author>
        <b:NameList>
          <b:Person>
            <b:Last>Bowling</b:Last>
            <b:First>Benjamin</b:First>
          </b:Person>
          <b:Person>
            <b:Last>Reiner</b:Last>
            <b:First>Robert</b:First>
          </b:Person>
          <b:Person>
            <b:Last>Sheptycki</b:Last>
            <b:First>James</b:First>
          </b:Person>
        </b:NameList>
      </b:Author>
    </b:Author>
    <b:Edition>5</b:Edition>
    <b:RefOrder>36</b:RefOrder>
  </b:Source>
  <b:Source>
    <b:Tag>Wal19</b:Tag>
    <b:SourceType>Book</b:SourceType>
    <b:Guid>{34948F7A-DE6E-43A0-8053-BD2CA219906B}</b:Guid>
    <b:Author>
      <b:Author>
        <b:NameList>
          <b:Person>
            <b:Last>Walsh</b:Last>
            <b:First>W.F.</b:First>
          </b:Person>
          <b:Person>
            <b:Last>Vito</b:Last>
            <b:First>G.F.</b:First>
          </b:Person>
        </b:NameList>
      </b:Author>
    </b:Author>
    <b:Title>Police Leadership and Administration: a 21st Century strategic approach</b:Title>
    <b:Year>2019</b:Year>
    <b:City>New York</b:City>
    <b:Publisher>Routledge</b:Publisher>
    <b:Edition>1</b:Edition>
    <b:RefOrder>9</b:RefOrder>
  </b:Source>
  <b:Source>
    <b:Tag>Ram191</b:Tag>
    <b:SourceType>Book</b:SourceType>
    <b:Guid>{533DC053-EE07-42A0-8A82-EA85ABA6AB2D}</b:Guid>
    <b:Title>Police Leadership: Changing Landscapes</b:Title>
    <b:Year>2019</b:Year>
    <b:Publisher>Palgrave Macmillan</b:Publisher>
    <b:Author>
      <b:Author>
        <b:NameList>
          <b:Person>
            <b:Last>Ramshaw</b:Last>
            <b:First>Pauline</b:First>
          </b:Person>
          <b:Person>
            <b:Last>Silvestri</b:Last>
            <b:First>Marisa</b:First>
          </b:Person>
          <b:Person>
            <b:Last>Simpson</b:Last>
            <b:First>Mark</b:First>
          </b:Person>
        </b:NameList>
      </b:Author>
    </b:Author>
    <b:Edition>1st</b:Edition>
    <b:RefOrder>37</b:RefOrder>
  </b:Source>
  <b:Source>
    <b:Tag>Mul19</b:Tag>
    <b:SourceType>Book</b:SourceType>
    <b:Guid>{EA55526F-8854-4C26-89CB-2863D1439FFD}</b:Guid>
    <b:Title>Organisational Behaviours in the workplace</b:Title>
    <b:City>Harlow</b:City>
    <b:Publisher>Pearson Education Limited</b:Publisher>
    <b:Year>2019</b:Year>
    <b:Edition>12th</b:Edition>
    <b:Author>
      <b:Author>
        <b:NameList>
          <b:Person>
            <b:Last>Mullins</b:Last>
            <b:Middle>J</b:Middle>
            <b:First>Laurie</b:First>
          </b:Person>
        </b:NameList>
      </b:Author>
    </b:Author>
    <b:RefOrder>38</b:RefOrder>
  </b:Source>
  <b:Source>
    <b:Tag>Moo14</b:Tag>
    <b:SourceType>JournalArticle</b:SourceType>
    <b:Guid>{3CCE0FA8-9B25-44C2-9F5F-CDF3787C4D95}</b:Guid>
    <b:Title>Public Value Accounting: Establishing the Philosophical Basis</b:Title>
    <b:JournalName>Public Administration Review</b:JournalName>
    <b:Year>2014</b:Year>
    <b:Pages>465-477</b:Pages>
    <b:Author>
      <b:Author>
        <b:NameList>
          <b:Person>
            <b:Last>Moore</b:Last>
            <b:Middle>H</b:Middle>
            <b:First>Mark</b:First>
          </b:Person>
        </b:NameList>
      </b:Author>
    </b:Author>
    <b:Publisher>Wiley Subscription Services, Inc</b:Publisher>
    <b:Volume>74</b:Volume>
    <b:Issue>4</b:Issue>
    <b:RefOrder>39</b:RefOrder>
  </b:Source>
  <b:Source>
    <b:Tag>Har19</b:Tag>
    <b:SourceType>JournalArticle</b:SourceType>
    <b:Guid>{71FFC091-1032-4190-933D-B28A4DB20DC9}</b:Guid>
    <b:Title>Leading and recognizing public value</b:Title>
    <b:JournalName>Public administration (London)</b:JournalName>
    <b:Year>2019</b:Year>
    <b:Pages>264-278</b:Pages>
    <b:Author>
      <b:Author>
        <b:NameList>
          <b:Person>
            <b:Last>Hartley</b:Last>
            <b:First>Jean</b:First>
          </b:Person>
          <b:Person>
            <b:Last>Parker</b:Last>
            <b:First>Steven</b:First>
          </b:Person>
          <b:Person>
            <b:Last>Beashel</b:Last>
            <b:First>Jim</b:First>
          </b:Person>
        </b:NameList>
      </b:Author>
    </b:Author>
    <b:Publisher>Blackwell Publishing Ltd</b:Publisher>
    <b:Volume>97</b:Volume>
    <b:Issue>2</b:Issue>
    <b:RefOrder>40</b:RefOrder>
  </b:Source>
  <b:Source>
    <b:Tag>Ree15</b:Tag>
    <b:SourceType>Book</b:SourceType>
    <b:Guid>{AF5D31A1-B711-4563-8FFD-D8DF03FA3254}</b:Guid>
    <b:Title>Your Strategy Needs a Strategy: How to Choose and Execute the Right Approach</b:Title>
    <b:Year>2015</b:Year>
    <b:City>Boston</b:City>
    <b:Author>
      <b:Author>
        <b:NameList>
          <b:Person>
            <b:Last>Reeves</b:Last>
            <b:First>Martin</b:First>
          </b:Person>
          <b:Person>
            <b:Last>Haanaes</b:Last>
            <b:First>Knut</b:First>
          </b:Person>
        </b:NameList>
      </b:Author>
    </b:Author>
    <b:Publisher>Harvard Business Review Press</b:Publisher>
    <b:Medium>Audible Audiobook</b:Medium>
    <b:URL>https://www.amazon.co.uk/Your-Strategy-Needs-Execute-Approach/dp/B019P9KAFG/ref=sr_1_4?adgrpid=3804460003&amp;hvadid=80058222527466&amp;hvbmt=bp&amp;hvdev=c&amp;hvlocphy=131260&amp;hvnetw=o&amp;hvqmt=p&amp;hvtargid=kwd-80058205570102%3Aloc-188&amp;keywords=strategy+needs+a+strategy&amp;qid=</b:URL>
    <b:RefOrder>41</b:RefOrder>
  </b:Source>
  <b:Source>
    <b:Tag>Nat211</b:Tag>
    <b:SourceType>DocumentFromInternetSite</b:SourceType>
    <b:Guid>{5F8D4FD5-3D93-4C2A-871D-897831D89E69}</b:Guid>
    <b:Title>Policing Vision 2025</b:Title>
    <b:Author>
      <b:Author>
        <b:Corporate>National Police Chiefs Council (NPCC) and Association of Police and Crime Comissioners (APCC)</b:Corporate>
      </b:Author>
    </b:Author>
    <b:InternetSiteTitle>National Police Chiefs Council</b:InternetSiteTitle>
    <b:URL>https://www.npcc.police.uk/documents/Policing%20Vision.pdf</b:URL>
    <b:YearAccessed>2021</b:YearAccessed>
    <b:MonthAccessed>November</b:MonthAccessed>
    <b:DayAccessed>15</b:DayAccessed>
    <b:RefOrder>42</b:RefOrder>
  </b:Source>
  <b:Source>
    <b:Tag>Nat212</b:Tag>
    <b:SourceType>DocumentFromInternetSite</b:SourceType>
    <b:Guid>{CD42D1C3-6886-4448-A0EB-7272B6198DC0}</b:Guid>
    <b:Author>
      <b:Author>
        <b:Corporate>National Police Chiefs Council (NPCC)</b:Corporate>
      </b:Author>
    </b:Author>
    <b:Title>National Police Chiefs Council (NPCC) Strategic Plan 2021-2025</b:Title>
    <b:InternetSiteTitle>National Police Chiefs Council (NPCC)</b:InternetSiteTitle>
    <b:Year>2021</b:Year>
    <b:Month>November</b:Month>
    <b:URL>https://www.npcc.police.uk/documents/National%20Police%20Chiefs%E2%80%99%20Council%20Strategic%20Plan/NPCC%20Strategic%20Plan%202021%202025.pdf</b:URL>
    <b:YearAccessed>2021</b:YearAccessed>
    <b:MonthAccessed>November</b:MonthAccessed>
    <b:DayAccessed>15</b:DayAccessed>
    <b:RefOrder>43</b:RefOrder>
  </b:Source>
  <b:Source>
    <b:Tag>Joh15</b:Tag>
    <b:SourceType>JournalArticle</b:SourceType>
    <b:Guid>{222610F1-D986-44A3-B42D-7408F4420334}</b:Guid>
    <b:Title>Strategic Management Thinking and Practice in the Public Sector: A Strategic Planning for All Seasons?</b:Title>
    <b:Year>2015</b:Year>
    <b:JournalName>Financial Accountability &amp; Management</b:JournalName>
    <b:Pages>243-268</b:Pages>
    <b:Author>
      <b:Author>
        <b:NameList>
          <b:Person>
            <b:Last>Johnsen</b:Last>
            <b:First>Age</b:First>
          </b:Person>
        </b:NameList>
      </b:Author>
    </b:Author>
    <b:City>Oxford</b:City>
    <b:Publisher>Blackwell Publishing Ltd</b:Publisher>
    <b:Volume>31</b:Volume>
    <b:Issue>3</b:Issue>
    <b:DOI>10.1111/faam.12056</b:DOI>
    <b:RefOrder>44</b:RefOrder>
  </b:Source>
  <b:Source>
    <b:Tag>Wat80</b:Tag>
    <b:SourceType>JournalArticle</b:SourceType>
    <b:Guid>{9E1E9A0B-0329-4BA5-AC85-E53BA9E5D29B}</b:Guid>
    <b:Title>Structure is not organization</b:Title>
    <b:JournalName>Business Horizons</b:JournalName>
    <b:Year>1980</b:Year>
    <b:Pages>14-26</b:Pages>
    <b:Author>
      <b:Author>
        <b:NameList>
          <b:Person>
            <b:Last>Waterman</b:Last>
            <b:Middle>H</b:Middle>
            <b:First>Robert</b:First>
          </b:Person>
          <b:Person>
            <b:Last>Peters</b:Last>
            <b:Middle>J</b:Middle>
            <b:First>Thomas</b:First>
          </b:Person>
          <b:Person>
            <b:Last>Phillips</b:Last>
            <b:Middle>R</b:Middle>
            <b:First>Julien</b:First>
          </b:Person>
        </b:NameList>
      </b:Author>
    </b:Author>
    <b:City>Bloomington</b:City>
    <b:Publisher>Elsevier Inc</b:Publisher>
    <b:Volume>23</b:Volume>
    <b:Issue>3</b:Issue>
    <b:DOI>10.1016/0007-6813(80)90027-0</b:DOI>
    <b:RefOrder>45</b:RefOrder>
  </b:Source>
  <b:Source>
    <b:Tag>Kur</b:Tag>
    <b:SourceType>Book</b:SourceType>
    <b:Guid>{09A6B7CD-A4FF-4554-A231-0E4A97415DCB}</b:Guid>
    <b:Author>
      <b:Author>
        <b:NameList>
          <b:Person>
            <b:Last>Giuliani</b:Last>
            <b:Middle>William</b:Middle>
            <b:First>Rudolph</b:First>
          </b:Person>
        </b:NameList>
      </b:Author>
    </b:Author>
    <b:Title>Leadership</b:Title>
    <b:Year>2002</b:Year>
    <b:City>London</b:City>
    <b:Publisher>Sphere An Imprint of Little Brown Book Group</b:Publisher>
    <b:Edition>2nd</b:Edition>
    <b:RefOrder>46</b:RefOrder>
  </b:Source>
  <b:Source>
    <b:Tag>Bee04</b:Tag>
    <b:SourceType>JournalArticle</b:SourceType>
    <b:Guid>{DDE5D21B-271B-410C-B7A4-E7F5DA6B207F}</b:Guid>
    <b:Title>How to have an honest conversation about your business strategy</b:Title>
    <b:JournalName>Harvard Business Review</b:JournalName>
    <b:Year>2004</b:Year>
    <b:Pages>82-123</b:Pages>
    <b:Author>
      <b:Author>
        <b:NameList>
          <b:Person>
            <b:Last>Beer </b:Last>
            <b:First>Michael</b:First>
          </b:Person>
          <b:Person>
            <b:Last>Eisenstat</b:Last>
            <b:Middle>A</b:Middle>
            <b:First>Russell</b:First>
          </b:Person>
        </b:NameList>
      </b:Author>
    </b:Author>
    <b:Month>February</b:Month>
    <b:Publisher>Harvard Business School Press</b:Publisher>
    <b:Volume>82</b:Volume>
    <b:Issue>2</b:Issue>
    <b:URL>https://web-p-ebscohost-com.ezproxy.uwtsd.ac.uk/ehost/results?vid=0&amp;sid=5709183d-9b7f-4960-89ea-bd03a93352c1%40redis&amp;bquery=%28SO%2B%28Harvard%2Bbusiness%2Breview.%29%29AND%28DT%2B2004%29AND%28TI%2Bhow%2Bto%2Bhave%2Ban%2Bhonest%2Bconversation%2Babout%2Byo</b:URL>
    <b:RefOrder>47</b:RefOrder>
  </b:Source>
  <b:Source>
    <b:Tag>Rob08</b:Tag>
    <b:SourceType>JournalArticle</b:SourceType>
    <b:Guid>{14B7FE3E-4490-4121-89FB-8335450F3CEC}</b:Guid>
    <b:Title>An Analysis of 10 Years of Business Ethics Research in "Strategic Management Journal": 1996-2005</b:Title>
    <b:JournalName>Journal of Business Ethics</b:JournalName>
    <b:Year>2008</b:Year>
    <b:Pages>745-753</b:Pages>
    <b:Author>
      <b:Author>
        <b:NameList>
          <b:Person>
            <b:Last>Robertson</b:Last>
            <b:Middle>J</b:Middle>
            <b:First>Christopher </b:First>
          </b:Person>
        </b:NameList>
      </b:Author>
    </b:Author>
    <b:Publisher>Springer</b:Publisher>
    <b:Volume>80</b:Volume>
    <b:Issue>4</b:Issue>
    <b:DOI>10.1007/s10551-007-9466-5</b:DOI>
    <b:RefOrder>15</b:RefOrder>
  </b:Source>
  <b:Source>
    <b:Tag>Kot97</b:Tag>
    <b:SourceType>JournalArticle</b:SourceType>
    <b:Guid>{EFB6116E-1160-42AB-8D87-D7455053E940}</b:Guid>
    <b:Title>Leading change: A conversation with John P. Kotter</b:Title>
    <b:JournalName>Strategy &amp; leadership</b:JournalName>
    <b:Year>1997</b:Year>
    <b:Pages>18-23</b:Pages>
    <b:Author>
      <b:Author>
        <b:NameList>
          <b:Person>
            <b:Last>Kotter</b:Last>
            <b:Middle>P</b:Middle>
            <b:First>John</b:First>
          </b:Person>
        </b:NameList>
      </b:Author>
    </b:Author>
    <b:Publisher>MCB UP Ltd</b:Publisher>
    <b:DOI>10.1108/eb054576</b:DOI>
    <b:Month>January/February</b:Month>
    <b:Volume>25</b:Volume>
    <b:Issue>1</b:Issue>
    <b:RefOrder>48</b:RefOrder>
  </b:Source>
  <b:Source>
    <b:Tag>App121</b:Tag>
    <b:SourceType>JournalArticle</b:SourceType>
    <b:Guid>{7FB852F2-A388-4CC7-9BB6-A16CD915EB58}</b:Guid>
    <b:Title>Back to the future: revisiting Kotter's 1996 change model</b:Title>
    <b:JournalName>The Journal of management development</b:JournalName>
    <b:Year>2012</b:Year>
    <b:Pages>764-782</b:Pages>
    <b:Author>
      <b:Author>
        <b:NameList>
          <b:Person>
            <b:Last>Appelbaum</b:Last>
            <b:Middle>H</b:Middle>
            <b:First>Steven</b:First>
          </b:Person>
          <b:Person>
            <b:Last>Habashy</b:Last>
            <b:First>Sally</b:First>
          </b:Person>
          <b:Person>
            <b:Last>Malo</b:Last>
            <b:First>Jean-Luc</b:First>
          </b:Person>
          <b:Person>
            <b:Last>Shafiq</b:Last>
            <b:First>Hisham</b:First>
          </b:Person>
        </b:NameList>
      </b:Author>
    </b:Author>
    <b:Publisher>Emerald Group Publishing Limited</b:Publisher>
    <b:Volume>31</b:Volume>
    <b:Issue>8</b:Issue>
    <b:DOI>10.1108/02621711211253231</b:DOI>
    <b:RefOrder>49</b:RefOrder>
  </b:Source>
  <b:Source>
    <b:Tag>UKG</b:Tag>
    <b:SourceType>Misc</b:SourceType>
    <b:Guid>{4A6AA737-D26D-4B34-A475-BCBD556B333E}</b:Guid>
    <b:Title>Police Reform and Social Responsibility Act (2011)</b:Title>
    <b:Author>
      <b:Author>
        <b:Corporate>UK Government</b:Corporate>
      </b:Author>
    </b:Author>
    <b:URL>https://www.legislation.gov.uk/ukpga/2002/30/contents</b:URL>
    <b:YearAccessed>2021</b:YearAccessed>
    <b:MonthAccessed>December </b:MonthAccessed>
    <b:DayAccessed>21</b:DayAccessed>
    <b:Year>2011</b:Year>
    <b:RefOrder>50</b:RefOrder>
  </b:Source>
  <b:Source>
    <b:Tag>Rog20</b:Tag>
    <b:SourceType>JournalArticle</b:SourceType>
    <b:Guid>{45E530AD-9090-4E64-950F-1CD49C934DB5}</b:Guid>
    <b:Title>Gold standard strategic plans: how well do Canadian police services do?</b:Title>
    <b:Year>2020</b:Year>
    <b:Month>June </b:Month>
    <b:Day>12</b:Day>
    <b:Publisher>Routledge</b:Publisher>
    <b:JournalName>Police practice &amp; research</b:JournalName>
    <b:Pages>210-226</b:Pages>
    <b:Author>
      <b:Author>
        <b:NameList>
          <b:Person>
            <b:Last>Rogers</b:Last>
            <b:First>Z</b:First>
          </b:Person>
          <b:Person>
            <b:Last>McIntyre</b:Last>
            <b:Middle>L</b:Middle>
            <b:First>M</b:First>
          </b:Person>
          <b:Person>
            <b:Last>Caputo</b:Last>
            <b:First>T</b:First>
          </b:Person>
        </b:NameList>
      </b:Author>
    </b:Author>
    <b:Volume>21</b:Volume>
    <b:Issue>3</b:Issue>
    <b:DOI>10.1080/15614263.2019.1570848</b:DOI>
    <b:RefOrder>12</b:RefOrder>
  </b:Source>
  <b:Source>
    <b:Tag>She15</b:Tag>
    <b:SourceType>JournalArticle</b:SourceType>
    <b:Guid>{A696B74B-51B8-42ED-8F92-46D397F8E7CA}</b:Guid>
    <b:Title>A Tipping Point for “Totally Evidenced Policing”: Ten Ideas for Building an Evidence-Based Police Agency</b:Title>
    <b:JournalName>International criminal justice review</b:JournalName>
    <b:Year>2015</b:Year>
    <b:Pages>11-29</b:Pages>
    <b:Author>
      <b:Author>
        <b:NameList>
          <b:Person>
            <b:Last>Sherman</b:Last>
            <b:Middle>W</b:Middle>
            <b:First>Lawrence</b:First>
          </b:Person>
        </b:NameList>
      </b:Author>
    </b:Author>
    <b:Publisher>SAGE Publications</b:Publisher>
    <b:Volume>25</b:Volume>
    <b:Issue>1</b:Issue>
    <b:DOI>10.1177/1057567715574372</b:DOI>
    <b:RefOrder>51</b:RefOrder>
  </b:Source>
  <b:Source>
    <b:Tag>Bry20</b:Tag>
    <b:SourceType>BookSection</b:SourceType>
    <b:Guid>{6983B937-52C2-4F74-9300-94DB7AF4480E}</b:Guid>
    <b:Title>Strategic Management in Public Administration</b:Title>
    <b:Year>2020</b:Year>
    <b:Publisher>Oxford University Press</b:Publisher>
    <b:YearAccessed>2021</b:YearAccessed>
    <b:MonthAccessed>December</b:MonthAccessed>
    <b:DayAccessed>21</b:DayAccessed>
    <b:URL>https://www.researchgate.net/publication/337472823_Strategic_Management_in_Public_Administration</b:URL>
    <b:DOI>10.1093/acrefore/9780190228637.013.139</b:DOI>
    <b:Author>
      <b:Author>
        <b:NameList>
          <b:Person>
            <b:Last>Bryson</b:Last>
            <b:First>John</b:First>
          </b:Person>
          <b:Person>
            <b:Last>George</b:Last>
            <b:First>Bert</b:First>
          </b:Person>
        </b:NameList>
      </b:Author>
    </b:Author>
    <b:BookTitle>The Oxford Encyclopedia of Public Administration</b:BookTitle>
    <b:RefOrder>3</b:RefOrder>
  </b:Source>
  <b:Source>
    <b:Tag>Rei17</b:Tag>
    <b:SourceType>JournalArticle</b:SourceType>
    <b:Guid>{0515EBC5-A0BE-4F72-AA2F-7E0CBCC94E94}</b:Guid>
    <b:Title>Is Police Culture Cultural?</b:Title>
    <b:JournalName>Policing : a journal of policy and practice</b:JournalName>
    <b:Year>2016</b:Year>
    <b:Pages>236-241</b:Pages>
    <b:Author>
      <b:Author>
        <b:NameList>
          <b:Person>
            <b:Last>Reiner</b:Last>
            <b:First>Robert</b:First>
          </b:Person>
        </b:NameList>
      </b:Author>
    </b:Author>
    <b:Publisher>Oxford University Press</b:Publisher>
    <b:Volume>11</b:Volume>
    <b:Issue>3</b:Issue>
    <b:Month>December</b:Month>
    <b:Day>05</b:Day>
    <b:DOI>10.1093/police/paw046</b:DOI>
    <b:RefOrder>52</b:RefOrder>
  </b:Source>
  <b:Source>
    <b:Tag>Bry17</b:Tag>
    <b:SourceType>JournalArticle</b:SourceType>
    <b:Guid>{E843CFF3-1C79-44F1-8BF0-E9C879AA6BE5}</b:Guid>
    <b:Title>Getting strategic about strategic planning research</b:Title>
    <b:Year>2017</b:Year>
    <b:Pages>317-339</b:Pages>
    <b:Publisher>Routledge</b:Publisher>
    <b:JournalName>Public Management Review</b:JournalName>
    <b:Author>
      <b:Author>
        <b:NameList>
          <b:Person>
            <b:Last>Bryson</b:Last>
            <b:Middle>M</b:Middle>
            <b:First>John</b:First>
          </b:Person>
          <b:Person>
            <b:Last>Hamilton Edwards</b:Last>
            <b:First>Lauren</b:First>
          </b:Person>
          <b:Person>
            <b:Last>Van Slyke</b:Last>
            <b:Middle>M</b:Middle>
            <b:First>David </b:First>
          </b:Person>
        </b:NameList>
      </b:Author>
    </b:Author>
    <b:Month>February </b:Month>
    <b:Day>15</b:Day>
    <b:Volume>20</b:Volume>
    <b:Issue>3</b:Issue>
    <b:DOI>10.1080/14719037.2017.1285111</b:DOI>
    <b:RefOrder>53</b:RefOrder>
  </b:Source>
  <b:Source>
    <b:Tag>Ros16</b:Tag>
    <b:SourceType>JournalArticle</b:SourceType>
    <b:Guid>{CB1FA70C-B563-46C1-8E17-7BF080F18A1B}</b:Guid>
    <b:Title>Applying Strategic Management Theories in Public Sector Organizations - Developing a typology</b:Title>
    <b:JournalName>Public Management Review</b:JournalName>
    <b:Year>2016</b:Year>
    <b:Pages>1-19</b:Pages>
    <b:Author>
      <b:Author>
        <b:NameList>
          <b:Person>
            <b:Last>Rosenberg Hansen</b:Last>
            <b:First>Jesper</b:First>
          </b:Person>
          <b:Person>
            <b:Last>Ferlie</b:Last>
            <b:First>Ewan</b:First>
          </b:Person>
        </b:NameList>
      </b:Author>
    </b:Author>
    <b:Publisher>Routledge</b:Publisher>
    <b:Volume>18</b:Volume>
    <b:Issue>1</b:Issue>
    <b:DOI>10.1080/14719037.2014.957339</b:DOI>
    <b:RefOrder>54</b:RefOrder>
  </b:Source>
  <b:Source>
    <b:Tag>Wel212</b:Tag>
    <b:SourceType>InternetSite</b:SourceType>
    <b:Guid>{0BA9F774-0158-4671-9652-4D3C3967EBAC}</b:Guid>
    <b:Title>Welsh Index of Multiple Deprivation</b:Title>
    <b:Author>
      <b:Author>
        <b:Corporate>Welsh Government</b:Corporate>
      </b:Author>
    </b:Author>
    <b:InternetSiteTitle>Stats Wales</b:InternetSiteTitle>
    <b:URL>https://statswales.gov.wales/Catalogue/Community-Safety-and-Social-Inclusion/Welsh-Index-of-Multiple-Deprivation</b:URL>
    <b:YearAccessed>2021</b:YearAccessed>
    <b:MonthAccessed>December </b:MonthAccessed>
    <b:DayAccessed>27</b:DayAccessed>
    <b:Year>2019</b:Year>
    <b:RefOrder>55</b:RefOrder>
  </b:Source>
  <b:Source>
    <b:Tag>Off191</b:Tag>
    <b:SourceType>InternetSite</b:SourceType>
    <b:Guid>{25BB3ABD-088D-4757-9570-AF3A9139BDBC}</b:Guid>
    <b:Author>
      <b:Author>
        <b:Corporate>Office of National Statistics</b:Corporate>
      </b:Author>
    </b:Author>
    <b:Title>Socioeconomic inequalities in avoidable mortality: Wales analysis</b:Title>
    <b:InternetSiteTitle>ONS: Causes of Death</b:InternetSiteTitle>
    <b:Year>2001-2019</b:Year>
    <b:URL>https://www.ons.gov.uk/peoplepopulationandcommunity/healthandsocialcare/causesofdeath/datasets/measuringsocioeconomicinequalitiesinavoidablemortalitywalesanalysis</b:URL>
    <b:YearAccessed>2021</b:YearAccessed>
    <b:MonthAccessed>December</b:MonthAccessed>
    <b:DayAccessed>27</b:DayAccessed>
    <b:RefOrder>56</b:RefOrder>
  </b:Source>
  <b:Source>
    <b:Tag>GoS21</b:Tag>
    <b:SourceType>InternetSite</b:SourceType>
    <b:Guid>{FD500864-0355-4AB8-AB36-02CCCA476873}</b:Guid>
    <b:Author>
      <b:Author>
        <b:Corporate>GoSafe</b:Corporate>
      </b:Author>
    </b:Author>
    <b:Title>Operation SNAP</b:Title>
    <b:InternetSiteTitle>https://gosafe.org</b:InternetSiteTitle>
    <b:Year>2021</b:Year>
    <b:URL>https://gosafe.org/faq/operation-snap/</b:URL>
    <b:YearAccessed>2021</b:YearAccessed>
    <b:MonthAccessed>December </b:MonthAccessed>
    <b:DayAccessed>27</b:DayAccessed>
    <b:RefOrder>57</b:RefOrder>
  </b:Source>
  <b:Source>
    <b:Tag>Sou21</b:Tag>
    <b:SourceType>InternetSite</b:SourceType>
    <b:Guid>{B5CFD723-7A27-4F20-92C5-65BFAFD5E5C6}</b:Guid>
    <b:Author>
      <b:Author>
        <b:Corporate>South Wales Police</b:Corporate>
      </b:Author>
    </b:Author>
    <b:Title>Community Speedwatch</b:Title>
    <b:InternetSiteTitle>South Wales Police</b:InternetSiteTitle>
    <b:Year>2021</b:Year>
    <b:URL>https://www.south-wales.police.uk/advice/advice-and-information/wsi/watch-schemes-initiatives/speedwatch/community-speedwatch/</b:URL>
    <b:RefOrder>58</b:RefOrder>
  </b:Source>
  <b:Source>
    <b:Tag>Cor061</b:Tag>
    <b:SourceType>JournalArticle</b:SourceType>
    <b:Guid>{8AB15E5F-E0FB-4D15-B9C1-3A9FE975F6EF}</b:Guid>
    <b:Title>Gender differences in responses to speed cameras: Typology findings and implications for road safety</b:Title>
    <b:Year>2006</b:Year>
    <b:JournalName>Criminology &amp; criminal justice</b:JournalName>
    <b:Pages>411-433</b:Pages>
    <b:Author>
      <b:Author>
        <b:NameList>
          <b:Person>
            <b:Last>Corbett</b:Last>
            <b:First>Clare</b:First>
          </b:Person>
          <b:Person>
            <b:Last>Caramlau</b:Last>
            <b:First>Isabela</b:First>
          </b:Person>
        </b:NameList>
      </b:Author>
    </b:Author>
    <b:Publisher>SAGE Publications</b:Publisher>
    <b:Volume>6</b:Volume>
    <b:Issue>4</b:Issue>
    <b:DOI>10.1177/1748895806068578</b:DOI>
    <b:RefOrder>59</b:RefOrder>
  </b:Source>
  <b:Source>
    <b:Tag>Jon</b:Tag>
    <b:SourceType>Book</b:SourceType>
    <b:Guid>{F6B1763A-CCE8-449A-8D2F-D284A20BB41F}</b:Guid>
    <b:Title>Leadership: Lessons from my life in Rugby</b:Title>
    <b:Author>
      <b:Author>
        <b:NameList>
          <b:Person>
            <b:Last>Jones</b:Last>
            <b:First>Eddie</b:First>
          </b:Person>
        </b:NameList>
      </b:Author>
    </b:Author>
    <b:Year>2021</b:Year>
    <b:City>London</b:City>
    <b:Publisher>Macmillan</b:Publisher>
    <b:RefOrder>60</b:RefOrder>
  </b:Source>
  <b:Source>
    <b:Tag>Lyn18</b:Tag>
    <b:SourceType>Book</b:SourceType>
    <b:Guid>{4A877B0E-6C92-4C16-B7DF-EAB28386C0A7}</b:Guid>
    <b:Title>Strategic Management</b:Title>
    <b:Year>2018</b:Year>
    <b:City>Harlow</b:City>
    <b:Publisher>Pearson Education Ltd</b:Publisher>
    <b:Author>
      <b:Author>
        <b:NameList>
          <b:Person>
            <b:Last>Lynch</b:Last>
            <b:First>Richard</b:First>
          </b:Person>
        </b:NameList>
      </b:Author>
    </b:Author>
    <b:Edition>8th</b:Edition>
    <b:RefOrder>6</b:RefOrder>
  </b:Source>
  <b:Source>
    <b:Tag>Roy19</b:Tag>
    <b:SourceType>DocumentFromInternetSite</b:SourceType>
    <b:Guid>{AACBD959-A004-4DD2-97E6-A0D4B543F09F}</b:Guid>
    <b:Title>DPP V Barreto Judgement</b:Title>
    <b:Year>2019</b:Year>
    <b:Author>
      <b:Author>
        <b:Corporate>Royal Courts of Justice</b:Corporate>
      </b:Author>
    </b:Author>
    <b:InternetSiteTitle>judiciary.uk</b:InternetSiteTitle>
    <b:Month>July</b:Month>
    <b:Day>31</b:Day>
    <b:URL>https://www.judiciary.uk/wp-content/uploads/2019/07/19-07-31-DPP-v-Barreto-Ref.-CO2702019-Judgment.pdf</b:URL>
    <b:YearAccessed>2021</b:YearAccessed>
    <b:MonthAccessed>December</b:MonthAccessed>
    <b:DayAccessed>29</b:DayAccessed>
    <b:RefOrder>61</b:RefOrder>
  </b:Source>
  <b:Source>
    <b:Tag>Saf21</b:Tag>
    <b:SourceType>DocumentFromInternetSite</b:SourceType>
    <b:Guid>{2FB23C16-3AA2-4B2D-8C41-5AF3EC4E1388}</b:Guid>
    <b:Author>
      <b:Author>
        <b:Corporate>Safer Roads for All</b:Corporate>
      </b:Author>
    </b:Author>
    <b:Title>Parliamentary Advisory Council for Transport Safety</b:Title>
    <b:InternetSiteTitle>PACTS.org.uk</b:InternetSiteTitle>
    <b:Year>2021</b:Year>
    <b:Month>August</b:Month>
    <b:Day>29</b:Day>
    <b:URL>https://www.pacts.org.uk/safe-roads-for-all-pacts-contributes-to-new-report-by-leading-uk-road-safety-and-mobility-experts-2/</b:URL>
    <b:YearAccessed>2021</b:YearAccessed>
    <b:MonthAccessed>December</b:MonthAccessed>
    <b:DayAccessed>30</b:DayAccessed>
    <b:RefOrder>62</b:RefOrder>
  </b:Source>
  <b:Source>
    <b:Tag>Wel213</b:Tag>
    <b:SourceType>InternetSite</b:SourceType>
    <b:Guid>{11707DF6-497E-49AB-8FC0-6E1CD3400A5E}</b:Guid>
    <b:Title>Introducing 20mph Speed Limits</b:Title>
    <b:InternetSiteTitle>gov.Wales</b:InternetSiteTitle>
    <b:Year>2021</b:Year>
    <b:Month>July</b:Month>
    <b:Day>08</b:Day>
    <b:URL>https://gov.wales/introducing-20mph-speed-limits-frequently-asked-questions</b:URL>
    <b:Author>
      <b:Author>
        <b:Corporate>Welsh Government</b:Corporate>
      </b:Author>
    </b:Author>
    <b:YearAccessed>2021</b:YearAccessed>
    <b:MonthAccessed>December</b:MonthAccessed>
    <b:DayAccessed>27</b:DayAccessed>
    <b:RefOrder>21</b:RefOrder>
  </b:Source>
  <b:Source>
    <b:Tag>Wel214</b:Tag>
    <b:SourceType>InternetSite</b:SourceType>
    <b:Guid>{13E421C2-795F-4F4B-BA2F-3E7E889D9386}</b:Guid>
    <b:Author>
      <b:Author>
        <b:Corporate>Welsh Government</b:Corporate>
      </b:Author>
    </b:Author>
    <b:Title>Llwybr Newydd: the Wales Transport Strategy 2021</b:Title>
    <b:InternetSiteTitle>gov.Wales</b:InternetSiteTitle>
    <b:Year>2021</b:Year>
    <b:Month>March</b:Month>
    <b:Day>19</b:Day>
    <b:URL>https://gov.wales/llwybr-newydd-wales-transport-strategy-2021</b:URL>
    <b:YearAccessed>2021</b:YearAccessed>
    <b:MonthAccessed>December</b:MonthAccessed>
    <b:DayAccessed>28</b:DayAccessed>
    <b:RefOrder>63</b:RefOrder>
  </b:Source>
  <b:Source>
    <b:Tag>Rum19</b:Tag>
    <b:SourceType>ElectronicSource</b:SourceType>
    <b:Guid>{7AF61284-03E3-4328-9C62-DED1D7F8282B}</b:Guid>
    <b:Title>Good Strategy Bad Strategy: The Difference and Why it Matters</b:Title>
    <b:Year>2019</b:Year>
    <b:Month>May</b:Month>
    <b:Day>14</b:Day>
    <b:City>Audible</b:City>
    <b:Publisher>Audible</b:Publisher>
    <b:Author>
      <b:Author>
        <b:NameList>
          <b:Person>
            <b:Last>Rumelt</b:Last>
            <b:First>Richard</b:First>
          </b:Person>
        </b:NameList>
      </b:Author>
    </b:Author>
    <b:CountryRegion>Online</b:CountryRegion>
    <b:Medium>Audiobook</b:Medium>
    <b:RefOrder>64</b:RefOrder>
  </b:Source>
  <b:Source>
    <b:Tag>Fly121</b:Tag>
    <b:SourceType>Book</b:SourceType>
    <b:Guid>{495BA078-E4AE-42F3-9798-F8AFD87F6DEA}</b:Guid>
    <b:Title>Public Sector Management</b:Title>
    <b:Year>2012</b:Year>
    <b:City>London</b:City>
    <b:Publisher>SAGE Publications Ltd</b:Publisher>
    <b:Author>
      <b:Author>
        <b:NameList>
          <b:Person>
            <b:Last>Flynn</b:Last>
            <b:First>Norman</b:First>
          </b:Person>
        </b:NameList>
      </b:Author>
    </b:Author>
    <b:Edition>6th</b:Edition>
    <b:RefOrder>65</b:RefOrder>
  </b:Source>
  <b:Source>
    <b:Tag>Rou05</b:Tag>
    <b:SourceType>Book</b:SourceType>
    <b:Guid>{E3B83BF8-1660-44B0-A289-A07C9C722856}</b:Guid>
    <b:Title>The Governance of Public and Non-Profit Organisations - What do boards do?</b:Title>
    <b:City>London</b:City>
    <b:Year>2005</b:Year>
    <b:Author>
      <b:Author>
        <b:Corporate>Routledge Studies in the Management of Voluntary and Non-Profit Organisations</b:Corporate>
      </b:Author>
      <b:Editor>
        <b:NameList>
          <b:Person>
            <b:Last>Cornforth</b:Last>
            <b:First>Chris</b:First>
          </b:Person>
        </b:NameList>
      </b:Editor>
    </b:Author>
    <b:Publisher>Routledge</b:Publisher>
    <b:RefOrder>66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2FA462F-2D55-45DB-ADA0-AC5ACDCC22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497</TotalTime>
  <Pages>15</Pages>
  <Words>6452</Words>
  <Characters>36780</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Strategic Management in Policing</vt:lpstr>
    </vt:vector>
  </TitlesOfParts>
  <Company>DPP O365 Pro Plus incl Visio STD and Project STD</Company>
  <LinksUpToDate>false</LinksUpToDate>
  <CharactersWithSpaces>43146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in Policing</dc:title>
  <dc:subject>MSc Policing (Operational and Strategic Leadership)</dc:subject>
  <dc:creator>Author: Teresa Ciano 2011302</dc:creator>
  <cp:keywords/>
  <dc:description/>
  <cp:lastModifiedBy>Steve Davies</cp:lastModifiedBy>
  <cp:revision>8</cp:revision>
  <cp:lastPrinted>2022-01-11T18:55:00Z</cp:lastPrinted>
  <dcterms:created xsi:type="dcterms:W3CDTF">2022-01-10T17:58:00Z</dcterms:created>
  <dcterms:modified xsi:type="dcterms:W3CDTF">2022-01-11T19:13:00Z</dcterms:modified>
  <cp:category>MSc Policing (Operational and Strategic Leadership)</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2021-10-20T09:23:18Z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2080575b-52fc-48e6-b5b4-072dd1b9a0b5</vt:lpwstr>
  </property>
  <property fmtid="{D5CDD505-2E9C-101B-9397-08002B2CF9AE}" pid="8" name="MSIP_Label_7beefdff-6834-454f-be00-a68b5bc5f471_ContentBits">
    <vt:lpwstr>0</vt:lpwstr>
  </property>
</Properties>
</file>