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CF5C1" w14:textId="77777777" w:rsidR="00B02B0A" w:rsidRDefault="00B02B0A" w:rsidP="00B02B0A">
      <w:pPr>
        <w:spacing w:line="360" w:lineRule="auto"/>
        <w:jc w:val="both"/>
        <w:rPr>
          <w:rFonts w:ascii="Times New Roman" w:hAnsi="Times New Roman" w:cs="Times New Roman"/>
          <w:b/>
          <w:bCs/>
          <w:noProof/>
          <w:sz w:val="24"/>
          <w:szCs w:val="24"/>
        </w:rPr>
      </w:pPr>
    </w:p>
    <w:p w14:paraId="370C974C" w14:textId="77777777" w:rsidR="00B02B0A" w:rsidRPr="00BC22AA" w:rsidRDefault="00B02B0A" w:rsidP="00B02B0A">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t xml:space="preserve">             </w:t>
      </w:r>
      <w:r w:rsidRPr="004378B8">
        <w:rPr>
          <w:rFonts w:ascii="Times New Roman" w:hAnsi="Times New Roman" w:cs="Times New Roman"/>
          <w:b/>
          <w:bCs/>
          <w:noProof/>
          <w:sz w:val="24"/>
          <w:szCs w:val="24"/>
        </w:rPr>
        <w:drawing>
          <wp:inline distT="0" distB="0" distL="0" distR="0" wp14:anchorId="4D0BBD71" wp14:editId="566F81B3">
            <wp:extent cx="5113020" cy="1188720"/>
            <wp:effectExtent l="0" t="0" r="0" b="0"/>
            <wp:docPr id="1001900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3020" cy="1188720"/>
                    </a:xfrm>
                    <a:prstGeom prst="rect">
                      <a:avLst/>
                    </a:prstGeom>
                    <a:noFill/>
                    <a:ln>
                      <a:noFill/>
                    </a:ln>
                  </pic:spPr>
                </pic:pic>
              </a:graphicData>
            </a:graphic>
          </wp:inline>
        </w:drawing>
      </w:r>
    </w:p>
    <w:p w14:paraId="79152290" w14:textId="77777777" w:rsidR="00B02B0A" w:rsidRPr="00BC22AA" w:rsidRDefault="00B02B0A" w:rsidP="00B02B0A">
      <w:pPr>
        <w:spacing w:line="360" w:lineRule="auto"/>
        <w:jc w:val="both"/>
        <w:rPr>
          <w:rFonts w:ascii="Times New Roman" w:hAnsi="Times New Roman" w:cs="Times New Roman"/>
          <w:b/>
          <w:bCs/>
          <w:sz w:val="24"/>
          <w:szCs w:val="24"/>
        </w:rPr>
      </w:pPr>
    </w:p>
    <w:p w14:paraId="3ADBD3FE" w14:textId="77777777" w:rsidR="00B02B0A" w:rsidRDefault="00B02B0A" w:rsidP="00B02B0A">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p>
    <w:p w14:paraId="1E607D7C" w14:textId="77777777" w:rsidR="00B02B0A" w:rsidRPr="004378B8" w:rsidRDefault="00B02B0A" w:rsidP="00B02B0A">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Pr="004378B8">
        <w:rPr>
          <w:rFonts w:ascii="Times New Roman" w:hAnsi="Times New Roman" w:cs="Times New Roman"/>
          <w:b/>
          <w:bCs/>
          <w:sz w:val="40"/>
          <w:szCs w:val="40"/>
        </w:rPr>
        <w:t>Master of Business Administration</w:t>
      </w:r>
    </w:p>
    <w:p w14:paraId="745B8649" w14:textId="77777777" w:rsidR="00B02B0A" w:rsidRDefault="00B02B0A" w:rsidP="00B02B0A">
      <w:pPr>
        <w:spacing w:line="360" w:lineRule="auto"/>
        <w:jc w:val="both"/>
        <w:rPr>
          <w:rFonts w:ascii="Times New Roman" w:hAnsi="Times New Roman" w:cs="Times New Roman"/>
          <w:b/>
          <w:bCs/>
          <w:sz w:val="24"/>
          <w:szCs w:val="24"/>
        </w:rPr>
      </w:pPr>
    </w:p>
    <w:p w14:paraId="763BA41D" w14:textId="63EFE6BE" w:rsidR="00B02B0A" w:rsidRPr="00392899" w:rsidRDefault="00B02B0A" w:rsidP="00B02B0A">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Name: </w:t>
      </w:r>
      <w:r w:rsidRPr="00115498">
        <w:rPr>
          <w:rFonts w:ascii="Times New Roman" w:hAnsi="Times New Roman" w:cs="Times New Roman"/>
          <w:b/>
          <w:bCs/>
          <w:sz w:val="28"/>
          <w:szCs w:val="28"/>
        </w:rPr>
        <w:t xml:space="preserve">International </w:t>
      </w:r>
      <w:r>
        <w:rPr>
          <w:rFonts w:ascii="Times New Roman" w:hAnsi="Times New Roman" w:cs="Times New Roman"/>
          <w:b/>
          <w:bCs/>
          <w:sz w:val="28"/>
          <w:szCs w:val="28"/>
        </w:rPr>
        <w:t>Business Concepts</w:t>
      </w:r>
    </w:p>
    <w:p w14:paraId="6913E7A4" w14:textId="77777777" w:rsidR="00B02B0A" w:rsidRPr="00392899" w:rsidRDefault="00B02B0A" w:rsidP="00B02B0A">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Moodle Code: </w:t>
      </w:r>
      <w:r w:rsidRPr="00115498">
        <w:rPr>
          <w:rFonts w:ascii="Times New Roman" w:hAnsi="Times New Roman" w:cs="Times New Roman"/>
          <w:b/>
          <w:bCs/>
          <w:sz w:val="28"/>
          <w:szCs w:val="28"/>
        </w:rPr>
        <w:t>LCMB7026</w:t>
      </w:r>
    </w:p>
    <w:p w14:paraId="1392B594" w14:textId="77777777" w:rsidR="00B02B0A" w:rsidRPr="00392899" w:rsidRDefault="00B02B0A" w:rsidP="00B02B0A">
      <w:pPr>
        <w:spacing w:line="360" w:lineRule="auto"/>
        <w:rPr>
          <w:rFonts w:ascii="Times New Roman" w:hAnsi="Times New Roman" w:cs="Times New Roman"/>
          <w:b/>
          <w:bCs/>
          <w:sz w:val="28"/>
          <w:szCs w:val="28"/>
        </w:rPr>
      </w:pPr>
      <w:r w:rsidRPr="00392899">
        <w:rPr>
          <w:rFonts w:ascii="Times New Roman" w:hAnsi="Times New Roman" w:cs="Times New Roman"/>
          <w:b/>
          <w:bCs/>
          <w:sz w:val="28"/>
          <w:szCs w:val="28"/>
        </w:rPr>
        <w:t>Student Name: Vishwesh Anam</w:t>
      </w:r>
    </w:p>
    <w:p w14:paraId="7E4C9F64" w14:textId="77777777" w:rsidR="00B02B0A" w:rsidRPr="00392899" w:rsidRDefault="00B02B0A" w:rsidP="00B02B0A">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Student ID: 2330742</w:t>
      </w:r>
    </w:p>
    <w:p w14:paraId="5C8BBB1C" w14:textId="5D2A8574" w:rsidR="00B02B0A" w:rsidRPr="00392899" w:rsidRDefault="00B02B0A" w:rsidP="00B02B0A">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Name of the Lecturer: </w:t>
      </w:r>
      <w:r w:rsidRPr="00B02B0A">
        <w:rPr>
          <w:rFonts w:ascii="Times New Roman" w:hAnsi="Times New Roman" w:cs="Times New Roman"/>
          <w:b/>
          <w:bCs/>
          <w:sz w:val="28"/>
          <w:szCs w:val="28"/>
        </w:rPr>
        <w:t xml:space="preserve">Jean wang </w:t>
      </w:r>
    </w:p>
    <w:p w14:paraId="7795FDB5" w14:textId="77777777" w:rsidR="00B02B0A" w:rsidRPr="00392899" w:rsidRDefault="00B02B0A" w:rsidP="00B02B0A">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Date of Submission: </w:t>
      </w:r>
      <w:r>
        <w:rPr>
          <w:rFonts w:ascii="Times New Roman" w:hAnsi="Times New Roman" w:cs="Times New Roman"/>
          <w:b/>
          <w:bCs/>
          <w:sz w:val="28"/>
          <w:szCs w:val="28"/>
        </w:rPr>
        <w:t>15</w:t>
      </w:r>
      <w:r w:rsidRPr="00392899">
        <w:rPr>
          <w:rFonts w:ascii="Times New Roman" w:hAnsi="Times New Roman" w:cs="Times New Roman"/>
          <w:b/>
          <w:bCs/>
          <w:sz w:val="28"/>
          <w:szCs w:val="28"/>
        </w:rPr>
        <w:t>-</w:t>
      </w:r>
      <w:r>
        <w:rPr>
          <w:rFonts w:ascii="Times New Roman" w:hAnsi="Times New Roman" w:cs="Times New Roman"/>
          <w:b/>
          <w:bCs/>
          <w:sz w:val="28"/>
          <w:szCs w:val="28"/>
        </w:rPr>
        <w:t>12</w:t>
      </w:r>
      <w:r w:rsidRPr="00392899">
        <w:rPr>
          <w:rFonts w:ascii="Times New Roman" w:hAnsi="Times New Roman" w:cs="Times New Roman"/>
          <w:b/>
          <w:bCs/>
          <w:sz w:val="28"/>
          <w:szCs w:val="28"/>
        </w:rPr>
        <w:t>-2025</w:t>
      </w:r>
    </w:p>
    <w:p w14:paraId="5032EF1B" w14:textId="30A3E179" w:rsidR="00B02B0A" w:rsidRPr="00392899" w:rsidRDefault="00B02B0A" w:rsidP="00B02B0A">
      <w:pPr>
        <w:spacing w:line="360" w:lineRule="auto"/>
        <w:jc w:val="both"/>
        <w:rPr>
          <w:rFonts w:ascii="Times New Roman" w:hAnsi="Times New Roman" w:cs="Times New Roman"/>
          <w:b/>
          <w:bCs/>
          <w:sz w:val="28"/>
          <w:szCs w:val="28"/>
        </w:rPr>
      </w:pPr>
      <w:r w:rsidRPr="00392899">
        <w:rPr>
          <w:rFonts w:ascii="Times New Roman" w:hAnsi="Times New Roman" w:cs="Times New Roman"/>
          <w:b/>
          <w:bCs/>
          <w:sz w:val="28"/>
          <w:szCs w:val="28"/>
        </w:rPr>
        <w:t xml:space="preserve">Word Count: </w:t>
      </w:r>
      <w:r>
        <w:rPr>
          <w:rFonts w:ascii="Times New Roman" w:hAnsi="Times New Roman" w:cs="Times New Roman"/>
          <w:b/>
          <w:bCs/>
          <w:sz w:val="28"/>
          <w:szCs w:val="28"/>
        </w:rPr>
        <w:t>5</w:t>
      </w:r>
      <w:r w:rsidR="00102A75">
        <w:rPr>
          <w:rFonts w:ascii="Times New Roman" w:hAnsi="Times New Roman" w:cs="Times New Roman"/>
          <w:b/>
          <w:bCs/>
          <w:sz w:val="28"/>
          <w:szCs w:val="28"/>
        </w:rPr>
        <w:t>15</w:t>
      </w:r>
      <w:r>
        <w:rPr>
          <w:rFonts w:ascii="Times New Roman" w:hAnsi="Times New Roman" w:cs="Times New Roman"/>
          <w:b/>
          <w:bCs/>
          <w:sz w:val="28"/>
          <w:szCs w:val="28"/>
        </w:rPr>
        <w:t>0</w:t>
      </w:r>
    </w:p>
    <w:p w14:paraId="4BDC86E3" w14:textId="77777777" w:rsidR="00FD0F24" w:rsidRDefault="00FD0F24" w:rsidP="007473F8">
      <w:pPr>
        <w:spacing w:line="360" w:lineRule="auto"/>
        <w:jc w:val="both"/>
        <w:rPr>
          <w:rFonts w:ascii="Times New Roman" w:hAnsi="Times New Roman" w:cs="Times New Roman"/>
          <w:sz w:val="36"/>
          <w:szCs w:val="36"/>
        </w:rPr>
      </w:pPr>
    </w:p>
    <w:p w14:paraId="4AA1CCF0" w14:textId="77777777" w:rsidR="00FD0F24" w:rsidRDefault="00FD0F24" w:rsidP="007473F8">
      <w:pPr>
        <w:spacing w:line="360" w:lineRule="auto"/>
        <w:jc w:val="both"/>
        <w:rPr>
          <w:rFonts w:ascii="Times New Roman" w:hAnsi="Times New Roman" w:cs="Times New Roman"/>
          <w:sz w:val="36"/>
          <w:szCs w:val="36"/>
        </w:rPr>
      </w:pPr>
    </w:p>
    <w:p w14:paraId="215CBCA4" w14:textId="77777777" w:rsidR="00A03232" w:rsidRDefault="00A03232" w:rsidP="007473F8">
      <w:pPr>
        <w:spacing w:line="360" w:lineRule="auto"/>
        <w:jc w:val="both"/>
        <w:rPr>
          <w:rFonts w:ascii="Times New Roman" w:hAnsi="Times New Roman" w:cs="Times New Roman"/>
          <w:sz w:val="36"/>
          <w:szCs w:val="36"/>
        </w:rPr>
      </w:pPr>
    </w:p>
    <w:p w14:paraId="2F1746D3" w14:textId="77777777" w:rsidR="00354014" w:rsidRPr="007473F8" w:rsidRDefault="00354014" w:rsidP="007473F8">
      <w:pPr>
        <w:spacing w:line="360" w:lineRule="auto"/>
        <w:jc w:val="both"/>
        <w:rPr>
          <w:rFonts w:ascii="Times New Roman" w:hAnsi="Times New Roman" w:cs="Times New Roman"/>
          <w:sz w:val="36"/>
          <w:szCs w:val="36"/>
        </w:rPr>
      </w:pPr>
    </w:p>
    <w:p w14:paraId="47653232" w14:textId="7B3E60C2" w:rsidR="007473F8" w:rsidRPr="00102A75" w:rsidRDefault="007473F8" w:rsidP="00102A75">
      <w:pPr>
        <w:pStyle w:val="Heading1"/>
        <w:jc w:val="center"/>
        <w:rPr>
          <w:rFonts w:ascii="Times New Roman" w:hAnsi="Times New Roman" w:cs="Times New Roman"/>
          <w:b/>
          <w:bCs/>
          <w:color w:val="auto"/>
        </w:rPr>
      </w:pPr>
      <w:r w:rsidRPr="00102A75">
        <w:rPr>
          <w:rFonts w:ascii="Times New Roman" w:hAnsi="Times New Roman" w:cs="Times New Roman"/>
          <w:b/>
          <w:bCs/>
          <w:color w:val="auto"/>
        </w:rPr>
        <w:lastRenderedPageBreak/>
        <w:t>1. Executive Summary</w:t>
      </w:r>
    </w:p>
    <w:p w14:paraId="6DE0B49B" w14:textId="77777777"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This report provides a consultancy-focused assessment of Netflix’s international expansion with a particular emphasis on its strategic positioning, operational decisions and long-term growth prospects in India. Over the past decade, Netflix has evolved from a domestic streaming innovator into a global entertainment corporation, supported by advanced digital capabilities, a highly integrated platform and a growing investment in multi-market content production. India has emerged as a critical market within this global trajectory due to its expanding digital infrastructure, youthful demographic profile and increasing appetite for on-demand video consumption. At the same time, the country presents complex challenges, including strong competition from domestic streaming platforms, diverse linguistic and cultural preferences, affordability constraints and shifting regulatory expectations.</w:t>
      </w:r>
    </w:p>
    <w:p w14:paraId="607D8509" w14:textId="77777777"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By applying Dunning’s Ownership–Location–Internalisation (OLI) framework, the report shows that Netflix’s proprietary technology, data-driven personalisation engine and global brand strength offer substantial ownership advantages that favour a high-control entry strategy. Yet India’s distinctive market characteristics require a flexible operational approach: high cultural diversity, regional storytelling norms and highly price-sensitive consumers make standardised global strategies insufficient. Insights from Hofstede’s cultural dimensions and Porter’s Diamond Model reinforce the need for deeper localisation, including region-specific content development, adaptive pricing models and proactive regulatory management.</w:t>
      </w:r>
    </w:p>
    <w:p w14:paraId="37C8016E" w14:textId="41B81FA7"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 xml:space="preserve">Netflix’s core challenge in India is therefore not establishing presence but achieving meaningful alignment with local expectations. </w:t>
      </w:r>
      <w:r>
        <w:rPr>
          <w:rFonts w:ascii="Times New Roman" w:hAnsi="Times New Roman" w:cs="Times New Roman"/>
          <w:sz w:val="24"/>
          <w:szCs w:val="24"/>
        </w:rPr>
        <w:t xml:space="preserve"> </w:t>
      </w:r>
      <w:r w:rsidRPr="00FD0F24">
        <w:rPr>
          <w:rFonts w:ascii="Times New Roman" w:hAnsi="Times New Roman" w:cs="Times New Roman"/>
          <w:sz w:val="24"/>
          <w:szCs w:val="24"/>
        </w:rPr>
        <w:t>Drawing on these analyses, the report presents three strategic SOP adjustments designed to strengthen Netflix’s long-term competitiveness</w:t>
      </w:r>
      <w:r w:rsidRPr="00A03232">
        <w:rPr>
          <w:rFonts w:ascii="Times New Roman" w:hAnsi="Times New Roman" w:cs="Times New Roman"/>
          <w:sz w:val="24"/>
          <w:szCs w:val="24"/>
        </w:rPr>
        <w:t xml:space="preserve">. </w:t>
      </w:r>
      <w:r w:rsidRPr="00FD0F24">
        <w:rPr>
          <w:rFonts w:ascii="Times New Roman" w:hAnsi="Times New Roman" w:cs="Times New Roman"/>
          <w:sz w:val="24"/>
          <w:szCs w:val="24"/>
        </w:rPr>
        <w:t>Expanding region-focused creative hubs to enhance cultural authenticity and accelerate local content development.</w:t>
      </w:r>
      <w:r w:rsidRPr="00A03232">
        <w:rPr>
          <w:rFonts w:ascii="Times New Roman" w:hAnsi="Times New Roman" w:cs="Times New Roman"/>
          <w:sz w:val="24"/>
          <w:szCs w:val="24"/>
        </w:rPr>
        <w:t xml:space="preserve"> </w:t>
      </w:r>
      <w:r w:rsidRPr="00FD0F24">
        <w:rPr>
          <w:rFonts w:ascii="Times New Roman" w:hAnsi="Times New Roman" w:cs="Times New Roman"/>
          <w:sz w:val="24"/>
          <w:szCs w:val="24"/>
        </w:rPr>
        <w:t>Redesigning pricing and access mechanisms to better reflect Indian affordability levels and mobile-first consumption patterns.</w:t>
      </w:r>
      <w:r w:rsidRPr="00A03232">
        <w:rPr>
          <w:rFonts w:ascii="Times New Roman" w:hAnsi="Times New Roman" w:cs="Times New Roman"/>
          <w:sz w:val="24"/>
          <w:szCs w:val="24"/>
        </w:rPr>
        <w:t xml:space="preserve"> </w:t>
      </w:r>
      <w:r w:rsidRPr="00FD0F24">
        <w:rPr>
          <w:rFonts w:ascii="Times New Roman" w:hAnsi="Times New Roman" w:cs="Times New Roman"/>
          <w:sz w:val="24"/>
          <w:szCs w:val="24"/>
        </w:rPr>
        <w:t>Embedding a structured regulatory and cultural risk protocol to improve compliance, protect brand reputation and support smoother content approval processes.</w:t>
      </w:r>
      <w:r>
        <w:rPr>
          <w:rFonts w:ascii="Times New Roman" w:hAnsi="Times New Roman" w:cs="Times New Roman"/>
          <w:sz w:val="24"/>
          <w:szCs w:val="24"/>
        </w:rPr>
        <w:t xml:space="preserve"> </w:t>
      </w:r>
      <w:r w:rsidRPr="00FD0F24">
        <w:rPr>
          <w:rFonts w:ascii="Times New Roman" w:hAnsi="Times New Roman" w:cs="Times New Roman"/>
          <w:sz w:val="24"/>
          <w:szCs w:val="24"/>
        </w:rPr>
        <w:t>These recommendations aim to improve Netflix’s operational agility, deepen audience relevance and enhance resilience in an increasingly competitive Indian streaming landscape. Overall, the report integrates academic theory with actionable consulting insights, offering a strategic roadmap that supports Netflix’s sustained growth and competitive advantage in India.</w:t>
      </w:r>
    </w:p>
    <w:p w14:paraId="308678AB" w14:textId="77777777" w:rsidR="00A03232" w:rsidRDefault="00A03232" w:rsidP="007473F8">
      <w:pPr>
        <w:spacing w:line="360" w:lineRule="auto"/>
        <w:jc w:val="both"/>
        <w:rPr>
          <w:rFonts w:ascii="Times New Roman" w:hAnsi="Times New Roman" w:cs="Times New Roman"/>
          <w:sz w:val="24"/>
          <w:szCs w:val="24"/>
        </w:rPr>
      </w:pPr>
    </w:p>
    <w:p w14:paraId="471F8C1A" w14:textId="77777777" w:rsidR="00354014" w:rsidRPr="00354014" w:rsidRDefault="00354014" w:rsidP="00354014">
      <w:pPr>
        <w:spacing w:line="360" w:lineRule="auto"/>
        <w:jc w:val="center"/>
        <w:rPr>
          <w:rFonts w:ascii="Times New Roman" w:hAnsi="Times New Roman" w:cs="Times New Roman"/>
          <w:b/>
          <w:bCs/>
          <w:sz w:val="24"/>
          <w:szCs w:val="24"/>
        </w:rPr>
      </w:pPr>
      <w:r w:rsidRPr="00354014">
        <w:rPr>
          <w:rFonts w:ascii="Times New Roman" w:hAnsi="Times New Roman" w:cs="Times New Roman"/>
          <w:b/>
          <w:bCs/>
          <w:sz w:val="24"/>
          <w:szCs w:val="24"/>
        </w:rPr>
        <w:lastRenderedPageBreak/>
        <w:t>TABLE OF CONTENTS</w:t>
      </w:r>
    </w:p>
    <w:tbl>
      <w:tblPr>
        <w:tblStyle w:val="TableGrid"/>
        <w:tblW w:w="0" w:type="auto"/>
        <w:tblLook w:val="04A0" w:firstRow="1" w:lastRow="0" w:firstColumn="1" w:lastColumn="0" w:noHBand="0" w:noVBand="1"/>
      </w:tblPr>
      <w:tblGrid>
        <w:gridCol w:w="988"/>
        <w:gridCol w:w="6804"/>
        <w:gridCol w:w="1224"/>
      </w:tblGrid>
      <w:tr w:rsidR="00354014" w:rsidRPr="00354014" w14:paraId="77BE76F5" w14:textId="77777777" w:rsidTr="00354014">
        <w:trPr>
          <w:trHeight w:val="539"/>
        </w:trPr>
        <w:tc>
          <w:tcPr>
            <w:tcW w:w="988" w:type="dxa"/>
            <w:hideMark/>
          </w:tcPr>
          <w:p w14:paraId="204E996A" w14:textId="77777777" w:rsidR="00354014" w:rsidRPr="00354014" w:rsidRDefault="00354014" w:rsidP="00354014">
            <w:pPr>
              <w:spacing w:after="160" w:line="360" w:lineRule="auto"/>
              <w:jc w:val="both"/>
              <w:rPr>
                <w:rFonts w:ascii="Times New Roman" w:hAnsi="Times New Roman" w:cs="Times New Roman"/>
                <w:b/>
                <w:bCs/>
                <w:sz w:val="24"/>
                <w:szCs w:val="24"/>
              </w:rPr>
            </w:pPr>
            <w:r w:rsidRPr="00354014">
              <w:rPr>
                <w:rFonts w:ascii="Times New Roman" w:hAnsi="Times New Roman" w:cs="Times New Roman"/>
                <w:b/>
                <w:bCs/>
                <w:sz w:val="24"/>
                <w:szCs w:val="24"/>
              </w:rPr>
              <w:t>Sr. No.</w:t>
            </w:r>
          </w:p>
        </w:tc>
        <w:tc>
          <w:tcPr>
            <w:tcW w:w="6804" w:type="dxa"/>
            <w:hideMark/>
          </w:tcPr>
          <w:p w14:paraId="0260346E" w14:textId="77777777" w:rsidR="00354014" w:rsidRPr="00354014" w:rsidRDefault="00354014" w:rsidP="00354014">
            <w:pPr>
              <w:spacing w:after="160" w:line="276" w:lineRule="auto"/>
              <w:jc w:val="both"/>
              <w:rPr>
                <w:rFonts w:ascii="Times New Roman" w:hAnsi="Times New Roman" w:cs="Times New Roman"/>
                <w:b/>
                <w:bCs/>
              </w:rPr>
            </w:pPr>
            <w:r w:rsidRPr="00354014">
              <w:rPr>
                <w:rFonts w:ascii="Times New Roman" w:hAnsi="Times New Roman" w:cs="Times New Roman"/>
                <w:b/>
                <w:bCs/>
              </w:rPr>
              <w:t>Title</w:t>
            </w:r>
          </w:p>
        </w:tc>
        <w:tc>
          <w:tcPr>
            <w:tcW w:w="1224" w:type="dxa"/>
            <w:hideMark/>
          </w:tcPr>
          <w:p w14:paraId="3FC806ED" w14:textId="77777777" w:rsidR="00354014" w:rsidRPr="00354014" w:rsidRDefault="00354014" w:rsidP="00354014">
            <w:pPr>
              <w:spacing w:after="160" w:line="360" w:lineRule="auto"/>
              <w:jc w:val="both"/>
              <w:rPr>
                <w:rFonts w:ascii="Times New Roman" w:hAnsi="Times New Roman" w:cs="Times New Roman"/>
                <w:b/>
                <w:bCs/>
                <w:sz w:val="24"/>
                <w:szCs w:val="24"/>
              </w:rPr>
            </w:pPr>
            <w:r w:rsidRPr="00354014">
              <w:rPr>
                <w:rFonts w:ascii="Times New Roman" w:hAnsi="Times New Roman" w:cs="Times New Roman"/>
                <w:b/>
                <w:bCs/>
                <w:sz w:val="24"/>
                <w:szCs w:val="24"/>
              </w:rPr>
              <w:t>Page No.</w:t>
            </w:r>
          </w:p>
        </w:tc>
      </w:tr>
      <w:tr w:rsidR="00354014" w:rsidRPr="00354014" w14:paraId="26112675" w14:textId="77777777" w:rsidTr="00354014">
        <w:tc>
          <w:tcPr>
            <w:tcW w:w="988" w:type="dxa"/>
            <w:hideMark/>
          </w:tcPr>
          <w:p w14:paraId="60E68312"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1.</w:t>
            </w:r>
          </w:p>
        </w:tc>
        <w:tc>
          <w:tcPr>
            <w:tcW w:w="6804" w:type="dxa"/>
            <w:hideMark/>
          </w:tcPr>
          <w:p w14:paraId="063F434D" w14:textId="77777777" w:rsidR="00354014" w:rsidRPr="00354014" w:rsidRDefault="00354014" w:rsidP="00354014">
            <w:pPr>
              <w:spacing w:after="160" w:line="276" w:lineRule="auto"/>
              <w:jc w:val="both"/>
              <w:rPr>
                <w:rFonts w:ascii="Times New Roman" w:hAnsi="Times New Roman" w:cs="Times New Roman"/>
              </w:rPr>
            </w:pPr>
            <w:r w:rsidRPr="00354014">
              <w:rPr>
                <w:rFonts w:ascii="Times New Roman" w:hAnsi="Times New Roman" w:cs="Times New Roman"/>
                <w:b/>
                <w:bCs/>
              </w:rPr>
              <w:t>Executive Summary</w:t>
            </w:r>
          </w:p>
        </w:tc>
        <w:tc>
          <w:tcPr>
            <w:tcW w:w="1224" w:type="dxa"/>
            <w:hideMark/>
          </w:tcPr>
          <w:p w14:paraId="44059AD1"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2</w:t>
            </w:r>
          </w:p>
        </w:tc>
      </w:tr>
      <w:tr w:rsidR="00354014" w:rsidRPr="00354014" w14:paraId="12ABEE64" w14:textId="77777777" w:rsidTr="00354014">
        <w:tc>
          <w:tcPr>
            <w:tcW w:w="988" w:type="dxa"/>
            <w:hideMark/>
          </w:tcPr>
          <w:p w14:paraId="7AFD2ADF"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2.</w:t>
            </w:r>
          </w:p>
        </w:tc>
        <w:tc>
          <w:tcPr>
            <w:tcW w:w="6804" w:type="dxa"/>
            <w:hideMark/>
          </w:tcPr>
          <w:p w14:paraId="5D629B14" w14:textId="77777777" w:rsidR="00354014" w:rsidRPr="00354014" w:rsidRDefault="00354014" w:rsidP="00354014">
            <w:pPr>
              <w:spacing w:after="160" w:line="276" w:lineRule="auto"/>
              <w:jc w:val="both"/>
              <w:rPr>
                <w:rFonts w:ascii="Times New Roman" w:hAnsi="Times New Roman" w:cs="Times New Roman"/>
              </w:rPr>
            </w:pPr>
            <w:r w:rsidRPr="00354014">
              <w:rPr>
                <w:rFonts w:ascii="Times New Roman" w:hAnsi="Times New Roman" w:cs="Times New Roman"/>
                <w:b/>
                <w:bCs/>
              </w:rPr>
              <w:t>Introduction</w:t>
            </w:r>
          </w:p>
        </w:tc>
        <w:tc>
          <w:tcPr>
            <w:tcW w:w="1224" w:type="dxa"/>
            <w:hideMark/>
          </w:tcPr>
          <w:p w14:paraId="2AE44807"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5</w:t>
            </w:r>
          </w:p>
        </w:tc>
      </w:tr>
      <w:tr w:rsidR="00354014" w:rsidRPr="00354014" w14:paraId="378E4025" w14:textId="77777777" w:rsidTr="00354014">
        <w:tc>
          <w:tcPr>
            <w:tcW w:w="988" w:type="dxa"/>
            <w:hideMark/>
          </w:tcPr>
          <w:p w14:paraId="68E52E7E"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3.</w:t>
            </w:r>
          </w:p>
        </w:tc>
        <w:tc>
          <w:tcPr>
            <w:tcW w:w="6804" w:type="dxa"/>
            <w:hideMark/>
          </w:tcPr>
          <w:p w14:paraId="3B359282" w14:textId="77777777" w:rsidR="00354014" w:rsidRPr="00354014" w:rsidRDefault="00354014" w:rsidP="00354014">
            <w:pPr>
              <w:spacing w:after="160" w:line="276" w:lineRule="auto"/>
              <w:rPr>
                <w:rFonts w:ascii="Times New Roman" w:hAnsi="Times New Roman" w:cs="Times New Roman"/>
              </w:rPr>
            </w:pPr>
            <w:r w:rsidRPr="00354014">
              <w:rPr>
                <w:rFonts w:ascii="Times New Roman" w:hAnsi="Times New Roman" w:cs="Times New Roman"/>
                <w:b/>
                <w:bCs/>
              </w:rPr>
              <w:t>Benefits and Challenges of Netflix’s International Operations</w:t>
            </w:r>
            <w:r w:rsidRPr="00354014">
              <w:rPr>
                <w:rFonts w:ascii="Times New Roman" w:hAnsi="Times New Roman" w:cs="Times New Roman"/>
              </w:rPr>
              <w:br/>
              <w:t>3.1 Netflix as an MNC/TNC</w:t>
            </w:r>
            <w:r w:rsidRPr="00354014">
              <w:rPr>
                <w:rFonts w:ascii="Times New Roman" w:hAnsi="Times New Roman" w:cs="Times New Roman"/>
              </w:rPr>
              <w:br/>
              <w:t>3.2 Global Platform and Value Chain Activities</w:t>
            </w:r>
            <w:r w:rsidRPr="00354014">
              <w:rPr>
                <w:rFonts w:ascii="Times New Roman" w:hAnsi="Times New Roman" w:cs="Times New Roman"/>
              </w:rPr>
              <w:br/>
              <w:t>3.3 Entry Modes Used Globally and in India</w:t>
            </w:r>
            <w:r w:rsidRPr="00354014">
              <w:rPr>
                <w:rFonts w:ascii="Times New Roman" w:hAnsi="Times New Roman" w:cs="Times New Roman"/>
              </w:rPr>
              <w:br/>
              <w:t>3.4 Benefits of International Operations</w:t>
            </w:r>
            <w:r w:rsidRPr="00354014">
              <w:rPr>
                <w:rFonts w:ascii="Times New Roman" w:hAnsi="Times New Roman" w:cs="Times New Roman"/>
              </w:rPr>
              <w:br/>
              <w:t>3.5 Challenges of International Operations</w:t>
            </w:r>
          </w:p>
        </w:tc>
        <w:tc>
          <w:tcPr>
            <w:tcW w:w="1224" w:type="dxa"/>
            <w:hideMark/>
          </w:tcPr>
          <w:p w14:paraId="11424CF0"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6</w:t>
            </w:r>
          </w:p>
        </w:tc>
      </w:tr>
      <w:tr w:rsidR="00354014" w:rsidRPr="00354014" w14:paraId="13813463" w14:textId="77777777" w:rsidTr="00354014">
        <w:tc>
          <w:tcPr>
            <w:tcW w:w="988" w:type="dxa"/>
            <w:hideMark/>
          </w:tcPr>
          <w:p w14:paraId="673FA4AE"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4.</w:t>
            </w:r>
          </w:p>
        </w:tc>
        <w:tc>
          <w:tcPr>
            <w:tcW w:w="6804" w:type="dxa"/>
            <w:hideMark/>
          </w:tcPr>
          <w:p w14:paraId="0F9D8DDE" w14:textId="77777777" w:rsidR="00354014" w:rsidRPr="00354014" w:rsidRDefault="00354014" w:rsidP="00354014">
            <w:pPr>
              <w:spacing w:after="160" w:line="276" w:lineRule="auto"/>
              <w:rPr>
                <w:rFonts w:ascii="Times New Roman" w:hAnsi="Times New Roman" w:cs="Times New Roman"/>
              </w:rPr>
            </w:pPr>
            <w:r w:rsidRPr="00354014">
              <w:rPr>
                <w:rFonts w:ascii="Times New Roman" w:hAnsi="Times New Roman" w:cs="Times New Roman"/>
                <w:b/>
                <w:bCs/>
              </w:rPr>
              <w:t>OLI Framework Analysis (US–India)</w:t>
            </w:r>
            <w:r w:rsidRPr="00354014">
              <w:rPr>
                <w:rFonts w:ascii="Times New Roman" w:hAnsi="Times New Roman" w:cs="Times New Roman"/>
              </w:rPr>
              <w:br/>
              <w:t>4.1 Ownership Advantages</w:t>
            </w:r>
            <w:r w:rsidRPr="00354014">
              <w:rPr>
                <w:rFonts w:ascii="Times New Roman" w:hAnsi="Times New Roman" w:cs="Times New Roman"/>
              </w:rPr>
              <w:br/>
              <w:t>4.2 Location Advantages</w:t>
            </w:r>
            <w:r w:rsidRPr="00354014">
              <w:rPr>
                <w:rFonts w:ascii="Times New Roman" w:hAnsi="Times New Roman" w:cs="Times New Roman"/>
              </w:rPr>
              <w:br/>
              <w:t>4.3 Internalisation Advantages</w:t>
            </w:r>
            <w:r w:rsidRPr="00354014">
              <w:rPr>
                <w:rFonts w:ascii="Times New Roman" w:hAnsi="Times New Roman" w:cs="Times New Roman"/>
              </w:rPr>
              <w:br/>
              <w:t>4.4 Recommended Entry Mode</w:t>
            </w:r>
          </w:p>
        </w:tc>
        <w:tc>
          <w:tcPr>
            <w:tcW w:w="1224" w:type="dxa"/>
            <w:hideMark/>
          </w:tcPr>
          <w:p w14:paraId="2A582B48"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10</w:t>
            </w:r>
          </w:p>
        </w:tc>
      </w:tr>
      <w:tr w:rsidR="00354014" w:rsidRPr="00354014" w14:paraId="49AC8CED" w14:textId="77777777" w:rsidTr="00354014">
        <w:tc>
          <w:tcPr>
            <w:tcW w:w="988" w:type="dxa"/>
            <w:hideMark/>
          </w:tcPr>
          <w:p w14:paraId="5EC37B87"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5.</w:t>
            </w:r>
          </w:p>
        </w:tc>
        <w:tc>
          <w:tcPr>
            <w:tcW w:w="6804" w:type="dxa"/>
            <w:hideMark/>
          </w:tcPr>
          <w:p w14:paraId="0C66C16A" w14:textId="77777777" w:rsidR="00354014" w:rsidRPr="00354014" w:rsidRDefault="00354014" w:rsidP="00354014">
            <w:pPr>
              <w:spacing w:after="160" w:line="276" w:lineRule="auto"/>
              <w:rPr>
                <w:rFonts w:ascii="Times New Roman" w:hAnsi="Times New Roman" w:cs="Times New Roman"/>
              </w:rPr>
            </w:pPr>
            <w:r w:rsidRPr="00354014">
              <w:rPr>
                <w:rFonts w:ascii="Times New Roman" w:hAnsi="Times New Roman" w:cs="Times New Roman"/>
                <w:b/>
                <w:bCs/>
              </w:rPr>
              <w:t>Cultural Differences: Hofstede Analysis (US vs India)</w:t>
            </w:r>
            <w:r w:rsidRPr="00354014">
              <w:rPr>
                <w:rFonts w:ascii="Times New Roman" w:hAnsi="Times New Roman" w:cs="Times New Roman"/>
              </w:rPr>
              <w:br/>
              <w:t>5.1 Key Cultural Dimensions</w:t>
            </w:r>
            <w:r w:rsidRPr="00354014">
              <w:rPr>
                <w:rFonts w:ascii="Times New Roman" w:hAnsi="Times New Roman" w:cs="Times New Roman"/>
              </w:rPr>
              <w:br/>
              <w:t>5.2 Cultural Implications for Netflix India</w:t>
            </w:r>
          </w:p>
        </w:tc>
        <w:tc>
          <w:tcPr>
            <w:tcW w:w="1224" w:type="dxa"/>
            <w:hideMark/>
          </w:tcPr>
          <w:p w14:paraId="5D16AB0A"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14</w:t>
            </w:r>
          </w:p>
        </w:tc>
      </w:tr>
      <w:tr w:rsidR="00354014" w:rsidRPr="00354014" w14:paraId="5FC6C3F5" w14:textId="77777777" w:rsidTr="00354014">
        <w:tc>
          <w:tcPr>
            <w:tcW w:w="988" w:type="dxa"/>
            <w:hideMark/>
          </w:tcPr>
          <w:p w14:paraId="7BA74852"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6.</w:t>
            </w:r>
          </w:p>
        </w:tc>
        <w:tc>
          <w:tcPr>
            <w:tcW w:w="6804" w:type="dxa"/>
            <w:hideMark/>
          </w:tcPr>
          <w:p w14:paraId="5B8E6507" w14:textId="77777777" w:rsidR="00354014" w:rsidRPr="00354014" w:rsidRDefault="00354014" w:rsidP="00354014">
            <w:pPr>
              <w:spacing w:after="160" w:line="276" w:lineRule="auto"/>
              <w:rPr>
                <w:rFonts w:ascii="Times New Roman" w:hAnsi="Times New Roman" w:cs="Times New Roman"/>
              </w:rPr>
            </w:pPr>
            <w:r w:rsidRPr="00354014">
              <w:rPr>
                <w:rFonts w:ascii="Times New Roman" w:hAnsi="Times New Roman" w:cs="Times New Roman"/>
                <w:b/>
                <w:bCs/>
              </w:rPr>
              <w:t>Porter’s Diamond Model: Competitiveness of the Indian Streaming Industry</w:t>
            </w:r>
            <w:r w:rsidRPr="00354014">
              <w:rPr>
                <w:rFonts w:ascii="Times New Roman" w:hAnsi="Times New Roman" w:cs="Times New Roman"/>
              </w:rPr>
              <w:br/>
              <w:t>6.1 Factor Conditions</w:t>
            </w:r>
            <w:r w:rsidRPr="00354014">
              <w:rPr>
                <w:rFonts w:ascii="Times New Roman" w:hAnsi="Times New Roman" w:cs="Times New Roman"/>
              </w:rPr>
              <w:br/>
              <w:t>6.2 Demand Conditions</w:t>
            </w:r>
            <w:r w:rsidRPr="00354014">
              <w:rPr>
                <w:rFonts w:ascii="Times New Roman" w:hAnsi="Times New Roman" w:cs="Times New Roman"/>
              </w:rPr>
              <w:br/>
              <w:t>6.3 Related and Supporting Industries</w:t>
            </w:r>
            <w:r w:rsidRPr="00354014">
              <w:rPr>
                <w:rFonts w:ascii="Times New Roman" w:hAnsi="Times New Roman" w:cs="Times New Roman"/>
              </w:rPr>
              <w:br/>
              <w:t>6.4 Firm Strategy, Structure and Rivalry</w:t>
            </w:r>
            <w:r w:rsidRPr="00354014">
              <w:rPr>
                <w:rFonts w:ascii="Times New Roman" w:hAnsi="Times New Roman" w:cs="Times New Roman"/>
              </w:rPr>
              <w:br/>
              <w:t>6.5 Government and Chance Factors</w:t>
            </w:r>
          </w:p>
        </w:tc>
        <w:tc>
          <w:tcPr>
            <w:tcW w:w="1224" w:type="dxa"/>
            <w:hideMark/>
          </w:tcPr>
          <w:p w14:paraId="00C6A579"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18</w:t>
            </w:r>
          </w:p>
        </w:tc>
      </w:tr>
      <w:tr w:rsidR="00354014" w:rsidRPr="00354014" w14:paraId="462C7E6A" w14:textId="77777777" w:rsidTr="00354014">
        <w:trPr>
          <w:trHeight w:val="1353"/>
        </w:trPr>
        <w:tc>
          <w:tcPr>
            <w:tcW w:w="988" w:type="dxa"/>
            <w:hideMark/>
          </w:tcPr>
          <w:p w14:paraId="67588643"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7.</w:t>
            </w:r>
          </w:p>
        </w:tc>
        <w:tc>
          <w:tcPr>
            <w:tcW w:w="6804" w:type="dxa"/>
            <w:hideMark/>
          </w:tcPr>
          <w:p w14:paraId="4A23B219" w14:textId="77777777" w:rsidR="00354014" w:rsidRPr="00354014" w:rsidRDefault="00354014" w:rsidP="00354014">
            <w:pPr>
              <w:spacing w:after="160" w:line="276" w:lineRule="auto"/>
              <w:rPr>
                <w:rFonts w:ascii="Times New Roman" w:hAnsi="Times New Roman" w:cs="Times New Roman"/>
              </w:rPr>
            </w:pPr>
            <w:r w:rsidRPr="00354014">
              <w:rPr>
                <w:rFonts w:ascii="Times New Roman" w:hAnsi="Times New Roman" w:cs="Times New Roman"/>
                <w:b/>
                <w:bCs/>
              </w:rPr>
              <w:t>SOP Recommendations for Netflix India</w:t>
            </w:r>
            <w:r w:rsidRPr="00354014">
              <w:rPr>
                <w:rFonts w:ascii="Times New Roman" w:hAnsi="Times New Roman" w:cs="Times New Roman"/>
              </w:rPr>
              <w:br/>
              <w:t>7.1 SOP 1: Regional Creative Hubs &amp; Local Content Integration</w:t>
            </w:r>
            <w:r w:rsidRPr="00354014">
              <w:rPr>
                <w:rFonts w:ascii="Times New Roman" w:hAnsi="Times New Roman" w:cs="Times New Roman"/>
              </w:rPr>
              <w:br/>
              <w:t>7.2 SOP 2: Segmented Pricing &amp; Mobile-First Access Strategy</w:t>
            </w:r>
            <w:r w:rsidRPr="00354014">
              <w:rPr>
                <w:rFonts w:ascii="Times New Roman" w:hAnsi="Times New Roman" w:cs="Times New Roman"/>
              </w:rPr>
              <w:br/>
              <w:t>7.3 SOP 3: Cultural Alignment, Compliance &amp; Risk Management SOP</w:t>
            </w:r>
          </w:p>
        </w:tc>
        <w:tc>
          <w:tcPr>
            <w:tcW w:w="1224" w:type="dxa"/>
            <w:hideMark/>
          </w:tcPr>
          <w:p w14:paraId="5674494A"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20</w:t>
            </w:r>
          </w:p>
        </w:tc>
      </w:tr>
      <w:tr w:rsidR="00354014" w:rsidRPr="00354014" w14:paraId="3A7F708A" w14:textId="77777777" w:rsidTr="00354014">
        <w:tc>
          <w:tcPr>
            <w:tcW w:w="988" w:type="dxa"/>
            <w:hideMark/>
          </w:tcPr>
          <w:p w14:paraId="33FA7CE1"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8.</w:t>
            </w:r>
          </w:p>
        </w:tc>
        <w:tc>
          <w:tcPr>
            <w:tcW w:w="6804" w:type="dxa"/>
            <w:hideMark/>
          </w:tcPr>
          <w:p w14:paraId="2B958B72" w14:textId="77777777" w:rsidR="00354014" w:rsidRPr="00354014" w:rsidRDefault="00354014" w:rsidP="00354014">
            <w:pPr>
              <w:spacing w:after="160" w:line="276" w:lineRule="auto"/>
              <w:jc w:val="both"/>
              <w:rPr>
                <w:rFonts w:ascii="Times New Roman" w:hAnsi="Times New Roman" w:cs="Times New Roman"/>
              </w:rPr>
            </w:pPr>
            <w:r w:rsidRPr="00354014">
              <w:rPr>
                <w:rFonts w:ascii="Times New Roman" w:hAnsi="Times New Roman" w:cs="Times New Roman"/>
                <w:b/>
                <w:bCs/>
              </w:rPr>
              <w:t>Implementation Plan, KPIs and Risk Mitigation</w:t>
            </w:r>
          </w:p>
        </w:tc>
        <w:tc>
          <w:tcPr>
            <w:tcW w:w="1224" w:type="dxa"/>
            <w:hideMark/>
          </w:tcPr>
          <w:p w14:paraId="231367BD"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22</w:t>
            </w:r>
          </w:p>
        </w:tc>
      </w:tr>
      <w:tr w:rsidR="00354014" w:rsidRPr="00354014" w14:paraId="71BE0652" w14:textId="77777777" w:rsidTr="00354014">
        <w:tc>
          <w:tcPr>
            <w:tcW w:w="988" w:type="dxa"/>
            <w:hideMark/>
          </w:tcPr>
          <w:p w14:paraId="460D1E6C"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9.</w:t>
            </w:r>
          </w:p>
        </w:tc>
        <w:tc>
          <w:tcPr>
            <w:tcW w:w="6804" w:type="dxa"/>
            <w:hideMark/>
          </w:tcPr>
          <w:p w14:paraId="0054E93C" w14:textId="77777777" w:rsidR="00354014" w:rsidRPr="00354014" w:rsidRDefault="00354014" w:rsidP="00354014">
            <w:pPr>
              <w:spacing w:after="160" w:line="276" w:lineRule="auto"/>
              <w:jc w:val="both"/>
              <w:rPr>
                <w:rFonts w:ascii="Times New Roman" w:hAnsi="Times New Roman" w:cs="Times New Roman"/>
              </w:rPr>
            </w:pPr>
            <w:r w:rsidRPr="00354014">
              <w:rPr>
                <w:rFonts w:ascii="Times New Roman" w:hAnsi="Times New Roman" w:cs="Times New Roman"/>
                <w:b/>
                <w:bCs/>
              </w:rPr>
              <w:t>Conclusion</w:t>
            </w:r>
          </w:p>
        </w:tc>
        <w:tc>
          <w:tcPr>
            <w:tcW w:w="1224" w:type="dxa"/>
            <w:hideMark/>
          </w:tcPr>
          <w:p w14:paraId="548447A9" w14:textId="51754552"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2</w:t>
            </w:r>
            <w:r w:rsidR="00102A75">
              <w:rPr>
                <w:rFonts w:ascii="Times New Roman" w:hAnsi="Times New Roman" w:cs="Times New Roman"/>
                <w:b/>
                <w:bCs/>
                <w:sz w:val="24"/>
                <w:szCs w:val="24"/>
              </w:rPr>
              <w:t>6</w:t>
            </w:r>
          </w:p>
        </w:tc>
      </w:tr>
      <w:tr w:rsidR="00354014" w:rsidRPr="00354014" w14:paraId="64B33FC4" w14:textId="77777777" w:rsidTr="00354014">
        <w:tc>
          <w:tcPr>
            <w:tcW w:w="988" w:type="dxa"/>
            <w:hideMark/>
          </w:tcPr>
          <w:p w14:paraId="22055D8B"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10.</w:t>
            </w:r>
          </w:p>
        </w:tc>
        <w:tc>
          <w:tcPr>
            <w:tcW w:w="6804" w:type="dxa"/>
            <w:hideMark/>
          </w:tcPr>
          <w:p w14:paraId="42E26ABF" w14:textId="77777777" w:rsidR="00354014" w:rsidRPr="00354014" w:rsidRDefault="00354014" w:rsidP="00354014">
            <w:pPr>
              <w:spacing w:after="160" w:line="276" w:lineRule="auto"/>
              <w:jc w:val="both"/>
              <w:rPr>
                <w:rFonts w:ascii="Times New Roman" w:hAnsi="Times New Roman" w:cs="Times New Roman"/>
              </w:rPr>
            </w:pPr>
            <w:r w:rsidRPr="00354014">
              <w:rPr>
                <w:rFonts w:ascii="Times New Roman" w:hAnsi="Times New Roman" w:cs="Times New Roman"/>
                <w:b/>
                <w:bCs/>
              </w:rPr>
              <w:t>References</w:t>
            </w:r>
          </w:p>
        </w:tc>
        <w:tc>
          <w:tcPr>
            <w:tcW w:w="1224" w:type="dxa"/>
            <w:hideMark/>
          </w:tcPr>
          <w:p w14:paraId="032605A5" w14:textId="692177AF"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2</w:t>
            </w:r>
            <w:r w:rsidR="00102A75">
              <w:rPr>
                <w:rFonts w:ascii="Times New Roman" w:hAnsi="Times New Roman" w:cs="Times New Roman"/>
                <w:b/>
                <w:bCs/>
                <w:sz w:val="24"/>
                <w:szCs w:val="24"/>
              </w:rPr>
              <w:t>7</w:t>
            </w:r>
          </w:p>
        </w:tc>
      </w:tr>
    </w:tbl>
    <w:p w14:paraId="0EE0D2EE" w14:textId="77777777" w:rsidR="00354014" w:rsidRDefault="00354014" w:rsidP="007473F8">
      <w:pPr>
        <w:spacing w:line="360" w:lineRule="auto"/>
        <w:jc w:val="both"/>
        <w:rPr>
          <w:rFonts w:ascii="Times New Roman" w:hAnsi="Times New Roman" w:cs="Times New Roman"/>
          <w:sz w:val="24"/>
          <w:szCs w:val="24"/>
        </w:rPr>
      </w:pPr>
    </w:p>
    <w:p w14:paraId="73E35A46" w14:textId="77777777" w:rsidR="00354014" w:rsidRDefault="00354014" w:rsidP="007473F8">
      <w:pPr>
        <w:spacing w:line="360" w:lineRule="auto"/>
        <w:jc w:val="both"/>
        <w:rPr>
          <w:rFonts w:ascii="Times New Roman" w:hAnsi="Times New Roman" w:cs="Times New Roman"/>
          <w:sz w:val="24"/>
          <w:szCs w:val="24"/>
        </w:rPr>
      </w:pPr>
    </w:p>
    <w:p w14:paraId="5B83BEF4" w14:textId="77777777" w:rsidR="00354014" w:rsidRDefault="00354014" w:rsidP="007473F8">
      <w:pPr>
        <w:spacing w:line="360" w:lineRule="auto"/>
        <w:jc w:val="both"/>
        <w:rPr>
          <w:rFonts w:ascii="Times New Roman" w:hAnsi="Times New Roman" w:cs="Times New Roman"/>
          <w:sz w:val="24"/>
          <w:szCs w:val="24"/>
        </w:rPr>
      </w:pPr>
    </w:p>
    <w:p w14:paraId="04ABF729" w14:textId="77777777" w:rsidR="00354014" w:rsidRPr="00354014" w:rsidRDefault="00354014" w:rsidP="00354014">
      <w:pPr>
        <w:spacing w:line="360" w:lineRule="auto"/>
        <w:jc w:val="center"/>
        <w:rPr>
          <w:rFonts w:ascii="Times New Roman" w:hAnsi="Times New Roman" w:cs="Times New Roman"/>
          <w:b/>
          <w:bCs/>
          <w:sz w:val="24"/>
          <w:szCs w:val="24"/>
        </w:rPr>
      </w:pPr>
      <w:r w:rsidRPr="00354014">
        <w:rPr>
          <w:rFonts w:ascii="Times New Roman" w:hAnsi="Times New Roman" w:cs="Times New Roman"/>
          <w:b/>
          <w:bCs/>
          <w:sz w:val="24"/>
          <w:szCs w:val="24"/>
        </w:rPr>
        <w:lastRenderedPageBreak/>
        <w:t>LIST OF FIGURES</w:t>
      </w:r>
    </w:p>
    <w:tbl>
      <w:tblPr>
        <w:tblStyle w:val="TableGrid"/>
        <w:tblW w:w="0" w:type="auto"/>
        <w:tblLook w:val="04A0" w:firstRow="1" w:lastRow="0" w:firstColumn="1" w:lastColumn="0" w:noHBand="0" w:noVBand="1"/>
      </w:tblPr>
      <w:tblGrid>
        <w:gridCol w:w="1240"/>
        <w:gridCol w:w="6718"/>
        <w:gridCol w:w="1058"/>
      </w:tblGrid>
      <w:tr w:rsidR="00354014" w:rsidRPr="00354014" w14:paraId="71E097AE" w14:textId="77777777" w:rsidTr="00354014">
        <w:tc>
          <w:tcPr>
            <w:tcW w:w="0" w:type="auto"/>
            <w:hideMark/>
          </w:tcPr>
          <w:p w14:paraId="54358EA6" w14:textId="77777777" w:rsidR="00354014" w:rsidRPr="00354014" w:rsidRDefault="00354014" w:rsidP="00354014">
            <w:pPr>
              <w:spacing w:after="160" w:line="360" w:lineRule="auto"/>
              <w:jc w:val="both"/>
              <w:rPr>
                <w:rFonts w:ascii="Times New Roman" w:hAnsi="Times New Roman" w:cs="Times New Roman"/>
                <w:b/>
                <w:bCs/>
                <w:sz w:val="24"/>
                <w:szCs w:val="24"/>
              </w:rPr>
            </w:pPr>
            <w:r w:rsidRPr="00354014">
              <w:rPr>
                <w:rFonts w:ascii="Times New Roman" w:hAnsi="Times New Roman" w:cs="Times New Roman"/>
                <w:b/>
                <w:bCs/>
                <w:sz w:val="24"/>
                <w:szCs w:val="24"/>
              </w:rPr>
              <w:t>Figure No.</w:t>
            </w:r>
          </w:p>
        </w:tc>
        <w:tc>
          <w:tcPr>
            <w:tcW w:w="0" w:type="auto"/>
            <w:hideMark/>
          </w:tcPr>
          <w:p w14:paraId="25AE5D55" w14:textId="77777777" w:rsidR="00354014" w:rsidRPr="00354014" w:rsidRDefault="00354014" w:rsidP="00354014">
            <w:pPr>
              <w:spacing w:after="160" w:line="360" w:lineRule="auto"/>
              <w:jc w:val="both"/>
              <w:rPr>
                <w:rFonts w:ascii="Times New Roman" w:hAnsi="Times New Roman" w:cs="Times New Roman"/>
                <w:b/>
                <w:bCs/>
                <w:sz w:val="24"/>
                <w:szCs w:val="24"/>
              </w:rPr>
            </w:pPr>
            <w:r w:rsidRPr="00354014">
              <w:rPr>
                <w:rFonts w:ascii="Times New Roman" w:hAnsi="Times New Roman" w:cs="Times New Roman"/>
                <w:b/>
                <w:bCs/>
                <w:sz w:val="24"/>
                <w:szCs w:val="24"/>
              </w:rPr>
              <w:t>Figure Title</w:t>
            </w:r>
          </w:p>
        </w:tc>
        <w:tc>
          <w:tcPr>
            <w:tcW w:w="0" w:type="auto"/>
            <w:hideMark/>
          </w:tcPr>
          <w:p w14:paraId="2D3F565A" w14:textId="77777777" w:rsidR="00354014" w:rsidRPr="00354014" w:rsidRDefault="00354014" w:rsidP="00354014">
            <w:pPr>
              <w:spacing w:after="160" w:line="360" w:lineRule="auto"/>
              <w:jc w:val="both"/>
              <w:rPr>
                <w:rFonts w:ascii="Times New Roman" w:hAnsi="Times New Roman" w:cs="Times New Roman"/>
                <w:b/>
                <w:bCs/>
                <w:sz w:val="24"/>
                <w:szCs w:val="24"/>
              </w:rPr>
            </w:pPr>
            <w:r w:rsidRPr="00354014">
              <w:rPr>
                <w:rFonts w:ascii="Times New Roman" w:hAnsi="Times New Roman" w:cs="Times New Roman"/>
                <w:b/>
                <w:bCs/>
                <w:sz w:val="24"/>
                <w:szCs w:val="24"/>
              </w:rPr>
              <w:t>Page No.</w:t>
            </w:r>
          </w:p>
        </w:tc>
      </w:tr>
      <w:tr w:rsidR="00354014" w:rsidRPr="00354014" w14:paraId="3874070B" w14:textId="77777777" w:rsidTr="00354014">
        <w:tc>
          <w:tcPr>
            <w:tcW w:w="0" w:type="auto"/>
            <w:hideMark/>
          </w:tcPr>
          <w:p w14:paraId="5027D802"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1</w:t>
            </w:r>
          </w:p>
        </w:tc>
        <w:tc>
          <w:tcPr>
            <w:tcW w:w="0" w:type="auto"/>
            <w:hideMark/>
          </w:tcPr>
          <w:p w14:paraId="2396B0DA" w14:textId="129BB799"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Official Netflix brand identity and global presence</w:t>
            </w:r>
          </w:p>
        </w:tc>
        <w:tc>
          <w:tcPr>
            <w:tcW w:w="0" w:type="auto"/>
            <w:hideMark/>
          </w:tcPr>
          <w:p w14:paraId="670B52CA"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5</w:t>
            </w:r>
          </w:p>
        </w:tc>
      </w:tr>
      <w:tr w:rsidR="00354014" w:rsidRPr="00354014" w14:paraId="437A7A18" w14:textId="77777777" w:rsidTr="00354014">
        <w:tc>
          <w:tcPr>
            <w:tcW w:w="0" w:type="auto"/>
            <w:hideMark/>
          </w:tcPr>
          <w:p w14:paraId="563F0DE8"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2</w:t>
            </w:r>
          </w:p>
        </w:tc>
        <w:tc>
          <w:tcPr>
            <w:tcW w:w="0" w:type="auto"/>
            <w:hideMark/>
          </w:tcPr>
          <w:p w14:paraId="4C05601C"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Global presence and market coverage of Netflix streaming service</w:t>
            </w:r>
          </w:p>
        </w:tc>
        <w:tc>
          <w:tcPr>
            <w:tcW w:w="0" w:type="auto"/>
            <w:hideMark/>
          </w:tcPr>
          <w:p w14:paraId="0545026B" w14:textId="1C09D530" w:rsidR="00354014" w:rsidRPr="00354014" w:rsidRDefault="00102A75" w:rsidP="00354014">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354014" w:rsidRPr="00354014" w14:paraId="17F6CCCF" w14:textId="77777777" w:rsidTr="00354014">
        <w:tc>
          <w:tcPr>
            <w:tcW w:w="0" w:type="auto"/>
            <w:hideMark/>
          </w:tcPr>
          <w:p w14:paraId="4CAABF8A"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3</w:t>
            </w:r>
          </w:p>
        </w:tc>
        <w:tc>
          <w:tcPr>
            <w:tcW w:w="0" w:type="auto"/>
            <w:hideMark/>
          </w:tcPr>
          <w:p w14:paraId="4D82DC49"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Netflix’s global content production and digital distribution value chain</w:t>
            </w:r>
          </w:p>
        </w:tc>
        <w:tc>
          <w:tcPr>
            <w:tcW w:w="0" w:type="auto"/>
            <w:hideMark/>
          </w:tcPr>
          <w:p w14:paraId="3049BD7A"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7</w:t>
            </w:r>
          </w:p>
        </w:tc>
      </w:tr>
      <w:tr w:rsidR="00354014" w:rsidRPr="00354014" w14:paraId="60030C28" w14:textId="77777777" w:rsidTr="00354014">
        <w:tc>
          <w:tcPr>
            <w:tcW w:w="0" w:type="auto"/>
            <w:hideMark/>
          </w:tcPr>
          <w:p w14:paraId="721BF2B8"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4</w:t>
            </w:r>
          </w:p>
        </w:tc>
        <w:tc>
          <w:tcPr>
            <w:tcW w:w="0" w:type="auto"/>
            <w:hideMark/>
          </w:tcPr>
          <w:p w14:paraId="353B6EA9"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Entry modes adopted by Netflix across international markets</w:t>
            </w:r>
          </w:p>
        </w:tc>
        <w:tc>
          <w:tcPr>
            <w:tcW w:w="0" w:type="auto"/>
            <w:hideMark/>
          </w:tcPr>
          <w:p w14:paraId="44111FF0"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8</w:t>
            </w:r>
          </w:p>
        </w:tc>
      </w:tr>
      <w:tr w:rsidR="00354014" w:rsidRPr="00354014" w14:paraId="344E23AB" w14:textId="77777777" w:rsidTr="00354014">
        <w:tc>
          <w:tcPr>
            <w:tcW w:w="0" w:type="auto"/>
            <w:hideMark/>
          </w:tcPr>
          <w:p w14:paraId="6FF64FCB"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5</w:t>
            </w:r>
          </w:p>
        </w:tc>
        <w:tc>
          <w:tcPr>
            <w:tcW w:w="0" w:type="auto"/>
            <w:hideMark/>
          </w:tcPr>
          <w:p w14:paraId="576002D9"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Netflix’s subscription revenue and streaming performance across key markets</w:t>
            </w:r>
          </w:p>
        </w:tc>
        <w:tc>
          <w:tcPr>
            <w:tcW w:w="0" w:type="auto"/>
            <w:hideMark/>
          </w:tcPr>
          <w:p w14:paraId="195A3273" w14:textId="192931EE" w:rsidR="00354014" w:rsidRPr="00354014" w:rsidRDefault="00102A75" w:rsidP="00354014">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354014" w:rsidRPr="00354014" w14:paraId="3A35040E" w14:textId="77777777" w:rsidTr="00354014">
        <w:tc>
          <w:tcPr>
            <w:tcW w:w="0" w:type="auto"/>
            <w:hideMark/>
          </w:tcPr>
          <w:p w14:paraId="34BB324F"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6</w:t>
            </w:r>
          </w:p>
        </w:tc>
        <w:tc>
          <w:tcPr>
            <w:tcW w:w="0" w:type="auto"/>
            <w:hideMark/>
          </w:tcPr>
          <w:p w14:paraId="0C85DCB7"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India’s OTT and digital entertainment market size and growth forecast</w:t>
            </w:r>
          </w:p>
        </w:tc>
        <w:tc>
          <w:tcPr>
            <w:tcW w:w="0" w:type="auto"/>
            <w:hideMark/>
          </w:tcPr>
          <w:p w14:paraId="06710E0F"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11</w:t>
            </w:r>
          </w:p>
        </w:tc>
      </w:tr>
      <w:tr w:rsidR="00354014" w:rsidRPr="00354014" w14:paraId="19814447" w14:textId="77777777" w:rsidTr="00354014">
        <w:tc>
          <w:tcPr>
            <w:tcW w:w="0" w:type="auto"/>
            <w:hideMark/>
          </w:tcPr>
          <w:p w14:paraId="1EE9662E"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7</w:t>
            </w:r>
          </w:p>
        </w:tc>
        <w:tc>
          <w:tcPr>
            <w:tcW w:w="0" w:type="auto"/>
            <w:hideMark/>
          </w:tcPr>
          <w:p w14:paraId="7B01A50F"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Entry-mode strategies based on ownership, control and investment risk</w:t>
            </w:r>
          </w:p>
        </w:tc>
        <w:tc>
          <w:tcPr>
            <w:tcW w:w="0" w:type="auto"/>
            <w:hideMark/>
          </w:tcPr>
          <w:p w14:paraId="0926330E"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13</w:t>
            </w:r>
          </w:p>
        </w:tc>
      </w:tr>
      <w:tr w:rsidR="00354014" w:rsidRPr="00354014" w14:paraId="6D5CD7FC" w14:textId="77777777" w:rsidTr="00354014">
        <w:tc>
          <w:tcPr>
            <w:tcW w:w="0" w:type="auto"/>
            <w:hideMark/>
          </w:tcPr>
          <w:p w14:paraId="0F25275F"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b/>
                <w:bCs/>
                <w:sz w:val="24"/>
                <w:szCs w:val="24"/>
              </w:rPr>
              <w:t>Figure 8</w:t>
            </w:r>
          </w:p>
        </w:tc>
        <w:tc>
          <w:tcPr>
            <w:tcW w:w="0" w:type="auto"/>
            <w:hideMark/>
          </w:tcPr>
          <w:p w14:paraId="1F64173E" w14:textId="2C83D4EA"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Cultural comparison across six Hofstede dimensions (US vs India)</w:t>
            </w:r>
          </w:p>
        </w:tc>
        <w:tc>
          <w:tcPr>
            <w:tcW w:w="0" w:type="auto"/>
            <w:hideMark/>
          </w:tcPr>
          <w:p w14:paraId="5DDC740C" w14:textId="77777777" w:rsidR="00354014" w:rsidRPr="00354014" w:rsidRDefault="00354014" w:rsidP="00354014">
            <w:pPr>
              <w:spacing w:after="160" w:line="360" w:lineRule="auto"/>
              <w:jc w:val="both"/>
              <w:rPr>
                <w:rFonts w:ascii="Times New Roman" w:hAnsi="Times New Roman" w:cs="Times New Roman"/>
                <w:sz w:val="24"/>
                <w:szCs w:val="24"/>
              </w:rPr>
            </w:pPr>
            <w:r w:rsidRPr="00354014">
              <w:rPr>
                <w:rFonts w:ascii="Times New Roman" w:hAnsi="Times New Roman" w:cs="Times New Roman"/>
                <w:sz w:val="24"/>
                <w:szCs w:val="24"/>
              </w:rPr>
              <w:t>14</w:t>
            </w:r>
          </w:p>
        </w:tc>
      </w:tr>
    </w:tbl>
    <w:p w14:paraId="151C8548" w14:textId="77777777" w:rsidR="00C44F80" w:rsidRPr="007473F8" w:rsidRDefault="00C44F80" w:rsidP="007473F8">
      <w:pPr>
        <w:spacing w:line="360" w:lineRule="auto"/>
        <w:jc w:val="both"/>
        <w:rPr>
          <w:rFonts w:ascii="Times New Roman" w:hAnsi="Times New Roman" w:cs="Times New Roman"/>
          <w:sz w:val="24"/>
          <w:szCs w:val="24"/>
        </w:rPr>
      </w:pPr>
    </w:p>
    <w:p w14:paraId="29C27F8E" w14:textId="77777777" w:rsidR="00354014" w:rsidRDefault="00354014" w:rsidP="007473F8">
      <w:pPr>
        <w:spacing w:line="360" w:lineRule="auto"/>
        <w:jc w:val="both"/>
        <w:rPr>
          <w:rFonts w:ascii="Times New Roman" w:hAnsi="Times New Roman" w:cs="Times New Roman"/>
          <w:b/>
          <w:bCs/>
          <w:sz w:val="28"/>
          <w:szCs w:val="28"/>
        </w:rPr>
      </w:pPr>
    </w:p>
    <w:p w14:paraId="251F121B" w14:textId="77777777" w:rsidR="00354014" w:rsidRDefault="00354014" w:rsidP="007473F8">
      <w:pPr>
        <w:spacing w:line="360" w:lineRule="auto"/>
        <w:jc w:val="both"/>
        <w:rPr>
          <w:rFonts w:ascii="Times New Roman" w:hAnsi="Times New Roman" w:cs="Times New Roman"/>
          <w:b/>
          <w:bCs/>
          <w:sz w:val="28"/>
          <w:szCs w:val="28"/>
        </w:rPr>
      </w:pPr>
    </w:p>
    <w:p w14:paraId="7349E3C1" w14:textId="77777777" w:rsidR="00354014" w:rsidRDefault="00354014" w:rsidP="007473F8">
      <w:pPr>
        <w:spacing w:line="360" w:lineRule="auto"/>
        <w:jc w:val="both"/>
        <w:rPr>
          <w:rFonts w:ascii="Times New Roman" w:hAnsi="Times New Roman" w:cs="Times New Roman"/>
          <w:b/>
          <w:bCs/>
          <w:sz w:val="28"/>
          <w:szCs w:val="28"/>
        </w:rPr>
      </w:pPr>
    </w:p>
    <w:p w14:paraId="1E6689A9" w14:textId="77777777" w:rsidR="00354014" w:rsidRDefault="00354014" w:rsidP="007473F8">
      <w:pPr>
        <w:spacing w:line="360" w:lineRule="auto"/>
        <w:jc w:val="both"/>
        <w:rPr>
          <w:rFonts w:ascii="Times New Roman" w:hAnsi="Times New Roman" w:cs="Times New Roman"/>
          <w:b/>
          <w:bCs/>
          <w:sz w:val="28"/>
          <w:szCs w:val="28"/>
        </w:rPr>
      </w:pPr>
    </w:p>
    <w:p w14:paraId="695A4FB6" w14:textId="77777777" w:rsidR="00354014" w:rsidRDefault="00354014" w:rsidP="007473F8">
      <w:pPr>
        <w:spacing w:line="360" w:lineRule="auto"/>
        <w:jc w:val="both"/>
        <w:rPr>
          <w:rFonts w:ascii="Times New Roman" w:hAnsi="Times New Roman" w:cs="Times New Roman"/>
          <w:b/>
          <w:bCs/>
          <w:sz w:val="28"/>
          <w:szCs w:val="28"/>
        </w:rPr>
      </w:pPr>
    </w:p>
    <w:p w14:paraId="4545F3E5" w14:textId="77777777" w:rsidR="00354014" w:rsidRDefault="00354014" w:rsidP="007473F8">
      <w:pPr>
        <w:spacing w:line="360" w:lineRule="auto"/>
        <w:jc w:val="both"/>
        <w:rPr>
          <w:rFonts w:ascii="Times New Roman" w:hAnsi="Times New Roman" w:cs="Times New Roman"/>
          <w:b/>
          <w:bCs/>
          <w:sz w:val="28"/>
          <w:szCs w:val="28"/>
        </w:rPr>
      </w:pPr>
    </w:p>
    <w:p w14:paraId="535252A5" w14:textId="77777777" w:rsidR="00354014" w:rsidRDefault="00354014" w:rsidP="007473F8">
      <w:pPr>
        <w:spacing w:line="360" w:lineRule="auto"/>
        <w:jc w:val="both"/>
        <w:rPr>
          <w:rFonts w:ascii="Times New Roman" w:hAnsi="Times New Roman" w:cs="Times New Roman"/>
          <w:b/>
          <w:bCs/>
          <w:sz w:val="28"/>
          <w:szCs w:val="28"/>
        </w:rPr>
      </w:pPr>
    </w:p>
    <w:p w14:paraId="3B073DCA" w14:textId="77777777" w:rsidR="00354014" w:rsidRDefault="00354014" w:rsidP="007473F8">
      <w:pPr>
        <w:spacing w:line="360" w:lineRule="auto"/>
        <w:jc w:val="both"/>
        <w:rPr>
          <w:rFonts w:ascii="Times New Roman" w:hAnsi="Times New Roman" w:cs="Times New Roman"/>
          <w:b/>
          <w:bCs/>
          <w:sz w:val="28"/>
          <w:szCs w:val="28"/>
        </w:rPr>
      </w:pPr>
    </w:p>
    <w:p w14:paraId="13F7A58C" w14:textId="77777777" w:rsidR="00354014" w:rsidRDefault="00354014" w:rsidP="007473F8">
      <w:pPr>
        <w:spacing w:line="360" w:lineRule="auto"/>
        <w:jc w:val="both"/>
        <w:rPr>
          <w:rFonts w:ascii="Times New Roman" w:hAnsi="Times New Roman" w:cs="Times New Roman"/>
          <w:b/>
          <w:bCs/>
          <w:sz w:val="28"/>
          <w:szCs w:val="28"/>
        </w:rPr>
      </w:pPr>
    </w:p>
    <w:p w14:paraId="7909A124" w14:textId="1FDA478D" w:rsidR="007473F8" w:rsidRPr="00354014" w:rsidRDefault="00E84F05" w:rsidP="00354014">
      <w:pPr>
        <w:pStyle w:val="Heading1"/>
        <w:jc w:val="center"/>
        <w:rPr>
          <w:rFonts w:ascii="Times New Roman" w:hAnsi="Times New Roman" w:cs="Times New Roman"/>
          <w:b/>
          <w:bCs/>
          <w:color w:val="auto"/>
        </w:rPr>
      </w:pPr>
      <w:r w:rsidRPr="00354014">
        <w:rPr>
          <w:rFonts w:ascii="Times New Roman" w:hAnsi="Times New Roman" w:cs="Times New Roman"/>
          <w:b/>
          <w:bCs/>
          <w:color w:val="auto"/>
        </w:rPr>
        <w:lastRenderedPageBreak/>
        <w:t>2</w:t>
      </w:r>
      <w:r w:rsidR="007473F8" w:rsidRPr="00354014">
        <w:rPr>
          <w:rFonts w:ascii="Times New Roman" w:hAnsi="Times New Roman" w:cs="Times New Roman"/>
          <w:b/>
          <w:bCs/>
          <w:color w:val="auto"/>
        </w:rPr>
        <w:t>. Introduction</w:t>
      </w:r>
    </w:p>
    <w:p w14:paraId="0895B801" w14:textId="77777777" w:rsidR="00E84F05" w:rsidRPr="00E84F05" w:rsidRDefault="00E84F05" w:rsidP="00E84F05">
      <w:pPr>
        <w:spacing w:line="360" w:lineRule="auto"/>
        <w:jc w:val="both"/>
        <w:rPr>
          <w:rFonts w:ascii="Times New Roman" w:hAnsi="Times New Roman" w:cs="Times New Roman"/>
          <w:sz w:val="24"/>
          <w:szCs w:val="24"/>
        </w:rPr>
      </w:pPr>
      <w:r w:rsidRPr="00E84F05">
        <w:rPr>
          <w:rFonts w:ascii="Times New Roman" w:hAnsi="Times New Roman" w:cs="Times New Roman"/>
          <w:sz w:val="24"/>
          <w:szCs w:val="24"/>
        </w:rPr>
        <w:t>Netflix, founded in 1997 in California, has evolved from a DVD-rental service into one of the world’s leading digital entertainment platforms, now operating in over 190 countries. Its competitive strength lies in an integrated digital ecosystem supported by advanced recommendation algorithms, a strong global–local content strategy and a data-driven personalisation model that has reshaped how audiences consume streaming media (Günay, 2022).</w:t>
      </w:r>
    </w:p>
    <w:p w14:paraId="72C0C65E" w14:textId="77777777" w:rsidR="00E84F05" w:rsidRPr="00E84F05" w:rsidRDefault="00E84F05" w:rsidP="00E84F05">
      <w:pPr>
        <w:spacing w:line="360" w:lineRule="auto"/>
        <w:jc w:val="both"/>
        <w:rPr>
          <w:rFonts w:ascii="Times New Roman" w:hAnsi="Times New Roman" w:cs="Times New Roman"/>
          <w:sz w:val="24"/>
          <w:szCs w:val="24"/>
        </w:rPr>
      </w:pPr>
      <w:r w:rsidRPr="00E84F05">
        <w:rPr>
          <w:rFonts w:ascii="Times New Roman" w:hAnsi="Times New Roman" w:cs="Times New Roman"/>
          <w:sz w:val="24"/>
          <w:szCs w:val="24"/>
        </w:rPr>
        <w:t>This report examines Netflix’s internationalisation strategy with a focus on its expansion into India, a rapidly growing market defined by technological adoption, cultural diversity and shifting media habits. The United States is used as the home-country reference because Netflix’s core technological capabilities, organisational culture and strategic decision-making systems were developed there. Comparing the US and India provides a strong basis for applying Dunning’s OLI framework, Hofstede’s cultural dimensions and Porter’s Diamond Model to understand Netflix’s strategic choices.</w:t>
      </w:r>
    </w:p>
    <w:p w14:paraId="6886F357" w14:textId="53C295A4" w:rsidR="00E84F05" w:rsidRDefault="00E84F05" w:rsidP="00E84F05">
      <w:pPr>
        <w:spacing w:line="360" w:lineRule="auto"/>
        <w:jc w:val="both"/>
        <w:rPr>
          <w:rFonts w:ascii="Times New Roman" w:hAnsi="Times New Roman" w:cs="Times New Roman"/>
          <w:sz w:val="24"/>
          <w:szCs w:val="24"/>
        </w:rPr>
      </w:pPr>
      <w:r w:rsidRPr="00E84F05">
        <w:rPr>
          <w:rFonts w:ascii="Times New Roman" w:hAnsi="Times New Roman" w:cs="Times New Roman"/>
          <w:sz w:val="24"/>
          <w:szCs w:val="24"/>
        </w:rPr>
        <w:t xml:space="preserve">India presents significant opportunities due to its expanding middle class, widespread smartphone access and low-cost mobile data. However, linguistic diversity, price sensitivity, strong competition from domestic and global OTT platforms and evolving regulations require Netflix to adapt its global model to local realities. </w:t>
      </w:r>
    </w:p>
    <w:p w14:paraId="53B83ED3" w14:textId="6794FD55" w:rsidR="00B634A5" w:rsidRPr="00E84F05" w:rsidRDefault="00B634A5" w:rsidP="00E84F05">
      <w:pPr>
        <w:spacing w:line="360" w:lineRule="auto"/>
        <w:jc w:val="both"/>
        <w:rPr>
          <w:rFonts w:ascii="Times New Roman" w:hAnsi="Times New Roman" w:cs="Times New Roman"/>
          <w:sz w:val="24"/>
          <w:szCs w:val="24"/>
        </w:rPr>
      </w:pPr>
      <w:r>
        <w:rPr>
          <w:noProof/>
        </w:rPr>
        <w:drawing>
          <wp:inline distT="0" distB="0" distL="0" distR="0" wp14:anchorId="1BAB331B" wp14:editId="1BCE6538">
            <wp:extent cx="5731510" cy="3223895"/>
            <wp:effectExtent l="0" t="0" r="2540" b="0"/>
            <wp:docPr id="774861783" name="Picture 1" descr="Analyzing Global Presence Company Netflix Strategy For Business Growth And  Target Ott Market PP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descr="Analyzing Global Presence Company Netflix Strategy For Business Growth And  Target Ott Market PPT Exam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93BDA1" w14:textId="33E1DD03" w:rsidR="00E84F05" w:rsidRPr="00B634A5" w:rsidRDefault="00B634A5" w:rsidP="00FD0F24">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FD0F24" w:rsidRPr="00FD0F24">
        <w:rPr>
          <w:rFonts w:ascii="Times New Roman" w:hAnsi="Times New Roman" w:cs="Times New Roman"/>
          <w:b/>
          <w:bCs/>
          <w:sz w:val="24"/>
          <w:szCs w:val="24"/>
        </w:rPr>
        <w:t>Figure 1: Official Netflix brand identity and global presence</w:t>
      </w:r>
    </w:p>
    <w:p w14:paraId="5F2A905F" w14:textId="44D305D6" w:rsidR="00FD0F24" w:rsidRPr="00354014" w:rsidRDefault="00FD0F24" w:rsidP="00354014">
      <w:pPr>
        <w:pStyle w:val="Heading1"/>
        <w:jc w:val="center"/>
        <w:rPr>
          <w:rFonts w:ascii="Times New Roman" w:hAnsi="Times New Roman" w:cs="Times New Roman"/>
          <w:b/>
          <w:bCs/>
          <w:color w:val="auto"/>
        </w:rPr>
      </w:pPr>
      <w:r w:rsidRPr="00354014">
        <w:rPr>
          <w:rFonts w:ascii="Times New Roman" w:hAnsi="Times New Roman" w:cs="Times New Roman"/>
          <w:b/>
          <w:bCs/>
          <w:color w:val="auto"/>
        </w:rPr>
        <w:lastRenderedPageBreak/>
        <w:t>3. Benefits and Challenges of Netflix’s International Operations</w:t>
      </w:r>
    </w:p>
    <w:p w14:paraId="128247BC" w14:textId="0957BC10"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Netflix’s rapid global expansion has created a highly integrated network of international operations that span platform engineering, content development, data analytics, localisation, marketing and customer engagement across more than 190 countries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Walther, 2025</w:t>
      </w:r>
      <w:r w:rsidR="00B634A5">
        <w:rPr>
          <w:rFonts w:ascii="Times New Roman" w:hAnsi="Times New Roman" w:cs="Times New Roman"/>
          <w:sz w:val="24"/>
          <w:szCs w:val="24"/>
        </w:rPr>
        <w:t>)</w:t>
      </w:r>
      <w:r w:rsidRPr="00FD0F24">
        <w:rPr>
          <w:rFonts w:ascii="Times New Roman" w:hAnsi="Times New Roman" w:cs="Times New Roman"/>
          <w:sz w:val="24"/>
          <w:szCs w:val="24"/>
        </w:rPr>
        <w:t>. Understanding the benefits and constraints of this global system is essential for evaluating Netflix’s strategic alignment with emerging markets such as India. This section provides a detailed analysis of Netflix’s operating model, outlining the strengths that underpin its global competitiveness alongside the challenges that shape its ongoing internationalisation strategy.</w:t>
      </w:r>
    </w:p>
    <w:p w14:paraId="2B06B51D" w14:textId="77777777" w:rsidR="00FD0F24" w:rsidRPr="00FD0F24" w:rsidRDefault="00FD0F24" w:rsidP="00FD0F24">
      <w:pPr>
        <w:spacing w:line="360" w:lineRule="auto"/>
        <w:jc w:val="both"/>
        <w:rPr>
          <w:rFonts w:ascii="Times New Roman" w:hAnsi="Times New Roman" w:cs="Times New Roman"/>
          <w:b/>
          <w:bCs/>
          <w:sz w:val="24"/>
          <w:szCs w:val="24"/>
        </w:rPr>
      </w:pPr>
      <w:r w:rsidRPr="00FD0F24">
        <w:rPr>
          <w:rFonts w:ascii="Times New Roman" w:hAnsi="Times New Roman" w:cs="Times New Roman"/>
          <w:b/>
          <w:bCs/>
          <w:sz w:val="24"/>
          <w:szCs w:val="24"/>
        </w:rPr>
        <w:t>3.1 Netflix as a Multinational / Transnational Corporation (MNC/TNC)</w:t>
      </w:r>
    </w:p>
    <w:p w14:paraId="3B5EEDC1" w14:textId="77777777"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 is widely recognised as a leading transnational corporation due to its global subscriber base, multi-market content ecosystem and advanced digital infrastructure. As a platform-based digital entertainment company, Netflix operates across nearly every major region, delivering standardised streaming services while simultaneously adapting content and marketing strategies to local audience preferences (Ryu, 2024).</w:t>
      </w:r>
    </w:p>
    <w:p w14:paraId="43D3E53F" w14:textId="459C158D"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Netflix’s organisational structure resembles Bartlett and Ghoshal’s (1989) transnational model. Core activities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such as algorithmic development, user interface optimisation, platform engineering and global governance</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are centralised at headquarters in the United States. However, market-level adaptation is achieved through decentralised creative and operational teams located in key regional hubs such as India, South Korea, Spain, the UK and Brazil. This dual approach allows Netflix to combine global efficiency with high audience responsiveness.</w:t>
      </w:r>
    </w:p>
    <w:p w14:paraId="330E7D73" w14:textId="4E5B66BC"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The company’s reliance on data-driven personalisation strengthens its status as a global digital TNC. Unlike traditional media firms that depend heavily on local broadcasters and physical distribution, Netflix manages a unified digital architecture capable of delivering consistent viewing experiences across continents. Simultaneously, its expanding slate of local originals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from Korean dramas to Indian thrillers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demonstrates its ability to merge global platform logic with cultural specificity.</w:t>
      </w:r>
    </w:p>
    <w:p w14:paraId="4DEF7D44" w14:textId="77777777" w:rsid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Netflix’s scale, proprietary technology, global content pipeline and widespread market presence collectively justify its position as a multinational and transnational corporation.</w:t>
      </w:r>
    </w:p>
    <w:p w14:paraId="4B7A4C84" w14:textId="2E5A808D" w:rsidR="00B634A5" w:rsidRPr="00FD0F24" w:rsidRDefault="00B634A5" w:rsidP="00FD0F2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14:anchorId="28AF6FEC" wp14:editId="4397881E">
            <wp:extent cx="3641090" cy="3063240"/>
            <wp:effectExtent l="0" t="0" r="0" b="3810"/>
            <wp:docPr id="8396267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473" b="6876"/>
                    <a:stretch>
                      <a:fillRect/>
                    </a:stretch>
                  </pic:blipFill>
                  <pic:spPr bwMode="auto">
                    <a:xfrm>
                      <a:off x="0" y="0"/>
                      <a:ext cx="3648652" cy="3069602"/>
                    </a:xfrm>
                    <a:prstGeom prst="rect">
                      <a:avLst/>
                    </a:prstGeom>
                    <a:noFill/>
                    <a:ln>
                      <a:noFill/>
                    </a:ln>
                    <a:extLst>
                      <a:ext uri="{53640926-AAD7-44D8-BBD7-CCE9431645EC}">
                        <a14:shadowObscured xmlns:a14="http://schemas.microsoft.com/office/drawing/2010/main"/>
                      </a:ext>
                    </a:extLst>
                  </pic:spPr>
                </pic:pic>
              </a:graphicData>
            </a:graphic>
          </wp:inline>
        </w:drawing>
      </w:r>
    </w:p>
    <w:p w14:paraId="77A58765" w14:textId="16DC9845" w:rsidR="00FD0F24" w:rsidRPr="00FD0F24" w:rsidRDefault="00FD0F24" w:rsidP="00354014">
      <w:pPr>
        <w:spacing w:line="360" w:lineRule="auto"/>
        <w:jc w:val="center"/>
        <w:rPr>
          <w:rFonts w:ascii="Times New Roman" w:hAnsi="Times New Roman" w:cs="Times New Roman"/>
          <w:sz w:val="24"/>
          <w:szCs w:val="24"/>
        </w:rPr>
      </w:pPr>
      <w:r w:rsidRPr="00FD0F24">
        <w:rPr>
          <w:rFonts w:ascii="Times New Roman" w:hAnsi="Times New Roman" w:cs="Times New Roman"/>
          <w:b/>
          <w:bCs/>
          <w:sz w:val="24"/>
          <w:szCs w:val="24"/>
        </w:rPr>
        <w:t>Figure 2: Global presence and market coverage of Netflix</w:t>
      </w:r>
    </w:p>
    <w:p w14:paraId="24482AE6" w14:textId="6D746BA7" w:rsidR="00FD0F24" w:rsidRPr="00FD0F24" w:rsidRDefault="00FD0F24" w:rsidP="00FD0F24">
      <w:pPr>
        <w:spacing w:line="360" w:lineRule="auto"/>
        <w:jc w:val="both"/>
        <w:rPr>
          <w:rFonts w:ascii="Times New Roman" w:hAnsi="Times New Roman" w:cs="Times New Roman"/>
          <w:sz w:val="24"/>
          <w:szCs w:val="24"/>
        </w:rPr>
      </w:pPr>
    </w:p>
    <w:p w14:paraId="7FA2811C" w14:textId="77777777" w:rsidR="00FD0F24" w:rsidRDefault="00FD0F24" w:rsidP="00FD0F24">
      <w:pPr>
        <w:spacing w:line="360" w:lineRule="auto"/>
        <w:jc w:val="both"/>
        <w:rPr>
          <w:rFonts w:ascii="Times New Roman" w:hAnsi="Times New Roman" w:cs="Times New Roman"/>
          <w:b/>
          <w:bCs/>
          <w:sz w:val="24"/>
          <w:szCs w:val="24"/>
        </w:rPr>
      </w:pPr>
      <w:r w:rsidRPr="00FD0F24">
        <w:rPr>
          <w:rFonts w:ascii="Times New Roman" w:hAnsi="Times New Roman" w:cs="Times New Roman"/>
          <w:b/>
          <w:bCs/>
          <w:sz w:val="24"/>
          <w:szCs w:val="24"/>
        </w:rPr>
        <w:t>3.2 Netflix’s Global Platform, Content and Value Chain Activities</w:t>
      </w:r>
    </w:p>
    <w:p w14:paraId="558E6AA7" w14:textId="32AC3624" w:rsidR="00E84F05" w:rsidRPr="00FD0F24" w:rsidRDefault="00354014" w:rsidP="00FD0F2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B634A5">
        <w:rPr>
          <w:noProof/>
        </w:rPr>
        <w:drawing>
          <wp:inline distT="0" distB="0" distL="0" distR="0" wp14:anchorId="5BADDD64" wp14:editId="781CF62C">
            <wp:extent cx="5053330" cy="2402375"/>
            <wp:effectExtent l="0" t="0" r="0" b="0"/>
            <wp:docPr id="1097751381" name="Picture 4" descr="The Netflix Streaming Supply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1" descr="The Netflix Streaming Supply Chai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5647" cy="2408230"/>
                    </a:xfrm>
                    <a:prstGeom prst="rect">
                      <a:avLst/>
                    </a:prstGeom>
                    <a:noFill/>
                    <a:ln>
                      <a:noFill/>
                    </a:ln>
                  </pic:spPr>
                </pic:pic>
              </a:graphicData>
            </a:graphic>
          </wp:inline>
        </w:drawing>
      </w:r>
    </w:p>
    <w:p w14:paraId="183FFAEC" w14:textId="77777777" w:rsidR="00FD0F24" w:rsidRPr="00FD0F24" w:rsidRDefault="00FD0F24" w:rsidP="00354014">
      <w:pPr>
        <w:spacing w:line="360" w:lineRule="auto"/>
        <w:jc w:val="center"/>
        <w:rPr>
          <w:rFonts w:ascii="Times New Roman" w:hAnsi="Times New Roman" w:cs="Times New Roman"/>
          <w:sz w:val="24"/>
          <w:szCs w:val="24"/>
        </w:rPr>
      </w:pPr>
      <w:r w:rsidRPr="00FD0F24">
        <w:rPr>
          <w:rFonts w:ascii="Times New Roman" w:hAnsi="Times New Roman" w:cs="Times New Roman"/>
          <w:b/>
          <w:bCs/>
          <w:sz w:val="24"/>
          <w:szCs w:val="24"/>
        </w:rPr>
        <w:t>Figure 3: Netflix’s global digital content value chain and distribution network</w:t>
      </w:r>
    </w:p>
    <w:p w14:paraId="6989EB00" w14:textId="4623AD05"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Netflix’s global value chain is built on a digitally integrated system designed to ensure seamless content delivery, rapid localisation and consistent user experience worldwide. Unlike traditional entertainment studios that rely on fragmented distribution networks, Netflix operates a unified digital architecture supported by cloud computing, advanced analytics and high-performing content delivery networks (CDNs)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Burgess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and Stevens, 2021</w:t>
      </w:r>
      <w:r w:rsidR="00B634A5">
        <w:rPr>
          <w:rFonts w:ascii="Times New Roman" w:hAnsi="Times New Roman" w:cs="Times New Roman"/>
          <w:sz w:val="24"/>
          <w:szCs w:val="24"/>
        </w:rPr>
        <w:t>)</w:t>
      </w:r>
      <w:r w:rsidRPr="00FD0F24">
        <w:rPr>
          <w:rFonts w:ascii="Times New Roman" w:hAnsi="Times New Roman" w:cs="Times New Roman"/>
          <w:sz w:val="24"/>
          <w:szCs w:val="24"/>
        </w:rPr>
        <w:t>.</w:t>
      </w:r>
    </w:p>
    <w:p w14:paraId="5B61D744" w14:textId="7960F8E5"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lastRenderedPageBreak/>
        <w:t>The value chain begins with content acquisition and production. Netflix combines three major pathways</w:t>
      </w:r>
      <w:r w:rsidR="00E84F05">
        <w:rPr>
          <w:rFonts w:ascii="Times New Roman" w:hAnsi="Times New Roman" w:cs="Times New Roman"/>
          <w:sz w:val="24"/>
          <w:szCs w:val="24"/>
        </w:rPr>
        <w:t xml:space="preserve"> : </w:t>
      </w:r>
      <w:r w:rsidRPr="00FD0F24">
        <w:rPr>
          <w:rFonts w:ascii="Times New Roman" w:hAnsi="Times New Roman" w:cs="Times New Roman"/>
          <w:sz w:val="24"/>
          <w:szCs w:val="24"/>
        </w:rPr>
        <w:t>Global originals developed in collaboration with major international studios,</w:t>
      </w:r>
      <w:r w:rsidR="00E84F05" w:rsidRPr="00E84F05">
        <w:rPr>
          <w:rFonts w:ascii="Times New Roman" w:hAnsi="Times New Roman" w:cs="Times New Roman"/>
          <w:sz w:val="24"/>
          <w:szCs w:val="24"/>
        </w:rPr>
        <w:t xml:space="preserve"> </w:t>
      </w:r>
      <w:r w:rsidRPr="00FD0F24">
        <w:rPr>
          <w:rFonts w:ascii="Times New Roman" w:hAnsi="Times New Roman" w:cs="Times New Roman"/>
          <w:sz w:val="24"/>
          <w:szCs w:val="24"/>
        </w:rPr>
        <w:t>Local-language productions created within key regional markets, and</w:t>
      </w:r>
      <w:r w:rsidR="00E84F05" w:rsidRPr="00E84F05">
        <w:rPr>
          <w:rFonts w:ascii="Times New Roman" w:hAnsi="Times New Roman" w:cs="Times New Roman"/>
          <w:sz w:val="24"/>
          <w:szCs w:val="24"/>
        </w:rPr>
        <w:t xml:space="preserve"> </w:t>
      </w:r>
      <w:r w:rsidRPr="00FD0F24">
        <w:rPr>
          <w:rFonts w:ascii="Times New Roman" w:hAnsi="Times New Roman" w:cs="Times New Roman"/>
          <w:sz w:val="24"/>
          <w:szCs w:val="24"/>
        </w:rPr>
        <w:t>Licensed content secured from independent producers.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Its local offices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including those in Mumbai</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play a significant role in scouting talent, commissioning original shows and ensuring cultural alignment with viewer expectations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 xml:space="preserve">Ryu, </w:t>
      </w:r>
      <w:r w:rsidR="00B634A5">
        <w:rPr>
          <w:rFonts w:ascii="Times New Roman" w:hAnsi="Times New Roman" w:cs="Times New Roman"/>
          <w:sz w:val="24"/>
          <w:szCs w:val="24"/>
        </w:rPr>
        <w:t>2024)</w:t>
      </w:r>
      <w:r w:rsidRPr="00FD0F24">
        <w:rPr>
          <w:rFonts w:ascii="Times New Roman" w:hAnsi="Times New Roman" w:cs="Times New Roman"/>
          <w:sz w:val="24"/>
          <w:szCs w:val="24"/>
        </w:rPr>
        <w:t>.</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Following production, content undergoes a comprehensive localisation process involving subtitling, dubbing, metadata optimisation and regional classification. These processes are tightly integrated with Netflix’s central recommendation system, which uses viewing data from across countries to curate personalised content selections for each user (Grainge, 2021).</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At the distribution stage, Netflix’s cloud-based infrastructure ensures reliable streaming across devices and networks, supported by partnerships with internet service providers to optimise bandwidth usage.</w:t>
      </w:r>
    </w:p>
    <w:p w14:paraId="538C27A4" w14:textId="77777777" w:rsidR="00FD0F24" w:rsidRPr="00FD0F24" w:rsidRDefault="00FD0F24" w:rsidP="00FD0F24">
      <w:pPr>
        <w:spacing w:line="360" w:lineRule="auto"/>
        <w:jc w:val="both"/>
        <w:rPr>
          <w:rFonts w:ascii="Times New Roman" w:hAnsi="Times New Roman" w:cs="Times New Roman"/>
          <w:b/>
          <w:bCs/>
          <w:sz w:val="24"/>
          <w:szCs w:val="24"/>
        </w:rPr>
      </w:pPr>
      <w:r w:rsidRPr="00FD0F24">
        <w:rPr>
          <w:rFonts w:ascii="Times New Roman" w:hAnsi="Times New Roman" w:cs="Times New Roman"/>
          <w:b/>
          <w:bCs/>
          <w:sz w:val="24"/>
          <w:szCs w:val="24"/>
        </w:rPr>
        <w:t>3.3 Entry Modes Used by Netflix Globally and in India</w:t>
      </w:r>
    </w:p>
    <w:p w14:paraId="42D9938C" w14:textId="77777777" w:rsid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 adopts a highly flexible, platform-driven set of entry modes shaped by regulatory environments, infrastructure availability and local content ecosystems. Unlike manufacturing firms that require heavy physical investment, Netflix’s digital service model allows rapid market entry through wholly owned subsidiaries supported by local partnerships rather than equity-based joint ventures (</w:t>
      </w:r>
      <w:proofErr w:type="spellStart"/>
      <w:r w:rsidRPr="00FD0F24">
        <w:rPr>
          <w:rFonts w:ascii="Times New Roman" w:hAnsi="Times New Roman" w:cs="Times New Roman"/>
          <w:sz w:val="24"/>
          <w:szCs w:val="24"/>
        </w:rPr>
        <w:t>Ozgun</w:t>
      </w:r>
      <w:proofErr w:type="spellEnd"/>
      <w:r w:rsidRPr="00FD0F24">
        <w:rPr>
          <w:rFonts w:ascii="Times New Roman" w:hAnsi="Times New Roman" w:cs="Times New Roman"/>
          <w:sz w:val="24"/>
          <w:szCs w:val="24"/>
        </w:rPr>
        <w:t>, 2025).</w:t>
      </w:r>
    </w:p>
    <w:p w14:paraId="537A77F8" w14:textId="3A83139B" w:rsidR="00E84F05" w:rsidRPr="00FD0F24" w:rsidRDefault="00B634A5" w:rsidP="00FD0F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31B69A7E" wp14:editId="592CB850">
            <wp:extent cx="4418330" cy="1958303"/>
            <wp:effectExtent l="0" t="0" r="1270" b="4445"/>
            <wp:docPr id="15333302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1166"/>
                    <a:stretch>
                      <a:fillRect/>
                    </a:stretch>
                  </pic:blipFill>
                  <pic:spPr bwMode="auto">
                    <a:xfrm>
                      <a:off x="0" y="0"/>
                      <a:ext cx="4433934" cy="1965219"/>
                    </a:xfrm>
                    <a:prstGeom prst="rect">
                      <a:avLst/>
                    </a:prstGeom>
                    <a:noFill/>
                    <a:ln>
                      <a:noFill/>
                    </a:ln>
                    <a:extLst>
                      <a:ext uri="{53640926-AAD7-44D8-BBD7-CCE9431645EC}">
                        <a14:shadowObscured xmlns:a14="http://schemas.microsoft.com/office/drawing/2010/main"/>
                      </a:ext>
                    </a:extLst>
                  </pic:spPr>
                </pic:pic>
              </a:graphicData>
            </a:graphic>
          </wp:inline>
        </w:drawing>
      </w:r>
    </w:p>
    <w:p w14:paraId="2FFE3AF3" w14:textId="2F451F10" w:rsidR="00FD0F24" w:rsidRPr="00FD0F24" w:rsidRDefault="00B634A5" w:rsidP="00FD0F24">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FD0F24" w:rsidRPr="00FD0F24">
        <w:rPr>
          <w:rFonts w:ascii="Times New Roman" w:hAnsi="Times New Roman" w:cs="Times New Roman"/>
          <w:b/>
          <w:bCs/>
          <w:sz w:val="24"/>
          <w:szCs w:val="24"/>
        </w:rPr>
        <w:t>Figure 4: Entry modes used by Netflix across international markets</w:t>
      </w:r>
    </w:p>
    <w:p w14:paraId="6E7FA74B" w14:textId="7CE51F5D"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In major developed markets such as the United States, the United Kingdom, Japan and much of Europe, Netflix operates through wholly owned digital platforms, retaining full control over technology, data governance and user experience. This entry mode supports consistency in brand identity and ensures tight protection of intellectual property, which is fundamental to Netflix’s competitive advantage</w:t>
      </w:r>
      <w:r w:rsidR="00B634A5">
        <w:rPr>
          <w:rFonts w:ascii="Times New Roman" w:hAnsi="Times New Roman" w:cs="Times New Roman"/>
          <w:sz w:val="24"/>
          <w:szCs w:val="24"/>
        </w:rPr>
        <w:t xml:space="preserve"> (</w:t>
      </w:r>
      <w:proofErr w:type="spellStart"/>
      <w:r w:rsidR="00B634A5" w:rsidRPr="003B35BC">
        <w:rPr>
          <w:rFonts w:ascii="Times New Roman" w:hAnsi="Times New Roman" w:cs="Times New Roman"/>
          <w:sz w:val="24"/>
          <w:szCs w:val="24"/>
        </w:rPr>
        <w:t>Dezuanni</w:t>
      </w:r>
      <w:proofErr w:type="spellEnd"/>
      <w:r w:rsidR="00B634A5" w:rsidRPr="003B35BC">
        <w:rPr>
          <w:rFonts w:ascii="Times New Roman" w:hAnsi="Times New Roman" w:cs="Times New Roman"/>
          <w:sz w:val="24"/>
          <w:szCs w:val="24"/>
        </w:rPr>
        <w:t>, 2021</w:t>
      </w:r>
      <w:r w:rsidR="00B634A5">
        <w:rPr>
          <w:rFonts w:ascii="Times New Roman" w:hAnsi="Times New Roman" w:cs="Times New Roman"/>
          <w:sz w:val="24"/>
          <w:szCs w:val="24"/>
        </w:rPr>
        <w:t>)</w:t>
      </w:r>
      <w:r w:rsidRPr="00FD0F24">
        <w:rPr>
          <w:rFonts w:ascii="Times New Roman" w:hAnsi="Times New Roman" w:cs="Times New Roman"/>
          <w:sz w:val="24"/>
          <w:szCs w:val="24"/>
        </w:rPr>
        <w:t>.</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 xml:space="preserve">In contrast, in markets characterised by </w:t>
      </w:r>
      <w:r w:rsidRPr="00FD0F24">
        <w:rPr>
          <w:rFonts w:ascii="Times New Roman" w:hAnsi="Times New Roman" w:cs="Times New Roman"/>
          <w:sz w:val="24"/>
          <w:szCs w:val="24"/>
        </w:rPr>
        <w:lastRenderedPageBreak/>
        <w:t>infrastructural challenges or regulated digital ecosystems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such as parts of Asia, Africa and the Middle East</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Netflix relies heavily on local distribution partnerships. These include collaborations with telecom operators, device manufacturers and payment platforms to expand reach, reduce onboarding barriers and improve billing accessibility.</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India represents a hybrid model within this spectrum</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Grainge, 2021</w:t>
      </w:r>
      <w:r w:rsidR="00B634A5">
        <w:rPr>
          <w:rFonts w:ascii="Times New Roman" w:hAnsi="Times New Roman" w:cs="Times New Roman"/>
          <w:sz w:val="24"/>
          <w:szCs w:val="24"/>
        </w:rPr>
        <w:t>)</w:t>
      </w:r>
      <w:r w:rsidRPr="00FD0F24">
        <w:rPr>
          <w:rFonts w:ascii="Times New Roman" w:hAnsi="Times New Roman" w:cs="Times New Roman"/>
          <w:sz w:val="24"/>
          <w:szCs w:val="24"/>
        </w:rPr>
        <w:t>. Netflix maintains full ownership of its streaming platform and content operations while leveraging non-equity partnerships with Indian telecom companies (e.g., Jio, Airtel, Vodafone-Idea) and digital payment systems to enhance market penetration.</w:t>
      </w:r>
    </w:p>
    <w:p w14:paraId="3241D066" w14:textId="77777777" w:rsidR="00FD0F24" w:rsidRPr="00FD0F24" w:rsidRDefault="00FD0F24" w:rsidP="00FD0F24">
      <w:pPr>
        <w:spacing w:line="360" w:lineRule="auto"/>
        <w:jc w:val="both"/>
        <w:rPr>
          <w:rFonts w:ascii="Times New Roman" w:hAnsi="Times New Roman" w:cs="Times New Roman"/>
          <w:b/>
          <w:bCs/>
          <w:sz w:val="24"/>
          <w:szCs w:val="24"/>
        </w:rPr>
      </w:pPr>
      <w:r w:rsidRPr="00FD0F24">
        <w:rPr>
          <w:rFonts w:ascii="Times New Roman" w:hAnsi="Times New Roman" w:cs="Times New Roman"/>
          <w:b/>
          <w:bCs/>
          <w:sz w:val="24"/>
          <w:szCs w:val="24"/>
        </w:rPr>
        <w:t>3.4 Benefits of Netflix’s International Operations</w:t>
      </w:r>
    </w:p>
    <w:p w14:paraId="5AB8EF01" w14:textId="637CBD0A" w:rsid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Netflix’s cross-border operations generate a range of strategic advantages that reinforce its competitiveness in the global streaming industry.</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One central benefit is risk diversification. Operating across more than 190 countries reduces Netflix’s reliance on the US market and provides resilience against regional economic fluctuations, changes in regulatory environments or shifts in consumer preferences (Moore, 2025). This geographic dispersion helps stabilise revenue streams and supports long-term financial sustainability.</w:t>
      </w:r>
    </w:p>
    <w:p w14:paraId="6D6C85EB" w14:textId="4DEB7397" w:rsidR="00B634A5" w:rsidRPr="00FD0F24" w:rsidRDefault="00B634A5" w:rsidP="00FD0F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0209F2C0" wp14:editId="5FFE7FE8">
            <wp:extent cx="3383280" cy="2407920"/>
            <wp:effectExtent l="0" t="0" r="7620" b="0"/>
            <wp:docPr id="1484310736" name="Picture 7" descr="Netflix revenue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9" descr="Netflix revenue 2024| Statist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3280" cy="2407920"/>
                    </a:xfrm>
                    <a:prstGeom prst="rect">
                      <a:avLst/>
                    </a:prstGeom>
                    <a:noFill/>
                    <a:ln>
                      <a:noFill/>
                    </a:ln>
                  </pic:spPr>
                </pic:pic>
              </a:graphicData>
            </a:graphic>
          </wp:inline>
        </w:drawing>
      </w:r>
    </w:p>
    <w:p w14:paraId="03B5E08B" w14:textId="77777777"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b/>
          <w:bCs/>
          <w:sz w:val="24"/>
          <w:szCs w:val="24"/>
        </w:rPr>
        <w:t>Figure 5: India’s OTT revenue and subscription growth compared with global trends</w:t>
      </w:r>
    </w:p>
    <w:p w14:paraId="4C1847B4" w14:textId="3A943E51"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A second major benefit is economies of scale, particularly in technology, platform maintenance and high-budget content production. Netflix’s cloud infrastructure, recommendation engine and global user interface are developed centrally and deployed worldwide, enabling cost efficiencies that competitors with fragmented systems may struggle to match.</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Additionally, internationalisation enhances innovation and creative diversity</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Torun, 2025</w:t>
      </w:r>
      <w:r w:rsidR="00B634A5">
        <w:rPr>
          <w:rFonts w:ascii="Times New Roman" w:hAnsi="Times New Roman" w:cs="Times New Roman"/>
          <w:sz w:val="24"/>
          <w:szCs w:val="24"/>
        </w:rPr>
        <w:t>)</w:t>
      </w:r>
      <w:r w:rsidRPr="00FD0F24">
        <w:rPr>
          <w:rFonts w:ascii="Times New Roman" w:hAnsi="Times New Roman" w:cs="Times New Roman"/>
          <w:sz w:val="24"/>
          <w:szCs w:val="24"/>
        </w:rPr>
        <w:t>. Exposure to different cultures and storytelling traditions fuels new genres, narrative formats and cross-</w:t>
      </w:r>
      <w:r w:rsidRPr="00FD0F24">
        <w:rPr>
          <w:rFonts w:ascii="Times New Roman" w:hAnsi="Times New Roman" w:cs="Times New Roman"/>
          <w:sz w:val="24"/>
          <w:szCs w:val="24"/>
        </w:rPr>
        <w:lastRenderedPageBreak/>
        <w:t>border collaborations. Netflix’s success with global hits such as Money Heist, Squid Game and Sacred Games demonstrates how cultural experimentation strengthens its brand appeal and broadens its content portfolio.</w:t>
      </w:r>
      <w:r w:rsidR="00E84F05" w:rsidRPr="00B634A5">
        <w:rPr>
          <w:rFonts w:ascii="Times New Roman" w:hAnsi="Times New Roman" w:cs="Times New Roman"/>
          <w:sz w:val="24"/>
          <w:szCs w:val="24"/>
        </w:rPr>
        <w:t xml:space="preserve"> </w:t>
      </w:r>
      <w:r w:rsidRPr="00FD0F24">
        <w:rPr>
          <w:rFonts w:ascii="Times New Roman" w:hAnsi="Times New Roman" w:cs="Times New Roman"/>
          <w:sz w:val="24"/>
          <w:szCs w:val="24"/>
        </w:rPr>
        <w:t>Operating as a multinational platform also boosts brand prestige and subscriber confidence, especially in emerging markets where global digital brands often signify quality, status and trustworthiness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Akter, 2025</w:t>
      </w:r>
      <w:r w:rsidR="00B634A5">
        <w:rPr>
          <w:rFonts w:ascii="Times New Roman" w:hAnsi="Times New Roman" w:cs="Times New Roman"/>
          <w:sz w:val="24"/>
          <w:szCs w:val="24"/>
        </w:rPr>
        <w:t>)</w:t>
      </w:r>
      <w:r w:rsidRPr="00FD0F24">
        <w:rPr>
          <w:rFonts w:ascii="Times New Roman" w:hAnsi="Times New Roman" w:cs="Times New Roman"/>
          <w:sz w:val="24"/>
          <w:szCs w:val="24"/>
        </w:rPr>
        <w:t>. This reputation gives Netflix a competitive edge in markets dominated by domestic platforms.</w:t>
      </w:r>
    </w:p>
    <w:p w14:paraId="5A839B62" w14:textId="77777777" w:rsidR="00FD0F24" w:rsidRPr="00FD0F24" w:rsidRDefault="00FD0F24" w:rsidP="00FD0F24">
      <w:pPr>
        <w:spacing w:line="360" w:lineRule="auto"/>
        <w:jc w:val="both"/>
        <w:rPr>
          <w:rFonts w:ascii="Times New Roman" w:hAnsi="Times New Roman" w:cs="Times New Roman"/>
          <w:b/>
          <w:bCs/>
          <w:sz w:val="24"/>
          <w:szCs w:val="24"/>
        </w:rPr>
      </w:pPr>
      <w:r w:rsidRPr="00FD0F24">
        <w:rPr>
          <w:rFonts w:ascii="Times New Roman" w:hAnsi="Times New Roman" w:cs="Times New Roman"/>
          <w:b/>
          <w:bCs/>
          <w:sz w:val="24"/>
          <w:szCs w:val="24"/>
        </w:rPr>
        <w:t>3.5 Challenges of Netflix’s International Operations</w:t>
      </w:r>
    </w:p>
    <w:p w14:paraId="1FAA830D" w14:textId="334EB3D6"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Despite its strong global footprint, Netflix faces several challenges that complicate its international operations.</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A major constraint is the increasing complexity of content production and licensing across regions. Producing culturally relevant local originals while maintaining global standards demands extensive coordination and significant investment. As Netflix accelerates content production in distant and culturally diverse markets, it faces higher operational costs, talent shortages and variable content performance</w:t>
      </w:r>
      <w:r w:rsidR="00B634A5">
        <w:rPr>
          <w:rFonts w:ascii="Times New Roman" w:hAnsi="Times New Roman" w:cs="Times New Roman"/>
          <w:sz w:val="24"/>
          <w:szCs w:val="24"/>
        </w:rPr>
        <w:t xml:space="preserve"> (</w:t>
      </w:r>
      <w:proofErr w:type="spellStart"/>
      <w:r w:rsidR="00B634A5" w:rsidRPr="003B35BC">
        <w:rPr>
          <w:rFonts w:ascii="Times New Roman" w:hAnsi="Times New Roman" w:cs="Times New Roman"/>
          <w:sz w:val="24"/>
          <w:szCs w:val="24"/>
        </w:rPr>
        <w:t>Vettoretto</w:t>
      </w:r>
      <w:proofErr w:type="spellEnd"/>
      <w:r w:rsidR="00B634A5" w:rsidRPr="003B35BC">
        <w:rPr>
          <w:rFonts w:ascii="Times New Roman" w:hAnsi="Times New Roman" w:cs="Times New Roman"/>
          <w:sz w:val="24"/>
          <w:szCs w:val="24"/>
        </w:rPr>
        <w:t>, 2025</w:t>
      </w:r>
      <w:r w:rsidR="00B634A5">
        <w:rPr>
          <w:rFonts w:ascii="Times New Roman" w:hAnsi="Times New Roman" w:cs="Times New Roman"/>
          <w:sz w:val="24"/>
          <w:szCs w:val="24"/>
        </w:rPr>
        <w:t>)</w:t>
      </w:r>
      <w:r w:rsidRPr="00FD0F24">
        <w:rPr>
          <w:rFonts w:ascii="Times New Roman" w:hAnsi="Times New Roman" w:cs="Times New Roman"/>
          <w:sz w:val="24"/>
          <w:szCs w:val="24"/>
        </w:rPr>
        <w:t>.</w:t>
      </w:r>
      <w:r w:rsidR="00E84F05" w:rsidRPr="00E84F05">
        <w:rPr>
          <w:rFonts w:ascii="Times New Roman" w:hAnsi="Times New Roman" w:cs="Times New Roman"/>
          <w:sz w:val="24"/>
          <w:szCs w:val="24"/>
        </w:rPr>
        <w:t xml:space="preserve"> </w:t>
      </w:r>
      <w:r w:rsidRPr="00FD0F24">
        <w:rPr>
          <w:rFonts w:ascii="Times New Roman" w:hAnsi="Times New Roman" w:cs="Times New Roman"/>
          <w:sz w:val="24"/>
          <w:szCs w:val="24"/>
        </w:rPr>
        <w:t>Another key challenge is regulatory variation. Content censorship rules, data protection laws, age-classification frameworks and platform compliance standards differ widely across markets. India, for example, has evolving OTT guidelines that require heightened oversight of sensitive themes, which can delay releases or prompt content modifications. These regulatory differences increase administrative burdens and strategic uncertainty (Alexander, 2025).</w:t>
      </w:r>
    </w:p>
    <w:p w14:paraId="66CFE623" w14:textId="362E9783" w:rsidR="00FD0F24" w:rsidRPr="00FD0F24" w:rsidRDefault="00FD0F24" w:rsidP="00FD0F24">
      <w:pPr>
        <w:spacing w:line="360" w:lineRule="auto"/>
        <w:jc w:val="both"/>
        <w:rPr>
          <w:rFonts w:ascii="Times New Roman" w:hAnsi="Times New Roman" w:cs="Times New Roman"/>
          <w:sz w:val="24"/>
          <w:szCs w:val="24"/>
        </w:rPr>
      </w:pPr>
      <w:r w:rsidRPr="00FD0F24">
        <w:rPr>
          <w:rFonts w:ascii="Times New Roman" w:hAnsi="Times New Roman" w:cs="Times New Roman"/>
          <w:sz w:val="24"/>
          <w:szCs w:val="24"/>
        </w:rPr>
        <w:t>Pricing sensitivity presents an additional challenge. In emerging markets such as India, consumers are highly price-conscious and accustomed to low-cost or ad-supported platforms. Netflix’s premium pricing model has faced resistance, requiring modifications such as the introduction of mobile-only plans. These adjustments challenge Netflix’s traditional revenue structure and complicate global standardisation efforts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Mills,</w:t>
      </w:r>
      <w:r w:rsidR="00B634A5">
        <w:rPr>
          <w:rFonts w:ascii="Times New Roman" w:hAnsi="Times New Roman" w:cs="Times New Roman"/>
          <w:sz w:val="24"/>
          <w:szCs w:val="24"/>
        </w:rPr>
        <w:t xml:space="preserve"> </w:t>
      </w:r>
      <w:r w:rsidR="00B634A5" w:rsidRPr="003B35BC">
        <w:rPr>
          <w:rFonts w:ascii="Times New Roman" w:hAnsi="Times New Roman" w:cs="Times New Roman"/>
          <w:sz w:val="24"/>
          <w:szCs w:val="24"/>
        </w:rPr>
        <w:t>2022</w:t>
      </w:r>
      <w:r w:rsidR="00B634A5">
        <w:rPr>
          <w:rFonts w:ascii="Times New Roman" w:hAnsi="Times New Roman" w:cs="Times New Roman"/>
          <w:sz w:val="24"/>
          <w:szCs w:val="24"/>
        </w:rPr>
        <w:t>)</w:t>
      </w:r>
      <w:r w:rsidRPr="00FD0F24">
        <w:rPr>
          <w:rFonts w:ascii="Times New Roman" w:hAnsi="Times New Roman" w:cs="Times New Roman"/>
          <w:sz w:val="24"/>
          <w:szCs w:val="24"/>
        </w:rPr>
        <w:t>.</w:t>
      </w:r>
      <w:r w:rsidR="00E84F05">
        <w:rPr>
          <w:rFonts w:ascii="Times New Roman" w:hAnsi="Times New Roman" w:cs="Times New Roman"/>
          <w:sz w:val="24"/>
          <w:szCs w:val="24"/>
        </w:rPr>
        <w:t xml:space="preserve"> </w:t>
      </w:r>
      <w:r w:rsidRPr="00FD0F24">
        <w:rPr>
          <w:rFonts w:ascii="Times New Roman" w:hAnsi="Times New Roman" w:cs="Times New Roman"/>
          <w:sz w:val="24"/>
          <w:szCs w:val="24"/>
        </w:rPr>
        <w:t>Finally, cultural heterogeneity remains a persistent obstacle. Audiences in different regions vary widely in their preferences for language, narrative style, humour and representation. Misalignment between global content decisions and local expectations can reduce engagement and diminish market traction.</w:t>
      </w:r>
    </w:p>
    <w:p w14:paraId="115F6981" w14:textId="77777777" w:rsidR="00E84F05" w:rsidRDefault="00E84F05" w:rsidP="00477A9A">
      <w:pPr>
        <w:spacing w:line="360" w:lineRule="auto"/>
        <w:jc w:val="both"/>
        <w:rPr>
          <w:rFonts w:ascii="Times New Roman" w:hAnsi="Times New Roman" w:cs="Times New Roman"/>
          <w:b/>
          <w:bCs/>
          <w:sz w:val="24"/>
          <w:szCs w:val="24"/>
        </w:rPr>
      </w:pPr>
    </w:p>
    <w:p w14:paraId="720A8FCE" w14:textId="77777777" w:rsidR="00354014" w:rsidRDefault="00354014" w:rsidP="00477A9A">
      <w:pPr>
        <w:spacing w:line="360" w:lineRule="auto"/>
        <w:jc w:val="both"/>
        <w:rPr>
          <w:rFonts w:ascii="Times New Roman" w:hAnsi="Times New Roman" w:cs="Times New Roman"/>
          <w:b/>
          <w:bCs/>
          <w:sz w:val="24"/>
          <w:szCs w:val="24"/>
        </w:rPr>
      </w:pPr>
    </w:p>
    <w:p w14:paraId="00F05E3F" w14:textId="77777777" w:rsidR="00354014" w:rsidRDefault="00354014" w:rsidP="00477A9A">
      <w:pPr>
        <w:spacing w:line="360" w:lineRule="auto"/>
        <w:jc w:val="both"/>
        <w:rPr>
          <w:rFonts w:ascii="Times New Roman" w:hAnsi="Times New Roman" w:cs="Times New Roman"/>
          <w:b/>
          <w:bCs/>
          <w:sz w:val="24"/>
          <w:szCs w:val="24"/>
        </w:rPr>
      </w:pPr>
    </w:p>
    <w:p w14:paraId="110AB309" w14:textId="77777777" w:rsidR="00354014" w:rsidRDefault="00354014" w:rsidP="00477A9A">
      <w:pPr>
        <w:spacing w:line="360" w:lineRule="auto"/>
        <w:jc w:val="both"/>
        <w:rPr>
          <w:rFonts w:ascii="Times New Roman" w:hAnsi="Times New Roman" w:cs="Times New Roman"/>
          <w:b/>
          <w:bCs/>
          <w:sz w:val="24"/>
          <w:szCs w:val="24"/>
        </w:rPr>
      </w:pPr>
    </w:p>
    <w:p w14:paraId="413813F7" w14:textId="2AC98E28" w:rsidR="00477A9A" w:rsidRPr="00354014" w:rsidRDefault="00477A9A" w:rsidP="00354014">
      <w:pPr>
        <w:pStyle w:val="Heading1"/>
        <w:jc w:val="center"/>
        <w:rPr>
          <w:rFonts w:ascii="Times New Roman" w:hAnsi="Times New Roman" w:cs="Times New Roman"/>
          <w:b/>
          <w:bCs/>
          <w:color w:val="auto"/>
        </w:rPr>
      </w:pPr>
      <w:r w:rsidRPr="00354014">
        <w:rPr>
          <w:rFonts w:ascii="Times New Roman" w:hAnsi="Times New Roman" w:cs="Times New Roman"/>
          <w:b/>
          <w:bCs/>
          <w:color w:val="auto"/>
        </w:rPr>
        <w:lastRenderedPageBreak/>
        <w:t>4. OLI Framework Analysis (US–India)</w:t>
      </w:r>
    </w:p>
    <w:p w14:paraId="587CDE5A" w14:textId="2E59CC5D"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The OLI (Ownership–Location–Internalisation) framework by Dunning (1988) offers a structured approach to understanding how multinational enterprises expand into foreign markets. Applying this model to Netflix provides insight into the strategic logic behind its entry into India and how the company evaluates market attractiveness, leverages its competitive strengths and determines the most appropriate entry configuration. By comparing the United States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Netflix’s home base</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with India as an emerging host country, the OLI paradigm highlights how Netflix combines its technological capabilities, global content ecosystem and platform architecture to support international growth</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Chin,</w:t>
      </w:r>
      <w:r w:rsidR="00D243EA">
        <w:rPr>
          <w:rFonts w:ascii="Times New Roman" w:hAnsi="Times New Roman" w:cs="Times New Roman"/>
          <w:sz w:val="24"/>
          <w:szCs w:val="24"/>
        </w:rPr>
        <w:t xml:space="preserve"> 2025)</w:t>
      </w:r>
      <w:r w:rsidRPr="00477A9A">
        <w:rPr>
          <w:rFonts w:ascii="Times New Roman" w:hAnsi="Times New Roman" w:cs="Times New Roman"/>
          <w:sz w:val="24"/>
          <w:szCs w:val="24"/>
        </w:rPr>
        <w:t>.</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This section examines the three components of the OLI model as they relate to Netflix’s internationalisation strategy Ownership advantages, derived from the firm’s proprietary competencies; Location advantages, which explain India’s attractiveness as a streaming market; and Internalisation advantages, which justify Netflix’s preference for maintaining a high degree of operational control. Together, these elements help explain why Netflix adopted a wholly owned digital entry supported by selective local partnerships in India.</w:t>
      </w:r>
    </w:p>
    <w:p w14:paraId="496B1722"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4.1 Ownership Advantages</w:t>
      </w:r>
    </w:p>
    <w:p w14:paraId="7A21D09F" w14:textId="32E8357C"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Netflix’s ownership advantages stem from its unique technological capabilities, global brand recognition and advanced data-driven operating model. These capabilities provide the company with a sustainable competitive edge that supports its expansion into diverse international markets.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One of Netflix’s most significant ownership-specific advantages is its proprietary recommendation algorithm and data analytics systems, which personalise content suggestions for millions of users worldwide. These systems rely on viewing histories, behavioural patterns and global performance indicators to deliver highly accurate recommendations, enabling Netflix to maintain stronger engagement and customer retention than many competitors (Grainge, 2021).</w:t>
      </w:r>
    </w:p>
    <w:p w14:paraId="7E4D6A41"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Netflix’s global brand equity also enhances its international position. As a pioneer in subscription streaming, Netflix is associated with innovation, premium-quality content and a reliable user experience. In emerging markets such as India, this global brand association carries aspirational value and builds consumer trust, especially among younger, urban and digitally active audiences (Jang et al., 2023).</w:t>
      </w:r>
    </w:p>
    <w:p w14:paraId="6CD92900" w14:textId="47842C15" w:rsidR="00DF39D8" w:rsidRDefault="00477A9A" w:rsidP="00DF39D8">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Another critical ownership advantage is Netflix’s ability to produce both global and local originals at scale. Its global production ecosystem</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 xml:space="preserve">spanning the US, South Korea, Spain, India </w:t>
      </w:r>
      <w:r w:rsidRPr="00477A9A">
        <w:rPr>
          <w:rFonts w:ascii="Times New Roman" w:hAnsi="Times New Roman" w:cs="Times New Roman"/>
          <w:sz w:val="24"/>
          <w:szCs w:val="24"/>
        </w:rPr>
        <w:lastRenderedPageBreak/>
        <w:t>and more</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allows Netflix to integrate diverse storytelling traditions into its portfolio. Indian originals such as Sacred Games, Delhi Crime and Jaane Jaan strengthen Netflix’s cultural footprint and support long-term audience relationships</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Zeng, 2025</w:t>
      </w:r>
      <w:r w:rsidR="00D243EA">
        <w:rPr>
          <w:rFonts w:ascii="Times New Roman" w:hAnsi="Times New Roman" w:cs="Times New Roman"/>
          <w:sz w:val="24"/>
          <w:szCs w:val="24"/>
        </w:rPr>
        <w:t>)</w:t>
      </w:r>
      <w:r w:rsidRPr="00477A9A">
        <w:rPr>
          <w:rFonts w:ascii="Times New Roman" w:hAnsi="Times New Roman" w:cs="Times New Roman"/>
          <w:sz w:val="24"/>
          <w:szCs w:val="24"/>
        </w:rPr>
        <w:t>.</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 xml:space="preserve">Collectively, these ownership advantages justify Netflix’s preference for a high-control internationalisation strategy. </w:t>
      </w:r>
    </w:p>
    <w:p w14:paraId="030E6A48" w14:textId="07E4BAA6" w:rsidR="00477A9A" w:rsidRPr="00477A9A" w:rsidRDefault="00477A9A" w:rsidP="00DF39D8">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4.2 Location Advantages</w:t>
      </w:r>
    </w:p>
    <w:p w14:paraId="5B0FF2D1" w14:textId="26CDD1DD" w:rsid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India presents a compelling set of location-specific advantages that make it a high-potential market for Netflix’s international growth strategy. The most significant among these is India’s large and youthful population, with more than half of its citizens under the age of 30. This demographic aligns closely with Netflix’s core audience</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digitally connected consumers who favour on-demand entertainment and personalised viewing experiences</w:t>
      </w:r>
      <w:r w:rsidR="00D243EA">
        <w:rPr>
          <w:rFonts w:ascii="Times New Roman" w:hAnsi="Times New Roman" w:cs="Times New Roman"/>
          <w:sz w:val="24"/>
          <w:szCs w:val="24"/>
        </w:rPr>
        <w:t xml:space="preserve"> (</w:t>
      </w:r>
      <w:proofErr w:type="spellStart"/>
      <w:r w:rsidR="00D243EA" w:rsidRPr="003B35BC">
        <w:rPr>
          <w:rFonts w:ascii="Times New Roman" w:hAnsi="Times New Roman" w:cs="Times New Roman"/>
          <w:sz w:val="24"/>
          <w:szCs w:val="24"/>
        </w:rPr>
        <w:t>Ozgun</w:t>
      </w:r>
      <w:proofErr w:type="spellEnd"/>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 xml:space="preserve">and </w:t>
      </w:r>
      <w:proofErr w:type="spellStart"/>
      <w:r w:rsidR="00D243EA" w:rsidRPr="003B35BC">
        <w:rPr>
          <w:rFonts w:ascii="Times New Roman" w:hAnsi="Times New Roman" w:cs="Times New Roman"/>
          <w:sz w:val="24"/>
          <w:szCs w:val="24"/>
        </w:rPr>
        <w:t>Treske</w:t>
      </w:r>
      <w:proofErr w:type="spellEnd"/>
      <w:r w:rsidR="00D243EA" w:rsidRPr="003B35BC">
        <w:rPr>
          <w:rFonts w:ascii="Times New Roman" w:hAnsi="Times New Roman" w:cs="Times New Roman"/>
          <w:sz w:val="24"/>
          <w:szCs w:val="24"/>
        </w:rPr>
        <w:t>, 2025</w:t>
      </w:r>
      <w:r w:rsidR="00D243EA">
        <w:rPr>
          <w:rFonts w:ascii="Times New Roman" w:hAnsi="Times New Roman" w:cs="Times New Roman"/>
          <w:sz w:val="24"/>
          <w:szCs w:val="24"/>
        </w:rPr>
        <w:t>)</w:t>
      </w:r>
      <w:r w:rsidRPr="00477A9A">
        <w:rPr>
          <w:rFonts w:ascii="Times New Roman" w:hAnsi="Times New Roman" w:cs="Times New Roman"/>
          <w:sz w:val="24"/>
          <w:szCs w:val="24"/>
        </w:rPr>
        <w:t>.</w:t>
      </w:r>
    </w:p>
    <w:p w14:paraId="13D4F9B5" w14:textId="24A7451D" w:rsidR="00D243EA" w:rsidRPr="00477A9A" w:rsidRDefault="00D243EA" w:rsidP="00477A9A">
      <w:pPr>
        <w:spacing w:line="360" w:lineRule="auto"/>
        <w:jc w:val="both"/>
        <w:rPr>
          <w:rFonts w:ascii="Times New Roman" w:hAnsi="Times New Roman" w:cs="Times New Roman"/>
          <w:sz w:val="24"/>
          <w:szCs w:val="24"/>
        </w:rPr>
      </w:pPr>
      <w:r>
        <w:rPr>
          <w:noProof/>
        </w:rPr>
        <w:drawing>
          <wp:inline distT="0" distB="0" distL="0" distR="0" wp14:anchorId="4634CF49" wp14:editId="6107150A">
            <wp:extent cx="5731510" cy="2964180"/>
            <wp:effectExtent l="0" t="0" r="2540" b="7620"/>
            <wp:docPr id="341561745" name="Picture 8" descr="India Digital Media Market Size &amp; Outlook,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1" descr="India Digital Media Market Size &amp; Outlook, 2030"/>
                    <pic:cNvPicPr>
                      <a:picLocks noChangeAspect="1" noChangeArrowheads="1"/>
                    </pic:cNvPicPr>
                  </pic:nvPicPr>
                  <pic:blipFill rotWithShape="1">
                    <a:blip r:embed="rId13">
                      <a:extLst>
                        <a:ext uri="{28A0092B-C50C-407E-A947-70E740481C1C}">
                          <a14:useLocalDpi xmlns:a14="http://schemas.microsoft.com/office/drawing/2010/main" val="0"/>
                        </a:ext>
                      </a:extLst>
                    </a:blip>
                    <a:srcRect b="8092"/>
                    <a:stretch>
                      <a:fillRect/>
                    </a:stretch>
                  </pic:blipFill>
                  <pic:spPr bwMode="auto">
                    <a:xfrm>
                      <a:off x="0" y="0"/>
                      <a:ext cx="5731510" cy="2964180"/>
                    </a:xfrm>
                    <a:prstGeom prst="rect">
                      <a:avLst/>
                    </a:prstGeom>
                    <a:noFill/>
                    <a:ln>
                      <a:noFill/>
                    </a:ln>
                    <a:extLst>
                      <a:ext uri="{53640926-AAD7-44D8-BBD7-CCE9431645EC}">
                        <a14:shadowObscured xmlns:a14="http://schemas.microsoft.com/office/drawing/2010/main"/>
                      </a:ext>
                    </a:extLst>
                  </pic:spPr>
                </pic:pic>
              </a:graphicData>
            </a:graphic>
          </wp:inline>
        </w:drawing>
      </w:r>
    </w:p>
    <w:p w14:paraId="0DE331A5" w14:textId="722BCEAD" w:rsidR="00477A9A" w:rsidRPr="00477A9A" w:rsidRDefault="00354014" w:rsidP="00477A9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477A9A" w:rsidRPr="00477A9A">
        <w:rPr>
          <w:rFonts w:ascii="Times New Roman" w:hAnsi="Times New Roman" w:cs="Times New Roman"/>
          <w:b/>
          <w:bCs/>
          <w:sz w:val="24"/>
          <w:szCs w:val="24"/>
        </w:rPr>
        <w:t>Figure 6: India’s digital entertainment market size and future growth forecast</w:t>
      </w:r>
    </w:p>
    <w:p w14:paraId="2E7F504B" w14:textId="718AECE4"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India’s streaming market is one of the fastest-growing in the world, driven by rising disposable incomes, affordable mobile data and expanding smartphone penetration. The widespread adoption of 4G networks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accelerated by the “Jio effect”</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has democratised access to online video content, creating favourable conditions for subscription-based streaming platforms.</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From a content perspective, India’s rich creative industries present strong opportunities for collaboration. Regional film and television ecosystems in Tamil Nadu, Telangana, Maharashtra and Kerala offer diverse storytelling talent and established production infrastructure</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Mulla,</w:t>
      </w:r>
      <w:r w:rsidR="00D243EA">
        <w:rPr>
          <w:rFonts w:ascii="Times New Roman" w:hAnsi="Times New Roman" w:cs="Times New Roman"/>
          <w:sz w:val="24"/>
          <w:szCs w:val="24"/>
        </w:rPr>
        <w:t xml:space="preserve"> </w:t>
      </w:r>
      <w:r w:rsidR="00D243EA">
        <w:rPr>
          <w:rFonts w:ascii="Times New Roman" w:hAnsi="Times New Roman" w:cs="Times New Roman"/>
          <w:sz w:val="24"/>
          <w:szCs w:val="24"/>
        </w:rPr>
        <w:lastRenderedPageBreak/>
        <w:t>2025)</w:t>
      </w:r>
      <w:r w:rsidRPr="00477A9A">
        <w:rPr>
          <w:rFonts w:ascii="Times New Roman" w:hAnsi="Times New Roman" w:cs="Times New Roman"/>
          <w:sz w:val="24"/>
          <w:szCs w:val="24"/>
        </w:rPr>
        <w:t>. This abundance strengthens Netflix’s ability to localise content and produce culturally relevant originals that resonate with Indian audiences.</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 xml:space="preserve">India’s digital payment landscape also enhances market attractiveness. The rapid rise of UPI, Paytm and </w:t>
      </w:r>
      <w:proofErr w:type="spellStart"/>
      <w:r w:rsidRPr="00477A9A">
        <w:rPr>
          <w:rFonts w:ascii="Times New Roman" w:hAnsi="Times New Roman" w:cs="Times New Roman"/>
          <w:sz w:val="24"/>
          <w:szCs w:val="24"/>
        </w:rPr>
        <w:t>PhonePe</w:t>
      </w:r>
      <w:proofErr w:type="spellEnd"/>
      <w:r w:rsidRPr="00477A9A">
        <w:rPr>
          <w:rFonts w:ascii="Times New Roman" w:hAnsi="Times New Roman" w:cs="Times New Roman"/>
          <w:sz w:val="24"/>
          <w:szCs w:val="24"/>
        </w:rPr>
        <w:t xml:space="preserve"> has simplified subscription payments, especially among consumers without credit cards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an important enabler for global OTT platforms</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Sandberg, 2025</w:t>
      </w:r>
      <w:r w:rsidR="00D243EA">
        <w:rPr>
          <w:rFonts w:ascii="Times New Roman" w:hAnsi="Times New Roman" w:cs="Times New Roman"/>
          <w:sz w:val="24"/>
          <w:szCs w:val="24"/>
        </w:rPr>
        <w:t>)</w:t>
      </w:r>
      <w:r w:rsidRPr="00477A9A">
        <w:rPr>
          <w:rFonts w:ascii="Times New Roman" w:hAnsi="Times New Roman" w:cs="Times New Roman"/>
          <w:sz w:val="24"/>
          <w:szCs w:val="24"/>
        </w:rPr>
        <w:t>.</w:t>
      </w:r>
    </w:p>
    <w:p w14:paraId="344CDE1F" w14:textId="3EC20254"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However, India’s location advantages coexist with several constraints. The market is extremely price-sensitive, competition from domestic OTT platforms</w:t>
      </w:r>
      <w:r w:rsidR="00D243EA">
        <w:rPr>
          <w:rFonts w:ascii="Times New Roman" w:hAnsi="Times New Roman" w:cs="Times New Roman"/>
          <w:sz w:val="24"/>
          <w:szCs w:val="24"/>
        </w:rPr>
        <w:t xml:space="preserve">, </w:t>
      </w:r>
      <w:r w:rsidRPr="00477A9A">
        <w:rPr>
          <w:rFonts w:ascii="Times New Roman" w:hAnsi="Times New Roman" w:cs="Times New Roman"/>
          <w:sz w:val="24"/>
          <w:szCs w:val="24"/>
        </w:rPr>
        <w:t xml:space="preserve">e.g., Disney+ Hotstar, </w:t>
      </w:r>
      <w:proofErr w:type="spellStart"/>
      <w:r w:rsidRPr="00477A9A">
        <w:rPr>
          <w:rFonts w:ascii="Times New Roman" w:hAnsi="Times New Roman" w:cs="Times New Roman"/>
          <w:sz w:val="24"/>
          <w:szCs w:val="24"/>
        </w:rPr>
        <w:t>JioCinema</w:t>
      </w:r>
      <w:proofErr w:type="spellEnd"/>
      <w:r w:rsidRPr="00477A9A">
        <w:rPr>
          <w:rFonts w:ascii="Times New Roman" w:hAnsi="Times New Roman" w:cs="Times New Roman"/>
          <w:sz w:val="24"/>
          <w:szCs w:val="24"/>
        </w:rPr>
        <w:t>, Zee5 is intense and linguistic diversity complicates content strategy. Moreover, India’s regulatory environment is evolving, with increased scrutiny over digital content classification, censorship and data governance</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Alexander, 2025</w:t>
      </w:r>
      <w:r w:rsidR="00D243EA">
        <w:rPr>
          <w:rFonts w:ascii="Times New Roman" w:hAnsi="Times New Roman" w:cs="Times New Roman"/>
          <w:sz w:val="24"/>
          <w:szCs w:val="24"/>
        </w:rPr>
        <w:t>)</w:t>
      </w:r>
      <w:r w:rsidRPr="00477A9A">
        <w:rPr>
          <w:rFonts w:ascii="Times New Roman" w:hAnsi="Times New Roman" w:cs="Times New Roman"/>
          <w:sz w:val="24"/>
          <w:szCs w:val="24"/>
        </w:rPr>
        <w:t>.</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As a result, India’s location benefits make it an attractive destination for Netflix</w:t>
      </w:r>
      <w:r w:rsidR="00D243EA">
        <w:rPr>
          <w:rFonts w:ascii="Times New Roman" w:hAnsi="Times New Roman" w:cs="Times New Roman"/>
          <w:sz w:val="24"/>
          <w:szCs w:val="24"/>
        </w:rPr>
        <w:t xml:space="preserve"> and</w:t>
      </w:r>
      <w:r w:rsidRPr="00477A9A">
        <w:rPr>
          <w:rFonts w:ascii="Times New Roman" w:hAnsi="Times New Roman" w:cs="Times New Roman"/>
          <w:sz w:val="24"/>
          <w:szCs w:val="24"/>
        </w:rPr>
        <w:t xml:space="preserve"> the operational and cultural complexities reinforce the need for adaptive pricing, diversified content strategies and close monitoring of institutional conditions.</w:t>
      </w:r>
    </w:p>
    <w:p w14:paraId="03F2294D"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4.3 Internalisation Advantages</w:t>
      </w:r>
    </w:p>
    <w:p w14:paraId="0F4EE9C1" w14:textId="55E77300"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Netflix’s internalisation advantages explain why the company prefers to retain control over key aspects of its international operations, rather than outsourcing them to local partners. Netflix’s competitive strategy depends heavily on managing technology, data and creative processes internally to ensure consistency, protect intellectual property and maintain user experience quality.</w:t>
      </w:r>
      <w:r w:rsidR="00DF39D8" w:rsidRPr="00DF39D8">
        <w:rPr>
          <w:rFonts w:ascii="Times New Roman" w:hAnsi="Times New Roman" w:cs="Times New Roman"/>
          <w:sz w:val="24"/>
          <w:szCs w:val="24"/>
        </w:rPr>
        <w:t xml:space="preserve"> </w:t>
      </w:r>
      <w:r w:rsidRPr="00477A9A">
        <w:rPr>
          <w:rFonts w:ascii="Times New Roman" w:hAnsi="Times New Roman" w:cs="Times New Roman"/>
          <w:sz w:val="24"/>
          <w:szCs w:val="24"/>
        </w:rPr>
        <w:t>A major internalisation advantage is the ability to integrate global viewing data directly into content recommendations and production decisions</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Zeng,</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2025</w:t>
      </w:r>
      <w:r w:rsidR="00D243EA">
        <w:rPr>
          <w:rFonts w:ascii="Times New Roman" w:hAnsi="Times New Roman" w:cs="Times New Roman"/>
          <w:sz w:val="24"/>
          <w:szCs w:val="24"/>
        </w:rPr>
        <w:t>)</w:t>
      </w:r>
      <w:r w:rsidRPr="00477A9A">
        <w:rPr>
          <w:rFonts w:ascii="Times New Roman" w:hAnsi="Times New Roman" w:cs="Times New Roman"/>
          <w:sz w:val="24"/>
          <w:szCs w:val="24"/>
        </w:rPr>
        <w:t>. By internalising data flows, Netflix can rapidly identify emerging trends, refine algorithms and develop content that aligns with evolving viewer preferences. Outsourcing these functions would risk data fragmentation, slower feedback loops and potential breaches of confidentiality.</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Internalisation also protects Netflix’s proprietary technology, particularly its recommendation engine, compression technologies and cloud infrastructure. Maintaining internal control reduces the risk of imitation or leakage of critical intellectual property</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an essential concern in the highly competitive streaming market</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Sandberg, 2025</w:t>
      </w:r>
      <w:r w:rsidR="00D243EA">
        <w:rPr>
          <w:rFonts w:ascii="Times New Roman" w:hAnsi="Times New Roman" w:cs="Times New Roman"/>
          <w:sz w:val="24"/>
          <w:szCs w:val="24"/>
        </w:rPr>
        <w:t>)</w:t>
      </w:r>
      <w:r w:rsidRPr="00477A9A">
        <w:rPr>
          <w:rFonts w:ascii="Times New Roman" w:hAnsi="Times New Roman" w:cs="Times New Roman"/>
          <w:sz w:val="24"/>
          <w:szCs w:val="24"/>
        </w:rPr>
        <w:t>.</w:t>
      </w:r>
      <w:r w:rsidR="00D243EA">
        <w:rPr>
          <w:rFonts w:ascii="Times New Roman" w:hAnsi="Times New Roman" w:cs="Times New Roman"/>
          <w:sz w:val="24"/>
          <w:szCs w:val="24"/>
        </w:rPr>
        <w:t xml:space="preserve"> </w:t>
      </w:r>
      <w:r w:rsidRPr="00477A9A">
        <w:rPr>
          <w:rFonts w:ascii="Times New Roman" w:hAnsi="Times New Roman" w:cs="Times New Roman"/>
          <w:sz w:val="24"/>
          <w:szCs w:val="24"/>
        </w:rPr>
        <w:t>Overall, Netflix’s internalisation advantages support the use of a high-control entry structure with selective, non-equity partnerships. This ensures global platform consistency while enabling adaptation to India’s local market conditions.</w:t>
      </w:r>
    </w:p>
    <w:p w14:paraId="616A511A"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4.4 Recommended Entry Mode for Netflix in India</w:t>
      </w:r>
    </w:p>
    <w:p w14:paraId="567FF62C" w14:textId="0708993B"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lastRenderedPageBreak/>
        <w:t>Based on the analysis of Netflix’s Ownership, Location and Internalisation advantages, the most suitable entry mode for India is a wholly owned digital platform supported by strategic non-equity partnerships. This model aligns with Netflix’s global operating strategy, technological strengths and market requirements in India.</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Netflix’s wholly owned structure ensures full control over its platform, algorithms, data governance and content strategy</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critical components of its competitive advantage</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Alexander, 2025</w:t>
      </w:r>
      <w:r w:rsidR="00D243EA">
        <w:rPr>
          <w:rFonts w:ascii="Times New Roman" w:hAnsi="Times New Roman" w:cs="Times New Roman"/>
          <w:sz w:val="24"/>
          <w:szCs w:val="24"/>
        </w:rPr>
        <w:t>)</w:t>
      </w:r>
      <w:r w:rsidRPr="00477A9A">
        <w:rPr>
          <w:rFonts w:ascii="Times New Roman" w:hAnsi="Times New Roman" w:cs="Times New Roman"/>
          <w:sz w:val="24"/>
          <w:szCs w:val="24"/>
        </w:rPr>
        <w:t>. At the same time, partnerships with telecom operators such as Jio, Airtel and Vodafone-Idea enhance reach, reduce customer onboarding friction and allow subscription bundling that aligns with India’s affordability expectations.</w:t>
      </w:r>
    </w:p>
    <w:p w14:paraId="22D933D2" w14:textId="4613E9EA" w:rsidR="00102A75" w:rsidRPr="00102A75"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Selective co-production agreements with Indian filmmakers and studios also complement this entry mode, enabling Netflix to expand its catalogue of culturally resonant originals without relinquishing intellectual property or creative oversight.</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For deeper localisation, Netflix’s India subsidiary can continue developing regional content hubs, expanding language offerings and refining pricing models to reflect India’s heterogeneous consumption patterns</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Hart, 2024</w:t>
      </w:r>
      <w:r w:rsidR="00D243EA">
        <w:rPr>
          <w:rFonts w:ascii="Times New Roman" w:hAnsi="Times New Roman" w:cs="Times New Roman"/>
          <w:sz w:val="24"/>
          <w:szCs w:val="24"/>
        </w:rPr>
        <w:t>)</w:t>
      </w:r>
      <w:r w:rsidRPr="00477A9A">
        <w:rPr>
          <w:rFonts w:ascii="Times New Roman" w:hAnsi="Times New Roman" w:cs="Times New Roman"/>
          <w:sz w:val="24"/>
          <w:szCs w:val="24"/>
        </w:rPr>
        <w:t>.</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 xml:space="preserve">Overall, this hybrid entry configuration balances control, accessibility and cultural relevance, aligning closely with Netflix’s OLI profile. </w:t>
      </w:r>
    </w:p>
    <w:p w14:paraId="2D8083FA" w14:textId="18BDD7FE" w:rsidR="00D243EA" w:rsidRPr="00477A9A" w:rsidRDefault="00102A75" w:rsidP="00477A9A">
      <w:pPr>
        <w:spacing w:line="360" w:lineRule="auto"/>
        <w:jc w:val="both"/>
        <w:rPr>
          <w:rFonts w:ascii="Times New Roman" w:hAnsi="Times New Roman" w:cs="Times New Roman"/>
          <w:sz w:val="24"/>
          <w:szCs w:val="24"/>
        </w:rPr>
      </w:pPr>
      <w:r>
        <w:rPr>
          <w:noProof/>
        </w:rPr>
        <w:t xml:space="preserve">  </w:t>
      </w:r>
      <w:r w:rsidR="00D243EA">
        <w:rPr>
          <w:noProof/>
        </w:rPr>
        <w:drawing>
          <wp:inline distT="0" distB="0" distL="0" distR="0" wp14:anchorId="283B3BEC" wp14:editId="20252BE2">
            <wp:extent cx="5731510" cy="2537460"/>
            <wp:effectExtent l="0" t="0" r="2540" b="0"/>
            <wp:docPr id="1439432396" name="Picture 9"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3" descr="Eclectic Paradigm/OLI Paradigm EXPLAINED with EXAMPLES | B2U"/>
                    <pic:cNvPicPr>
                      <a:picLocks noChangeAspect="1" noChangeArrowheads="1"/>
                    </pic:cNvPicPr>
                  </pic:nvPicPr>
                  <pic:blipFill rotWithShape="1">
                    <a:blip r:embed="rId14">
                      <a:extLst>
                        <a:ext uri="{28A0092B-C50C-407E-A947-70E740481C1C}">
                          <a14:useLocalDpi xmlns:a14="http://schemas.microsoft.com/office/drawing/2010/main" val="0"/>
                        </a:ext>
                      </a:extLst>
                    </a:blip>
                    <a:srcRect t="14663" b="6583"/>
                    <a:stretch>
                      <a:fillRect/>
                    </a:stretch>
                  </pic:blipFill>
                  <pic:spPr bwMode="auto">
                    <a:xfrm>
                      <a:off x="0" y="0"/>
                      <a:ext cx="5731510" cy="2537460"/>
                    </a:xfrm>
                    <a:prstGeom prst="rect">
                      <a:avLst/>
                    </a:prstGeom>
                    <a:noFill/>
                    <a:ln>
                      <a:noFill/>
                    </a:ln>
                    <a:extLst>
                      <a:ext uri="{53640926-AAD7-44D8-BBD7-CCE9431645EC}">
                        <a14:shadowObscured xmlns:a14="http://schemas.microsoft.com/office/drawing/2010/main"/>
                      </a:ext>
                    </a:extLst>
                  </pic:spPr>
                </pic:pic>
              </a:graphicData>
            </a:graphic>
          </wp:inline>
        </w:drawing>
      </w:r>
    </w:p>
    <w:p w14:paraId="148C34F4"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Figure 7: Entry-mode strategies based on degree of ownership, control and investment risk</w:t>
      </w:r>
    </w:p>
    <w:p w14:paraId="2137101D" w14:textId="77777777" w:rsidR="00E84F05" w:rsidRDefault="00E84F05" w:rsidP="00477A9A">
      <w:pPr>
        <w:spacing w:line="360" w:lineRule="auto"/>
        <w:jc w:val="both"/>
        <w:rPr>
          <w:rFonts w:ascii="Times New Roman" w:hAnsi="Times New Roman" w:cs="Times New Roman"/>
          <w:b/>
          <w:bCs/>
          <w:sz w:val="24"/>
          <w:szCs w:val="24"/>
        </w:rPr>
      </w:pPr>
    </w:p>
    <w:p w14:paraId="271DD356" w14:textId="77777777" w:rsidR="00102A75" w:rsidRDefault="00102A75" w:rsidP="00477A9A">
      <w:pPr>
        <w:spacing w:line="360" w:lineRule="auto"/>
        <w:jc w:val="both"/>
        <w:rPr>
          <w:rFonts w:ascii="Times New Roman" w:hAnsi="Times New Roman" w:cs="Times New Roman"/>
          <w:b/>
          <w:bCs/>
          <w:sz w:val="24"/>
          <w:szCs w:val="24"/>
        </w:rPr>
      </w:pPr>
    </w:p>
    <w:p w14:paraId="19C490FB" w14:textId="2D7FF718" w:rsidR="00477A9A" w:rsidRPr="00102A75" w:rsidRDefault="00477A9A" w:rsidP="00102A75">
      <w:pPr>
        <w:pStyle w:val="Heading1"/>
        <w:jc w:val="center"/>
        <w:rPr>
          <w:rFonts w:ascii="Times New Roman" w:hAnsi="Times New Roman" w:cs="Times New Roman"/>
          <w:b/>
          <w:bCs/>
          <w:color w:val="auto"/>
        </w:rPr>
      </w:pPr>
      <w:r w:rsidRPr="00102A75">
        <w:rPr>
          <w:rFonts w:ascii="Times New Roman" w:hAnsi="Times New Roman" w:cs="Times New Roman"/>
          <w:b/>
          <w:bCs/>
          <w:color w:val="auto"/>
        </w:rPr>
        <w:lastRenderedPageBreak/>
        <w:t>5. Cultural Differences: Hofstede Analysis (US vs India)</w:t>
      </w:r>
    </w:p>
    <w:p w14:paraId="416A7D1B" w14:textId="34D198D3"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Understanding cultural differences is essential for evaluating how global streaming platforms adapt their strategies in foreign markets. Hofstede’s cultural dimensions provide a systematic framework for comparing the United States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Netflix’s home country</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with India as a major host market. These dimensions highlight differences in social values, communication styles, viewer expectations and content preferences. In a media-driven sector such as streaming, overlooking cultural contrasts can lead to misaligned content strategies, weak viewer engagement and ineffective localisation efforts (Hofstede Insights, 2023).</w:t>
      </w:r>
    </w:p>
    <w:p w14:paraId="1C1640A2" w14:textId="1CBA420C" w:rsidR="00102A75"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For a digital entertainment company like Netflix, cultural alignment is particularly important because viewing behaviour is closely linked to identity, family norms, humour, narrative expectations and consumption habits. Differences between American and Indian cultural values influence how audiences respond to themes in entertainment, evaluate the appropriateness of content and interact with digital platforms. As a result, Netflix cannot depend solely on a standardised global content and marketing model; it must adapt aspects of its catalogue, interface, classification systems and promotional narratives to suit the Indian cultural context. Ensuring cultural compatibility is therefore crucial for sustaining brand credibility, securing audience loyalty and strengthening Netflix’s long-term position in India.</w:t>
      </w:r>
    </w:p>
    <w:p w14:paraId="2EFE358F" w14:textId="1001473A" w:rsidR="00477A9A" w:rsidRPr="00477A9A" w:rsidRDefault="00E84F05" w:rsidP="00477A9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494CE3" wp14:editId="23B27362">
            <wp:extent cx="5695950" cy="2788920"/>
            <wp:effectExtent l="0" t="0" r="0" b="0"/>
            <wp:docPr id="638594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4486"/>
                    <a:stretch>
                      <a:fillRect/>
                    </a:stretch>
                  </pic:blipFill>
                  <pic:spPr bwMode="auto">
                    <a:xfrm>
                      <a:off x="0" y="0"/>
                      <a:ext cx="5695950" cy="2788920"/>
                    </a:xfrm>
                    <a:prstGeom prst="rect">
                      <a:avLst/>
                    </a:prstGeom>
                    <a:noFill/>
                    <a:ln>
                      <a:noFill/>
                    </a:ln>
                    <a:extLst>
                      <a:ext uri="{53640926-AAD7-44D8-BBD7-CCE9431645EC}">
                        <a14:shadowObscured xmlns:a14="http://schemas.microsoft.com/office/drawing/2010/main"/>
                      </a:ext>
                    </a:extLst>
                  </pic:spPr>
                </pic:pic>
              </a:graphicData>
            </a:graphic>
          </wp:inline>
        </w:drawing>
      </w:r>
    </w:p>
    <w:p w14:paraId="26AB8F8E" w14:textId="30848CDE"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 xml:space="preserve">Figure </w:t>
      </w:r>
      <w:r w:rsidR="00A03232">
        <w:rPr>
          <w:rFonts w:ascii="Times New Roman" w:hAnsi="Times New Roman" w:cs="Times New Roman"/>
          <w:b/>
          <w:bCs/>
          <w:sz w:val="24"/>
          <w:szCs w:val="24"/>
        </w:rPr>
        <w:t>8</w:t>
      </w:r>
      <w:r w:rsidRPr="00477A9A">
        <w:rPr>
          <w:rFonts w:ascii="Times New Roman" w:hAnsi="Times New Roman" w:cs="Times New Roman"/>
          <w:b/>
          <w:bCs/>
          <w:sz w:val="24"/>
          <w:szCs w:val="24"/>
        </w:rPr>
        <w:t>: Cultural comparison of India and the United States across six Hofstede dimensions (Source: Hofstede Insights, 2023)</w:t>
      </w:r>
    </w:p>
    <w:p w14:paraId="4A31571B" w14:textId="77777777"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lastRenderedPageBreak/>
        <w:t>Hofstede’s Cultural Dimension Analysis: United States vs India</w:t>
      </w:r>
    </w:p>
    <w:p w14:paraId="61E77A94"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t>Understanding cultural distance is critical for any multinational company entering an emerging market, especially in the media and entertainment sector where cultural narratives, humour, values and social norms heavily influence consumer behaviour.</w:t>
      </w:r>
      <w:r>
        <w:rPr>
          <w:rFonts w:ascii="Times New Roman" w:hAnsi="Times New Roman" w:cs="Times New Roman"/>
          <w:sz w:val="24"/>
          <w:szCs w:val="24"/>
        </w:rPr>
        <w:t xml:space="preserve"> </w:t>
      </w:r>
      <w:r w:rsidRPr="00E61D51">
        <w:rPr>
          <w:rFonts w:ascii="Times New Roman" w:hAnsi="Times New Roman" w:cs="Times New Roman"/>
          <w:sz w:val="24"/>
          <w:szCs w:val="24"/>
        </w:rPr>
        <w:t>Hofstede’s cultural dimensions offer a structured way to analyse the deep-rooted differences between Netflix’s home country (United States) and its host country (India)</w:t>
      </w:r>
      <w:r>
        <w:rPr>
          <w:rFonts w:ascii="Times New Roman" w:hAnsi="Times New Roman" w:cs="Times New Roman"/>
          <w:sz w:val="24"/>
          <w:szCs w:val="24"/>
        </w:rPr>
        <w:t xml:space="preserve"> (</w:t>
      </w:r>
      <w:r w:rsidRPr="001610F3">
        <w:rPr>
          <w:rFonts w:ascii="Times New Roman" w:hAnsi="Times New Roman" w:cs="Times New Roman"/>
          <w:sz w:val="24"/>
          <w:szCs w:val="24"/>
        </w:rPr>
        <w:t xml:space="preserve">Jang, </w:t>
      </w:r>
      <w:r>
        <w:rPr>
          <w:rFonts w:ascii="Times New Roman" w:hAnsi="Times New Roman" w:cs="Times New Roman"/>
          <w:sz w:val="24"/>
          <w:szCs w:val="24"/>
        </w:rPr>
        <w:t>2023)</w:t>
      </w:r>
      <w:r w:rsidRPr="00E61D51">
        <w:rPr>
          <w:rFonts w:ascii="Times New Roman" w:hAnsi="Times New Roman" w:cs="Times New Roman"/>
          <w:sz w:val="24"/>
          <w:szCs w:val="24"/>
        </w:rPr>
        <w:t>.</w:t>
      </w:r>
    </w:p>
    <w:p w14:paraId="08565C75" w14:textId="793AB95B"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t>1. Power Distance (US: Low</w:t>
      </w:r>
      <w:r w:rsidR="00E84F05">
        <w:rPr>
          <w:rFonts w:ascii="Times New Roman" w:hAnsi="Times New Roman" w:cs="Times New Roman"/>
          <w:b/>
          <w:bCs/>
          <w:sz w:val="24"/>
          <w:szCs w:val="24"/>
        </w:rPr>
        <w:t xml:space="preserve"> (40)</w:t>
      </w:r>
      <w:r w:rsidRPr="00E61D51">
        <w:rPr>
          <w:rFonts w:ascii="Times New Roman" w:hAnsi="Times New Roman" w:cs="Times New Roman"/>
          <w:b/>
          <w:bCs/>
          <w:sz w:val="24"/>
          <w:szCs w:val="24"/>
        </w:rPr>
        <w:t>, India: High</w:t>
      </w:r>
      <w:r w:rsidR="00E84F05">
        <w:rPr>
          <w:rFonts w:ascii="Times New Roman" w:hAnsi="Times New Roman" w:cs="Times New Roman"/>
          <w:b/>
          <w:bCs/>
          <w:sz w:val="24"/>
          <w:szCs w:val="24"/>
        </w:rPr>
        <w:t xml:space="preserve"> (77)</w:t>
      </w:r>
      <w:r w:rsidRPr="00E61D51">
        <w:rPr>
          <w:rFonts w:ascii="Times New Roman" w:hAnsi="Times New Roman" w:cs="Times New Roman"/>
          <w:b/>
          <w:bCs/>
          <w:sz w:val="24"/>
          <w:szCs w:val="24"/>
        </w:rPr>
        <w:t>)</w:t>
      </w:r>
    </w:p>
    <w:p w14:paraId="74259C10"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t>India’s higher power distance reflects a society that is more accepting of hierarchy, social roles and structured authority. In business terms, employees may expect clearer instructions, stronger leadership direction and more formal decision-making structures</w:t>
      </w:r>
      <w:r>
        <w:rPr>
          <w:rFonts w:ascii="Times New Roman" w:hAnsi="Times New Roman" w:cs="Times New Roman"/>
          <w:sz w:val="24"/>
          <w:szCs w:val="24"/>
        </w:rPr>
        <w:t xml:space="preserve"> (</w:t>
      </w:r>
      <w:proofErr w:type="spellStart"/>
      <w:r w:rsidRPr="003B35BC">
        <w:rPr>
          <w:rFonts w:ascii="Times New Roman" w:hAnsi="Times New Roman" w:cs="Times New Roman"/>
          <w:sz w:val="24"/>
          <w:szCs w:val="24"/>
        </w:rPr>
        <w:t>Dezuanni</w:t>
      </w:r>
      <w:proofErr w:type="spellEnd"/>
      <w:r w:rsidRPr="003B35BC">
        <w:rPr>
          <w:rFonts w:ascii="Times New Roman" w:hAnsi="Times New Roman" w:cs="Times New Roman"/>
          <w:sz w:val="24"/>
          <w:szCs w:val="24"/>
        </w:rPr>
        <w:t>, M., 2021</w:t>
      </w:r>
      <w:r>
        <w:rPr>
          <w:rFonts w:ascii="Times New Roman" w:hAnsi="Times New Roman" w:cs="Times New Roman"/>
          <w:sz w:val="24"/>
          <w:szCs w:val="24"/>
        </w:rPr>
        <w:t>)</w:t>
      </w:r>
      <w:r w:rsidRPr="00E61D51">
        <w:rPr>
          <w:rFonts w:ascii="Times New Roman" w:hAnsi="Times New Roman" w:cs="Times New Roman"/>
          <w:sz w:val="24"/>
          <w:szCs w:val="24"/>
        </w:rPr>
        <w:t>.</w:t>
      </w:r>
    </w:p>
    <w:p w14:paraId="61E10E6B"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b/>
          <w:bCs/>
          <w:sz w:val="24"/>
          <w:szCs w:val="24"/>
        </w:rPr>
        <w:t>Implication for Netflix:</w:t>
      </w:r>
      <w:r>
        <w:rPr>
          <w:rFonts w:ascii="Times New Roman" w:hAnsi="Times New Roman" w:cs="Times New Roman"/>
          <w:sz w:val="24"/>
          <w:szCs w:val="24"/>
        </w:rPr>
        <w:t xml:space="preserve"> </w:t>
      </w:r>
      <w:r w:rsidRPr="00E61D51">
        <w:rPr>
          <w:rFonts w:ascii="Times New Roman" w:hAnsi="Times New Roman" w:cs="Times New Roman"/>
          <w:sz w:val="24"/>
          <w:szCs w:val="24"/>
        </w:rPr>
        <w:t>Netflix’s informal, autonomy-driven organisational culture needed some adaptation in India. Local teams often work more effectively with structured reporting lines and clearer escalation procedures, especially in content approval and regulatory discussions.</w:t>
      </w:r>
    </w:p>
    <w:p w14:paraId="11F2FB69" w14:textId="4CC4394D"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t>2. Individualism vs Collectivism (US: Very High</w:t>
      </w:r>
      <w:r w:rsidR="00E84F05">
        <w:rPr>
          <w:rFonts w:ascii="Times New Roman" w:hAnsi="Times New Roman" w:cs="Times New Roman"/>
          <w:b/>
          <w:bCs/>
          <w:sz w:val="24"/>
          <w:szCs w:val="24"/>
        </w:rPr>
        <w:t xml:space="preserve"> 73</w:t>
      </w:r>
      <w:r w:rsidRPr="00E61D51">
        <w:rPr>
          <w:rFonts w:ascii="Times New Roman" w:hAnsi="Times New Roman" w:cs="Times New Roman"/>
          <w:b/>
          <w:bCs/>
          <w:sz w:val="24"/>
          <w:szCs w:val="24"/>
        </w:rPr>
        <w:t>, India: Moderate Collectivism</w:t>
      </w:r>
      <w:r w:rsidR="00E84F05">
        <w:rPr>
          <w:rFonts w:ascii="Times New Roman" w:hAnsi="Times New Roman" w:cs="Times New Roman"/>
          <w:b/>
          <w:bCs/>
          <w:sz w:val="24"/>
          <w:szCs w:val="24"/>
        </w:rPr>
        <w:t xml:space="preserve"> 62</w:t>
      </w:r>
      <w:r w:rsidRPr="00E61D51">
        <w:rPr>
          <w:rFonts w:ascii="Times New Roman" w:hAnsi="Times New Roman" w:cs="Times New Roman"/>
          <w:b/>
          <w:bCs/>
          <w:sz w:val="24"/>
          <w:szCs w:val="24"/>
        </w:rPr>
        <w:t>)</w:t>
      </w:r>
    </w:p>
    <w:p w14:paraId="31A3AB22"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t>American culture strongly values individualism, personal expression and independent decision-making. In contrast, Indian society maintains collectivist tendencies, with strong ties to family, community and shared identity</w:t>
      </w:r>
      <w:r>
        <w:rPr>
          <w:rFonts w:ascii="Times New Roman" w:hAnsi="Times New Roman" w:cs="Times New Roman"/>
          <w:sz w:val="24"/>
          <w:szCs w:val="24"/>
        </w:rPr>
        <w:t xml:space="preserve"> (</w:t>
      </w:r>
      <w:proofErr w:type="spellStart"/>
      <w:r w:rsidRPr="001610F3">
        <w:rPr>
          <w:rFonts w:ascii="Times New Roman" w:hAnsi="Times New Roman" w:cs="Times New Roman"/>
          <w:sz w:val="24"/>
          <w:szCs w:val="24"/>
        </w:rPr>
        <w:t>Hendijani</w:t>
      </w:r>
      <w:proofErr w:type="spellEnd"/>
      <w:r>
        <w:rPr>
          <w:rFonts w:ascii="Times New Roman" w:hAnsi="Times New Roman" w:cs="Times New Roman"/>
          <w:sz w:val="24"/>
          <w:szCs w:val="24"/>
        </w:rPr>
        <w:t xml:space="preserve"> </w:t>
      </w:r>
      <w:r w:rsidRPr="001610F3">
        <w:rPr>
          <w:rFonts w:ascii="Times New Roman" w:hAnsi="Times New Roman" w:cs="Times New Roman"/>
          <w:sz w:val="24"/>
          <w:szCs w:val="24"/>
        </w:rPr>
        <w:t xml:space="preserve">and </w:t>
      </w:r>
      <w:proofErr w:type="spellStart"/>
      <w:r w:rsidRPr="001610F3">
        <w:rPr>
          <w:rFonts w:ascii="Times New Roman" w:hAnsi="Times New Roman" w:cs="Times New Roman"/>
          <w:sz w:val="24"/>
          <w:szCs w:val="24"/>
        </w:rPr>
        <w:t>Jaszus</w:t>
      </w:r>
      <w:proofErr w:type="spellEnd"/>
      <w:r w:rsidRPr="001610F3">
        <w:rPr>
          <w:rFonts w:ascii="Times New Roman" w:hAnsi="Times New Roman" w:cs="Times New Roman"/>
          <w:sz w:val="24"/>
          <w:szCs w:val="24"/>
        </w:rPr>
        <w:t>, 2024</w:t>
      </w:r>
      <w:r>
        <w:rPr>
          <w:rFonts w:ascii="Times New Roman" w:hAnsi="Times New Roman" w:cs="Times New Roman"/>
          <w:sz w:val="24"/>
          <w:szCs w:val="24"/>
        </w:rPr>
        <w:t>)</w:t>
      </w:r>
      <w:r w:rsidRPr="00E61D51">
        <w:rPr>
          <w:rFonts w:ascii="Times New Roman" w:hAnsi="Times New Roman" w:cs="Times New Roman"/>
          <w:sz w:val="24"/>
          <w:szCs w:val="24"/>
        </w:rPr>
        <w:t>.</w:t>
      </w:r>
    </w:p>
    <w:p w14:paraId="6EE915D5"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b/>
          <w:bCs/>
          <w:sz w:val="24"/>
          <w:szCs w:val="24"/>
        </w:rPr>
        <w:t>Implication for Netflix:</w:t>
      </w:r>
      <w:r>
        <w:rPr>
          <w:rFonts w:ascii="Times New Roman" w:hAnsi="Times New Roman" w:cs="Times New Roman"/>
          <w:sz w:val="24"/>
          <w:szCs w:val="24"/>
        </w:rPr>
        <w:t xml:space="preserve"> </w:t>
      </w:r>
      <w:r w:rsidRPr="00E61D51">
        <w:rPr>
          <w:rFonts w:ascii="Times New Roman" w:hAnsi="Times New Roman" w:cs="Times New Roman"/>
          <w:sz w:val="24"/>
          <w:szCs w:val="24"/>
        </w:rPr>
        <w:t>Content must reflect family-oriented values or themes that resonate emotionally.</w:t>
      </w:r>
      <w:r>
        <w:rPr>
          <w:rFonts w:ascii="Times New Roman" w:hAnsi="Times New Roman" w:cs="Times New Roman"/>
          <w:sz w:val="24"/>
          <w:szCs w:val="24"/>
        </w:rPr>
        <w:t xml:space="preserve"> </w:t>
      </w:r>
      <w:r w:rsidRPr="00E61D51">
        <w:rPr>
          <w:rFonts w:ascii="Times New Roman" w:hAnsi="Times New Roman" w:cs="Times New Roman"/>
          <w:sz w:val="24"/>
          <w:szCs w:val="24"/>
        </w:rPr>
        <w:t>Marketing messages that appeal to community belonging or shared viewing experiences perform better.</w:t>
      </w:r>
      <w:r>
        <w:rPr>
          <w:rFonts w:ascii="Times New Roman" w:hAnsi="Times New Roman" w:cs="Times New Roman"/>
          <w:sz w:val="24"/>
          <w:szCs w:val="24"/>
        </w:rPr>
        <w:t xml:space="preserve"> </w:t>
      </w:r>
      <w:r w:rsidRPr="00E61D51">
        <w:rPr>
          <w:rFonts w:ascii="Times New Roman" w:hAnsi="Times New Roman" w:cs="Times New Roman"/>
          <w:sz w:val="24"/>
          <w:szCs w:val="24"/>
        </w:rPr>
        <w:t>Stories involving family loyalty, social challenges or collective success tend to gain more traction than purely individualistic narratives.</w:t>
      </w:r>
    </w:p>
    <w:p w14:paraId="7EF78E73" w14:textId="726DB02E"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t>3. Masculinity (US: High</w:t>
      </w:r>
      <w:r w:rsidR="00E84F05">
        <w:rPr>
          <w:rFonts w:ascii="Times New Roman" w:hAnsi="Times New Roman" w:cs="Times New Roman"/>
          <w:b/>
          <w:bCs/>
          <w:sz w:val="24"/>
          <w:szCs w:val="24"/>
        </w:rPr>
        <w:t xml:space="preserve"> 62</w:t>
      </w:r>
      <w:r w:rsidRPr="00E61D51">
        <w:rPr>
          <w:rFonts w:ascii="Times New Roman" w:hAnsi="Times New Roman" w:cs="Times New Roman"/>
          <w:b/>
          <w:bCs/>
          <w:sz w:val="24"/>
          <w:szCs w:val="24"/>
        </w:rPr>
        <w:t>, India: Moderately High</w:t>
      </w:r>
      <w:r w:rsidR="00E84F05">
        <w:rPr>
          <w:rFonts w:ascii="Times New Roman" w:hAnsi="Times New Roman" w:cs="Times New Roman"/>
          <w:b/>
          <w:bCs/>
          <w:sz w:val="24"/>
          <w:szCs w:val="24"/>
        </w:rPr>
        <w:t xml:space="preserve"> 46</w:t>
      </w:r>
      <w:r w:rsidRPr="00E61D51">
        <w:rPr>
          <w:rFonts w:ascii="Times New Roman" w:hAnsi="Times New Roman" w:cs="Times New Roman"/>
          <w:b/>
          <w:bCs/>
          <w:sz w:val="24"/>
          <w:szCs w:val="24"/>
        </w:rPr>
        <w:t>)</w:t>
      </w:r>
    </w:p>
    <w:p w14:paraId="7A20DE90"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t>Both countries show competitive tendencies, but India expresses masculinity through traditional gender expectations, overlapping social roles and aspiration-driven storytelling.</w:t>
      </w:r>
    </w:p>
    <w:p w14:paraId="5A074634"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b/>
          <w:bCs/>
          <w:sz w:val="24"/>
          <w:szCs w:val="24"/>
        </w:rPr>
        <w:t>Implication for Netflix:</w:t>
      </w:r>
      <w:r>
        <w:rPr>
          <w:rFonts w:ascii="Times New Roman" w:hAnsi="Times New Roman" w:cs="Times New Roman"/>
          <w:sz w:val="24"/>
          <w:szCs w:val="24"/>
        </w:rPr>
        <w:t xml:space="preserve"> </w:t>
      </w:r>
      <w:r w:rsidRPr="00E61D51">
        <w:rPr>
          <w:rFonts w:ascii="Times New Roman" w:hAnsi="Times New Roman" w:cs="Times New Roman"/>
          <w:sz w:val="24"/>
          <w:szCs w:val="24"/>
        </w:rPr>
        <w:t>Netflix has to navigate sensitive themes carefully. Content touching on gender roles, sexuality or social critique can invite public scrutiny, highlighting the need for robust cultural review processes</w:t>
      </w:r>
      <w:r>
        <w:rPr>
          <w:rFonts w:ascii="Times New Roman" w:hAnsi="Times New Roman" w:cs="Times New Roman"/>
          <w:sz w:val="24"/>
          <w:szCs w:val="24"/>
        </w:rPr>
        <w:t xml:space="preserve"> (</w:t>
      </w:r>
      <w:r w:rsidRPr="001610F3">
        <w:rPr>
          <w:rFonts w:ascii="Times New Roman" w:hAnsi="Times New Roman" w:cs="Times New Roman"/>
          <w:sz w:val="24"/>
          <w:szCs w:val="24"/>
        </w:rPr>
        <w:t>Johnson,</w:t>
      </w:r>
      <w:r>
        <w:rPr>
          <w:rFonts w:ascii="Times New Roman" w:hAnsi="Times New Roman" w:cs="Times New Roman"/>
          <w:sz w:val="24"/>
          <w:szCs w:val="24"/>
        </w:rPr>
        <w:t xml:space="preserve"> </w:t>
      </w:r>
      <w:r w:rsidRPr="001610F3">
        <w:rPr>
          <w:rFonts w:ascii="Times New Roman" w:hAnsi="Times New Roman" w:cs="Times New Roman"/>
          <w:sz w:val="24"/>
          <w:szCs w:val="24"/>
        </w:rPr>
        <w:t>2021</w:t>
      </w:r>
      <w:r>
        <w:rPr>
          <w:rFonts w:ascii="Times New Roman" w:hAnsi="Times New Roman" w:cs="Times New Roman"/>
          <w:sz w:val="24"/>
          <w:szCs w:val="24"/>
        </w:rPr>
        <w:t>)</w:t>
      </w:r>
      <w:r w:rsidRPr="00E61D51">
        <w:rPr>
          <w:rFonts w:ascii="Times New Roman" w:hAnsi="Times New Roman" w:cs="Times New Roman"/>
          <w:sz w:val="24"/>
          <w:szCs w:val="24"/>
        </w:rPr>
        <w:t>.</w:t>
      </w:r>
    </w:p>
    <w:p w14:paraId="641D1786" w14:textId="61DA2BE8"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t>4. Uncertainty Avoidance (US: Lower</w:t>
      </w:r>
      <w:r w:rsidR="00E84F05">
        <w:rPr>
          <w:rFonts w:ascii="Times New Roman" w:hAnsi="Times New Roman" w:cs="Times New Roman"/>
          <w:b/>
          <w:bCs/>
          <w:sz w:val="24"/>
          <w:szCs w:val="24"/>
        </w:rPr>
        <w:t xml:space="preserve"> 40</w:t>
      </w:r>
      <w:r w:rsidRPr="00E61D51">
        <w:rPr>
          <w:rFonts w:ascii="Times New Roman" w:hAnsi="Times New Roman" w:cs="Times New Roman"/>
          <w:b/>
          <w:bCs/>
          <w:sz w:val="24"/>
          <w:szCs w:val="24"/>
        </w:rPr>
        <w:t>, India: Moderate</w:t>
      </w:r>
      <w:r w:rsidR="00E84F05">
        <w:rPr>
          <w:rFonts w:ascii="Times New Roman" w:hAnsi="Times New Roman" w:cs="Times New Roman"/>
          <w:b/>
          <w:bCs/>
          <w:sz w:val="24"/>
          <w:szCs w:val="24"/>
        </w:rPr>
        <w:t xml:space="preserve"> 56</w:t>
      </w:r>
      <w:r w:rsidRPr="00E61D51">
        <w:rPr>
          <w:rFonts w:ascii="Times New Roman" w:hAnsi="Times New Roman" w:cs="Times New Roman"/>
          <w:b/>
          <w:bCs/>
          <w:sz w:val="24"/>
          <w:szCs w:val="24"/>
        </w:rPr>
        <w:t>)</w:t>
      </w:r>
    </w:p>
    <w:p w14:paraId="4B1C5954"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lastRenderedPageBreak/>
        <w:t>India has a slightly higher need for structure, rules and predictability compared to the United States.</w:t>
      </w:r>
    </w:p>
    <w:p w14:paraId="199BC9B4"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b/>
          <w:bCs/>
          <w:sz w:val="24"/>
          <w:szCs w:val="24"/>
        </w:rPr>
        <w:t>Implication for Netflix:</w:t>
      </w:r>
      <w:r>
        <w:rPr>
          <w:rFonts w:ascii="Times New Roman" w:hAnsi="Times New Roman" w:cs="Times New Roman"/>
          <w:sz w:val="24"/>
          <w:szCs w:val="24"/>
        </w:rPr>
        <w:t xml:space="preserve"> </w:t>
      </w:r>
      <w:r w:rsidRPr="00E61D51">
        <w:rPr>
          <w:rFonts w:ascii="Times New Roman" w:hAnsi="Times New Roman" w:cs="Times New Roman"/>
          <w:sz w:val="24"/>
          <w:szCs w:val="24"/>
        </w:rPr>
        <w:t>Indian audiences may prefer familiar genres and predictable story arcs.</w:t>
      </w:r>
      <w:r>
        <w:rPr>
          <w:rFonts w:ascii="Times New Roman" w:hAnsi="Times New Roman" w:cs="Times New Roman"/>
          <w:sz w:val="24"/>
          <w:szCs w:val="24"/>
        </w:rPr>
        <w:t xml:space="preserve"> </w:t>
      </w:r>
      <w:r w:rsidRPr="00E61D51">
        <w:rPr>
          <w:rFonts w:ascii="Times New Roman" w:hAnsi="Times New Roman" w:cs="Times New Roman"/>
          <w:sz w:val="24"/>
          <w:szCs w:val="24"/>
        </w:rPr>
        <w:t>Viewers value clear messaging on content suitability</w:t>
      </w:r>
      <w:r>
        <w:rPr>
          <w:rFonts w:ascii="Times New Roman" w:hAnsi="Times New Roman" w:cs="Times New Roman"/>
          <w:sz w:val="24"/>
          <w:szCs w:val="24"/>
        </w:rPr>
        <w:t xml:space="preserve">, </w:t>
      </w:r>
      <w:r w:rsidRPr="00E61D51">
        <w:rPr>
          <w:rFonts w:ascii="Times New Roman" w:hAnsi="Times New Roman" w:cs="Times New Roman"/>
          <w:sz w:val="24"/>
          <w:szCs w:val="24"/>
        </w:rPr>
        <w:t>e.g., age ratings, parental controls.</w:t>
      </w:r>
      <w:r>
        <w:rPr>
          <w:rFonts w:ascii="Times New Roman" w:hAnsi="Times New Roman" w:cs="Times New Roman"/>
          <w:sz w:val="24"/>
          <w:szCs w:val="24"/>
        </w:rPr>
        <w:t xml:space="preserve"> </w:t>
      </w:r>
      <w:r w:rsidRPr="00E61D51">
        <w:rPr>
          <w:rFonts w:ascii="Times New Roman" w:hAnsi="Times New Roman" w:cs="Times New Roman"/>
          <w:sz w:val="24"/>
          <w:szCs w:val="24"/>
        </w:rPr>
        <w:t>Netflix must maintain steady regulatory compliance to avoid disruptions</w:t>
      </w:r>
      <w:r>
        <w:rPr>
          <w:rFonts w:ascii="Times New Roman" w:hAnsi="Times New Roman" w:cs="Times New Roman"/>
          <w:sz w:val="24"/>
          <w:szCs w:val="24"/>
        </w:rPr>
        <w:t xml:space="preserve"> (</w:t>
      </w:r>
      <w:r w:rsidRPr="003B35BC">
        <w:rPr>
          <w:rFonts w:ascii="Times New Roman" w:hAnsi="Times New Roman" w:cs="Times New Roman"/>
          <w:sz w:val="24"/>
          <w:szCs w:val="24"/>
        </w:rPr>
        <w:t>Lobato, 2021</w:t>
      </w:r>
      <w:r>
        <w:rPr>
          <w:rFonts w:ascii="Times New Roman" w:hAnsi="Times New Roman" w:cs="Times New Roman"/>
          <w:sz w:val="24"/>
          <w:szCs w:val="24"/>
        </w:rPr>
        <w:t>)</w:t>
      </w:r>
      <w:r w:rsidRPr="00E61D51">
        <w:rPr>
          <w:rFonts w:ascii="Times New Roman" w:hAnsi="Times New Roman" w:cs="Times New Roman"/>
          <w:sz w:val="24"/>
          <w:szCs w:val="24"/>
        </w:rPr>
        <w:t>.</w:t>
      </w:r>
    </w:p>
    <w:p w14:paraId="0895BE3C" w14:textId="52C6A865"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t>5. Long-Term Orientation (US: Short-Term</w:t>
      </w:r>
      <w:r w:rsidR="00E84F05">
        <w:rPr>
          <w:rFonts w:ascii="Times New Roman" w:hAnsi="Times New Roman" w:cs="Times New Roman"/>
          <w:b/>
          <w:bCs/>
          <w:sz w:val="24"/>
          <w:szCs w:val="24"/>
        </w:rPr>
        <w:t xml:space="preserve"> 35</w:t>
      </w:r>
      <w:r w:rsidRPr="00E61D51">
        <w:rPr>
          <w:rFonts w:ascii="Times New Roman" w:hAnsi="Times New Roman" w:cs="Times New Roman"/>
          <w:b/>
          <w:bCs/>
          <w:sz w:val="24"/>
          <w:szCs w:val="24"/>
        </w:rPr>
        <w:t>, India: Long-Term</w:t>
      </w:r>
      <w:r w:rsidR="00E84F05">
        <w:rPr>
          <w:rFonts w:ascii="Times New Roman" w:hAnsi="Times New Roman" w:cs="Times New Roman"/>
          <w:b/>
          <w:bCs/>
          <w:sz w:val="24"/>
          <w:szCs w:val="24"/>
        </w:rPr>
        <w:t xml:space="preserve"> 51</w:t>
      </w:r>
      <w:r w:rsidRPr="00E61D51">
        <w:rPr>
          <w:rFonts w:ascii="Times New Roman" w:hAnsi="Times New Roman" w:cs="Times New Roman"/>
          <w:b/>
          <w:bCs/>
          <w:sz w:val="24"/>
          <w:szCs w:val="24"/>
        </w:rPr>
        <w:t>)</w:t>
      </w:r>
    </w:p>
    <w:p w14:paraId="73AFADFB"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t>India has a strong long-term orientation shaped by tradition, planning, education and intergenerational thinking.</w:t>
      </w:r>
    </w:p>
    <w:p w14:paraId="1638D68C" w14:textId="01686AB3"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b/>
          <w:bCs/>
          <w:sz w:val="24"/>
          <w:szCs w:val="24"/>
        </w:rPr>
        <w:t>Implication for Netflix:</w:t>
      </w:r>
      <w:r>
        <w:rPr>
          <w:rFonts w:ascii="Times New Roman" w:hAnsi="Times New Roman" w:cs="Times New Roman"/>
          <w:sz w:val="24"/>
          <w:szCs w:val="24"/>
        </w:rPr>
        <w:t xml:space="preserve"> </w:t>
      </w:r>
      <w:r w:rsidRPr="00E61D51">
        <w:rPr>
          <w:rFonts w:ascii="Times New Roman" w:hAnsi="Times New Roman" w:cs="Times New Roman"/>
          <w:sz w:val="24"/>
          <w:szCs w:val="24"/>
        </w:rPr>
        <w:t>Long-term content investments</w:t>
      </w:r>
      <w:r>
        <w:rPr>
          <w:rFonts w:ascii="Times New Roman" w:hAnsi="Times New Roman" w:cs="Times New Roman"/>
          <w:sz w:val="24"/>
          <w:szCs w:val="24"/>
        </w:rPr>
        <w:t xml:space="preserve"> </w:t>
      </w:r>
      <w:r w:rsidRPr="00E61D51">
        <w:rPr>
          <w:rFonts w:ascii="Times New Roman" w:hAnsi="Times New Roman" w:cs="Times New Roman"/>
          <w:sz w:val="24"/>
          <w:szCs w:val="24"/>
        </w:rPr>
        <w:t>such as multi-season local originals, strategic partnerships and sustained regional-language production</w:t>
      </w:r>
      <w:r>
        <w:rPr>
          <w:rFonts w:ascii="Times New Roman" w:hAnsi="Times New Roman" w:cs="Times New Roman"/>
          <w:sz w:val="24"/>
          <w:szCs w:val="24"/>
        </w:rPr>
        <w:t xml:space="preserve"> </w:t>
      </w:r>
      <w:r w:rsidRPr="00E61D51">
        <w:rPr>
          <w:rFonts w:ascii="Times New Roman" w:hAnsi="Times New Roman" w:cs="Times New Roman"/>
          <w:sz w:val="24"/>
          <w:szCs w:val="24"/>
        </w:rPr>
        <w:t>align well with India’s market expectations</w:t>
      </w:r>
      <w:r w:rsidR="00DF39D8">
        <w:rPr>
          <w:rFonts w:ascii="Times New Roman" w:hAnsi="Times New Roman" w:cs="Times New Roman"/>
          <w:sz w:val="24"/>
          <w:szCs w:val="24"/>
        </w:rPr>
        <w:t>.</w:t>
      </w:r>
      <w:r>
        <w:rPr>
          <w:rFonts w:ascii="Times New Roman" w:hAnsi="Times New Roman" w:cs="Times New Roman"/>
          <w:sz w:val="24"/>
          <w:szCs w:val="24"/>
        </w:rPr>
        <w:t xml:space="preserve">          </w:t>
      </w:r>
    </w:p>
    <w:p w14:paraId="1D8B6691" w14:textId="77777777" w:rsidR="00477A9A" w:rsidRPr="00E61D51" w:rsidRDefault="00477A9A" w:rsidP="00477A9A">
      <w:pPr>
        <w:spacing w:line="360" w:lineRule="auto"/>
        <w:jc w:val="both"/>
        <w:rPr>
          <w:rFonts w:ascii="Times New Roman" w:hAnsi="Times New Roman" w:cs="Times New Roman"/>
          <w:b/>
          <w:bCs/>
          <w:sz w:val="24"/>
          <w:szCs w:val="24"/>
        </w:rPr>
      </w:pPr>
      <w:r w:rsidRPr="00E61D51">
        <w:rPr>
          <w:rFonts w:ascii="Times New Roman" w:hAnsi="Times New Roman" w:cs="Times New Roman"/>
          <w:b/>
          <w:bCs/>
          <w:sz w:val="24"/>
          <w:szCs w:val="24"/>
        </w:rPr>
        <w:t>Overall Cultural Insight</w:t>
      </w:r>
    </w:p>
    <w:p w14:paraId="07EA9AE0" w14:textId="77777777" w:rsidR="00477A9A" w:rsidRPr="00E61D51" w:rsidRDefault="00477A9A" w:rsidP="00477A9A">
      <w:pPr>
        <w:spacing w:line="360" w:lineRule="auto"/>
        <w:jc w:val="both"/>
        <w:rPr>
          <w:rFonts w:ascii="Times New Roman" w:hAnsi="Times New Roman" w:cs="Times New Roman"/>
          <w:sz w:val="24"/>
          <w:szCs w:val="24"/>
        </w:rPr>
      </w:pPr>
      <w:r w:rsidRPr="00E61D51">
        <w:rPr>
          <w:rFonts w:ascii="Times New Roman" w:hAnsi="Times New Roman" w:cs="Times New Roman"/>
          <w:sz w:val="24"/>
          <w:szCs w:val="24"/>
        </w:rPr>
        <w:t>Netflix’s early difficulties in India stemmed partly from cultural misalignment. Imported content and international genres appealed to urban elites but not to broader Indian audiences. As Netflix added more local stories, regional languages and culturally familiar themes, its acceptance increased. This demonstrates how cultural understanding directly shapes competitive performance in India.</w:t>
      </w:r>
    </w:p>
    <w:p w14:paraId="3480A3DC" w14:textId="4CB048D3" w:rsidR="00477A9A" w:rsidRPr="00477A9A" w:rsidRDefault="00477A9A" w:rsidP="00477A9A">
      <w:pPr>
        <w:spacing w:line="360" w:lineRule="auto"/>
        <w:jc w:val="both"/>
        <w:rPr>
          <w:rFonts w:ascii="Times New Roman" w:hAnsi="Times New Roman" w:cs="Times New Roman"/>
          <w:sz w:val="24"/>
          <w:szCs w:val="24"/>
        </w:rPr>
      </w:pPr>
    </w:p>
    <w:p w14:paraId="461AF667"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5.2 Cultural Implications for Netflix in India</w:t>
      </w:r>
    </w:p>
    <w:p w14:paraId="136BB233"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The cultural differences between the United States and India have direct implications for Netflix’s content strategy, platform design and communication approach. India’s collectivist tendencies, higher power distance and restrained indulgence shape how audiences evaluate streaming services and interact with digital platforms.</w:t>
      </w:r>
    </w:p>
    <w:p w14:paraId="735F6D84" w14:textId="77777777" w:rsidR="00E84F05"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Content Strategy:</w:t>
      </w:r>
    </w:p>
    <w:p w14:paraId="25A00DC5" w14:textId="28854B09"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Indian viewers prefer culturally grounded narratives, regionally specific storytelling and themes reflecting family, community and social values. Netflix must prioritise local-language originals, festival-timed releases and narratives aligned with cultural norms. Content that challenges traditions requires careful cultural sensitivity review</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Denson, 2023</w:t>
      </w:r>
      <w:r w:rsidR="00D243EA">
        <w:rPr>
          <w:rFonts w:ascii="Times New Roman" w:hAnsi="Times New Roman" w:cs="Times New Roman"/>
          <w:sz w:val="24"/>
          <w:szCs w:val="24"/>
        </w:rPr>
        <w:t>)</w:t>
      </w:r>
      <w:r w:rsidRPr="00477A9A">
        <w:rPr>
          <w:rFonts w:ascii="Times New Roman" w:hAnsi="Times New Roman" w:cs="Times New Roman"/>
          <w:sz w:val="24"/>
          <w:szCs w:val="24"/>
        </w:rPr>
        <w:t>.</w:t>
      </w:r>
    </w:p>
    <w:p w14:paraId="5A68E965" w14:textId="77777777" w:rsidR="00E84F05"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Platform Experience:</w:t>
      </w:r>
    </w:p>
    <w:p w14:paraId="083CFDBC" w14:textId="4A114934"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lastRenderedPageBreak/>
        <w:t>Given India’s emphasis on family viewing, Netflix must ensure strong parental controls, clear age ratings and easy navigation for multi-user households. Higher power distance also means audiences expect Netflix to act responsibly regarding sensitive topics, reinforcing the need for proactive content governance</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Fung</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and Chik, 2021</w:t>
      </w:r>
      <w:r w:rsidR="00D243EA">
        <w:rPr>
          <w:rFonts w:ascii="Times New Roman" w:hAnsi="Times New Roman" w:cs="Times New Roman"/>
          <w:sz w:val="24"/>
          <w:szCs w:val="24"/>
        </w:rPr>
        <w:t>)</w:t>
      </w:r>
      <w:r w:rsidRPr="00477A9A">
        <w:rPr>
          <w:rFonts w:ascii="Times New Roman" w:hAnsi="Times New Roman" w:cs="Times New Roman"/>
          <w:sz w:val="24"/>
          <w:szCs w:val="24"/>
        </w:rPr>
        <w:t>.</w:t>
      </w:r>
    </w:p>
    <w:p w14:paraId="08A7D8E3" w14:textId="77777777" w:rsidR="00E84F05"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Communication and Marketing:</w:t>
      </w:r>
    </w:p>
    <w:p w14:paraId="2C52E298" w14:textId="5B078852"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Indian consumers respond positively to emotional, community-oriented and value-focused messaging. Therefore</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Marketing campaigns should highlight shared entertainment experiences, festival viewing and social connection.</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Pricing communication must emphasise affordability, transparency and bundled value.</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Promotions using local celebrities and regional influencers can strengthen cultural resonance</w:t>
      </w:r>
      <w:r w:rsidR="00D243EA">
        <w:rPr>
          <w:rFonts w:ascii="Times New Roman" w:hAnsi="Times New Roman" w:cs="Times New Roman"/>
          <w:sz w:val="24"/>
          <w:szCs w:val="24"/>
        </w:rPr>
        <w:t xml:space="preserve"> (</w:t>
      </w:r>
      <w:r w:rsidR="00D243EA" w:rsidRPr="003B35BC">
        <w:rPr>
          <w:rFonts w:ascii="Times New Roman" w:hAnsi="Times New Roman" w:cs="Times New Roman"/>
          <w:sz w:val="24"/>
          <w:szCs w:val="24"/>
        </w:rPr>
        <w:t>Mitchell,</w:t>
      </w:r>
      <w:r w:rsidR="00D243EA">
        <w:rPr>
          <w:rFonts w:ascii="Times New Roman" w:hAnsi="Times New Roman" w:cs="Times New Roman"/>
          <w:sz w:val="24"/>
          <w:szCs w:val="24"/>
        </w:rPr>
        <w:t xml:space="preserve"> 2025)</w:t>
      </w:r>
      <w:r w:rsidRPr="00477A9A">
        <w:rPr>
          <w:rFonts w:ascii="Times New Roman" w:hAnsi="Times New Roman" w:cs="Times New Roman"/>
          <w:sz w:val="24"/>
          <w:szCs w:val="24"/>
        </w:rPr>
        <w:t>.</w:t>
      </w:r>
      <w:r w:rsidR="00D243EA">
        <w:rPr>
          <w:rFonts w:ascii="Times New Roman" w:hAnsi="Times New Roman" w:cs="Times New Roman"/>
          <w:sz w:val="24"/>
          <w:szCs w:val="24"/>
        </w:rPr>
        <w:t xml:space="preserve"> </w:t>
      </w:r>
      <w:r w:rsidRPr="00477A9A">
        <w:rPr>
          <w:rFonts w:ascii="Times New Roman" w:hAnsi="Times New Roman" w:cs="Times New Roman"/>
          <w:sz w:val="24"/>
          <w:szCs w:val="24"/>
        </w:rPr>
        <w:t>Overall, adapting Netflix’s content, platform features and marketing communication to India’s cultural context is essential for deepening engagement, expanding the subscriber base and ensuring sustainable performance. These cultural insights reinforce the importance of SOPs that integrate cultural awareness into decision-making across Netflix’s India operations.</w:t>
      </w:r>
    </w:p>
    <w:p w14:paraId="7B9E02D9" w14:textId="77777777" w:rsidR="00DF39D8" w:rsidRDefault="00DF39D8" w:rsidP="00477A9A">
      <w:pPr>
        <w:spacing w:line="360" w:lineRule="auto"/>
        <w:jc w:val="both"/>
        <w:rPr>
          <w:rFonts w:ascii="Times New Roman" w:hAnsi="Times New Roman" w:cs="Times New Roman"/>
          <w:b/>
          <w:bCs/>
          <w:sz w:val="24"/>
          <w:szCs w:val="24"/>
        </w:rPr>
      </w:pPr>
    </w:p>
    <w:p w14:paraId="21BB0C38" w14:textId="77777777" w:rsidR="00102A75" w:rsidRDefault="00102A75" w:rsidP="00477A9A">
      <w:pPr>
        <w:spacing w:line="360" w:lineRule="auto"/>
        <w:jc w:val="both"/>
        <w:rPr>
          <w:rFonts w:ascii="Times New Roman" w:hAnsi="Times New Roman" w:cs="Times New Roman"/>
          <w:b/>
          <w:bCs/>
          <w:sz w:val="24"/>
          <w:szCs w:val="24"/>
        </w:rPr>
      </w:pPr>
    </w:p>
    <w:p w14:paraId="1E424B12" w14:textId="77777777" w:rsidR="00102A75" w:rsidRDefault="00102A75" w:rsidP="00477A9A">
      <w:pPr>
        <w:spacing w:line="360" w:lineRule="auto"/>
        <w:jc w:val="both"/>
        <w:rPr>
          <w:rFonts w:ascii="Times New Roman" w:hAnsi="Times New Roman" w:cs="Times New Roman"/>
          <w:b/>
          <w:bCs/>
          <w:sz w:val="24"/>
          <w:szCs w:val="24"/>
        </w:rPr>
      </w:pPr>
    </w:p>
    <w:p w14:paraId="64295A1C" w14:textId="77777777" w:rsidR="00102A75" w:rsidRDefault="00102A75" w:rsidP="00477A9A">
      <w:pPr>
        <w:spacing w:line="360" w:lineRule="auto"/>
        <w:jc w:val="both"/>
        <w:rPr>
          <w:rFonts w:ascii="Times New Roman" w:hAnsi="Times New Roman" w:cs="Times New Roman"/>
          <w:b/>
          <w:bCs/>
          <w:sz w:val="24"/>
          <w:szCs w:val="24"/>
        </w:rPr>
      </w:pPr>
    </w:p>
    <w:p w14:paraId="4E2ED9E0" w14:textId="77777777" w:rsidR="00102A75" w:rsidRDefault="00102A75" w:rsidP="00477A9A">
      <w:pPr>
        <w:spacing w:line="360" w:lineRule="auto"/>
        <w:jc w:val="both"/>
        <w:rPr>
          <w:rFonts w:ascii="Times New Roman" w:hAnsi="Times New Roman" w:cs="Times New Roman"/>
          <w:b/>
          <w:bCs/>
          <w:sz w:val="24"/>
          <w:szCs w:val="24"/>
        </w:rPr>
      </w:pPr>
    </w:p>
    <w:p w14:paraId="4104B64E" w14:textId="77777777" w:rsidR="00102A75" w:rsidRDefault="00102A75" w:rsidP="00477A9A">
      <w:pPr>
        <w:spacing w:line="360" w:lineRule="auto"/>
        <w:jc w:val="both"/>
        <w:rPr>
          <w:rFonts w:ascii="Times New Roman" w:hAnsi="Times New Roman" w:cs="Times New Roman"/>
          <w:b/>
          <w:bCs/>
          <w:sz w:val="24"/>
          <w:szCs w:val="24"/>
        </w:rPr>
      </w:pPr>
    </w:p>
    <w:p w14:paraId="682E9C28" w14:textId="77777777" w:rsidR="00102A75" w:rsidRDefault="00102A75" w:rsidP="00477A9A">
      <w:pPr>
        <w:spacing w:line="360" w:lineRule="auto"/>
        <w:jc w:val="both"/>
        <w:rPr>
          <w:rFonts w:ascii="Times New Roman" w:hAnsi="Times New Roman" w:cs="Times New Roman"/>
          <w:b/>
          <w:bCs/>
          <w:sz w:val="24"/>
          <w:szCs w:val="24"/>
        </w:rPr>
      </w:pPr>
    </w:p>
    <w:p w14:paraId="594065BB" w14:textId="77777777" w:rsidR="00102A75" w:rsidRDefault="00102A75" w:rsidP="00477A9A">
      <w:pPr>
        <w:spacing w:line="360" w:lineRule="auto"/>
        <w:jc w:val="both"/>
        <w:rPr>
          <w:rFonts w:ascii="Times New Roman" w:hAnsi="Times New Roman" w:cs="Times New Roman"/>
          <w:b/>
          <w:bCs/>
          <w:sz w:val="24"/>
          <w:szCs w:val="24"/>
        </w:rPr>
      </w:pPr>
    </w:p>
    <w:p w14:paraId="0548F611" w14:textId="77777777" w:rsidR="00102A75" w:rsidRDefault="00102A75" w:rsidP="00477A9A">
      <w:pPr>
        <w:spacing w:line="360" w:lineRule="auto"/>
        <w:jc w:val="both"/>
        <w:rPr>
          <w:rFonts w:ascii="Times New Roman" w:hAnsi="Times New Roman" w:cs="Times New Roman"/>
          <w:b/>
          <w:bCs/>
          <w:sz w:val="24"/>
          <w:szCs w:val="24"/>
        </w:rPr>
      </w:pPr>
    </w:p>
    <w:p w14:paraId="4374C45F" w14:textId="77777777" w:rsidR="00102A75" w:rsidRDefault="00102A75" w:rsidP="00477A9A">
      <w:pPr>
        <w:spacing w:line="360" w:lineRule="auto"/>
        <w:jc w:val="both"/>
        <w:rPr>
          <w:rFonts w:ascii="Times New Roman" w:hAnsi="Times New Roman" w:cs="Times New Roman"/>
          <w:b/>
          <w:bCs/>
          <w:sz w:val="24"/>
          <w:szCs w:val="24"/>
        </w:rPr>
      </w:pPr>
    </w:p>
    <w:p w14:paraId="6029F548" w14:textId="77777777" w:rsidR="00102A75" w:rsidRDefault="00102A75" w:rsidP="00477A9A">
      <w:pPr>
        <w:spacing w:line="360" w:lineRule="auto"/>
        <w:jc w:val="both"/>
        <w:rPr>
          <w:rFonts w:ascii="Times New Roman" w:hAnsi="Times New Roman" w:cs="Times New Roman"/>
          <w:b/>
          <w:bCs/>
          <w:sz w:val="24"/>
          <w:szCs w:val="24"/>
        </w:rPr>
      </w:pPr>
    </w:p>
    <w:p w14:paraId="3B3517A7" w14:textId="77777777" w:rsidR="00102A75" w:rsidRDefault="00102A75" w:rsidP="00477A9A">
      <w:pPr>
        <w:spacing w:line="360" w:lineRule="auto"/>
        <w:jc w:val="both"/>
        <w:rPr>
          <w:rFonts w:ascii="Times New Roman" w:hAnsi="Times New Roman" w:cs="Times New Roman"/>
          <w:b/>
          <w:bCs/>
          <w:sz w:val="24"/>
          <w:szCs w:val="24"/>
        </w:rPr>
      </w:pPr>
    </w:p>
    <w:p w14:paraId="778A61C8" w14:textId="77777777" w:rsidR="00102A75" w:rsidRDefault="00102A75" w:rsidP="00477A9A">
      <w:pPr>
        <w:spacing w:line="360" w:lineRule="auto"/>
        <w:jc w:val="both"/>
        <w:rPr>
          <w:rFonts w:ascii="Times New Roman" w:hAnsi="Times New Roman" w:cs="Times New Roman"/>
          <w:b/>
          <w:bCs/>
          <w:sz w:val="24"/>
          <w:szCs w:val="24"/>
        </w:rPr>
      </w:pPr>
    </w:p>
    <w:p w14:paraId="40001614" w14:textId="65EE2212" w:rsidR="00477A9A" w:rsidRPr="00102A75" w:rsidRDefault="00477A9A" w:rsidP="00102A75">
      <w:pPr>
        <w:pStyle w:val="Heading1"/>
        <w:jc w:val="center"/>
        <w:rPr>
          <w:rFonts w:ascii="Times New Roman" w:hAnsi="Times New Roman" w:cs="Times New Roman"/>
          <w:b/>
          <w:bCs/>
          <w:color w:val="auto"/>
        </w:rPr>
      </w:pPr>
      <w:r w:rsidRPr="00102A75">
        <w:rPr>
          <w:rFonts w:ascii="Times New Roman" w:hAnsi="Times New Roman" w:cs="Times New Roman"/>
          <w:b/>
          <w:bCs/>
          <w:color w:val="auto"/>
        </w:rPr>
        <w:lastRenderedPageBreak/>
        <w:t>6. Porter’s Diamond Model: Competitiveness of the Indian Streaming &amp; Media Industry</w:t>
      </w:r>
    </w:p>
    <w:p w14:paraId="1EA0C95E" w14:textId="77777777"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Porter’s Diamond Model provides a structured way to assess India’s competitiveness as a market for Netflix. By examining factor conditions, demand conditions, related and supporting industries, firm rivalry and the influence of government and chance events (Wang, 2021), the model highlights both opportunities and constraints within India’s media and digital ecosystem.</w:t>
      </w:r>
    </w:p>
    <w:p w14:paraId="1959D4FF" w14:textId="77777777" w:rsidR="00274A06" w:rsidRPr="00274A06" w:rsidRDefault="00274A06" w:rsidP="00274A06">
      <w:pPr>
        <w:spacing w:line="360" w:lineRule="auto"/>
        <w:jc w:val="both"/>
        <w:rPr>
          <w:rFonts w:ascii="Times New Roman" w:hAnsi="Times New Roman" w:cs="Times New Roman"/>
          <w:b/>
          <w:bCs/>
          <w:sz w:val="24"/>
          <w:szCs w:val="24"/>
        </w:rPr>
      </w:pPr>
      <w:r w:rsidRPr="00274A06">
        <w:rPr>
          <w:rFonts w:ascii="Times New Roman" w:hAnsi="Times New Roman" w:cs="Times New Roman"/>
          <w:b/>
          <w:bCs/>
          <w:sz w:val="24"/>
          <w:szCs w:val="24"/>
        </w:rPr>
        <w:t>6.1 Factor Conditions</w:t>
      </w:r>
    </w:p>
    <w:p w14:paraId="264CF6CE" w14:textId="716C34B5"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India offers strong factor conditions for streaming growth, including some of the world’s lowest mobile data prices, high smartphone usage and expanding 4G and 5G networks (Cao, 2023). The country also has a large pool of creative talent across major film hubs such as Mumbai, Hyderabad, Chennai and Kochi, enabling Netflix to develop high-quality regional originals. A mature digital payments system</w:t>
      </w:r>
      <w:r w:rsidR="00102A75">
        <w:rPr>
          <w:rFonts w:ascii="Times New Roman" w:hAnsi="Times New Roman" w:cs="Times New Roman"/>
          <w:sz w:val="24"/>
          <w:szCs w:val="24"/>
        </w:rPr>
        <w:t xml:space="preserve"> </w:t>
      </w:r>
      <w:r w:rsidRPr="00274A06">
        <w:rPr>
          <w:rFonts w:ascii="Times New Roman" w:hAnsi="Times New Roman" w:cs="Times New Roman"/>
          <w:sz w:val="24"/>
          <w:szCs w:val="24"/>
        </w:rPr>
        <w:t xml:space="preserve">UPI, Paytm and </w:t>
      </w:r>
      <w:proofErr w:type="spellStart"/>
      <w:r w:rsidRPr="00274A06">
        <w:rPr>
          <w:rFonts w:ascii="Times New Roman" w:hAnsi="Times New Roman" w:cs="Times New Roman"/>
          <w:sz w:val="24"/>
          <w:szCs w:val="24"/>
        </w:rPr>
        <w:t>PhonePe</w:t>
      </w:r>
      <w:proofErr w:type="spellEnd"/>
      <w:r w:rsidR="00102A75">
        <w:rPr>
          <w:rFonts w:ascii="Times New Roman" w:hAnsi="Times New Roman" w:cs="Times New Roman"/>
          <w:sz w:val="24"/>
          <w:szCs w:val="24"/>
        </w:rPr>
        <w:t xml:space="preserve"> </w:t>
      </w:r>
      <w:r w:rsidRPr="00274A06">
        <w:rPr>
          <w:rFonts w:ascii="Times New Roman" w:hAnsi="Times New Roman" w:cs="Times New Roman"/>
          <w:sz w:val="24"/>
          <w:szCs w:val="24"/>
        </w:rPr>
        <w:t>further supports subscription accessibility (Shipman, 2021). However, uneven broadband quality and inconsistent electricity supply across regions pose challenges for stable streaming, requiring Netflix to optimise compression and adaptive bitrate technologies.</w:t>
      </w:r>
    </w:p>
    <w:p w14:paraId="71A51134" w14:textId="77777777" w:rsidR="00274A06" w:rsidRPr="00274A06" w:rsidRDefault="00274A06" w:rsidP="00274A06">
      <w:pPr>
        <w:spacing w:line="360" w:lineRule="auto"/>
        <w:jc w:val="both"/>
        <w:rPr>
          <w:rFonts w:ascii="Times New Roman" w:hAnsi="Times New Roman" w:cs="Times New Roman"/>
          <w:b/>
          <w:bCs/>
          <w:sz w:val="24"/>
          <w:szCs w:val="24"/>
        </w:rPr>
      </w:pPr>
      <w:r w:rsidRPr="00274A06">
        <w:rPr>
          <w:rFonts w:ascii="Times New Roman" w:hAnsi="Times New Roman" w:cs="Times New Roman"/>
          <w:b/>
          <w:bCs/>
          <w:sz w:val="24"/>
          <w:szCs w:val="24"/>
        </w:rPr>
        <w:t>6.2 Demand Conditions</w:t>
      </w:r>
    </w:p>
    <w:p w14:paraId="6491E5F5" w14:textId="77777777"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India’s demand conditions strongly favour streaming expansion. With a population of over 1.4 billion and a median age of 29, the country has one of the world’s largest young digital audiences. Rising incomes, growing urbanisation and exposure to global content have increased demand for premium streaming services (Dowling, 2024). Viewership is driven by mobile-first consumption, strong interest in genres such as crime, family drama, romance and regional storytelling and festival-season spikes. However, high price sensitivity and a preference for regional-language content require Netflix to offer culturally relevant originals and competitive pricing (Hart, 2024).</w:t>
      </w:r>
    </w:p>
    <w:p w14:paraId="4C2FE1C3" w14:textId="77777777" w:rsidR="00274A06" w:rsidRPr="00274A06" w:rsidRDefault="00274A06" w:rsidP="00274A06">
      <w:pPr>
        <w:spacing w:line="360" w:lineRule="auto"/>
        <w:jc w:val="both"/>
        <w:rPr>
          <w:rFonts w:ascii="Times New Roman" w:hAnsi="Times New Roman" w:cs="Times New Roman"/>
          <w:b/>
          <w:bCs/>
          <w:sz w:val="24"/>
          <w:szCs w:val="24"/>
        </w:rPr>
      </w:pPr>
      <w:r w:rsidRPr="00274A06">
        <w:rPr>
          <w:rFonts w:ascii="Times New Roman" w:hAnsi="Times New Roman" w:cs="Times New Roman"/>
          <w:b/>
          <w:bCs/>
          <w:sz w:val="24"/>
          <w:szCs w:val="24"/>
        </w:rPr>
        <w:t>6.3 Related and Supporting Industries</w:t>
      </w:r>
    </w:p>
    <w:p w14:paraId="63F4D60C" w14:textId="5A05BE5D"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India’s well-developed creative and technological industries significantly support Netflix. The country hosts one of the world’s largest film ecosystems, enabling abundant content development and talent sourcing (Zeng, 2025). Rapidly growing digital marketing sectors and social media platforms</w:t>
      </w:r>
      <w:r w:rsidR="00102A75">
        <w:rPr>
          <w:rFonts w:ascii="Times New Roman" w:hAnsi="Times New Roman" w:cs="Times New Roman"/>
          <w:sz w:val="24"/>
          <w:szCs w:val="24"/>
        </w:rPr>
        <w:t xml:space="preserve"> </w:t>
      </w:r>
      <w:r w:rsidRPr="00274A06">
        <w:rPr>
          <w:rFonts w:ascii="Times New Roman" w:hAnsi="Times New Roman" w:cs="Times New Roman"/>
          <w:sz w:val="24"/>
          <w:szCs w:val="24"/>
        </w:rPr>
        <w:t>Instagram, YouTube, TikTok</w:t>
      </w:r>
      <w:r w:rsidR="00102A75">
        <w:rPr>
          <w:rFonts w:ascii="Times New Roman" w:hAnsi="Times New Roman" w:cs="Times New Roman"/>
          <w:sz w:val="24"/>
          <w:szCs w:val="24"/>
        </w:rPr>
        <w:t xml:space="preserve"> </w:t>
      </w:r>
      <w:r w:rsidRPr="00274A06">
        <w:rPr>
          <w:rFonts w:ascii="Times New Roman" w:hAnsi="Times New Roman" w:cs="Times New Roman"/>
          <w:sz w:val="24"/>
          <w:szCs w:val="24"/>
        </w:rPr>
        <w:t xml:space="preserve">play a major role in promoting Netflix titles. Strong logistics and consumer technology markets ensure widespread access to </w:t>
      </w:r>
      <w:r w:rsidRPr="00274A06">
        <w:rPr>
          <w:rFonts w:ascii="Times New Roman" w:hAnsi="Times New Roman" w:cs="Times New Roman"/>
          <w:sz w:val="24"/>
          <w:szCs w:val="24"/>
        </w:rPr>
        <w:lastRenderedPageBreak/>
        <w:t>smartphones, smart TVs and streaming devices (Torun, 2025). Fintech innovations, including seamless UPI-based payments, further enhance Netflix’s scalability (Mills, 2022).</w:t>
      </w:r>
    </w:p>
    <w:p w14:paraId="42C46CE4" w14:textId="77777777" w:rsidR="00274A06" w:rsidRPr="00274A06" w:rsidRDefault="00274A06" w:rsidP="00274A06">
      <w:pPr>
        <w:spacing w:line="360" w:lineRule="auto"/>
        <w:jc w:val="both"/>
        <w:rPr>
          <w:rFonts w:ascii="Times New Roman" w:hAnsi="Times New Roman" w:cs="Times New Roman"/>
          <w:b/>
          <w:bCs/>
          <w:sz w:val="24"/>
          <w:szCs w:val="24"/>
        </w:rPr>
      </w:pPr>
      <w:r w:rsidRPr="00274A06">
        <w:rPr>
          <w:rFonts w:ascii="Times New Roman" w:hAnsi="Times New Roman" w:cs="Times New Roman"/>
          <w:b/>
          <w:bCs/>
          <w:sz w:val="24"/>
          <w:szCs w:val="24"/>
        </w:rPr>
        <w:t>6.4 Firm Strategy, Structure and Rivalry</w:t>
      </w:r>
    </w:p>
    <w:p w14:paraId="04923B34" w14:textId="1B63F309"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 xml:space="preserve">Competition in India’s streaming sector is intense. Netflix competes with domestic platforms like Disney+ Hotstar, Zee5, SonyLIV and </w:t>
      </w:r>
      <w:proofErr w:type="spellStart"/>
      <w:r w:rsidRPr="00274A06">
        <w:rPr>
          <w:rFonts w:ascii="Times New Roman" w:hAnsi="Times New Roman" w:cs="Times New Roman"/>
          <w:sz w:val="24"/>
          <w:szCs w:val="24"/>
        </w:rPr>
        <w:t>JioCinema</w:t>
      </w:r>
      <w:proofErr w:type="spellEnd"/>
      <w:r w:rsidRPr="00274A06">
        <w:rPr>
          <w:rFonts w:ascii="Times New Roman" w:hAnsi="Times New Roman" w:cs="Times New Roman"/>
          <w:sz w:val="24"/>
          <w:szCs w:val="24"/>
        </w:rPr>
        <w:t xml:space="preserve"> and global players such as Amazon Prime Video. Many rivals offer lower pricing, richer regional-language libraries and live sports</w:t>
      </w:r>
      <w:r w:rsidR="00102A75">
        <w:rPr>
          <w:rFonts w:ascii="Times New Roman" w:hAnsi="Times New Roman" w:cs="Times New Roman"/>
          <w:sz w:val="24"/>
          <w:szCs w:val="24"/>
        </w:rPr>
        <w:t xml:space="preserve"> </w:t>
      </w:r>
      <w:r w:rsidRPr="00274A06">
        <w:rPr>
          <w:rFonts w:ascii="Times New Roman" w:hAnsi="Times New Roman" w:cs="Times New Roman"/>
          <w:sz w:val="24"/>
          <w:szCs w:val="24"/>
        </w:rPr>
        <w:t>especially cricket</w:t>
      </w:r>
      <w:r w:rsidR="00102A75">
        <w:rPr>
          <w:rFonts w:ascii="Times New Roman" w:hAnsi="Times New Roman" w:cs="Times New Roman"/>
          <w:sz w:val="24"/>
          <w:szCs w:val="24"/>
        </w:rPr>
        <w:t xml:space="preserve"> </w:t>
      </w:r>
      <w:r w:rsidRPr="00274A06">
        <w:rPr>
          <w:rFonts w:ascii="Times New Roman" w:hAnsi="Times New Roman" w:cs="Times New Roman"/>
          <w:sz w:val="24"/>
          <w:szCs w:val="24"/>
        </w:rPr>
        <w:t>which attract massive audiences (</w:t>
      </w:r>
      <w:proofErr w:type="spellStart"/>
      <w:r w:rsidRPr="00274A06">
        <w:rPr>
          <w:rFonts w:ascii="Times New Roman" w:hAnsi="Times New Roman" w:cs="Times New Roman"/>
          <w:sz w:val="24"/>
          <w:szCs w:val="24"/>
        </w:rPr>
        <w:t>Treske</w:t>
      </w:r>
      <w:proofErr w:type="spellEnd"/>
      <w:r w:rsidRPr="00274A06">
        <w:rPr>
          <w:rFonts w:ascii="Times New Roman" w:hAnsi="Times New Roman" w:cs="Times New Roman"/>
          <w:sz w:val="24"/>
          <w:szCs w:val="24"/>
        </w:rPr>
        <w:t>, 2025). Competitor strategies, including aggressive pricing, telecom bundling and ad-supported models, challenge Netflix’s premium position (Sandberg, 2025). To stay competitive, Netflix must invest in localisation, expand regional content and align pricing with India’s affordability constraints (Chik, 2021).</w:t>
      </w:r>
    </w:p>
    <w:p w14:paraId="78F5DB3B" w14:textId="77777777" w:rsidR="00274A06" w:rsidRPr="00274A06" w:rsidRDefault="00274A06" w:rsidP="00274A06">
      <w:pPr>
        <w:spacing w:line="360" w:lineRule="auto"/>
        <w:jc w:val="both"/>
        <w:rPr>
          <w:rFonts w:ascii="Times New Roman" w:hAnsi="Times New Roman" w:cs="Times New Roman"/>
          <w:b/>
          <w:bCs/>
          <w:sz w:val="24"/>
          <w:szCs w:val="24"/>
        </w:rPr>
      </w:pPr>
      <w:r w:rsidRPr="00274A06">
        <w:rPr>
          <w:rFonts w:ascii="Times New Roman" w:hAnsi="Times New Roman" w:cs="Times New Roman"/>
          <w:b/>
          <w:bCs/>
          <w:sz w:val="24"/>
          <w:szCs w:val="24"/>
        </w:rPr>
        <w:t>6.5 Government and Chance Factors</w:t>
      </w:r>
    </w:p>
    <w:p w14:paraId="0AE8601F" w14:textId="2A0EE249"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Government policies significantly shape the OTT environment, including evolving rules on content classification, age restrictions and moderation. These require strong compliance systems and culturally sensitive review processes. Chance factors such as COVID-19, economic volatility and global production disruptions also affect operations</w:t>
      </w:r>
      <w:r>
        <w:rPr>
          <w:rFonts w:ascii="Times New Roman" w:hAnsi="Times New Roman" w:cs="Times New Roman"/>
          <w:sz w:val="24"/>
          <w:szCs w:val="24"/>
        </w:rPr>
        <w:t xml:space="preserve"> (</w:t>
      </w:r>
      <w:r w:rsidRPr="003B35BC">
        <w:rPr>
          <w:rFonts w:ascii="Times New Roman" w:hAnsi="Times New Roman" w:cs="Times New Roman"/>
          <w:sz w:val="24"/>
          <w:szCs w:val="24"/>
        </w:rPr>
        <w:t xml:space="preserve">Burgess, </w:t>
      </w:r>
      <w:r>
        <w:rPr>
          <w:rFonts w:ascii="Times New Roman" w:hAnsi="Times New Roman" w:cs="Times New Roman"/>
          <w:sz w:val="24"/>
          <w:szCs w:val="24"/>
        </w:rPr>
        <w:t>2021)</w:t>
      </w:r>
      <w:r w:rsidRPr="00274A06">
        <w:rPr>
          <w:rFonts w:ascii="Times New Roman" w:hAnsi="Times New Roman" w:cs="Times New Roman"/>
          <w:sz w:val="24"/>
          <w:szCs w:val="24"/>
        </w:rPr>
        <w:t>. Regulatory uncertainty and public discussions around content appropriateness reinforce the need for active government engagement, robust risk management and crisis-response mechanisms.</w:t>
      </w:r>
    </w:p>
    <w:p w14:paraId="0FBC3824" w14:textId="77777777" w:rsidR="00274A06" w:rsidRPr="00274A06" w:rsidRDefault="00274A06" w:rsidP="00274A06">
      <w:pPr>
        <w:spacing w:line="360" w:lineRule="auto"/>
        <w:jc w:val="both"/>
        <w:rPr>
          <w:rFonts w:ascii="Times New Roman" w:hAnsi="Times New Roman" w:cs="Times New Roman"/>
          <w:b/>
          <w:bCs/>
          <w:sz w:val="24"/>
          <w:szCs w:val="24"/>
        </w:rPr>
      </w:pPr>
      <w:r w:rsidRPr="00274A06">
        <w:rPr>
          <w:rFonts w:ascii="Times New Roman" w:hAnsi="Times New Roman" w:cs="Times New Roman"/>
          <w:b/>
          <w:bCs/>
          <w:sz w:val="24"/>
          <w:szCs w:val="24"/>
        </w:rPr>
        <w:t>Overall Assessment</w:t>
      </w:r>
    </w:p>
    <w:p w14:paraId="42C27D5E" w14:textId="77777777" w:rsidR="00274A06" w:rsidRPr="00274A06" w:rsidRDefault="00274A06" w:rsidP="00274A06">
      <w:pPr>
        <w:spacing w:line="360" w:lineRule="auto"/>
        <w:jc w:val="both"/>
        <w:rPr>
          <w:rFonts w:ascii="Times New Roman" w:hAnsi="Times New Roman" w:cs="Times New Roman"/>
          <w:sz w:val="24"/>
          <w:szCs w:val="24"/>
        </w:rPr>
      </w:pPr>
      <w:r w:rsidRPr="00274A06">
        <w:rPr>
          <w:rFonts w:ascii="Times New Roman" w:hAnsi="Times New Roman" w:cs="Times New Roman"/>
          <w:sz w:val="24"/>
          <w:szCs w:val="24"/>
        </w:rPr>
        <w:t>India offers considerable potential for Netflix due to strong factor inputs, favourable demand conditions and supportive industries. However, success depends on navigating intense competition, regulatory complexity and price-sensitive audiences. Combining global capabilities with strong local adaptation is essential for long-term competitiveness in the Indian streaming market.</w:t>
      </w:r>
    </w:p>
    <w:p w14:paraId="20218536" w14:textId="77777777" w:rsidR="00E84F05" w:rsidRDefault="00E84F05" w:rsidP="00477A9A">
      <w:pPr>
        <w:spacing w:line="360" w:lineRule="auto"/>
        <w:jc w:val="both"/>
        <w:rPr>
          <w:rFonts w:ascii="Times New Roman" w:hAnsi="Times New Roman" w:cs="Times New Roman"/>
          <w:b/>
          <w:bCs/>
          <w:sz w:val="24"/>
          <w:szCs w:val="24"/>
        </w:rPr>
      </w:pPr>
    </w:p>
    <w:p w14:paraId="3F950264" w14:textId="77777777" w:rsidR="00102A75" w:rsidRDefault="00102A75" w:rsidP="00477A9A">
      <w:pPr>
        <w:spacing w:line="360" w:lineRule="auto"/>
        <w:jc w:val="both"/>
        <w:rPr>
          <w:rFonts w:ascii="Times New Roman" w:hAnsi="Times New Roman" w:cs="Times New Roman"/>
          <w:b/>
          <w:bCs/>
          <w:sz w:val="24"/>
          <w:szCs w:val="24"/>
        </w:rPr>
      </w:pPr>
    </w:p>
    <w:p w14:paraId="67CB9457" w14:textId="25D2B975" w:rsidR="00477A9A" w:rsidRPr="00102A75" w:rsidRDefault="00477A9A" w:rsidP="00102A75">
      <w:pPr>
        <w:pStyle w:val="Heading1"/>
        <w:jc w:val="center"/>
        <w:rPr>
          <w:rFonts w:ascii="Times New Roman" w:hAnsi="Times New Roman" w:cs="Times New Roman"/>
          <w:b/>
          <w:bCs/>
          <w:color w:val="auto"/>
        </w:rPr>
      </w:pPr>
      <w:r w:rsidRPr="00102A75">
        <w:rPr>
          <w:rFonts w:ascii="Times New Roman" w:hAnsi="Times New Roman" w:cs="Times New Roman"/>
          <w:b/>
          <w:bCs/>
          <w:color w:val="auto"/>
        </w:rPr>
        <w:t>7. SOP Recommendations for Netflix India</w:t>
      </w:r>
    </w:p>
    <w:p w14:paraId="082C2EB6" w14:textId="41083F6D"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 xml:space="preserve">To strengthen Netflix’s long-term competitiveness in the Indian streaming market, three strategic Standard Operating Procedure (SOP) adjustments are recommended. These SOPs </w:t>
      </w:r>
      <w:r w:rsidRPr="00477A9A">
        <w:rPr>
          <w:rFonts w:ascii="Times New Roman" w:hAnsi="Times New Roman" w:cs="Times New Roman"/>
          <w:sz w:val="24"/>
          <w:szCs w:val="24"/>
        </w:rPr>
        <w:lastRenderedPageBreak/>
        <w:t>address gaps identified through the OLI, Hofstede and Diamond Model analyses and provide practical steps to enhance content localisation, pricing accessibility, regulatory alignment and operational resilience.</w:t>
      </w:r>
    </w:p>
    <w:p w14:paraId="2208B06B"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7.1 SOP Recommendation 1: Establish Regional Creative Hubs &amp; Deepen Local Content Integration</w:t>
      </w:r>
    </w:p>
    <w:p w14:paraId="4264CA78"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To improve cultural relevance, accelerate content production and expand market reach, Netflix should formalise a Regional Creative Hub SOP focused on India’s major linguistic and storytelling centres. While Netflix currently invests in Indian originals, a structured hub model would allow for greater agility and deeper audience resonance.</w:t>
      </w:r>
    </w:p>
    <w:p w14:paraId="2FB83004"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Under this SOP, Netflix should develop regional creative clusters in Mumbai (Hindi), Hyderabad (Telugu), Chennai (Tamil) and Kochi (Malayalam). Each hub would include dedicated teams of writers, cultural consultants, casting specialists and post-production units capable of producing high-quality, culturally grounded content.</w:t>
      </w:r>
    </w:p>
    <w:p w14:paraId="297F52CC" w14:textId="4A64A673"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This model allows Netflix to</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Respond quickly to regional viewing trends</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Strengthen cultural authenticity and reduce misinterpretation risks</w:t>
      </w:r>
      <w:r w:rsidR="00DF39D8">
        <w:rPr>
          <w:rFonts w:ascii="Times New Roman" w:hAnsi="Times New Roman" w:cs="Times New Roman"/>
          <w:sz w:val="24"/>
          <w:szCs w:val="24"/>
        </w:rPr>
        <w:t xml:space="preserve"> and </w:t>
      </w:r>
      <w:r w:rsidRPr="00477A9A">
        <w:rPr>
          <w:rFonts w:ascii="Times New Roman" w:hAnsi="Times New Roman" w:cs="Times New Roman"/>
          <w:sz w:val="24"/>
          <w:szCs w:val="24"/>
        </w:rPr>
        <w:t>Expand its catalogue beyond Hindi-dominated content</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Content with high cultural sensitivity</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such as those involving religion, caste, political commentary or social norms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should undergo mandatory cultural review before production begins. Meanwhile, globally appealing genres (crime, thriller, documentary) can be co-created across hubs to increase scalability.</w:t>
      </w:r>
    </w:p>
    <w:p w14:paraId="2A003AD0"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7.2 SOP Recommendation 2: Segmented Pricing &amp; Mobile-First Access Strategy</w:t>
      </w:r>
    </w:p>
    <w:p w14:paraId="235BBFC7" w14:textId="77777777" w:rsidR="00DF39D8" w:rsidRPr="00DF39D8" w:rsidRDefault="00DF39D8" w:rsidP="00DF39D8">
      <w:pPr>
        <w:spacing w:line="360" w:lineRule="auto"/>
        <w:jc w:val="both"/>
        <w:rPr>
          <w:rFonts w:ascii="Times New Roman" w:hAnsi="Times New Roman" w:cs="Times New Roman"/>
          <w:sz w:val="24"/>
          <w:szCs w:val="24"/>
        </w:rPr>
      </w:pPr>
      <w:r w:rsidRPr="00DF39D8">
        <w:rPr>
          <w:rFonts w:ascii="Times New Roman" w:hAnsi="Times New Roman" w:cs="Times New Roman"/>
          <w:sz w:val="24"/>
          <w:szCs w:val="24"/>
        </w:rPr>
        <w:t xml:space="preserve">India’s OTT market is shaped by affordability constraints, uneven broadband penetration and mobile-first viewing habits, making pricing and access critical to subscriber growth. To address this, Netflix should adopt a segmented pricing SOP supported by flexible mobile-based access. The proposed tiered structure would include a Premium Tier offering UHD content, multi-device access and global releases; a Standard Tier with HD streaming and two-screen access; a Mobile Value Tier designed for young and first-time subscribers; and a Family Mobile Pack that allows multiple mobile profiles under one subscription. This pricing system should be complemented by a mobile-first distribution approach that integrates Netflix more deeply with telecom partners such as Jio, Airtel and VI, expands bundled data-and-subscription plans and enables convenient digital wallet payments through UPI, Paytm, </w:t>
      </w:r>
      <w:proofErr w:type="spellStart"/>
      <w:r w:rsidRPr="00DF39D8">
        <w:rPr>
          <w:rFonts w:ascii="Times New Roman" w:hAnsi="Times New Roman" w:cs="Times New Roman"/>
          <w:sz w:val="24"/>
          <w:szCs w:val="24"/>
        </w:rPr>
        <w:t>PhonePe</w:t>
      </w:r>
      <w:proofErr w:type="spellEnd"/>
      <w:r w:rsidRPr="00DF39D8">
        <w:rPr>
          <w:rFonts w:ascii="Times New Roman" w:hAnsi="Times New Roman" w:cs="Times New Roman"/>
          <w:sz w:val="24"/>
          <w:szCs w:val="24"/>
        </w:rPr>
        <w:t xml:space="preserve"> and Google Pay. Regional engagement should also be incorporated by launching festival-based subscription </w:t>
      </w:r>
      <w:r w:rsidRPr="00DF39D8">
        <w:rPr>
          <w:rFonts w:ascii="Times New Roman" w:hAnsi="Times New Roman" w:cs="Times New Roman"/>
          <w:sz w:val="24"/>
          <w:szCs w:val="24"/>
        </w:rPr>
        <w:lastRenderedPageBreak/>
        <w:t xml:space="preserve">offers for Diwali, Eid and regional new </w:t>
      </w:r>
      <w:proofErr w:type="spellStart"/>
      <w:r w:rsidRPr="00DF39D8">
        <w:rPr>
          <w:rFonts w:ascii="Times New Roman" w:hAnsi="Times New Roman" w:cs="Times New Roman"/>
          <w:sz w:val="24"/>
          <w:szCs w:val="24"/>
        </w:rPr>
        <w:t>years</w:t>
      </w:r>
      <w:proofErr w:type="spellEnd"/>
      <w:r w:rsidRPr="00DF39D8">
        <w:rPr>
          <w:rFonts w:ascii="Times New Roman" w:hAnsi="Times New Roman" w:cs="Times New Roman"/>
          <w:sz w:val="24"/>
          <w:szCs w:val="24"/>
        </w:rPr>
        <w:t>, along with promoting curated content collections in Tamil, Telugu, Bengali and Malayalam. Together, these measures enhance affordability and accessibility without compromising Netflix’s global brand standards, significantly extending reach into Tier-2 and Tier-3 cities and improving conversion among younger, price-sensitive viewers.</w:t>
      </w:r>
    </w:p>
    <w:p w14:paraId="66F528AA"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7.3 SOP Recommendation 3: Cultural Alignment, Compliance &amp; Risk Management SOP</w:t>
      </w:r>
    </w:p>
    <w:p w14:paraId="55784F99" w14:textId="77777777" w:rsidR="00DF39D8" w:rsidRPr="00DF39D8" w:rsidRDefault="00DF39D8" w:rsidP="00DF39D8">
      <w:pPr>
        <w:spacing w:line="360" w:lineRule="auto"/>
        <w:jc w:val="both"/>
        <w:rPr>
          <w:rFonts w:ascii="Times New Roman" w:hAnsi="Times New Roman" w:cs="Times New Roman"/>
          <w:sz w:val="24"/>
          <w:szCs w:val="24"/>
        </w:rPr>
      </w:pPr>
      <w:r w:rsidRPr="00DF39D8">
        <w:rPr>
          <w:rFonts w:ascii="Times New Roman" w:hAnsi="Times New Roman" w:cs="Times New Roman"/>
          <w:sz w:val="24"/>
          <w:szCs w:val="24"/>
        </w:rPr>
        <w:t>India’s social, political and cultural environment demands careful navigation from global media companies, making it essential for Netflix to establish a formal Cultural Alignment, Compliance and Risk Management SOP to reduce reputational, regulatory and operational risks. As part of cultural alignment, Netflix should introduce mandatory pre-release cultural reviews for all India-originated titles, supported by a panel of regional cultural experts, sociologists and legal advisors who can assess sensitive themes such as religion, politics, caste and representation. Focus groups across different linguistic regions should also be used to validate narrative tone, dialect accuracy and cultural portrayal. On the regulatory side, Netflix needs to strengthen internal compliance tracking by creating an India-focused regulatory affairs team, conducting quarterly audits to ensure adherence to OTT guidelines, data governance rules and age-classification requirements, and maintaining detailed traceability reports on content review decisions. Risk management processes should include a rapid-response protocol for public controversies, ongoing monitoring of viewer sentiment through analytics tools and a structured escalation system for content flagged by regulators, community groups or audiences. By integrating cultural sensitivity, regulatory vigilance and proactive risk mitigation into a single SOP, Netflix can protect its brand reputation and operate more confidently within India’s dynamic and evolving digital media landscape.</w:t>
      </w:r>
    </w:p>
    <w:p w14:paraId="53EAFD14" w14:textId="2926EDAA" w:rsidR="00477A9A" w:rsidRDefault="00477A9A" w:rsidP="00477A9A">
      <w:pPr>
        <w:spacing w:line="360" w:lineRule="auto"/>
        <w:jc w:val="both"/>
        <w:rPr>
          <w:rFonts w:ascii="Times New Roman" w:hAnsi="Times New Roman" w:cs="Times New Roman"/>
          <w:sz w:val="24"/>
          <w:szCs w:val="24"/>
        </w:rPr>
      </w:pPr>
    </w:p>
    <w:p w14:paraId="041E9FC5" w14:textId="77777777" w:rsidR="00102A75" w:rsidRPr="00477A9A" w:rsidRDefault="00102A75" w:rsidP="00477A9A">
      <w:pPr>
        <w:spacing w:line="360" w:lineRule="auto"/>
        <w:jc w:val="both"/>
        <w:rPr>
          <w:rFonts w:ascii="Times New Roman" w:hAnsi="Times New Roman" w:cs="Times New Roman"/>
          <w:sz w:val="24"/>
          <w:szCs w:val="24"/>
        </w:rPr>
      </w:pPr>
    </w:p>
    <w:p w14:paraId="78FBD80E" w14:textId="77777777" w:rsidR="00477A9A" w:rsidRPr="00102A75" w:rsidRDefault="00477A9A" w:rsidP="00102A75">
      <w:pPr>
        <w:pStyle w:val="Heading1"/>
        <w:jc w:val="center"/>
        <w:rPr>
          <w:rFonts w:ascii="Times New Roman" w:hAnsi="Times New Roman" w:cs="Times New Roman"/>
          <w:b/>
          <w:bCs/>
          <w:color w:val="auto"/>
        </w:rPr>
      </w:pPr>
      <w:r w:rsidRPr="00102A75">
        <w:rPr>
          <w:rFonts w:ascii="Times New Roman" w:hAnsi="Times New Roman" w:cs="Times New Roman"/>
          <w:b/>
          <w:bCs/>
          <w:color w:val="auto"/>
        </w:rPr>
        <w:t>8. Implementation Plan, KPIs and Risk Mitigation</w:t>
      </w:r>
    </w:p>
    <w:p w14:paraId="418A151D" w14:textId="738918DD"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To ensure the effective execution of recommended SOPs, Netflix should adopt a structured 12–24 month implementation plan with clearly defined responsibilities, milestones and performance indicators.</w:t>
      </w:r>
    </w:p>
    <w:p w14:paraId="6958C97B"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8.1 Implementation Plan (12–24 Months)</w:t>
      </w:r>
    </w:p>
    <w:p w14:paraId="0E366C9F"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lastRenderedPageBreak/>
        <w:t>Phase 1: 0–6 Months (Short Term)</w:t>
      </w:r>
    </w:p>
    <w:p w14:paraId="58F1C9AE"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Launch Regional Creative Hubs</w:t>
      </w:r>
    </w:p>
    <w:p w14:paraId="4ED301B6" w14:textId="77777777" w:rsidR="00477A9A" w:rsidRPr="00477A9A" w:rsidRDefault="00477A9A" w:rsidP="00477A9A">
      <w:pPr>
        <w:numPr>
          <w:ilvl w:val="0"/>
          <w:numId w:val="59"/>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Identify studio partners in Mumbai, Chennai, Kochi and Hyderabad</w:t>
      </w:r>
    </w:p>
    <w:p w14:paraId="0FF5735E" w14:textId="77777777" w:rsidR="00477A9A" w:rsidRPr="00477A9A" w:rsidRDefault="00477A9A" w:rsidP="00477A9A">
      <w:pPr>
        <w:numPr>
          <w:ilvl w:val="0"/>
          <w:numId w:val="59"/>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Recruit regional writers, editors and cultural specialists</w:t>
      </w:r>
    </w:p>
    <w:p w14:paraId="5657A53A" w14:textId="77777777" w:rsidR="00477A9A" w:rsidRPr="00477A9A" w:rsidRDefault="00477A9A" w:rsidP="00477A9A">
      <w:pPr>
        <w:numPr>
          <w:ilvl w:val="0"/>
          <w:numId w:val="59"/>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Begin development of 8–10 regional pilot projects</w:t>
      </w:r>
    </w:p>
    <w:p w14:paraId="7B6A983B"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Strengthen Compliance Infrastructure</w:t>
      </w:r>
    </w:p>
    <w:p w14:paraId="435EFA6E" w14:textId="77777777" w:rsidR="00477A9A" w:rsidRPr="00477A9A" w:rsidRDefault="00477A9A" w:rsidP="00477A9A">
      <w:pPr>
        <w:numPr>
          <w:ilvl w:val="0"/>
          <w:numId w:val="60"/>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Form a regulatory affairs unit</w:t>
      </w:r>
    </w:p>
    <w:p w14:paraId="2DBA367D" w14:textId="77777777" w:rsidR="00477A9A" w:rsidRPr="00477A9A" w:rsidRDefault="00477A9A" w:rsidP="00477A9A">
      <w:pPr>
        <w:numPr>
          <w:ilvl w:val="0"/>
          <w:numId w:val="60"/>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Establish cultural advisory panel</w:t>
      </w:r>
    </w:p>
    <w:p w14:paraId="5BC91BCC" w14:textId="77777777" w:rsidR="00477A9A" w:rsidRPr="00477A9A" w:rsidRDefault="00477A9A" w:rsidP="00477A9A">
      <w:pPr>
        <w:numPr>
          <w:ilvl w:val="0"/>
          <w:numId w:val="60"/>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Develop cultural-screening checklists and workflows</w:t>
      </w:r>
    </w:p>
    <w:p w14:paraId="4D3C3866"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Pricing &amp; Access Enhancements</w:t>
      </w:r>
    </w:p>
    <w:p w14:paraId="1A4C9259" w14:textId="77777777" w:rsidR="00477A9A" w:rsidRPr="00477A9A" w:rsidRDefault="00477A9A" w:rsidP="00477A9A">
      <w:pPr>
        <w:numPr>
          <w:ilvl w:val="0"/>
          <w:numId w:val="61"/>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Introduce “Family Mobile Pack” pilot</w:t>
      </w:r>
    </w:p>
    <w:p w14:paraId="06972C63" w14:textId="77777777" w:rsidR="00477A9A" w:rsidRPr="00477A9A" w:rsidRDefault="00477A9A" w:rsidP="00477A9A">
      <w:pPr>
        <w:numPr>
          <w:ilvl w:val="0"/>
          <w:numId w:val="61"/>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Expand telecom bundling options</w:t>
      </w:r>
    </w:p>
    <w:p w14:paraId="28BB998A" w14:textId="1F8E1239" w:rsidR="00477A9A" w:rsidRPr="00477A9A" w:rsidRDefault="00477A9A" w:rsidP="00477A9A">
      <w:pPr>
        <w:numPr>
          <w:ilvl w:val="0"/>
          <w:numId w:val="61"/>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Integrate UPI-based micro-subscriptions</w:t>
      </w:r>
    </w:p>
    <w:p w14:paraId="3FFE193A"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Phase 2: 6–18 Months (Medium Term)</w:t>
      </w:r>
    </w:p>
    <w:p w14:paraId="121A9499"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Content Expansion</w:t>
      </w:r>
    </w:p>
    <w:p w14:paraId="20C372D9" w14:textId="77777777" w:rsidR="00477A9A" w:rsidRPr="00477A9A" w:rsidRDefault="00477A9A" w:rsidP="00477A9A">
      <w:pPr>
        <w:numPr>
          <w:ilvl w:val="0"/>
          <w:numId w:val="62"/>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Scale regional productions to full seasons</w:t>
      </w:r>
    </w:p>
    <w:p w14:paraId="0519AA54" w14:textId="77777777" w:rsidR="00477A9A" w:rsidRPr="00477A9A" w:rsidRDefault="00477A9A" w:rsidP="00477A9A">
      <w:pPr>
        <w:numPr>
          <w:ilvl w:val="0"/>
          <w:numId w:val="62"/>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Introduce festival-aligned content drops</w:t>
      </w:r>
    </w:p>
    <w:p w14:paraId="44A81489" w14:textId="77777777" w:rsidR="00477A9A" w:rsidRPr="00477A9A" w:rsidRDefault="00477A9A" w:rsidP="00477A9A">
      <w:pPr>
        <w:numPr>
          <w:ilvl w:val="0"/>
          <w:numId w:val="62"/>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Evaluate content performance with region-specific dashboards</w:t>
      </w:r>
    </w:p>
    <w:p w14:paraId="7F289233"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Pricing Segmentation Rollout</w:t>
      </w:r>
    </w:p>
    <w:p w14:paraId="527DA4D7" w14:textId="77777777" w:rsidR="00477A9A" w:rsidRPr="00477A9A" w:rsidRDefault="00477A9A" w:rsidP="00477A9A">
      <w:pPr>
        <w:numPr>
          <w:ilvl w:val="0"/>
          <w:numId w:val="63"/>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Launch value-tier monthly passes (weekend, festival, student packs)</w:t>
      </w:r>
    </w:p>
    <w:p w14:paraId="39299EC1" w14:textId="77777777" w:rsidR="00477A9A" w:rsidRPr="00477A9A" w:rsidRDefault="00477A9A" w:rsidP="00477A9A">
      <w:pPr>
        <w:numPr>
          <w:ilvl w:val="0"/>
          <w:numId w:val="63"/>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Expand digital wallet integrations nationwide</w:t>
      </w:r>
    </w:p>
    <w:p w14:paraId="0CBC1301" w14:textId="77777777" w:rsidR="00477A9A" w:rsidRPr="00477A9A" w:rsidRDefault="00477A9A" w:rsidP="00477A9A">
      <w:pPr>
        <w:numPr>
          <w:ilvl w:val="0"/>
          <w:numId w:val="63"/>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Test dynamic pricing for new subscribers</w:t>
      </w:r>
    </w:p>
    <w:p w14:paraId="2631CC61"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Platform Experience</w:t>
      </w:r>
    </w:p>
    <w:p w14:paraId="5F7A75DC" w14:textId="77777777" w:rsidR="00477A9A" w:rsidRPr="00477A9A" w:rsidRDefault="00477A9A" w:rsidP="00477A9A">
      <w:pPr>
        <w:numPr>
          <w:ilvl w:val="0"/>
          <w:numId w:val="64"/>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Add regional UI elements (navigation in Tamil, Telugu, Bengali, Malayalam)</w:t>
      </w:r>
    </w:p>
    <w:p w14:paraId="74EB3706" w14:textId="52126DB8" w:rsidR="00477A9A" w:rsidRPr="00477A9A" w:rsidRDefault="00477A9A" w:rsidP="00477A9A">
      <w:pPr>
        <w:numPr>
          <w:ilvl w:val="0"/>
          <w:numId w:val="64"/>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lastRenderedPageBreak/>
        <w:t>Develop family-friendly interface modes</w:t>
      </w:r>
    </w:p>
    <w:p w14:paraId="7EAACE32"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Phase 3: 18–24 Months (Long Term)</w:t>
      </w:r>
    </w:p>
    <w:p w14:paraId="79B55F74"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Sustainability &amp; Compliance Integration</w:t>
      </w:r>
    </w:p>
    <w:p w14:paraId="3E1BD8C1" w14:textId="77777777" w:rsidR="00477A9A" w:rsidRPr="00477A9A" w:rsidRDefault="00477A9A" w:rsidP="00477A9A">
      <w:pPr>
        <w:numPr>
          <w:ilvl w:val="0"/>
          <w:numId w:val="65"/>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Issue annual transparency and compliance reports</w:t>
      </w:r>
    </w:p>
    <w:p w14:paraId="4D574871" w14:textId="77777777" w:rsidR="00477A9A" w:rsidRPr="00477A9A" w:rsidRDefault="00477A9A" w:rsidP="00477A9A">
      <w:pPr>
        <w:numPr>
          <w:ilvl w:val="0"/>
          <w:numId w:val="65"/>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Institutionalise cultural risk audits</w:t>
      </w:r>
    </w:p>
    <w:p w14:paraId="2882F935" w14:textId="77777777" w:rsidR="00477A9A" w:rsidRPr="00477A9A" w:rsidRDefault="00477A9A" w:rsidP="00477A9A">
      <w:pPr>
        <w:numPr>
          <w:ilvl w:val="0"/>
          <w:numId w:val="65"/>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Maintain continuous training for creative and marketing teams</w:t>
      </w:r>
    </w:p>
    <w:p w14:paraId="439F3E25" w14:textId="77777777"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b/>
          <w:bCs/>
          <w:sz w:val="24"/>
          <w:szCs w:val="24"/>
        </w:rPr>
        <w:t>Market Expansion</w:t>
      </w:r>
    </w:p>
    <w:p w14:paraId="4F1FEDC1" w14:textId="77777777" w:rsidR="00477A9A" w:rsidRPr="00477A9A" w:rsidRDefault="00477A9A" w:rsidP="00477A9A">
      <w:pPr>
        <w:numPr>
          <w:ilvl w:val="0"/>
          <w:numId w:val="66"/>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Strengthen rural and semi-urban reach via telecom partners</w:t>
      </w:r>
    </w:p>
    <w:p w14:paraId="306416CC" w14:textId="041E152C" w:rsidR="00477A9A" w:rsidRPr="00477A9A" w:rsidRDefault="00477A9A" w:rsidP="00477A9A">
      <w:pPr>
        <w:numPr>
          <w:ilvl w:val="0"/>
          <w:numId w:val="66"/>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Evaluate regional performance for future offices or micro-hubs</w:t>
      </w:r>
    </w:p>
    <w:p w14:paraId="0ACB6AB4"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8.2 Key Performance Indicators (KPIs)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82"/>
        <w:gridCol w:w="5734"/>
      </w:tblGrid>
      <w:tr w:rsidR="00477A9A" w:rsidRPr="00477A9A" w14:paraId="4F304760" w14:textId="77777777" w:rsidTr="00E84F05">
        <w:trPr>
          <w:tblHeader/>
          <w:tblCellSpacing w:w="15" w:type="dxa"/>
        </w:trPr>
        <w:tc>
          <w:tcPr>
            <w:tcW w:w="0" w:type="auto"/>
            <w:vAlign w:val="center"/>
            <w:hideMark/>
          </w:tcPr>
          <w:p w14:paraId="38C91FA8" w14:textId="77777777" w:rsidR="00477A9A" w:rsidRPr="00477A9A" w:rsidRDefault="00477A9A" w:rsidP="00E84F05">
            <w:pPr>
              <w:spacing w:line="276"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Category</w:t>
            </w:r>
          </w:p>
        </w:tc>
        <w:tc>
          <w:tcPr>
            <w:tcW w:w="0" w:type="auto"/>
            <w:vAlign w:val="center"/>
            <w:hideMark/>
          </w:tcPr>
          <w:p w14:paraId="16D04694" w14:textId="77777777" w:rsidR="00477A9A" w:rsidRPr="00477A9A" w:rsidRDefault="00477A9A" w:rsidP="00E84F05">
            <w:pPr>
              <w:spacing w:line="276"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KPIs</w:t>
            </w:r>
          </w:p>
        </w:tc>
      </w:tr>
      <w:tr w:rsidR="00477A9A" w:rsidRPr="00477A9A" w14:paraId="7DD45284" w14:textId="77777777" w:rsidTr="00E84F05">
        <w:trPr>
          <w:tblCellSpacing w:w="15" w:type="dxa"/>
        </w:trPr>
        <w:tc>
          <w:tcPr>
            <w:tcW w:w="0" w:type="auto"/>
            <w:vAlign w:val="center"/>
            <w:hideMark/>
          </w:tcPr>
          <w:p w14:paraId="0A2EFCC7"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b/>
                <w:bCs/>
                <w:sz w:val="24"/>
                <w:szCs w:val="24"/>
              </w:rPr>
              <w:t>Content Localisation</w:t>
            </w:r>
          </w:p>
        </w:tc>
        <w:tc>
          <w:tcPr>
            <w:tcW w:w="0" w:type="auto"/>
            <w:vAlign w:val="center"/>
            <w:hideMark/>
          </w:tcPr>
          <w:p w14:paraId="47A41C09"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sz w:val="24"/>
                <w:szCs w:val="24"/>
              </w:rPr>
              <w:t>• 30% increase in regional originals</w:t>
            </w:r>
            <w:r w:rsidRPr="00477A9A">
              <w:rPr>
                <w:rFonts w:ascii="Times New Roman" w:hAnsi="Times New Roman" w:cs="Times New Roman"/>
                <w:sz w:val="24"/>
                <w:szCs w:val="24"/>
              </w:rPr>
              <w:br/>
              <w:t>• ≥80% positive cultural review scores</w:t>
            </w:r>
            <w:r w:rsidRPr="00477A9A">
              <w:rPr>
                <w:rFonts w:ascii="Times New Roman" w:hAnsi="Times New Roman" w:cs="Times New Roman"/>
                <w:sz w:val="24"/>
                <w:szCs w:val="24"/>
              </w:rPr>
              <w:br/>
              <w:t>• Higher completion rates for local content</w:t>
            </w:r>
          </w:p>
        </w:tc>
      </w:tr>
      <w:tr w:rsidR="00477A9A" w:rsidRPr="00477A9A" w14:paraId="3FA614D3" w14:textId="77777777" w:rsidTr="00E84F05">
        <w:trPr>
          <w:tblCellSpacing w:w="15" w:type="dxa"/>
        </w:trPr>
        <w:tc>
          <w:tcPr>
            <w:tcW w:w="0" w:type="auto"/>
            <w:vAlign w:val="center"/>
            <w:hideMark/>
          </w:tcPr>
          <w:p w14:paraId="556E9C92"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b/>
                <w:bCs/>
                <w:sz w:val="24"/>
                <w:szCs w:val="24"/>
              </w:rPr>
              <w:t>Subscriber Growth &amp; Pricing</w:t>
            </w:r>
          </w:p>
        </w:tc>
        <w:tc>
          <w:tcPr>
            <w:tcW w:w="0" w:type="auto"/>
            <w:vAlign w:val="center"/>
            <w:hideMark/>
          </w:tcPr>
          <w:p w14:paraId="0F796861"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sz w:val="24"/>
                <w:szCs w:val="24"/>
              </w:rPr>
              <w:t>• 15–20% increase in net subscriber additions</w:t>
            </w:r>
            <w:r w:rsidRPr="00477A9A">
              <w:rPr>
                <w:rFonts w:ascii="Times New Roman" w:hAnsi="Times New Roman" w:cs="Times New Roman"/>
                <w:sz w:val="24"/>
                <w:szCs w:val="24"/>
              </w:rPr>
              <w:br/>
              <w:t>• 40% uptake of mobile-only or bundled plans</w:t>
            </w:r>
            <w:r w:rsidRPr="00477A9A">
              <w:rPr>
                <w:rFonts w:ascii="Times New Roman" w:hAnsi="Times New Roman" w:cs="Times New Roman"/>
                <w:sz w:val="24"/>
                <w:szCs w:val="24"/>
              </w:rPr>
              <w:br/>
              <w:t>• Reduced churn in Tier-2/Tier-3 cities</w:t>
            </w:r>
          </w:p>
        </w:tc>
      </w:tr>
      <w:tr w:rsidR="00477A9A" w:rsidRPr="00477A9A" w14:paraId="0406A6C6" w14:textId="77777777" w:rsidTr="00E84F05">
        <w:trPr>
          <w:tblCellSpacing w:w="15" w:type="dxa"/>
        </w:trPr>
        <w:tc>
          <w:tcPr>
            <w:tcW w:w="0" w:type="auto"/>
            <w:vAlign w:val="center"/>
            <w:hideMark/>
          </w:tcPr>
          <w:p w14:paraId="6179B658"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b/>
                <w:bCs/>
                <w:sz w:val="24"/>
                <w:szCs w:val="24"/>
              </w:rPr>
              <w:t>Platform Experience</w:t>
            </w:r>
          </w:p>
        </w:tc>
        <w:tc>
          <w:tcPr>
            <w:tcW w:w="0" w:type="auto"/>
            <w:vAlign w:val="center"/>
            <w:hideMark/>
          </w:tcPr>
          <w:p w14:paraId="15554A0E"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sz w:val="24"/>
                <w:szCs w:val="24"/>
              </w:rPr>
              <w:t>• ≥90% UI satisfaction score</w:t>
            </w:r>
            <w:r w:rsidRPr="00477A9A">
              <w:rPr>
                <w:rFonts w:ascii="Times New Roman" w:hAnsi="Times New Roman" w:cs="Times New Roman"/>
                <w:sz w:val="24"/>
                <w:szCs w:val="24"/>
              </w:rPr>
              <w:br/>
              <w:t>• 25% improvement in time spent per user for regional content</w:t>
            </w:r>
            <w:r w:rsidRPr="00477A9A">
              <w:rPr>
                <w:rFonts w:ascii="Times New Roman" w:hAnsi="Times New Roman" w:cs="Times New Roman"/>
                <w:sz w:val="24"/>
                <w:szCs w:val="24"/>
              </w:rPr>
              <w:br/>
              <w:t>• Increased usage of parental controls</w:t>
            </w:r>
          </w:p>
        </w:tc>
      </w:tr>
      <w:tr w:rsidR="00477A9A" w:rsidRPr="00477A9A" w14:paraId="6C5E8F53" w14:textId="77777777" w:rsidTr="00E84F05">
        <w:trPr>
          <w:tblCellSpacing w:w="15" w:type="dxa"/>
        </w:trPr>
        <w:tc>
          <w:tcPr>
            <w:tcW w:w="0" w:type="auto"/>
            <w:vAlign w:val="center"/>
            <w:hideMark/>
          </w:tcPr>
          <w:p w14:paraId="0E38A970"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b/>
                <w:bCs/>
                <w:sz w:val="24"/>
                <w:szCs w:val="24"/>
              </w:rPr>
              <w:t>Compliance &amp; Governance</w:t>
            </w:r>
          </w:p>
        </w:tc>
        <w:tc>
          <w:tcPr>
            <w:tcW w:w="0" w:type="auto"/>
            <w:vAlign w:val="center"/>
            <w:hideMark/>
          </w:tcPr>
          <w:p w14:paraId="2EC8E74F"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sz w:val="24"/>
                <w:szCs w:val="24"/>
              </w:rPr>
              <w:t>• 100% adherence to OTT regulatory guidelines</w:t>
            </w:r>
            <w:r w:rsidRPr="00477A9A">
              <w:rPr>
                <w:rFonts w:ascii="Times New Roman" w:hAnsi="Times New Roman" w:cs="Times New Roman"/>
                <w:sz w:val="24"/>
                <w:szCs w:val="24"/>
              </w:rPr>
              <w:br/>
              <w:t>• Zero compliance-related takedowns</w:t>
            </w:r>
            <w:r w:rsidRPr="00477A9A">
              <w:rPr>
                <w:rFonts w:ascii="Times New Roman" w:hAnsi="Times New Roman" w:cs="Times New Roman"/>
                <w:sz w:val="24"/>
                <w:szCs w:val="24"/>
              </w:rPr>
              <w:br/>
              <w:t>• Successful quarterly cultural and legal audits</w:t>
            </w:r>
          </w:p>
        </w:tc>
      </w:tr>
      <w:tr w:rsidR="00477A9A" w:rsidRPr="00477A9A" w14:paraId="6EB3E41D" w14:textId="77777777" w:rsidTr="00E84F05">
        <w:trPr>
          <w:tblCellSpacing w:w="15" w:type="dxa"/>
        </w:trPr>
        <w:tc>
          <w:tcPr>
            <w:tcW w:w="0" w:type="auto"/>
            <w:vAlign w:val="center"/>
            <w:hideMark/>
          </w:tcPr>
          <w:p w14:paraId="02AD43E4"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b/>
                <w:bCs/>
                <w:sz w:val="24"/>
                <w:szCs w:val="24"/>
              </w:rPr>
              <w:t>Risk &amp; Reputation Management</w:t>
            </w:r>
          </w:p>
        </w:tc>
        <w:tc>
          <w:tcPr>
            <w:tcW w:w="0" w:type="auto"/>
            <w:vAlign w:val="center"/>
            <w:hideMark/>
          </w:tcPr>
          <w:p w14:paraId="4C12221F" w14:textId="77777777" w:rsidR="00477A9A" w:rsidRPr="00477A9A" w:rsidRDefault="00477A9A" w:rsidP="00E84F05">
            <w:pPr>
              <w:spacing w:line="276" w:lineRule="auto"/>
              <w:jc w:val="both"/>
              <w:rPr>
                <w:rFonts w:ascii="Times New Roman" w:hAnsi="Times New Roman" w:cs="Times New Roman"/>
                <w:sz w:val="24"/>
                <w:szCs w:val="24"/>
              </w:rPr>
            </w:pPr>
            <w:r w:rsidRPr="00477A9A">
              <w:rPr>
                <w:rFonts w:ascii="Times New Roman" w:hAnsi="Times New Roman" w:cs="Times New Roman"/>
                <w:sz w:val="24"/>
                <w:szCs w:val="24"/>
              </w:rPr>
              <w:t>• Reduction in content-related public controversies</w:t>
            </w:r>
            <w:r w:rsidRPr="00477A9A">
              <w:rPr>
                <w:rFonts w:ascii="Times New Roman" w:hAnsi="Times New Roman" w:cs="Times New Roman"/>
                <w:sz w:val="24"/>
                <w:szCs w:val="24"/>
              </w:rPr>
              <w:br/>
              <w:t>• Faster response time to emerging issues</w:t>
            </w:r>
            <w:r w:rsidRPr="00477A9A">
              <w:rPr>
                <w:rFonts w:ascii="Times New Roman" w:hAnsi="Times New Roman" w:cs="Times New Roman"/>
                <w:sz w:val="24"/>
                <w:szCs w:val="24"/>
              </w:rPr>
              <w:br/>
              <w:t>• Improved sentiment analysis metrics</w:t>
            </w:r>
          </w:p>
        </w:tc>
      </w:tr>
    </w:tbl>
    <w:p w14:paraId="5A997A83"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8.3 Risk Mitigation Strategies</w:t>
      </w:r>
    </w:p>
    <w:p w14:paraId="4CFDD359"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1. Content &amp; Cultural Risks</w:t>
      </w:r>
    </w:p>
    <w:p w14:paraId="40A1DC6B" w14:textId="77777777" w:rsidR="00477A9A" w:rsidRPr="00477A9A" w:rsidRDefault="00477A9A" w:rsidP="00477A9A">
      <w:pPr>
        <w:numPr>
          <w:ilvl w:val="0"/>
          <w:numId w:val="67"/>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lastRenderedPageBreak/>
        <w:t>Implement compulsory cultural review panels before production</w:t>
      </w:r>
    </w:p>
    <w:p w14:paraId="1C91BB9B" w14:textId="77777777" w:rsidR="00477A9A" w:rsidRPr="00477A9A" w:rsidRDefault="00477A9A" w:rsidP="00477A9A">
      <w:pPr>
        <w:numPr>
          <w:ilvl w:val="0"/>
          <w:numId w:val="67"/>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Conduct cross-regional focus groups</w:t>
      </w:r>
    </w:p>
    <w:p w14:paraId="1DD6EEC5" w14:textId="77777777" w:rsidR="00477A9A" w:rsidRPr="00477A9A" w:rsidRDefault="00477A9A" w:rsidP="00477A9A">
      <w:pPr>
        <w:numPr>
          <w:ilvl w:val="0"/>
          <w:numId w:val="67"/>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Monitor social media for early signals of controversy</w:t>
      </w:r>
    </w:p>
    <w:p w14:paraId="5992BDA7"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2. Regulatory Risks</w:t>
      </w:r>
    </w:p>
    <w:p w14:paraId="6D829172" w14:textId="77777777" w:rsidR="00477A9A" w:rsidRPr="00477A9A" w:rsidRDefault="00477A9A" w:rsidP="00477A9A">
      <w:pPr>
        <w:numPr>
          <w:ilvl w:val="0"/>
          <w:numId w:val="68"/>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Maintain active communication with government bodies</w:t>
      </w:r>
    </w:p>
    <w:p w14:paraId="4512C431" w14:textId="77777777" w:rsidR="00477A9A" w:rsidRPr="00477A9A" w:rsidRDefault="00477A9A" w:rsidP="00477A9A">
      <w:pPr>
        <w:numPr>
          <w:ilvl w:val="0"/>
          <w:numId w:val="68"/>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Run quarterly compliance audits</w:t>
      </w:r>
    </w:p>
    <w:p w14:paraId="7BFD565A" w14:textId="77777777" w:rsidR="00477A9A" w:rsidRPr="00477A9A" w:rsidRDefault="00477A9A" w:rsidP="00477A9A">
      <w:pPr>
        <w:numPr>
          <w:ilvl w:val="0"/>
          <w:numId w:val="68"/>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Update content filtering and classification tools proactively</w:t>
      </w:r>
    </w:p>
    <w:p w14:paraId="40E6B0A2"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3. Competitive Risks</w:t>
      </w:r>
    </w:p>
    <w:p w14:paraId="6D130D17" w14:textId="77777777" w:rsidR="00477A9A" w:rsidRPr="00477A9A" w:rsidRDefault="00477A9A" w:rsidP="00477A9A">
      <w:pPr>
        <w:numPr>
          <w:ilvl w:val="0"/>
          <w:numId w:val="69"/>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Increase micro-drops of regional content</w:t>
      </w:r>
    </w:p>
    <w:p w14:paraId="0EEA2E2F" w14:textId="77777777" w:rsidR="00477A9A" w:rsidRPr="00477A9A" w:rsidRDefault="00477A9A" w:rsidP="00477A9A">
      <w:pPr>
        <w:numPr>
          <w:ilvl w:val="0"/>
          <w:numId w:val="69"/>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Offer aggressive pricing during festival seasons</w:t>
      </w:r>
    </w:p>
    <w:p w14:paraId="48FA7A3F" w14:textId="77777777" w:rsidR="00477A9A" w:rsidRPr="00477A9A" w:rsidRDefault="00477A9A" w:rsidP="00477A9A">
      <w:pPr>
        <w:numPr>
          <w:ilvl w:val="0"/>
          <w:numId w:val="69"/>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Strengthen multi-language dubbing and subtitling</w:t>
      </w:r>
    </w:p>
    <w:p w14:paraId="4C308D11"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4. Technological &amp; Operational Risks</w:t>
      </w:r>
    </w:p>
    <w:p w14:paraId="7DA09845" w14:textId="77777777" w:rsidR="00477A9A" w:rsidRPr="00477A9A" w:rsidRDefault="00477A9A" w:rsidP="00477A9A">
      <w:pPr>
        <w:numPr>
          <w:ilvl w:val="0"/>
          <w:numId w:val="70"/>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Optimise compression for low-bandwidth regions</w:t>
      </w:r>
    </w:p>
    <w:p w14:paraId="14FE79C4" w14:textId="77777777" w:rsidR="00477A9A" w:rsidRPr="00477A9A" w:rsidRDefault="00477A9A" w:rsidP="00477A9A">
      <w:pPr>
        <w:numPr>
          <w:ilvl w:val="0"/>
          <w:numId w:val="70"/>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Expand partnerships with telecom networks for CDN optimisation</w:t>
      </w:r>
    </w:p>
    <w:p w14:paraId="019220DC" w14:textId="77777777" w:rsidR="00477A9A" w:rsidRPr="00477A9A" w:rsidRDefault="00477A9A" w:rsidP="00477A9A">
      <w:pPr>
        <w:numPr>
          <w:ilvl w:val="0"/>
          <w:numId w:val="70"/>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Build redundancy for production delays</w:t>
      </w:r>
    </w:p>
    <w:p w14:paraId="5E03446E" w14:textId="77777777" w:rsidR="00477A9A" w:rsidRPr="00477A9A" w:rsidRDefault="00477A9A" w:rsidP="00477A9A">
      <w:pPr>
        <w:spacing w:line="360" w:lineRule="auto"/>
        <w:jc w:val="both"/>
        <w:rPr>
          <w:rFonts w:ascii="Times New Roman" w:hAnsi="Times New Roman" w:cs="Times New Roman"/>
          <w:b/>
          <w:bCs/>
          <w:sz w:val="24"/>
          <w:szCs w:val="24"/>
        </w:rPr>
      </w:pPr>
      <w:r w:rsidRPr="00477A9A">
        <w:rPr>
          <w:rFonts w:ascii="Times New Roman" w:hAnsi="Times New Roman" w:cs="Times New Roman"/>
          <w:b/>
          <w:bCs/>
          <w:sz w:val="24"/>
          <w:szCs w:val="24"/>
        </w:rPr>
        <w:t>5. Economic &amp; Market Risks</w:t>
      </w:r>
    </w:p>
    <w:p w14:paraId="3E6505C1" w14:textId="77777777" w:rsidR="00477A9A" w:rsidRPr="00477A9A" w:rsidRDefault="00477A9A" w:rsidP="00477A9A">
      <w:pPr>
        <w:numPr>
          <w:ilvl w:val="0"/>
          <w:numId w:val="71"/>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Flexible pricing tiers to manage inflation-related pressures</w:t>
      </w:r>
    </w:p>
    <w:p w14:paraId="449AA198" w14:textId="77777777" w:rsidR="00477A9A" w:rsidRPr="00477A9A" w:rsidRDefault="00477A9A" w:rsidP="00477A9A">
      <w:pPr>
        <w:numPr>
          <w:ilvl w:val="0"/>
          <w:numId w:val="71"/>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Diversify content spend across genres and regions</w:t>
      </w:r>
    </w:p>
    <w:p w14:paraId="63C1F2ED" w14:textId="559A68C8" w:rsidR="00477A9A" w:rsidRPr="00477A9A" w:rsidRDefault="00477A9A" w:rsidP="00477A9A">
      <w:pPr>
        <w:numPr>
          <w:ilvl w:val="0"/>
          <w:numId w:val="71"/>
        </w:num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Promote bundled offers to stabilise revenue fluctuations</w:t>
      </w:r>
    </w:p>
    <w:p w14:paraId="22914B3C" w14:textId="77777777" w:rsidR="00477A9A" w:rsidRPr="00102A75" w:rsidRDefault="00477A9A" w:rsidP="00102A75">
      <w:pPr>
        <w:pStyle w:val="Heading1"/>
        <w:jc w:val="center"/>
        <w:rPr>
          <w:rFonts w:ascii="Times New Roman" w:hAnsi="Times New Roman" w:cs="Times New Roman"/>
          <w:b/>
          <w:bCs/>
          <w:color w:val="auto"/>
        </w:rPr>
      </w:pPr>
      <w:r w:rsidRPr="00102A75">
        <w:rPr>
          <w:rFonts w:ascii="Times New Roman" w:hAnsi="Times New Roman" w:cs="Times New Roman"/>
          <w:b/>
          <w:bCs/>
          <w:color w:val="auto"/>
        </w:rPr>
        <w:t>9. Conclusion</w:t>
      </w:r>
    </w:p>
    <w:p w14:paraId="02830178" w14:textId="144BE8F6" w:rsidR="00477A9A" w:rsidRPr="00477A9A" w:rsidRDefault="00477A9A" w:rsidP="00477A9A">
      <w:pPr>
        <w:spacing w:line="360" w:lineRule="auto"/>
        <w:jc w:val="both"/>
        <w:rPr>
          <w:rFonts w:ascii="Times New Roman" w:hAnsi="Times New Roman" w:cs="Times New Roman"/>
          <w:sz w:val="24"/>
          <w:szCs w:val="24"/>
        </w:rPr>
      </w:pPr>
      <w:r w:rsidRPr="00477A9A">
        <w:rPr>
          <w:rFonts w:ascii="Times New Roman" w:hAnsi="Times New Roman" w:cs="Times New Roman"/>
          <w:sz w:val="24"/>
          <w:szCs w:val="24"/>
        </w:rPr>
        <w:t>This report has critically evaluated Netflix’s internationalisation strategy with a concentrated focus on its operations and long-term prospects in the Indian streaming market. Drawing on Dunning’s OLI framework, the analysis showed that Netflix possesses strong ownership and internalisation advantages rooted in its proprietary platform, global content ecosystem and data-driven operating model. However, India’s distinctive characteristics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 xml:space="preserve">including cultural </w:t>
      </w:r>
      <w:r w:rsidRPr="00477A9A">
        <w:rPr>
          <w:rFonts w:ascii="Times New Roman" w:hAnsi="Times New Roman" w:cs="Times New Roman"/>
          <w:sz w:val="24"/>
          <w:szCs w:val="24"/>
        </w:rPr>
        <w:lastRenderedPageBreak/>
        <w:t>diversity, price sensitivity, growing competition and evolving regulatory expectations</w:t>
      </w:r>
      <w:r w:rsidR="00E84F05">
        <w:rPr>
          <w:rFonts w:ascii="Times New Roman" w:hAnsi="Times New Roman" w:cs="Times New Roman"/>
          <w:sz w:val="24"/>
          <w:szCs w:val="24"/>
        </w:rPr>
        <w:t xml:space="preserve"> </w:t>
      </w:r>
      <w:r w:rsidRPr="00477A9A">
        <w:rPr>
          <w:rFonts w:ascii="Times New Roman" w:hAnsi="Times New Roman" w:cs="Times New Roman"/>
          <w:sz w:val="24"/>
          <w:szCs w:val="24"/>
        </w:rPr>
        <w:t>present both significant opportunities and operational challenges.</w:t>
      </w:r>
      <w:r w:rsidR="00274A06">
        <w:rPr>
          <w:rFonts w:ascii="Times New Roman" w:hAnsi="Times New Roman" w:cs="Times New Roman"/>
          <w:sz w:val="24"/>
          <w:szCs w:val="24"/>
        </w:rPr>
        <w:t xml:space="preserve"> </w:t>
      </w:r>
      <w:r w:rsidRPr="00477A9A">
        <w:rPr>
          <w:rFonts w:ascii="Times New Roman" w:hAnsi="Times New Roman" w:cs="Times New Roman"/>
          <w:sz w:val="24"/>
          <w:szCs w:val="24"/>
        </w:rPr>
        <w:t>The cultural analysis based on Hofstede’s dimensions highlighted important differences between the United States and India, particularly in collectivism, power distance and indulgence, reinforcing the need for Netflix to adapt its content strategy, user interface and communication approach. Porter’s Diamond Model further demonstrated that although India offers favourable demand conditions and robust supporting industries, the market’s intense rivalry and regulatory complexity require strategic flexibility and disciplined operational governance.</w:t>
      </w:r>
      <w:r w:rsidR="00DF39D8">
        <w:rPr>
          <w:rFonts w:ascii="Times New Roman" w:hAnsi="Times New Roman" w:cs="Times New Roman"/>
          <w:sz w:val="24"/>
          <w:szCs w:val="24"/>
        </w:rPr>
        <w:t xml:space="preserve"> </w:t>
      </w:r>
      <w:r w:rsidRPr="00477A9A">
        <w:rPr>
          <w:rFonts w:ascii="Times New Roman" w:hAnsi="Times New Roman" w:cs="Times New Roman"/>
          <w:sz w:val="24"/>
          <w:szCs w:val="24"/>
        </w:rPr>
        <w:t>Ultimately, Netflix’s long-term success in India depends on its ability to balance global capabilities with local expectations. By embedding cultural sensitivity, accessible pricing and strong governance structures into its operating model, Netflix can secure sustainable growth and strengthen its leadership in one of the world’s most dynamic digital entertainment markets.</w:t>
      </w:r>
    </w:p>
    <w:p w14:paraId="14B90668" w14:textId="77777777" w:rsidR="00FD0F24" w:rsidRPr="00FD0F24" w:rsidRDefault="00FD0F24" w:rsidP="00E61D51">
      <w:pPr>
        <w:spacing w:line="360" w:lineRule="auto"/>
        <w:jc w:val="both"/>
        <w:rPr>
          <w:rFonts w:ascii="Times New Roman" w:hAnsi="Times New Roman" w:cs="Times New Roman"/>
          <w:sz w:val="24"/>
          <w:szCs w:val="24"/>
        </w:rPr>
      </w:pPr>
    </w:p>
    <w:p w14:paraId="08BE1283" w14:textId="09BCF45A" w:rsidR="00C44F80" w:rsidRPr="00E61D51" w:rsidRDefault="00C44F80" w:rsidP="00E61D51">
      <w:pPr>
        <w:spacing w:line="360" w:lineRule="auto"/>
        <w:jc w:val="both"/>
        <w:rPr>
          <w:rFonts w:ascii="Times New Roman" w:hAnsi="Times New Roman" w:cs="Times New Roman"/>
          <w:b/>
          <w:bCs/>
          <w:sz w:val="24"/>
          <w:szCs w:val="24"/>
        </w:rPr>
      </w:pPr>
    </w:p>
    <w:p w14:paraId="09A1AF7D" w14:textId="77777777" w:rsidR="00477A9A" w:rsidRDefault="00477A9A" w:rsidP="007473F8">
      <w:pPr>
        <w:spacing w:line="360" w:lineRule="auto"/>
        <w:jc w:val="both"/>
        <w:rPr>
          <w:rFonts w:ascii="Times New Roman" w:hAnsi="Times New Roman" w:cs="Times New Roman"/>
          <w:b/>
          <w:bCs/>
          <w:sz w:val="24"/>
          <w:szCs w:val="24"/>
        </w:rPr>
      </w:pPr>
    </w:p>
    <w:p w14:paraId="1CB4AE6D" w14:textId="77777777" w:rsidR="00477A9A" w:rsidRDefault="00477A9A" w:rsidP="007473F8">
      <w:pPr>
        <w:spacing w:line="360" w:lineRule="auto"/>
        <w:jc w:val="both"/>
        <w:rPr>
          <w:rFonts w:ascii="Times New Roman" w:hAnsi="Times New Roman" w:cs="Times New Roman"/>
          <w:b/>
          <w:bCs/>
          <w:sz w:val="24"/>
          <w:szCs w:val="24"/>
        </w:rPr>
      </w:pPr>
    </w:p>
    <w:p w14:paraId="08078241" w14:textId="77777777" w:rsidR="00477A9A" w:rsidRDefault="00477A9A" w:rsidP="007473F8">
      <w:pPr>
        <w:spacing w:line="360" w:lineRule="auto"/>
        <w:jc w:val="both"/>
        <w:rPr>
          <w:rFonts w:ascii="Times New Roman" w:hAnsi="Times New Roman" w:cs="Times New Roman"/>
          <w:b/>
          <w:bCs/>
          <w:sz w:val="24"/>
          <w:szCs w:val="24"/>
        </w:rPr>
      </w:pPr>
    </w:p>
    <w:p w14:paraId="13290041" w14:textId="77777777" w:rsidR="00A03232" w:rsidRDefault="00A03232" w:rsidP="007473F8">
      <w:pPr>
        <w:spacing w:line="360" w:lineRule="auto"/>
        <w:jc w:val="both"/>
        <w:rPr>
          <w:rFonts w:ascii="Times New Roman" w:hAnsi="Times New Roman" w:cs="Times New Roman"/>
          <w:b/>
          <w:bCs/>
          <w:sz w:val="24"/>
          <w:szCs w:val="24"/>
        </w:rPr>
      </w:pPr>
    </w:p>
    <w:p w14:paraId="17900CA2" w14:textId="77777777" w:rsidR="00A03232" w:rsidRDefault="00A03232" w:rsidP="007473F8">
      <w:pPr>
        <w:spacing w:line="360" w:lineRule="auto"/>
        <w:jc w:val="both"/>
        <w:rPr>
          <w:rFonts w:ascii="Times New Roman" w:hAnsi="Times New Roman" w:cs="Times New Roman"/>
          <w:b/>
          <w:bCs/>
          <w:sz w:val="24"/>
          <w:szCs w:val="24"/>
        </w:rPr>
      </w:pPr>
    </w:p>
    <w:p w14:paraId="7FBEC6F5" w14:textId="77777777" w:rsidR="00A03232" w:rsidRDefault="00A03232" w:rsidP="007473F8">
      <w:pPr>
        <w:spacing w:line="360" w:lineRule="auto"/>
        <w:jc w:val="both"/>
        <w:rPr>
          <w:rFonts w:ascii="Times New Roman" w:hAnsi="Times New Roman" w:cs="Times New Roman"/>
          <w:b/>
          <w:bCs/>
          <w:sz w:val="24"/>
          <w:szCs w:val="24"/>
        </w:rPr>
      </w:pPr>
    </w:p>
    <w:p w14:paraId="60CEC85E" w14:textId="77777777" w:rsidR="00A03232" w:rsidRDefault="00A03232" w:rsidP="007473F8">
      <w:pPr>
        <w:spacing w:line="360" w:lineRule="auto"/>
        <w:jc w:val="both"/>
        <w:rPr>
          <w:rFonts w:ascii="Times New Roman" w:hAnsi="Times New Roman" w:cs="Times New Roman"/>
          <w:b/>
          <w:bCs/>
          <w:sz w:val="24"/>
          <w:szCs w:val="24"/>
        </w:rPr>
      </w:pPr>
    </w:p>
    <w:p w14:paraId="6B871D4F" w14:textId="77777777" w:rsidR="00A03232" w:rsidRDefault="00A03232" w:rsidP="007473F8">
      <w:pPr>
        <w:spacing w:line="360" w:lineRule="auto"/>
        <w:jc w:val="both"/>
        <w:rPr>
          <w:rFonts w:ascii="Times New Roman" w:hAnsi="Times New Roman" w:cs="Times New Roman"/>
          <w:b/>
          <w:bCs/>
          <w:sz w:val="24"/>
          <w:szCs w:val="24"/>
        </w:rPr>
      </w:pPr>
    </w:p>
    <w:p w14:paraId="34F2F30F" w14:textId="77777777" w:rsidR="00102A75" w:rsidRDefault="00102A75" w:rsidP="007473F8">
      <w:pPr>
        <w:spacing w:line="360" w:lineRule="auto"/>
        <w:jc w:val="both"/>
        <w:rPr>
          <w:rFonts w:ascii="Times New Roman" w:hAnsi="Times New Roman" w:cs="Times New Roman"/>
          <w:b/>
          <w:bCs/>
          <w:sz w:val="24"/>
          <w:szCs w:val="24"/>
        </w:rPr>
      </w:pPr>
    </w:p>
    <w:p w14:paraId="534C5B14" w14:textId="77777777" w:rsidR="00C44F80" w:rsidRPr="00C44F80" w:rsidRDefault="00C44F80" w:rsidP="00C44F80">
      <w:pPr>
        <w:spacing w:line="360" w:lineRule="auto"/>
        <w:jc w:val="both"/>
        <w:rPr>
          <w:rFonts w:ascii="Times New Roman" w:hAnsi="Times New Roman" w:cs="Times New Roman"/>
          <w:b/>
          <w:bCs/>
          <w:sz w:val="28"/>
          <w:szCs w:val="28"/>
        </w:rPr>
      </w:pPr>
      <w:bookmarkStart w:id="0" w:name="_Hlk216650186"/>
      <w:r w:rsidRPr="00C44F80">
        <w:rPr>
          <w:rFonts w:ascii="Times New Roman" w:hAnsi="Times New Roman" w:cs="Times New Roman"/>
          <w:b/>
          <w:bCs/>
          <w:sz w:val="28"/>
          <w:szCs w:val="28"/>
        </w:rPr>
        <w:t>References:</w:t>
      </w:r>
    </w:p>
    <w:p w14:paraId="0720999E" w14:textId="0C026794"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Günay, İ.E., 2022. The re-evaluation of the function of television and the example of Netflix in the context of culture industry and mass media. </w:t>
      </w:r>
      <w:r w:rsidRPr="003B35BC">
        <w:rPr>
          <w:rFonts w:ascii="Times New Roman" w:hAnsi="Times New Roman" w:cs="Times New Roman"/>
          <w:i/>
          <w:iCs/>
          <w:sz w:val="24"/>
          <w:szCs w:val="24"/>
        </w:rPr>
        <w:t>ViraVerita E-Dergi</w:t>
      </w:r>
      <w:r w:rsidRPr="003B35BC">
        <w:rPr>
          <w:rFonts w:ascii="Times New Roman" w:hAnsi="Times New Roman" w:cs="Times New Roman"/>
          <w:sz w:val="24"/>
          <w:szCs w:val="24"/>
        </w:rPr>
        <w:t>, (17), pp.296-320.</w:t>
      </w:r>
    </w:p>
    <w:p w14:paraId="08B1E71E"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Walther, B.K., 2025. Crap or gold?: Navigating artistic freedom and commercial demands in serial fiction. In </w:t>
      </w:r>
      <w:r w:rsidRPr="003B35BC">
        <w:rPr>
          <w:rFonts w:ascii="Times New Roman" w:hAnsi="Times New Roman" w:cs="Times New Roman"/>
          <w:i/>
          <w:iCs/>
          <w:sz w:val="24"/>
          <w:szCs w:val="24"/>
        </w:rPr>
        <w:t>Seriality in the Streaming Era</w:t>
      </w:r>
      <w:r w:rsidRPr="003B35BC">
        <w:rPr>
          <w:rFonts w:ascii="Times New Roman" w:hAnsi="Times New Roman" w:cs="Times New Roman"/>
          <w:sz w:val="24"/>
          <w:szCs w:val="24"/>
        </w:rPr>
        <w:t> (pp. 92-123). Routledge.</w:t>
      </w:r>
    </w:p>
    <w:p w14:paraId="2BFC1D87"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lastRenderedPageBreak/>
        <w:t>Burgess, D. and Stevens, K., 2021. Taking Netflix to the cinema: National cinema value chain disruptions in the age of streaming. </w:t>
      </w:r>
      <w:r w:rsidRPr="003B35BC">
        <w:rPr>
          <w:rFonts w:ascii="Times New Roman" w:hAnsi="Times New Roman" w:cs="Times New Roman"/>
          <w:i/>
          <w:iCs/>
          <w:sz w:val="24"/>
          <w:szCs w:val="24"/>
        </w:rPr>
        <w:t>Media Industries</w:t>
      </w:r>
      <w:r w:rsidRPr="003B35BC">
        <w:rPr>
          <w:rFonts w:ascii="Times New Roman" w:hAnsi="Times New Roman" w:cs="Times New Roman"/>
          <w:sz w:val="24"/>
          <w:szCs w:val="24"/>
        </w:rPr>
        <w:t>, </w:t>
      </w:r>
      <w:r w:rsidRPr="003B35BC">
        <w:rPr>
          <w:rFonts w:ascii="Times New Roman" w:hAnsi="Times New Roman" w:cs="Times New Roman"/>
          <w:i/>
          <w:iCs/>
          <w:sz w:val="24"/>
          <w:szCs w:val="24"/>
        </w:rPr>
        <w:t>8</w:t>
      </w:r>
      <w:r w:rsidRPr="003B35BC">
        <w:rPr>
          <w:rFonts w:ascii="Times New Roman" w:hAnsi="Times New Roman" w:cs="Times New Roman"/>
          <w:sz w:val="24"/>
          <w:szCs w:val="24"/>
        </w:rPr>
        <w:t>(1).</w:t>
      </w:r>
    </w:p>
    <w:p w14:paraId="02057D4B"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Ryu, S., Xiang, Y. and Zhang, W., 2024. New digital creative industry: Emerging digital consumption experiences in the cultural and creative sectors. In </w:t>
      </w:r>
      <w:r w:rsidRPr="003B35BC">
        <w:rPr>
          <w:rFonts w:ascii="Times New Roman" w:hAnsi="Times New Roman" w:cs="Times New Roman"/>
          <w:i/>
          <w:iCs/>
          <w:sz w:val="24"/>
          <w:szCs w:val="24"/>
        </w:rPr>
        <w:t>Guide to digital innovation in the cultural and creative industry</w:t>
      </w:r>
      <w:r w:rsidRPr="003B35BC">
        <w:rPr>
          <w:rFonts w:ascii="Times New Roman" w:hAnsi="Times New Roman" w:cs="Times New Roman"/>
          <w:sz w:val="24"/>
          <w:szCs w:val="24"/>
        </w:rPr>
        <w:t>. SAGE Publications, Inc..</w:t>
      </w:r>
    </w:p>
    <w:p w14:paraId="27A45108"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Dezuanni, M., 2021. Re-visiting the Australian Media Arts curriculum for digital media literacy education. </w:t>
      </w:r>
      <w:r w:rsidRPr="003B35BC">
        <w:rPr>
          <w:rFonts w:ascii="Times New Roman" w:hAnsi="Times New Roman" w:cs="Times New Roman"/>
          <w:i/>
          <w:iCs/>
          <w:sz w:val="24"/>
          <w:szCs w:val="24"/>
        </w:rPr>
        <w:t>The Australian Educational Researcher</w:t>
      </w:r>
      <w:r w:rsidRPr="003B35BC">
        <w:rPr>
          <w:rFonts w:ascii="Times New Roman" w:hAnsi="Times New Roman" w:cs="Times New Roman"/>
          <w:sz w:val="24"/>
          <w:szCs w:val="24"/>
        </w:rPr>
        <w:t>, </w:t>
      </w:r>
      <w:r w:rsidRPr="003B35BC">
        <w:rPr>
          <w:rFonts w:ascii="Times New Roman" w:hAnsi="Times New Roman" w:cs="Times New Roman"/>
          <w:i/>
          <w:iCs/>
          <w:sz w:val="24"/>
          <w:szCs w:val="24"/>
        </w:rPr>
        <w:t>48</w:t>
      </w:r>
      <w:r w:rsidRPr="003B35BC">
        <w:rPr>
          <w:rFonts w:ascii="Times New Roman" w:hAnsi="Times New Roman" w:cs="Times New Roman"/>
          <w:sz w:val="24"/>
          <w:szCs w:val="24"/>
        </w:rPr>
        <w:t>(5), pp.873-887.</w:t>
      </w:r>
    </w:p>
    <w:p w14:paraId="65C56EE2"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Grainge, P., 2021. From idents to influencers: The promotional screen industries. In </w:t>
      </w:r>
      <w:r w:rsidRPr="003B35BC">
        <w:rPr>
          <w:rFonts w:ascii="Times New Roman" w:hAnsi="Times New Roman" w:cs="Times New Roman"/>
          <w:i/>
          <w:iCs/>
          <w:sz w:val="24"/>
          <w:szCs w:val="24"/>
        </w:rPr>
        <w:t>The Routledge Companion to Media Industries</w:t>
      </w:r>
      <w:r w:rsidRPr="003B35BC">
        <w:rPr>
          <w:rFonts w:ascii="Times New Roman" w:hAnsi="Times New Roman" w:cs="Times New Roman"/>
          <w:sz w:val="24"/>
          <w:szCs w:val="24"/>
        </w:rPr>
        <w:t> (pp. 363-371). Routledge.</w:t>
      </w:r>
    </w:p>
    <w:p w14:paraId="623BAFD0"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Torun, A., 2025. Filmmaking and video art in the digital era. In </w:t>
      </w:r>
      <w:r w:rsidRPr="003B35BC">
        <w:rPr>
          <w:rFonts w:ascii="Times New Roman" w:hAnsi="Times New Roman" w:cs="Times New Roman"/>
          <w:i/>
          <w:iCs/>
          <w:sz w:val="24"/>
          <w:szCs w:val="24"/>
        </w:rPr>
        <w:t>Impact of Contemporary Technology on Art and Design</w:t>
      </w:r>
      <w:r w:rsidRPr="003B35BC">
        <w:rPr>
          <w:rFonts w:ascii="Times New Roman" w:hAnsi="Times New Roman" w:cs="Times New Roman"/>
          <w:sz w:val="24"/>
          <w:szCs w:val="24"/>
        </w:rPr>
        <w:t> (pp. 237-260). IGI Global.</w:t>
      </w:r>
    </w:p>
    <w:p w14:paraId="26D4A4FE"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Akter, M., 2025. THEINFLUENCEOFPSYCHOLOGICALMOTIVATIONSANDAI RECOMMENDATIONQUALITYONBINGEWATCHINGBEHAVIORAND EMOTIONALBURNOUTAMONGGENERATIONZOTTUSERS.</w:t>
      </w:r>
    </w:p>
    <w:p w14:paraId="46CA635D"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Moore, C.L., Comerford, C. and Vettoretto, R., 2025. Binge-watching and mental illness versus comfort TV and mental health in WandaVision. </w:t>
      </w:r>
      <w:r w:rsidRPr="003B35BC">
        <w:rPr>
          <w:rFonts w:ascii="Times New Roman" w:hAnsi="Times New Roman" w:cs="Times New Roman"/>
          <w:i/>
          <w:iCs/>
          <w:sz w:val="24"/>
          <w:szCs w:val="24"/>
        </w:rPr>
        <w:t>Critical Studies in Television</w:t>
      </w:r>
      <w:r w:rsidRPr="003B35BC">
        <w:rPr>
          <w:rFonts w:ascii="Times New Roman" w:hAnsi="Times New Roman" w:cs="Times New Roman"/>
          <w:sz w:val="24"/>
          <w:szCs w:val="24"/>
        </w:rPr>
        <w:t>, </w:t>
      </w:r>
      <w:r w:rsidRPr="003B35BC">
        <w:rPr>
          <w:rFonts w:ascii="Times New Roman" w:hAnsi="Times New Roman" w:cs="Times New Roman"/>
          <w:i/>
          <w:iCs/>
          <w:sz w:val="24"/>
          <w:szCs w:val="24"/>
        </w:rPr>
        <w:t>20</w:t>
      </w:r>
      <w:r w:rsidRPr="003B35BC">
        <w:rPr>
          <w:rFonts w:ascii="Times New Roman" w:hAnsi="Times New Roman" w:cs="Times New Roman"/>
          <w:sz w:val="24"/>
          <w:szCs w:val="24"/>
        </w:rPr>
        <w:t>(2), pp.185-204.</w:t>
      </w:r>
    </w:p>
    <w:p w14:paraId="5D52BE60"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Mills, J.T., 2022, July. The Gamification of Arts and Culture: The expanded narrative and the virtual space from digital media to COVID. In </w:t>
      </w:r>
      <w:r w:rsidRPr="003B35BC">
        <w:rPr>
          <w:rFonts w:ascii="Times New Roman" w:hAnsi="Times New Roman" w:cs="Times New Roman"/>
          <w:i/>
          <w:iCs/>
          <w:sz w:val="24"/>
          <w:szCs w:val="24"/>
        </w:rPr>
        <w:t>Proceedings of EVA London 2022</w:t>
      </w:r>
      <w:r w:rsidRPr="003B35BC">
        <w:rPr>
          <w:rFonts w:ascii="Times New Roman" w:hAnsi="Times New Roman" w:cs="Times New Roman"/>
          <w:sz w:val="24"/>
          <w:szCs w:val="24"/>
        </w:rPr>
        <w:t> (pp. 188-195). BCS Learning &amp; Development.</w:t>
      </w:r>
    </w:p>
    <w:p w14:paraId="4A5E4FAD"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Chin, W.L. and Liu, Y., 2025. The New Hallmarks of Film-induced Tourism Amid the Post COVID-19 New Norm in Southeast Asia. In </w:t>
      </w:r>
      <w:r w:rsidRPr="003B35BC">
        <w:rPr>
          <w:rFonts w:ascii="Times New Roman" w:hAnsi="Times New Roman" w:cs="Times New Roman"/>
          <w:i/>
          <w:iCs/>
          <w:sz w:val="24"/>
          <w:szCs w:val="24"/>
        </w:rPr>
        <w:t>Film and Tourism: Case Studies on Tourist Behavior</w:t>
      </w:r>
      <w:r w:rsidRPr="003B35BC">
        <w:rPr>
          <w:rFonts w:ascii="Times New Roman" w:hAnsi="Times New Roman" w:cs="Times New Roman"/>
          <w:sz w:val="24"/>
          <w:szCs w:val="24"/>
        </w:rPr>
        <w:t> (pp. 65-80). Cham: Springer Nature Switzerland.</w:t>
      </w:r>
    </w:p>
    <w:p w14:paraId="1F2381C8"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Zeng, A., 2025. </w:t>
      </w:r>
      <w:r w:rsidRPr="003B35BC">
        <w:rPr>
          <w:rFonts w:ascii="Times New Roman" w:hAnsi="Times New Roman" w:cs="Times New Roman"/>
          <w:i/>
          <w:iCs/>
          <w:sz w:val="24"/>
          <w:szCs w:val="24"/>
        </w:rPr>
        <w:t>Winning Over Gen Z: The Evolving Strategies of Sports Leagues and Media in Response to Changing Youth Habits</w:t>
      </w:r>
      <w:r w:rsidRPr="003B35BC">
        <w:rPr>
          <w:rFonts w:ascii="Times New Roman" w:hAnsi="Times New Roman" w:cs="Times New Roman"/>
          <w:sz w:val="24"/>
          <w:szCs w:val="24"/>
        </w:rPr>
        <w:t> (Doctoral dissertation, Massachusetts Institute of Technology).</w:t>
      </w:r>
    </w:p>
    <w:p w14:paraId="303698A5"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Ozgun, A. and Treske, A., 2025. Streaming Media Platforms and Film/Video Arts Distribution. </w:t>
      </w:r>
      <w:r w:rsidRPr="003B35BC">
        <w:rPr>
          <w:rFonts w:ascii="Times New Roman" w:hAnsi="Times New Roman" w:cs="Times New Roman"/>
          <w:i/>
          <w:iCs/>
          <w:sz w:val="24"/>
          <w:szCs w:val="24"/>
        </w:rPr>
        <w:t>Markets, Globalization &amp; Development Review</w:t>
      </w:r>
      <w:r w:rsidRPr="003B35BC">
        <w:rPr>
          <w:rFonts w:ascii="Times New Roman" w:hAnsi="Times New Roman" w:cs="Times New Roman"/>
          <w:sz w:val="24"/>
          <w:szCs w:val="24"/>
        </w:rPr>
        <w:t>, </w:t>
      </w:r>
      <w:r w:rsidRPr="003B35BC">
        <w:rPr>
          <w:rFonts w:ascii="Times New Roman" w:hAnsi="Times New Roman" w:cs="Times New Roman"/>
          <w:i/>
          <w:iCs/>
          <w:sz w:val="24"/>
          <w:szCs w:val="24"/>
        </w:rPr>
        <w:t>9</w:t>
      </w:r>
      <w:r w:rsidRPr="003B35BC">
        <w:rPr>
          <w:rFonts w:ascii="Times New Roman" w:hAnsi="Times New Roman" w:cs="Times New Roman"/>
          <w:sz w:val="24"/>
          <w:szCs w:val="24"/>
        </w:rPr>
        <w:t>(4).</w:t>
      </w:r>
    </w:p>
    <w:p w14:paraId="398AB441"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lastRenderedPageBreak/>
        <w:t>Mulla, T., Kaluvilla, B.B., Zahidi, F., Alsabbah, S. and Tantry, A., 2025. " Your House Looks Like That Show....": Exploring Consumers' Perceptions Towards Media-Inspired Home Décor. </w:t>
      </w:r>
      <w:r w:rsidRPr="003B35BC">
        <w:rPr>
          <w:rFonts w:ascii="Times New Roman" w:hAnsi="Times New Roman" w:cs="Times New Roman"/>
          <w:i/>
          <w:iCs/>
          <w:sz w:val="24"/>
          <w:szCs w:val="24"/>
        </w:rPr>
        <w:t>Frontiers in Computer Science</w:t>
      </w:r>
      <w:r w:rsidRPr="003B35BC">
        <w:rPr>
          <w:rFonts w:ascii="Times New Roman" w:hAnsi="Times New Roman" w:cs="Times New Roman"/>
          <w:sz w:val="24"/>
          <w:szCs w:val="24"/>
        </w:rPr>
        <w:t>, </w:t>
      </w:r>
      <w:r w:rsidRPr="003B35BC">
        <w:rPr>
          <w:rFonts w:ascii="Times New Roman" w:hAnsi="Times New Roman" w:cs="Times New Roman"/>
          <w:i/>
          <w:iCs/>
          <w:sz w:val="24"/>
          <w:szCs w:val="24"/>
        </w:rPr>
        <w:t>7</w:t>
      </w:r>
      <w:r w:rsidRPr="003B35BC">
        <w:rPr>
          <w:rFonts w:ascii="Times New Roman" w:hAnsi="Times New Roman" w:cs="Times New Roman"/>
          <w:sz w:val="24"/>
          <w:szCs w:val="24"/>
        </w:rPr>
        <w:t>, p.1610053.</w:t>
      </w:r>
    </w:p>
    <w:p w14:paraId="1931F1F0"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Sandberg, H., 2025. Rethinking Digital Safety: Inclusion, Rights And A Child’s Best Interests. </w:t>
      </w:r>
      <w:r w:rsidRPr="003B35BC">
        <w:rPr>
          <w:rFonts w:ascii="Times New Roman" w:hAnsi="Times New Roman" w:cs="Times New Roman"/>
          <w:i/>
          <w:iCs/>
          <w:sz w:val="24"/>
          <w:szCs w:val="24"/>
        </w:rPr>
        <w:t>W13 0HH</w:t>
      </w:r>
      <w:r w:rsidRPr="003B35BC">
        <w:rPr>
          <w:rFonts w:ascii="Times New Roman" w:hAnsi="Times New Roman" w:cs="Times New Roman"/>
          <w:sz w:val="24"/>
          <w:szCs w:val="24"/>
        </w:rPr>
        <w:t>, p.105.</w:t>
      </w:r>
    </w:p>
    <w:p w14:paraId="2C1B533D"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Alexander, N., 2025. </w:t>
      </w:r>
      <w:r w:rsidRPr="003B35BC">
        <w:rPr>
          <w:rFonts w:ascii="Times New Roman" w:hAnsi="Times New Roman" w:cs="Times New Roman"/>
          <w:i/>
          <w:iCs/>
          <w:sz w:val="24"/>
          <w:szCs w:val="24"/>
        </w:rPr>
        <w:t>Interface Frictions: How Digital Debility Reshapes Our Bodies</w:t>
      </w:r>
      <w:r w:rsidRPr="003B35BC">
        <w:rPr>
          <w:rFonts w:ascii="Times New Roman" w:hAnsi="Times New Roman" w:cs="Times New Roman"/>
          <w:sz w:val="24"/>
          <w:szCs w:val="24"/>
        </w:rPr>
        <w:t>. Duke University Press.</w:t>
      </w:r>
    </w:p>
    <w:p w14:paraId="2F5516D7"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Hart, P., 2024. Docu-mania: The Introduction to Crafting Contemporary Documentaries and Docuseries for Global Screens. </w:t>
      </w:r>
      <w:r w:rsidRPr="003B35BC">
        <w:rPr>
          <w:rFonts w:ascii="Times New Roman" w:hAnsi="Times New Roman" w:cs="Times New Roman"/>
          <w:i/>
          <w:iCs/>
          <w:sz w:val="24"/>
          <w:szCs w:val="24"/>
        </w:rPr>
        <w:t>Film International</w:t>
      </w:r>
      <w:r w:rsidRPr="003B35BC">
        <w:rPr>
          <w:rFonts w:ascii="Times New Roman" w:hAnsi="Times New Roman" w:cs="Times New Roman"/>
          <w:sz w:val="24"/>
          <w:szCs w:val="24"/>
        </w:rPr>
        <w:t>.</w:t>
      </w:r>
    </w:p>
    <w:p w14:paraId="6E59FB1D"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Denson, S., 2023. The New Seriality. </w:t>
      </w:r>
      <w:r w:rsidRPr="003B35BC">
        <w:rPr>
          <w:rFonts w:ascii="Times New Roman" w:hAnsi="Times New Roman" w:cs="Times New Roman"/>
          <w:i/>
          <w:iCs/>
          <w:sz w:val="24"/>
          <w:szCs w:val="24"/>
        </w:rPr>
        <w:t>Qui Parle</w:t>
      </w:r>
      <w:r w:rsidRPr="003B35BC">
        <w:rPr>
          <w:rFonts w:ascii="Times New Roman" w:hAnsi="Times New Roman" w:cs="Times New Roman"/>
          <w:sz w:val="24"/>
          <w:szCs w:val="24"/>
        </w:rPr>
        <w:t>, </w:t>
      </w:r>
      <w:r w:rsidRPr="003B35BC">
        <w:rPr>
          <w:rFonts w:ascii="Times New Roman" w:hAnsi="Times New Roman" w:cs="Times New Roman"/>
          <w:i/>
          <w:iCs/>
          <w:sz w:val="24"/>
          <w:szCs w:val="24"/>
        </w:rPr>
        <w:t>32</w:t>
      </w:r>
      <w:r w:rsidRPr="003B35BC">
        <w:rPr>
          <w:rFonts w:ascii="Times New Roman" w:hAnsi="Times New Roman" w:cs="Times New Roman"/>
          <w:sz w:val="24"/>
          <w:szCs w:val="24"/>
        </w:rPr>
        <w:t>(2), pp.301-339.</w:t>
      </w:r>
    </w:p>
    <w:p w14:paraId="0D036C8B"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Fung, A.Y. and Chik, G.H., 2021. Transformation and survival strategies. </w:t>
      </w:r>
      <w:r w:rsidRPr="003B35BC">
        <w:rPr>
          <w:rFonts w:ascii="Times New Roman" w:hAnsi="Times New Roman" w:cs="Times New Roman"/>
          <w:i/>
          <w:iCs/>
          <w:sz w:val="24"/>
          <w:szCs w:val="24"/>
        </w:rPr>
        <w:t>The Routledge Companion to Media Industries</w:t>
      </w:r>
      <w:r w:rsidRPr="003B35BC">
        <w:rPr>
          <w:rFonts w:ascii="Times New Roman" w:hAnsi="Times New Roman" w:cs="Times New Roman"/>
          <w:sz w:val="24"/>
          <w:szCs w:val="24"/>
        </w:rPr>
        <w:t>.</w:t>
      </w:r>
    </w:p>
    <w:p w14:paraId="5767BE47"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Mitchell, S., Perry, C., Redmond, S. and Torre, L. eds., 2025. </w:t>
      </w:r>
      <w:r w:rsidRPr="003B35BC">
        <w:rPr>
          <w:rFonts w:ascii="Times New Roman" w:hAnsi="Times New Roman" w:cs="Times New Roman"/>
          <w:i/>
          <w:iCs/>
          <w:sz w:val="24"/>
          <w:szCs w:val="24"/>
        </w:rPr>
        <w:t>The Screens of Virtual Production: What is Real?</w:t>
      </w:r>
      <w:r w:rsidRPr="003B35BC">
        <w:rPr>
          <w:rFonts w:ascii="Times New Roman" w:hAnsi="Times New Roman" w:cs="Times New Roman"/>
          <w:sz w:val="24"/>
          <w:szCs w:val="24"/>
        </w:rPr>
        <w:t>. Taylor &amp; Francis.</w:t>
      </w:r>
    </w:p>
    <w:p w14:paraId="41FB82F5"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Wang, D., 2021. Online translation communities and networks. In </w:t>
      </w:r>
      <w:r w:rsidRPr="003B35BC">
        <w:rPr>
          <w:rFonts w:ascii="Times New Roman" w:hAnsi="Times New Roman" w:cs="Times New Roman"/>
          <w:i/>
          <w:iCs/>
          <w:sz w:val="24"/>
          <w:szCs w:val="24"/>
        </w:rPr>
        <w:t>The Routledge handbook of translation and media</w:t>
      </w:r>
      <w:r w:rsidRPr="003B35BC">
        <w:rPr>
          <w:rFonts w:ascii="Times New Roman" w:hAnsi="Times New Roman" w:cs="Times New Roman"/>
          <w:sz w:val="24"/>
          <w:szCs w:val="24"/>
        </w:rPr>
        <w:t> (pp. 501-517). Routledge.</w:t>
      </w:r>
    </w:p>
    <w:p w14:paraId="68DBD0AF"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Cao, L., 2023. New Media and Technology Convergence. In </w:t>
      </w:r>
      <w:r w:rsidRPr="003B35BC">
        <w:rPr>
          <w:rFonts w:ascii="Times New Roman" w:hAnsi="Times New Roman" w:cs="Times New Roman"/>
          <w:i/>
          <w:iCs/>
          <w:sz w:val="24"/>
          <w:szCs w:val="24"/>
        </w:rPr>
        <w:t>When Documentaries Meet New Media: Interactive Documentary Projects in China and the West</w:t>
      </w:r>
      <w:r w:rsidRPr="003B35BC">
        <w:rPr>
          <w:rFonts w:ascii="Times New Roman" w:hAnsi="Times New Roman" w:cs="Times New Roman"/>
          <w:sz w:val="24"/>
          <w:szCs w:val="24"/>
        </w:rPr>
        <w:t> (pp. 41-73). Berlin, Heidelberg: Springer Berlin Heidelberg.</w:t>
      </w:r>
    </w:p>
    <w:p w14:paraId="53E1C80D"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Shipman, A. and Vogel, A., 2024. Streaming the festival: what is lost when cultural events go online. </w:t>
      </w:r>
      <w:r w:rsidRPr="003B35BC">
        <w:rPr>
          <w:rFonts w:ascii="Times New Roman" w:hAnsi="Times New Roman" w:cs="Times New Roman"/>
          <w:i/>
          <w:iCs/>
          <w:sz w:val="24"/>
          <w:szCs w:val="24"/>
        </w:rPr>
        <w:t>Review of Social Economy</w:t>
      </w:r>
      <w:r w:rsidRPr="003B35BC">
        <w:rPr>
          <w:rFonts w:ascii="Times New Roman" w:hAnsi="Times New Roman" w:cs="Times New Roman"/>
          <w:sz w:val="24"/>
          <w:szCs w:val="24"/>
        </w:rPr>
        <w:t>, </w:t>
      </w:r>
      <w:r w:rsidRPr="003B35BC">
        <w:rPr>
          <w:rFonts w:ascii="Times New Roman" w:hAnsi="Times New Roman" w:cs="Times New Roman"/>
          <w:i/>
          <w:iCs/>
          <w:sz w:val="24"/>
          <w:szCs w:val="24"/>
        </w:rPr>
        <w:t>82</w:t>
      </w:r>
      <w:r w:rsidRPr="003B35BC">
        <w:rPr>
          <w:rFonts w:ascii="Times New Roman" w:hAnsi="Times New Roman" w:cs="Times New Roman"/>
          <w:sz w:val="24"/>
          <w:szCs w:val="24"/>
        </w:rPr>
        <w:t>(1), pp.126-146.</w:t>
      </w:r>
    </w:p>
    <w:p w14:paraId="17C48BF1"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Dowling, D., 2024. </w:t>
      </w:r>
      <w:r w:rsidRPr="003B35BC">
        <w:rPr>
          <w:rFonts w:ascii="Times New Roman" w:hAnsi="Times New Roman" w:cs="Times New Roman"/>
          <w:i/>
          <w:iCs/>
          <w:sz w:val="24"/>
          <w:szCs w:val="24"/>
        </w:rPr>
        <w:t>Podcast journalism: The promise and perils of audio reporting</w:t>
      </w:r>
      <w:r w:rsidRPr="003B35BC">
        <w:rPr>
          <w:rFonts w:ascii="Times New Roman" w:hAnsi="Times New Roman" w:cs="Times New Roman"/>
          <w:sz w:val="24"/>
          <w:szCs w:val="24"/>
        </w:rPr>
        <w:t>. Columbia University Press.</w:t>
      </w:r>
    </w:p>
    <w:p w14:paraId="6A3961A2"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Costabile, L., 2023. English-language cyberdubbing in the Age of artificial intelligence: a reception study.</w:t>
      </w:r>
    </w:p>
    <w:p w14:paraId="36636FD3"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Schleser, M., 2022. Smart storytelling. Studies in documentary film, 16(2), pp.97-113.</w:t>
      </w:r>
    </w:p>
    <w:p w14:paraId="1FC5C1AE"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t>Lobato, R., 2021. Free, bundled, or personalized? Rethinking price and value in digital distribution. </w:t>
      </w:r>
      <w:r w:rsidRPr="003B35BC">
        <w:rPr>
          <w:rFonts w:ascii="Times New Roman" w:hAnsi="Times New Roman" w:cs="Times New Roman"/>
          <w:i/>
          <w:iCs/>
          <w:sz w:val="24"/>
          <w:szCs w:val="24"/>
        </w:rPr>
        <w:t>Digital media distribution: Portals, platforms, pipelines</w:t>
      </w:r>
      <w:r w:rsidRPr="003B35BC">
        <w:rPr>
          <w:rFonts w:ascii="Times New Roman" w:hAnsi="Times New Roman" w:cs="Times New Roman"/>
          <w:sz w:val="24"/>
          <w:szCs w:val="24"/>
        </w:rPr>
        <w:t>, p.314.</w:t>
      </w:r>
    </w:p>
    <w:p w14:paraId="00A3E364" w14:textId="77777777" w:rsidR="00C44F80" w:rsidRDefault="00C44F80" w:rsidP="00C44F80">
      <w:pPr>
        <w:spacing w:line="360" w:lineRule="auto"/>
        <w:jc w:val="both"/>
        <w:rPr>
          <w:rFonts w:ascii="Times New Roman" w:hAnsi="Times New Roman" w:cs="Times New Roman"/>
          <w:sz w:val="24"/>
          <w:szCs w:val="24"/>
        </w:rPr>
      </w:pPr>
      <w:r w:rsidRPr="003B35BC">
        <w:rPr>
          <w:rFonts w:ascii="Times New Roman" w:hAnsi="Times New Roman" w:cs="Times New Roman"/>
          <w:sz w:val="24"/>
          <w:szCs w:val="24"/>
        </w:rPr>
        <w:lastRenderedPageBreak/>
        <w:t>Champion, E., Erik/Lee Champion (Christin) and Stadler, J., 2022. </w:t>
      </w:r>
      <w:r w:rsidRPr="003B35BC">
        <w:rPr>
          <w:rFonts w:ascii="Times New Roman" w:hAnsi="Times New Roman" w:cs="Times New Roman"/>
          <w:i/>
          <w:iCs/>
          <w:sz w:val="24"/>
          <w:szCs w:val="24"/>
        </w:rPr>
        <w:t>Screen Tourism and Affective Landscapes</w:t>
      </w:r>
      <w:r w:rsidRPr="003B35BC">
        <w:rPr>
          <w:rFonts w:ascii="Times New Roman" w:hAnsi="Times New Roman" w:cs="Times New Roman"/>
          <w:sz w:val="24"/>
          <w:szCs w:val="24"/>
        </w:rPr>
        <w:t>.</w:t>
      </w:r>
    </w:p>
    <w:p w14:paraId="2A572921" w14:textId="77777777" w:rsidR="00C44F80" w:rsidRDefault="00C44F80" w:rsidP="00C44F80">
      <w:pPr>
        <w:spacing w:line="360" w:lineRule="auto"/>
        <w:jc w:val="both"/>
        <w:rPr>
          <w:rFonts w:ascii="Times New Roman" w:hAnsi="Times New Roman" w:cs="Times New Roman"/>
          <w:sz w:val="24"/>
          <w:szCs w:val="24"/>
        </w:rPr>
      </w:pPr>
      <w:r w:rsidRPr="001610F3">
        <w:rPr>
          <w:rFonts w:ascii="Times New Roman" w:hAnsi="Times New Roman" w:cs="Times New Roman"/>
          <w:sz w:val="24"/>
          <w:szCs w:val="24"/>
        </w:rPr>
        <w:t>Jang, M., Kim, D. and Baek, H., 2023. How do global audiences of TV shows take shape?: Evidence from Netflix. </w:t>
      </w:r>
      <w:r w:rsidRPr="001610F3">
        <w:rPr>
          <w:rFonts w:ascii="Times New Roman" w:hAnsi="Times New Roman" w:cs="Times New Roman"/>
          <w:i/>
          <w:iCs/>
          <w:sz w:val="24"/>
          <w:szCs w:val="24"/>
        </w:rPr>
        <w:t>Applied Economics Letters</w:t>
      </w:r>
      <w:r w:rsidRPr="001610F3">
        <w:rPr>
          <w:rFonts w:ascii="Times New Roman" w:hAnsi="Times New Roman" w:cs="Times New Roman"/>
          <w:sz w:val="24"/>
          <w:szCs w:val="24"/>
        </w:rPr>
        <w:t>, </w:t>
      </w:r>
      <w:r w:rsidRPr="001610F3">
        <w:rPr>
          <w:rFonts w:ascii="Times New Roman" w:hAnsi="Times New Roman" w:cs="Times New Roman"/>
          <w:i/>
          <w:iCs/>
          <w:sz w:val="24"/>
          <w:szCs w:val="24"/>
        </w:rPr>
        <w:t>30</w:t>
      </w:r>
      <w:r w:rsidRPr="001610F3">
        <w:rPr>
          <w:rFonts w:ascii="Times New Roman" w:hAnsi="Times New Roman" w:cs="Times New Roman"/>
          <w:sz w:val="24"/>
          <w:szCs w:val="24"/>
        </w:rPr>
        <w:t>(3), pp.285-291.</w:t>
      </w:r>
    </w:p>
    <w:p w14:paraId="6CD19A7F" w14:textId="77777777" w:rsidR="00C44F80" w:rsidRDefault="00C44F80" w:rsidP="00C44F80">
      <w:pPr>
        <w:spacing w:line="360" w:lineRule="auto"/>
        <w:jc w:val="both"/>
        <w:rPr>
          <w:rFonts w:ascii="Times New Roman" w:hAnsi="Times New Roman" w:cs="Times New Roman"/>
          <w:sz w:val="24"/>
          <w:szCs w:val="24"/>
        </w:rPr>
      </w:pPr>
      <w:r w:rsidRPr="001610F3">
        <w:rPr>
          <w:rFonts w:ascii="Times New Roman" w:hAnsi="Times New Roman" w:cs="Times New Roman"/>
          <w:sz w:val="24"/>
          <w:szCs w:val="24"/>
        </w:rPr>
        <w:t>Hendijani, R.B. and Jaszus, K., 2024, May. Cross-Cultural Perspectives on Netflix Adoption: A Comparative Analysis Between Indonesia and Germany Using a Modified Technology Acceptance Model. In </w:t>
      </w:r>
      <w:r w:rsidRPr="001610F3">
        <w:rPr>
          <w:rFonts w:ascii="Times New Roman" w:hAnsi="Times New Roman" w:cs="Times New Roman"/>
          <w:i/>
          <w:iCs/>
          <w:sz w:val="24"/>
          <w:szCs w:val="24"/>
        </w:rPr>
        <w:t>2024 9th International Conference on Business and Industrial Research (ICBIR)</w:t>
      </w:r>
      <w:r w:rsidRPr="001610F3">
        <w:rPr>
          <w:rFonts w:ascii="Times New Roman" w:hAnsi="Times New Roman" w:cs="Times New Roman"/>
          <w:sz w:val="24"/>
          <w:szCs w:val="24"/>
        </w:rPr>
        <w:t> (pp. 0566-0571). IEEE.</w:t>
      </w:r>
    </w:p>
    <w:p w14:paraId="4020F8BA" w14:textId="77777777" w:rsidR="00C44F80" w:rsidRPr="003B35BC" w:rsidRDefault="00C44F80" w:rsidP="00C44F80">
      <w:pPr>
        <w:spacing w:line="360" w:lineRule="auto"/>
        <w:jc w:val="both"/>
        <w:rPr>
          <w:rFonts w:ascii="Times New Roman" w:hAnsi="Times New Roman" w:cs="Times New Roman"/>
          <w:sz w:val="24"/>
          <w:szCs w:val="24"/>
        </w:rPr>
      </w:pPr>
      <w:r w:rsidRPr="001610F3">
        <w:rPr>
          <w:rFonts w:ascii="Times New Roman" w:hAnsi="Times New Roman" w:cs="Times New Roman"/>
          <w:sz w:val="24"/>
          <w:szCs w:val="24"/>
        </w:rPr>
        <w:t>Johnson, T., 2021. </w:t>
      </w:r>
      <w:r w:rsidRPr="001610F3">
        <w:rPr>
          <w:rFonts w:ascii="Times New Roman" w:hAnsi="Times New Roman" w:cs="Times New Roman"/>
          <w:i/>
          <w:iCs/>
          <w:sz w:val="24"/>
          <w:szCs w:val="24"/>
        </w:rPr>
        <w:t>CULTURAL DIFFERENCES IN BUSINESS: HOW CULTURE CAN</w:t>
      </w:r>
      <w:r w:rsidRPr="001610F3">
        <w:rPr>
          <w:rFonts w:ascii="Times New Roman" w:hAnsi="Times New Roman" w:cs="Times New Roman"/>
          <w:sz w:val="24"/>
          <w:szCs w:val="24"/>
        </w:rPr>
        <w:t> (Doctoral dissertation, Texas Christian University Fort Worth, Texas).</w:t>
      </w:r>
    </w:p>
    <w:bookmarkEnd w:id="0"/>
    <w:p w14:paraId="302C5047" w14:textId="77777777" w:rsidR="00F709D8" w:rsidRPr="007473F8" w:rsidRDefault="00F709D8" w:rsidP="007473F8">
      <w:pPr>
        <w:spacing w:line="360" w:lineRule="auto"/>
        <w:jc w:val="both"/>
        <w:rPr>
          <w:rFonts w:ascii="Times New Roman" w:hAnsi="Times New Roman" w:cs="Times New Roman"/>
          <w:sz w:val="24"/>
          <w:szCs w:val="24"/>
        </w:rPr>
      </w:pPr>
    </w:p>
    <w:sectPr w:rsidR="00F709D8" w:rsidRPr="007473F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5FC5A" w14:textId="77777777" w:rsidR="002B7E67" w:rsidRDefault="002B7E67" w:rsidP="00C44F80">
      <w:pPr>
        <w:spacing w:after="0" w:line="240" w:lineRule="auto"/>
      </w:pPr>
      <w:r>
        <w:separator/>
      </w:r>
    </w:p>
  </w:endnote>
  <w:endnote w:type="continuationSeparator" w:id="0">
    <w:p w14:paraId="00AF47E1" w14:textId="77777777" w:rsidR="002B7E67" w:rsidRDefault="002B7E67" w:rsidP="00C44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94259" w14:textId="77777777" w:rsidR="002B7E67" w:rsidRDefault="002B7E67" w:rsidP="00C44F80">
      <w:pPr>
        <w:spacing w:after="0" w:line="240" w:lineRule="auto"/>
      </w:pPr>
      <w:r>
        <w:separator/>
      </w:r>
    </w:p>
  </w:footnote>
  <w:footnote w:type="continuationSeparator" w:id="0">
    <w:p w14:paraId="419B8047" w14:textId="77777777" w:rsidR="002B7E67" w:rsidRDefault="002B7E67" w:rsidP="00C44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9913742"/>
      <w:docPartObj>
        <w:docPartGallery w:val="Page Numbers (Top of Page)"/>
        <w:docPartUnique/>
      </w:docPartObj>
    </w:sdtPr>
    <w:sdtEndPr>
      <w:rPr>
        <w:noProof/>
      </w:rPr>
    </w:sdtEndPr>
    <w:sdtContent>
      <w:p w14:paraId="5A280D88" w14:textId="38613516" w:rsidR="00C44F80" w:rsidRDefault="00C44F8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56D6C86" w14:textId="77777777" w:rsidR="00C44F80" w:rsidRDefault="00C44F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26BE0"/>
    <w:multiLevelType w:val="multilevel"/>
    <w:tmpl w:val="5DE6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C398E"/>
    <w:multiLevelType w:val="multilevel"/>
    <w:tmpl w:val="5440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27257"/>
    <w:multiLevelType w:val="multilevel"/>
    <w:tmpl w:val="766EF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03C62"/>
    <w:multiLevelType w:val="multilevel"/>
    <w:tmpl w:val="660A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1D46E3"/>
    <w:multiLevelType w:val="multilevel"/>
    <w:tmpl w:val="92067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640769"/>
    <w:multiLevelType w:val="multilevel"/>
    <w:tmpl w:val="F3CC8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1A430E"/>
    <w:multiLevelType w:val="multilevel"/>
    <w:tmpl w:val="6ABA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007964"/>
    <w:multiLevelType w:val="multilevel"/>
    <w:tmpl w:val="7CC86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FD6711"/>
    <w:multiLevelType w:val="multilevel"/>
    <w:tmpl w:val="702CE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034905"/>
    <w:multiLevelType w:val="multilevel"/>
    <w:tmpl w:val="30D23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8F1417"/>
    <w:multiLevelType w:val="multilevel"/>
    <w:tmpl w:val="B578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891CED"/>
    <w:multiLevelType w:val="multilevel"/>
    <w:tmpl w:val="BAB8C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6275FA"/>
    <w:multiLevelType w:val="multilevel"/>
    <w:tmpl w:val="95625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B24B2D"/>
    <w:multiLevelType w:val="multilevel"/>
    <w:tmpl w:val="5EAC663A"/>
    <w:lvl w:ilvl="0">
      <w:start w:val="4"/>
      <w:numFmt w:val="decimal"/>
      <w:lvlText w:val="%1"/>
      <w:lvlJc w:val="left"/>
      <w:pPr>
        <w:ind w:left="448" w:hanging="339"/>
      </w:pPr>
      <w:rPr>
        <w:rFonts w:hint="default"/>
        <w:lang w:val="en-US" w:eastAsia="en-US" w:bidi="ar-SA"/>
      </w:rPr>
    </w:lvl>
    <w:lvl w:ilvl="1">
      <w:start w:val="1"/>
      <w:numFmt w:val="decimal"/>
      <w:lvlText w:val="%1.%2"/>
      <w:lvlJc w:val="left"/>
      <w:pPr>
        <w:ind w:left="448" w:hanging="339"/>
      </w:pPr>
      <w:rPr>
        <w:rFonts w:ascii="Arial MT" w:eastAsia="Arial MT" w:hAnsi="Arial MT" w:cs="Arial MT" w:hint="default"/>
        <w:b w:val="0"/>
        <w:bCs w:val="0"/>
        <w:i w:val="0"/>
        <w:iCs w:val="0"/>
        <w:spacing w:val="0"/>
        <w:w w:val="100"/>
        <w:sz w:val="20"/>
        <w:szCs w:val="20"/>
        <w:lang w:val="en-US" w:eastAsia="en-US" w:bidi="ar-SA"/>
      </w:rPr>
    </w:lvl>
    <w:lvl w:ilvl="2">
      <w:numFmt w:val="bullet"/>
      <w:lvlText w:val="•"/>
      <w:lvlJc w:val="left"/>
      <w:pPr>
        <w:ind w:left="1756" w:hanging="339"/>
      </w:pPr>
      <w:rPr>
        <w:rFonts w:hint="default"/>
        <w:lang w:val="en-US" w:eastAsia="en-US" w:bidi="ar-SA"/>
      </w:rPr>
    </w:lvl>
    <w:lvl w:ilvl="3">
      <w:numFmt w:val="bullet"/>
      <w:lvlText w:val="•"/>
      <w:lvlJc w:val="left"/>
      <w:pPr>
        <w:ind w:left="2414" w:hanging="339"/>
      </w:pPr>
      <w:rPr>
        <w:rFonts w:hint="default"/>
        <w:lang w:val="en-US" w:eastAsia="en-US" w:bidi="ar-SA"/>
      </w:rPr>
    </w:lvl>
    <w:lvl w:ilvl="4">
      <w:numFmt w:val="bullet"/>
      <w:lvlText w:val="•"/>
      <w:lvlJc w:val="left"/>
      <w:pPr>
        <w:ind w:left="3072" w:hanging="339"/>
      </w:pPr>
      <w:rPr>
        <w:rFonts w:hint="default"/>
        <w:lang w:val="en-US" w:eastAsia="en-US" w:bidi="ar-SA"/>
      </w:rPr>
    </w:lvl>
    <w:lvl w:ilvl="5">
      <w:numFmt w:val="bullet"/>
      <w:lvlText w:val="•"/>
      <w:lvlJc w:val="left"/>
      <w:pPr>
        <w:ind w:left="3730" w:hanging="339"/>
      </w:pPr>
      <w:rPr>
        <w:rFonts w:hint="default"/>
        <w:lang w:val="en-US" w:eastAsia="en-US" w:bidi="ar-SA"/>
      </w:rPr>
    </w:lvl>
    <w:lvl w:ilvl="6">
      <w:numFmt w:val="bullet"/>
      <w:lvlText w:val="•"/>
      <w:lvlJc w:val="left"/>
      <w:pPr>
        <w:ind w:left="4388" w:hanging="339"/>
      </w:pPr>
      <w:rPr>
        <w:rFonts w:hint="default"/>
        <w:lang w:val="en-US" w:eastAsia="en-US" w:bidi="ar-SA"/>
      </w:rPr>
    </w:lvl>
    <w:lvl w:ilvl="7">
      <w:numFmt w:val="bullet"/>
      <w:lvlText w:val="•"/>
      <w:lvlJc w:val="left"/>
      <w:pPr>
        <w:ind w:left="5046" w:hanging="339"/>
      </w:pPr>
      <w:rPr>
        <w:rFonts w:hint="default"/>
        <w:lang w:val="en-US" w:eastAsia="en-US" w:bidi="ar-SA"/>
      </w:rPr>
    </w:lvl>
    <w:lvl w:ilvl="8">
      <w:numFmt w:val="bullet"/>
      <w:lvlText w:val="•"/>
      <w:lvlJc w:val="left"/>
      <w:pPr>
        <w:ind w:left="5704" w:hanging="339"/>
      </w:pPr>
      <w:rPr>
        <w:rFonts w:hint="default"/>
        <w:lang w:val="en-US" w:eastAsia="en-US" w:bidi="ar-SA"/>
      </w:rPr>
    </w:lvl>
  </w:abstractNum>
  <w:abstractNum w:abstractNumId="14" w15:restartNumberingAfterBreak="0">
    <w:nsid w:val="1B77568C"/>
    <w:multiLevelType w:val="multilevel"/>
    <w:tmpl w:val="230A8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FD69B5"/>
    <w:multiLevelType w:val="multilevel"/>
    <w:tmpl w:val="381E5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657768"/>
    <w:multiLevelType w:val="multilevel"/>
    <w:tmpl w:val="61CE9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EB7B07"/>
    <w:multiLevelType w:val="multilevel"/>
    <w:tmpl w:val="1CF44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CC207C"/>
    <w:multiLevelType w:val="multilevel"/>
    <w:tmpl w:val="B4F49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C853DB"/>
    <w:multiLevelType w:val="multilevel"/>
    <w:tmpl w:val="95D4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1837C1"/>
    <w:multiLevelType w:val="multilevel"/>
    <w:tmpl w:val="70862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4D10C14"/>
    <w:multiLevelType w:val="multilevel"/>
    <w:tmpl w:val="03C0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0F441A"/>
    <w:multiLevelType w:val="multilevel"/>
    <w:tmpl w:val="C528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631E23"/>
    <w:multiLevelType w:val="multilevel"/>
    <w:tmpl w:val="B91E2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AB17060"/>
    <w:multiLevelType w:val="multilevel"/>
    <w:tmpl w:val="A24E0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31114C"/>
    <w:multiLevelType w:val="multilevel"/>
    <w:tmpl w:val="8410F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A745F5"/>
    <w:multiLevelType w:val="multilevel"/>
    <w:tmpl w:val="242AD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B60265"/>
    <w:multiLevelType w:val="multilevel"/>
    <w:tmpl w:val="15E4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E4246AF"/>
    <w:multiLevelType w:val="multilevel"/>
    <w:tmpl w:val="B502A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161D19"/>
    <w:multiLevelType w:val="multilevel"/>
    <w:tmpl w:val="1D42C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D16FA0"/>
    <w:multiLevelType w:val="multilevel"/>
    <w:tmpl w:val="4BE86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C1352F"/>
    <w:multiLevelType w:val="multilevel"/>
    <w:tmpl w:val="2BF2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CFF3F8A"/>
    <w:multiLevelType w:val="multilevel"/>
    <w:tmpl w:val="B1327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DB80EAD"/>
    <w:multiLevelType w:val="multilevel"/>
    <w:tmpl w:val="81225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E2E21D1"/>
    <w:multiLevelType w:val="multilevel"/>
    <w:tmpl w:val="066E1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36314E"/>
    <w:multiLevelType w:val="multilevel"/>
    <w:tmpl w:val="8F62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12728E1"/>
    <w:multiLevelType w:val="multilevel"/>
    <w:tmpl w:val="FC92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1C304B2"/>
    <w:multiLevelType w:val="multilevel"/>
    <w:tmpl w:val="80667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6962BB"/>
    <w:multiLevelType w:val="multilevel"/>
    <w:tmpl w:val="FD6E1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3A25C58"/>
    <w:multiLevelType w:val="multilevel"/>
    <w:tmpl w:val="B4A0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5051978"/>
    <w:multiLevelType w:val="multilevel"/>
    <w:tmpl w:val="92F42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65F6638"/>
    <w:multiLevelType w:val="multilevel"/>
    <w:tmpl w:val="734ED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82A4022"/>
    <w:multiLevelType w:val="multilevel"/>
    <w:tmpl w:val="287ECB34"/>
    <w:lvl w:ilvl="0">
      <w:start w:val="3"/>
      <w:numFmt w:val="decimal"/>
      <w:lvlText w:val="%1"/>
      <w:lvlJc w:val="left"/>
      <w:pPr>
        <w:ind w:left="448" w:hanging="338"/>
      </w:pPr>
      <w:rPr>
        <w:rFonts w:hint="default"/>
        <w:lang w:val="en-US" w:eastAsia="en-US" w:bidi="ar-SA"/>
      </w:rPr>
    </w:lvl>
    <w:lvl w:ilvl="1">
      <w:start w:val="1"/>
      <w:numFmt w:val="decimal"/>
      <w:lvlText w:val="%1.%2"/>
      <w:lvlJc w:val="left"/>
      <w:pPr>
        <w:ind w:left="448" w:hanging="338"/>
      </w:pPr>
      <w:rPr>
        <w:rFonts w:ascii="Arial MT" w:eastAsia="Arial MT" w:hAnsi="Arial MT" w:cs="Arial MT" w:hint="default"/>
        <w:b w:val="0"/>
        <w:bCs w:val="0"/>
        <w:i w:val="0"/>
        <w:iCs w:val="0"/>
        <w:spacing w:val="0"/>
        <w:w w:val="100"/>
        <w:sz w:val="20"/>
        <w:szCs w:val="20"/>
        <w:lang w:val="en-US" w:eastAsia="en-US" w:bidi="ar-SA"/>
      </w:rPr>
    </w:lvl>
    <w:lvl w:ilvl="2">
      <w:numFmt w:val="bullet"/>
      <w:lvlText w:val="•"/>
      <w:lvlJc w:val="left"/>
      <w:pPr>
        <w:ind w:left="1756" w:hanging="338"/>
      </w:pPr>
      <w:rPr>
        <w:rFonts w:hint="default"/>
        <w:lang w:val="en-US" w:eastAsia="en-US" w:bidi="ar-SA"/>
      </w:rPr>
    </w:lvl>
    <w:lvl w:ilvl="3">
      <w:numFmt w:val="bullet"/>
      <w:lvlText w:val="•"/>
      <w:lvlJc w:val="left"/>
      <w:pPr>
        <w:ind w:left="2414" w:hanging="338"/>
      </w:pPr>
      <w:rPr>
        <w:rFonts w:hint="default"/>
        <w:lang w:val="en-US" w:eastAsia="en-US" w:bidi="ar-SA"/>
      </w:rPr>
    </w:lvl>
    <w:lvl w:ilvl="4">
      <w:numFmt w:val="bullet"/>
      <w:lvlText w:val="•"/>
      <w:lvlJc w:val="left"/>
      <w:pPr>
        <w:ind w:left="3072" w:hanging="338"/>
      </w:pPr>
      <w:rPr>
        <w:rFonts w:hint="default"/>
        <w:lang w:val="en-US" w:eastAsia="en-US" w:bidi="ar-SA"/>
      </w:rPr>
    </w:lvl>
    <w:lvl w:ilvl="5">
      <w:numFmt w:val="bullet"/>
      <w:lvlText w:val="•"/>
      <w:lvlJc w:val="left"/>
      <w:pPr>
        <w:ind w:left="3730" w:hanging="338"/>
      </w:pPr>
      <w:rPr>
        <w:rFonts w:hint="default"/>
        <w:lang w:val="en-US" w:eastAsia="en-US" w:bidi="ar-SA"/>
      </w:rPr>
    </w:lvl>
    <w:lvl w:ilvl="6">
      <w:numFmt w:val="bullet"/>
      <w:lvlText w:val="•"/>
      <w:lvlJc w:val="left"/>
      <w:pPr>
        <w:ind w:left="4388" w:hanging="338"/>
      </w:pPr>
      <w:rPr>
        <w:rFonts w:hint="default"/>
        <w:lang w:val="en-US" w:eastAsia="en-US" w:bidi="ar-SA"/>
      </w:rPr>
    </w:lvl>
    <w:lvl w:ilvl="7">
      <w:numFmt w:val="bullet"/>
      <w:lvlText w:val="•"/>
      <w:lvlJc w:val="left"/>
      <w:pPr>
        <w:ind w:left="5046" w:hanging="338"/>
      </w:pPr>
      <w:rPr>
        <w:rFonts w:hint="default"/>
        <w:lang w:val="en-US" w:eastAsia="en-US" w:bidi="ar-SA"/>
      </w:rPr>
    </w:lvl>
    <w:lvl w:ilvl="8">
      <w:numFmt w:val="bullet"/>
      <w:lvlText w:val="•"/>
      <w:lvlJc w:val="left"/>
      <w:pPr>
        <w:ind w:left="5704" w:hanging="338"/>
      </w:pPr>
      <w:rPr>
        <w:rFonts w:hint="default"/>
        <w:lang w:val="en-US" w:eastAsia="en-US" w:bidi="ar-SA"/>
      </w:rPr>
    </w:lvl>
  </w:abstractNum>
  <w:abstractNum w:abstractNumId="43" w15:restartNumberingAfterBreak="0">
    <w:nsid w:val="485B07E3"/>
    <w:multiLevelType w:val="multilevel"/>
    <w:tmpl w:val="8620F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98D7323"/>
    <w:multiLevelType w:val="multilevel"/>
    <w:tmpl w:val="C714E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99F1708"/>
    <w:multiLevelType w:val="multilevel"/>
    <w:tmpl w:val="7EE8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A9F0BDD"/>
    <w:multiLevelType w:val="multilevel"/>
    <w:tmpl w:val="9D8A2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ACA5D38"/>
    <w:multiLevelType w:val="multilevel"/>
    <w:tmpl w:val="D660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B5E1BBE"/>
    <w:multiLevelType w:val="multilevel"/>
    <w:tmpl w:val="FFE4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BF70D24"/>
    <w:multiLevelType w:val="multilevel"/>
    <w:tmpl w:val="B70A6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CE5389A"/>
    <w:multiLevelType w:val="multilevel"/>
    <w:tmpl w:val="3990AA6C"/>
    <w:lvl w:ilvl="0">
      <w:start w:val="6"/>
      <w:numFmt w:val="decimal"/>
      <w:lvlText w:val="%1"/>
      <w:lvlJc w:val="left"/>
      <w:pPr>
        <w:ind w:left="448" w:hanging="338"/>
      </w:pPr>
      <w:rPr>
        <w:rFonts w:hint="default"/>
        <w:lang w:val="en-US" w:eastAsia="en-US" w:bidi="ar-SA"/>
      </w:rPr>
    </w:lvl>
    <w:lvl w:ilvl="1">
      <w:start w:val="1"/>
      <w:numFmt w:val="decimal"/>
      <w:lvlText w:val="%1.%2"/>
      <w:lvlJc w:val="left"/>
      <w:pPr>
        <w:ind w:left="448" w:hanging="338"/>
      </w:pPr>
      <w:rPr>
        <w:rFonts w:ascii="Arial MT" w:eastAsia="Arial MT" w:hAnsi="Arial MT" w:cs="Arial MT" w:hint="default"/>
        <w:b w:val="0"/>
        <w:bCs w:val="0"/>
        <w:i w:val="0"/>
        <w:iCs w:val="0"/>
        <w:spacing w:val="0"/>
        <w:w w:val="100"/>
        <w:sz w:val="20"/>
        <w:szCs w:val="20"/>
        <w:lang w:val="en-US" w:eastAsia="en-US" w:bidi="ar-SA"/>
      </w:rPr>
    </w:lvl>
    <w:lvl w:ilvl="2">
      <w:numFmt w:val="bullet"/>
      <w:lvlText w:val="•"/>
      <w:lvlJc w:val="left"/>
      <w:pPr>
        <w:ind w:left="1756" w:hanging="338"/>
      </w:pPr>
      <w:rPr>
        <w:rFonts w:hint="default"/>
        <w:lang w:val="en-US" w:eastAsia="en-US" w:bidi="ar-SA"/>
      </w:rPr>
    </w:lvl>
    <w:lvl w:ilvl="3">
      <w:numFmt w:val="bullet"/>
      <w:lvlText w:val="•"/>
      <w:lvlJc w:val="left"/>
      <w:pPr>
        <w:ind w:left="2414" w:hanging="338"/>
      </w:pPr>
      <w:rPr>
        <w:rFonts w:hint="default"/>
        <w:lang w:val="en-US" w:eastAsia="en-US" w:bidi="ar-SA"/>
      </w:rPr>
    </w:lvl>
    <w:lvl w:ilvl="4">
      <w:numFmt w:val="bullet"/>
      <w:lvlText w:val="•"/>
      <w:lvlJc w:val="left"/>
      <w:pPr>
        <w:ind w:left="3072" w:hanging="338"/>
      </w:pPr>
      <w:rPr>
        <w:rFonts w:hint="default"/>
        <w:lang w:val="en-US" w:eastAsia="en-US" w:bidi="ar-SA"/>
      </w:rPr>
    </w:lvl>
    <w:lvl w:ilvl="5">
      <w:numFmt w:val="bullet"/>
      <w:lvlText w:val="•"/>
      <w:lvlJc w:val="left"/>
      <w:pPr>
        <w:ind w:left="3730" w:hanging="338"/>
      </w:pPr>
      <w:rPr>
        <w:rFonts w:hint="default"/>
        <w:lang w:val="en-US" w:eastAsia="en-US" w:bidi="ar-SA"/>
      </w:rPr>
    </w:lvl>
    <w:lvl w:ilvl="6">
      <w:numFmt w:val="bullet"/>
      <w:lvlText w:val="•"/>
      <w:lvlJc w:val="left"/>
      <w:pPr>
        <w:ind w:left="4388" w:hanging="338"/>
      </w:pPr>
      <w:rPr>
        <w:rFonts w:hint="default"/>
        <w:lang w:val="en-US" w:eastAsia="en-US" w:bidi="ar-SA"/>
      </w:rPr>
    </w:lvl>
    <w:lvl w:ilvl="7">
      <w:numFmt w:val="bullet"/>
      <w:lvlText w:val="•"/>
      <w:lvlJc w:val="left"/>
      <w:pPr>
        <w:ind w:left="5046" w:hanging="338"/>
      </w:pPr>
      <w:rPr>
        <w:rFonts w:hint="default"/>
        <w:lang w:val="en-US" w:eastAsia="en-US" w:bidi="ar-SA"/>
      </w:rPr>
    </w:lvl>
    <w:lvl w:ilvl="8">
      <w:numFmt w:val="bullet"/>
      <w:lvlText w:val="•"/>
      <w:lvlJc w:val="left"/>
      <w:pPr>
        <w:ind w:left="5704" w:hanging="338"/>
      </w:pPr>
      <w:rPr>
        <w:rFonts w:hint="default"/>
        <w:lang w:val="en-US" w:eastAsia="en-US" w:bidi="ar-SA"/>
      </w:rPr>
    </w:lvl>
  </w:abstractNum>
  <w:abstractNum w:abstractNumId="51" w15:restartNumberingAfterBreak="0">
    <w:nsid w:val="4E1A6EB3"/>
    <w:multiLevelType w:val="multilevel"/>
    <w:tmpl w:val="46441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7D613C"/>
    <w:multiLevelType w:val="multilevel"/>
    <w:tmpl w:val="199E2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FB52009"/>
    <w:multiLevelType w:val="multilevel"/>
    <w:tmpl w:val="779C1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0B3178D"/>
    <w:multiLevelType w:val="multilevel"/>
    <w:tmpl w:val="68A27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3411938"/>
    <w:multiLevelType w:val="multilevel"/>
    <w:tmpl w:val="500A1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56964B8"/>
    <w:multiLevelType w:val="multilevel"/>
    <w:tmpl w:val="798C5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6C760F4"/>
    <w:multiLevelType w:val="multilevel"/>
    <w:tmpl w:val="6DC21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7D83510"/>
    <w:multiLevelType w:val="multilevel"/>
    <w:tmpl w:val="ED624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D11184D"/>
    <w:multiLevelType w:val="multilevel"/>
    <w:tmpl w:val="11A4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E332688"/>
    <w:multiLevelType w:val="multilevel"/>
    <w:tmpl w:val="C5E8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5D74113"/>
    <w:multiLevelType w:val="multilevel"/>
    <w:tmpl w:val="6F00C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7404B54"/>
    <w:multiLevelType w:val="multilevel"/>
    <w:tmpl w:val="177E9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1A2FA1"/>
    <w:multiLevelType w:val="multilevel"/>
    <w:tmpl w:val="BDAE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E586AC0"/>
    <w:multiLevelType w:val="multilevel"/>
    <w:tmpl w:val="3D4CE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FA907C2"/>
    <w:multiLevelType w:val="multilevel"/>
    <w:tmpl w:val="9DCADFD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6" w15:restartNumberingAfterBreak="0">
    <w:nsid w:val="71A8163A"/>
    <w:multiLevelType w:val="multilevel"/>
    <w:tmpl w:val="AB066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2F317CF"/>
    <w:multiLevelType w:val="multilevel"/>
    <w:tmpl w:val="20B2C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41647A6"/>
    <w:multiLevelType w:val="multilevel"/>
    <w:tmpl w:val="D6F8A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54F1B41"/>
    <w:multiLevelType w:val="multilevel"/>
    <w:tmpl w:val="7116E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63B7D39"/>
    <w:multiLevelType w:val="multilevel"/>
    <w:tmpl w:val="9FF02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A321552"/>
    <w:multiLevelType w:val="multilevel"/>
    <w:tmpl w:val="5B7AB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A58532E"/>
    <w:multiLevelType w:val="multilevel"/>
    <w:tmpl w:val="8C089DBC"/>
    <w:lvl w:ilvl="0">
      <w:start w:val="5"/>
      <w:numFmt w:val="decimal"/>
      <w:lvlText w:val="%1"/>
      <w:lvlJc w:val="left"/>
      <w:pPr>
        <w:ind w:left="448" w:hanging="338"/>
      </w:pPr>
      <w:rPr>
        <w:rFonts w:hint="default"/>
        <w:lang w:val="en-US" w:eastAsia="en-US" w:bidi="ar-SA"/>
      </w:rPr>
    </w:lvl>
    <w:lvl w:ilvl="1">
      <w:start w:val="1"/>
      <w:numFmt w:val="decimal"/>
      <w:lvlText w:val="%1.%2"/>
      <w:lvlJc w:val="left"/>
      <w:pPr>
        <w:ind w:left="448" w:hanging="338"/>
      </w:pPr>
      <w:rPr>
        <w:rFonts w:ascii="Arial MT" w:eastAsia="Arial MT" w:hAnsi="Arial MT" w:cs="Arial MT" w:hint="default"/>
        <w:b w:val="0"/>
        <w:bCs w:val="0"/>
        <w:i w:val="0"/>
        <w:iCs w:val="0"/>
        <w:spacing w:val="0"/>
        <w:w w:val="100"/>
        <w:sz w:val="20"/>
        <w:szCs w:val="20"/>
        <w:lang w:val="en-US" w:eastAsia="en-US" w:bidi="ar-SA"/>
      </w:rPr>
    </w:lvl>
    <w:lvl w:ilvl="2">
      <w:numFmt w:val="bullet"/>
      <w:lvlText w:val="•"/>
      <w:lvlJc w:val="left"/>
      <w:pPr>
        <w:ind w:left="1756" w:hanging="338"/>
      </w:pPr>
      <w:rPr>
        <w:rFonts w:hint="default"/>
        <w:lang w:val="en-US" w:eastAsia="en-US" w:bidi="ar-SA"/>
      </w:rPr>
    </w:lvl>
    <w:lvl w:ilvl="3">
      <w:numFmt w:val="bullet"/>
      <w:lvlText w:val="•"/>
      <w:lvlJc w:val="left"/>
      <w:pPr>
        <w:ind w:left="2414" w:hanging="338"/>
      </w:pPr>
      <w:rPr>
        <w:rFonts w:hint="default"/>
        <w:lang w:val="en-US" w:eastAsia="en-US" w:bidi="ar-SA"/>
      </w:rPr>
    </w:lvl>
    <w:lvl w:ilvl="4">
      <w:numFmt w:val="bullet"/>
      <w:lvlText w:val="•"/>
      <w:lvlJc w:val="left"/>
      <w:pPr>
        <w:ind w:left="3072" w:hanging="338"/>
      </w:pPr>
      <w:rPr>
        <w:rFonts w:hint="default"/>
        <w:lang w:val="en-US" w:eastAsia="en-US" w:bidi="ar-SA"/>
      </w:rPr>
    </w:lvl>
    <w:lvl w:ilvl="5">
      <w:numFmt w:val="bullet"/>
      <w:lvlText w:val="•"/>
      <w:lvlJc w:val="left"/>
      <w:pPr>
        <w:ind w:left="3730" w:hanging="338"/>
      </w:pPr>
      <w:rPr>
        <w:rFonts w:hint="default"/>
        <w:lang w:val="en-US" w:eastAsia="en-US" w:bidi="ar-SA"/>
      </w:rPr>
    </w:lvl>
    <w:lvl w:ilvl="6">
      <w:numFmt w:val="bullet"/>
      <w:lvlText w:val="•"/>
      <w:lvlJc w:val="left"/>
      <w:pPr>
        <w:ind w:left="4388" w:hanging="338"/>
      </w:pPr>
      <w:rPr>
        <w:rFonts w:hint="default"/>
        <w:lang w:val="en-US" w:eastAsia="en-US" w:bidi="ar-SA"/>
      </w:rPr>
    </w:lvl>
    <w:lvl w:ilvl="7">
      <w:numFmt w:val="bullet"/>
      <w:lvlText w:val="•"/>
      <w:lvlJc w:val="left"/>
      <w:pPr>
        <w:ind w:left="5046" w:hanging="338"/>
      </w:pPr>
      <w:rPr>
        <w:rFonts w:hint="default"/>
        <w:lang w:val="en-US" w:eastAsia="en-US" w:bidi="ar-SA"/>
      </w:rPr>
    </w:lvl>
    <w:lvl w:ilvl="8">
      <w:numFmt w:val="bullet"/>
      <w:lvlText w:val="•"/>
      <w:lvlJc w:val="left"/>
      <w:pPr>
        <w:ind w:left="5704" w:hanging="338"/>
      </w:pPr>
      <w:rPr>
        <w:rFonts w:hint="default"/>
        <w:lang w:val="en-US" w:eastAsia="en-US" w:bidi="ar-SA"/>
      </w:rPr>
    </w:lvl>
  </w:abstractNum>
  <w:abstractNum w:abstractNumId="73" w15:restartNumberingAfterBreak="0">
    <w:nsid w:val="7ADB77AE"/>
    <w:multiLevelType w:val="multilevel"/>
    <w:tmpl w:val="4D369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B6F2151"/>
    <w:multiLevelType w:val="multilevel"/>
    <w:tmpl w:val="B442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F010E5B"/>
    <w:multiLevelType w:val="multilevel"/>
    <w:tmpl w:val="E49CE6DC"/>
    <w:lvl w:ilvl="0">
      <w:start w:val="7"/>
      <w:numFmt w:val="decimal"/>
      <w:lvlText w:val="%1"/>
      <w:lvlJc w:val="left"/>
      <w:pPr>
        <w:ind w:left="448" w:hanging="339"/>
      </w:pPr>
      <w:rPr>
        <w:rFonts w:hint="default"/>
        <w:lang w:val="en-US" w:eastAsia="en-US" w:bidi="ar-SA"/>
      </w:rPr>
    </w:lvl>
    <w:lvl w:ilvl="1">
      <w:start w:val="1"/>
      <w:numFmt w:val="decimal"/>
      <w:lvlText w:val="%1.%2"/>
      <w:lvlJc w:val="left"/>
      <w:pPr>
        <w:ind w:left="448" w:hanging="339"/>
      </w:pPr>
      <w:rPr>
        <w:rFonts w:ascii="Arial MT" w:eastAsia="Arial MT" w:hAnsi="Arial MT" w:cs="Arial MT" w:hint="default"/>
        <w:b w:val="0"/>
        <w:bCs w:val="0"/>
        <w:i w:val="0"/>
        <w:iCs w:val="0"/>
        <w:spacing w:val="0"/>
        <w:w w:val="100"/>
        <w:sz w:val="20"/>
        <w:szCs w:val="20"/>
        <w:lang w:val="en-US" w:eastAsia="en-US" w:bidi="ar-SA"/>
      </w:rPr>
    </w:lvl>
    <w:lvl w:ilvl="2">
      <w:numFmt w:val="bullet"/>
      <w:lvlText w:val="•"/>
      <w:lvlJc w:val="left"/>
      <w:pPr>
        <w:ind w:left="1756" w:hanging="339"/>
      </w:pPr>
      <w:rPr>
        <w:rFonts w:hint="default"/>
        <w:lang w:val="en-US" w:eastAsia="en-US" w:bidi="ar-SA"/>
      </w:rPr>
    </w:lvl>
    <w:lvl w:ilvl="3">
      <w:numFmt w:val="bullet"/>
      <w:lvlText w:val="•"/>
      <w:lvlJc w:val="left"/>
      <w:pPr>
        <w:ind w:left="2414" w:hanging="339"/>
      </w:pPr>
      <w:rPr>
        <w:rFonts w:hint="default"/>
        <w:lang w:val="en-US" w:eastAsia="en-US" w:bidi="ar-SA"/>
      </w:rPr>
    </w:lvl>
    <w:lvl w:ilvl="4">
      <w:numFmt w:val="bullet"/>
      <w:lvlText w:val="•"/>
      <w:lvlJc w:val="left"/>
      <w:pPr>
        <w:ind w:left="3072" w:hanging="339"/>
      </w:pPr>
      <w:rPr>
        <w:rFonts w:hint="default"/>
        <w:lang w:val="en-US" w:eastAsia="en-US" w:bidi="ar-SA"/>
      </w:rPr>
    </w:lvl>
    <w:lvl w:ilvl="5">
      <w:numFmt w:val="bullet"/>
      <w:lvlText w:val="•"/>
      <w:lvlJc w:val="left"/>
      <w:pPr>
        <w:ind w:left="3730" w:hanging="339"/>
      </w:pPr>
      <w:rPr>
        <w:rFonts w:hint="default"/>
        <w:lang w:val="en-US" w:eastAsia="en-US" w:bidi="ar-SA"/>
      </w:rPr>
    </w:lvl>
    <w:lvl w:ilvl="6">
      <w:numFmt w:val="bullet"/>
      <w:lvlText w:val="•"/>
      <w:lvlJc w:val="left"/>
      <w:pPr>
        <w:ind w:left="4388" w:hanging="339"/>
      </w:pPr>
      <w:rPr>
        <w:rFonts w:hint="default"/>
        <w:lang w:val="en-US" w:eastAsia="en-US" w:bidi="ar-SA"/>
      </w:rPr>
    </w:lvl>
    <w:lvl w:ilvl="7">
      <w:numFmt w:val="bullet"/>
      <w:lvlText w:val="•"/>
      <w:lvlJc w:val="left"/>
      <w:pPr>
        <w:ind w:left="5046" w:hanging="339"/>
      </w:pPr>
      <w:rPr>
        <w:rFonts w:hint="default"/>
        <w:lang w:val="en-US" w:eastAsia="en-US" w:bidi="ar-SA"/>
      </w:rPr>
    </w:lvl>
    <w:lvl w:ilvl="8">
      <w:numFmt w:val="bullet"/>
      <w:lvlText w:val="•"/>
      <w:lvlJc w:val="left"/>
      <w:pPr>
        <w:ind w:left="5704" w:hanging="339"/>
      </w:pPr>
      <w:rPr>
        <w:rFonts w:hint="default"/>
        <w:lang w:val="en-US" w:eastAsia="en-US" w:bidi="ar-SA"/>
      </w:rPr>
    </w:lvl>
  </w:abstractNum>
  <w:abstractNum w:abstractNumId="76" w15:restartNumberingAfterBreak="0">
    <w:nsid w:val="7FF22F92"/>
    <w:multiLevelType w:val="multilevel"/>
    <w:tmpl w:val="59685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7806114">
    <w:abstractNumId w:val="67"/>
  </w:num>
  <w:num w:numId="2" w16cid:durableId="687683148">
    <w:abstractNumId w:val="9"/>
  </w:num>
  <w:num w:numId="3" w16cid:durableId="2080899982">
    <w:abstractNumId w:val="54"/>
  </w:num>
  <w:num w:numId="4" w16cid:durableId="1188519114">
    <w:abstractNumId w:val="10"/>
  </w:num>
  <w:num w:numId="5" w16cid:durableId="1738162927">
    <w:abstractNumId w:val="70"/>
  </w:num>
  <w:num w:numId="6" w16cid:durableId="1716083197">
    <w:abstractNumId w:val="73"/>
  </w:num>
  <w:num w:numId="7" w16cid:durableId="1478568731">
    <w:abstractNumId w:val="3"/>
  </w:num>
  <w:num w:numId="8" w16cid:durableId="2084721714">
    <w:abstractNumId w:val="60"/>
  </w:num>
  <w:num w:numId="9" w16cid:durableId="1464809282">
    <w:abstractNumId w:val="33"/>
  </w:num>
  <w:num w:numId="10" w16cid:durableId="240992061">
    <w:abstractNumId w:val="19"/>
  </w:num>
  <w:num w:numId="11" w16cid:durableId="1789540489">
    <w:abstractNumId w:val="45"/>
  </w:num>
  <w:num w:numId="12" w16cid:durableId="748649291">
    <w:abstractNumId w:val="25"/>
  </w:num>
  <w:num w:numId="13" w16cid:durableId="1602106828">
    <w:abstractNumId w:val="39"/>
  </w:num>
  <w:num w:numId="14" w16cid:durableId="1415586542">
    <w:abstractNumId w:val="18"/>
  </w:num>
  <w:num w:numId="15" w16cid:durableId="1128158281">
    <w:abstractNumId w:val="37"/>
  </w:num>
  <w:num w:numId="16" w16cid:durableId="1251742051">
    <w:abstractNumId w:val="46"/>
  </w:num>
  <w:num w:numId="17" w16cid:durableId="1666590389">
    <w:abstractNumId w:val="36"/>
  </w:num>
  <w:num w:numId="18" w16cid:durableId="951398076">
    <w:abstractNumId w:val="30"/>
  </w:num>
  <w:num w:numId="19" w16cid:durableId="1888907442">
    <w:abstractNumId w:val="11"/>
  </w:num>
  <w:num w:numId="20" w16cid:durableId="586502063">
    <w:abstractNumId w:val="17"/>
  </w:num>
  <w:num w:numId="21" w16cid:durableId="991560499">
    <w:abstractNumId w:val="38"/>
  </w:num>
  <w:num w:numId="22" w16cid:durableId="1294678639">
    <w:abstractNumId w:val="63"/>
  </w:num>
  <w:num w:numId="23" w16cid:durableId="802892478">
    <w:abstractNumId w:val="52"/>
  </w:num>
  <w:num w:numId="24" w16cid:durableId="145703454">
    <w:abstractNumId w:val="61"/>
  </w:num>
  <w:num w:numId="25" w16cid:durableId="852260025">
    <w:abstractNumId w:val="43"/>
  </w:num>
  <w:num w:numId="26" w16cid:durableId="1570769928">
    <w:abstractNumId w:val="22"/>
  </w:num>
  <w:num w:numId="27" w16cid:durableId="2069450069">
    <w:abstractNumId w:val="28"/>
  </w:num>
  <w:num w:numId="28" w16cid:durableId="597177076">
    <w:abstractNumId w:val="1"/>
  </w:num>
  <w:num w:numId="29" w16cid:durableId="273683006">
    <w:abstractNumId w:val="4"/>
  </w:num>
  <w:num w:numId="30" w16cid:durableId="1460103302">
    <w:abstractNumId w:val="2"/>
  </w:num>
  <w:num w:numId="31" w16cid:durableId="283772975">
    <w:abstractNumId w:val="15"/>
  </w:num>
  <w:num w:numId="32" w16cid:durableId="908344301">
    <w:abstractNumId w:val="29"/>
  </w:num>
  <w:num w:numId="33" w16cid:durableId="1676613584">
    <w:abstractNumId w:val="27"/>
  </w:num>
  <w:num w:numId="34" w16cid:durableId="184292844">
    <w:abstractNumId w:val="31"/>
  </w:num>
  <w:num w:numId="35" w16cid:durableId="607350986">
    <w:abstractNumId w:val="35"/>
  </w:num>
  <w:num w:numId="36" w16cid:durableId="766735595">
    <w:abstractNumId w:val="44"/>
  </w:num>
  <w:num w:numId="37" w16cid:durableId="107509714">
    <w:abstractNumId w:val="32"/>
  </w:num>
  <w:num w:numId="38" w16cid:durableId="1153640043">
    <w:abstractNumId w:val="76"/>
  </w:num>
  <w:num w:numId="39" w16cid:durableId="1750880277">
    <w:abstractNumId w:val="8"/>
  </w:num>
  <w:num w:numId="40" w16cid:durableId="397943035">
    <w:abstractNumId w:val="6"/>
  </w:num>
  <w:num w:numId="41" w16cid:durableId="536433345">
    <w:abstractNumId w:val="71"/>
  </w:num>
  <w:num w:numId="42" w16cid:durableId="738214400">
    <w:abstractNumId w:val="65"/>
  </w:num>
  <w:num w:numId="43" w16cid:durableId="79447534">
    <w:abstractNumId w:val="23"/>
  </w:num>
  <w:num w:numId="44" w16cid:durableId="342824251">
    <w:abstractNumId w:val="20"/>
  </w:num>
  <w:num w:numId="45" w16cid:durableId="592205662">
    <w:abstractNumId w:val="47"/>
  </w:num>
  <w:num w:numId="46" w16cid:durableId="383019769">
    <w:abstractNumId w:val="64"/>
  </w:num>
  <w:num w:numId="47" w16cid:durableId="1239441514">
    <w:abstractNumId w:val="14"/>
  </w:num>
  <w:num w:numId="48" w16cid:durableId="1796756890">
    <w:abstractNumId w:val="7"/>
  </w:num>
  <w:num w:numId="49" w16cid:durableId="229384751">
    <w:abstractNumId w:val="34"/>
  </w:num>
  <w:num w:numId="50" w16cid:durableId="623391779">
    <w:abstractNumId w:val="24"/>
  </w:num>
  <w:num w:numId="51" w16cid:durableId="1851800251">
    <w:abstractNumId w:val="56"/>
  </w:num>
  <w:num w:numId="52" w16cid:durableId="1782187777">
    <w:abstractNumId w:val="5"/>
  </w:num>
  <w:num w:numId="53" w16cid:durableId="1733656173">
    <w:abstractNumId w:val="59"/>
  </w:num>
  <w:num w:numId="54" w16cid:durableId="667561188">
    <w:abstractNumId w:val="66"/>
  </w:num>
  <w:num w:numId="55" w16cid:durableId="1298487697">
    <w:abstractNumId w:val="57"/>
  </w:num>
  <w:num w:numId="56" w16cid:durableId="1076241611">
    <w:abstractNumId w:val="55"/>
  </w:num>
  <w:num w:numId="57" w16cid:durableId="475731308">
    <w:abstractNumId w:val="40"/>
  </w:num>
  <w:num w:numId="58" w16cid:durableId="1541896510">
    <w:abstractNumId w:val="0"/>
  </w:num>
  <w:num w:numId="59" w16cid:durableId="2002928746">
    <w:abstractNumId w:val="12"/>
  </w:num>
  <w:num w:numId="60" w16cid:durableId="758137912">
    <w:abstractNumId w:val="48"/>
  </w:num>
  <w:num w:numId="61" w16cid:durableId="1672022869">
    <w:abstractNumId w:val="51"/>
  </w:num>
  <w:num w:numId="62" w16cid:durableId="316231482">
    <w:abstractNumId w:val="62"/>
  </w:num>
  <w:num w:numId="63" w16cid:durableId="602811504">
    <w:abstractNumId w:val="26"/>
  </w:num>
  <w:num w:numId="64" w16cid:durableId="37048291">
    <w:abstractNumId w:val="74"/>
  </w:num>
  <w:num w:numId="65" w16cid:durableId="133641584">
    <w:abstractNumId w:val="69"/>
  </w:num>
  <w:num w:numId="66" w16cid:durableId="257762582">
    <w:abstractNumId w:val="53"/>
  </w:num>
  <w:num w:numId="67" w16cid:durableId="1760101846">
    <w:abstractNumId w:val="49"/>
  </w:num>
  <w:num w:numId="68" w16cid:durableId="948581434">
    <w:abstractNumId w:val="16"/>
  </w:num>
  <w:num w:numId="69" w16cid:durableId="1268082010">
    <w:abstractNumId w:val="58"/>
  </w:num>
  <w:num w:numId="70" w16cid:durableId="1767573931">
    <w:abstractNumId w:val="68"/>
  </w:num>
  <w:num w:numId="71" w16cid:durableId="335305758">
    <w:abstractNumId w:val="21"/>
  </w:num>
  <w:num w:numId="72" w16cid:durableId="2135325739">
    <w:abstractNumId w:val="41"/>
  </w:num>
  <w:num w:numId="73" w16cid:durableId="1796168279">
    <w:abstractNumId w:val="75"/>
  </w:num>
  <w:num w:numId="74" w16cid:durableId="408886307">
    <w:abstractNumId w:val="50"/>
  </w:num>
  <w:num w:numId="75" w16cid:durableId="1409499115">
    <w:abstractNumId w:val="72"/>
  </w:num>
  <w:num w:numId="76" w16cid:durableId="1770395879">
    <w:abstractNumId w:val="13"/>
  </w:num>
  <w:num w:numId="77" w16cid:durableId="1863086469">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3F8"/>
    <w:rsid w:val="000D70A5"/>
    <w:rsid w:val="00102A75"/>
    <w:rsid w:val="00137EA1"/>
    <w:rsid w:val="0016226E"/>
    <w:rsid w:val="00274A06"/>
    <w:rsid w:val="002B7E67"/>
    <w:rsid w:val="00354014"/>
    <w:rsid w:val="003A19A2"/>
    <w:rsid w:val="00415956"/>
    <w:rsid w:val="00442414"/>
    <w:rsid w:val="00477A9A"/>
    <w:rsid w:val="00530FEF"/>
    <w:rsid w:val="00724263"/>
    <w:rsid w:val="00731DBE"/>
    <w:rsid w:val="007473F8"/>
    <w:rsid w:val="00797871"/>
    <w:rsid w:val="007D42B6"/>
    <w:rsid w:val="00974901"/>
    <w:rsid w:val="009E19F3"/>
    <w:rsid w:val="00A03232"/>
    <w:rsid w:val="00B02B0A"/>
    <w:rsid w:val="00B47537"/>
    <w:rsid w:val="00B634A5"/>
    <w:rsid w:val="00C44F80"/>
    <w:rsid w:val="00D243EA"/>
    <w:rsid w:val="00DC653A"/>
    <w:rsid w:val="00DC72E3"/>
    <w:rsid w:val="00DE53BD"/>
    <w:rsid w:val="00DF39D8"/>
    <w:rsid w:val="00E61D51"/>
    <w:rsid w:val="00E84F05"/>
    <w:rsid w:val="00F709D8"/>
    <w:rsid w:val="00FD0F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F494C"/>
  <w15:chartTrackingRefBased/>
  <w15:docId w15:val="{7A29D862-8708-46A0-AAD6-EECB7F69E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3F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73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73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73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73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7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3F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73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73F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73F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73F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7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3F8"/>
    <w:rPr>
      <w:rFonts w:eastAsiaTheme="majorEastAsia" w:cstheme="majorBidi"/>
      <w:color w:val="272727" w:themeColor="text1" w:themeTint="D8"/>
    </w:rPr>
  </w:style>
  <w:style w:type="paragraph" w:styleId="Title">
    <w:name w:val="Title"/>
    <w:basedOn w:val="Normal"/>
    <w:next w:val="Normal"/>
    <w:link w:val="TitleChar"/>
    <w:uiPriority w:val="10"/>
    <w:qFormat/>
    <w:rsid w:val="00747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3F8"/>
    <w:pPr>
      <w:spacing w:before="160"/>
      <w:jc w:val="center"/>
    </w:pPr>
    <w:rPr>
      <w:i/>
      <w:iCs/>
      <w:color w:val="404040" w:themeColor="text1" w:themeTint="BF"/>
    </w:rPr>
  </w:style>
  <w:style w:type="character" w:customStyle="1" w:styleId="QuoteChar">
    <w:name w:val="Quote Char"/>
    <w:basedOn w:val="DefaultParagraphFont"/>
    <w:link w:val="Quote"/>
    <w:uiPriority w:val="29"/>
    <w:rsid w:val="007473F8"/>
    <w:rPr>
      <w:i/>
      <w:iCs/>
      <w:color w:val="404040" w:themeColor="text1" w:themeTint="BF"/>
    </w:rPr>
  </w:style>
  <w:style w:type="paragraph" w:styleId="ListParagraph">
    <w:name w:val="List Paragraph"/>
    <w:basedOn w:val="Normal"/>
    <w:uiPriority w:val="34"/>
    <w:qFormat/>
    <w:rsid w:val="007473F8"/>
    <w:pPr>
      <w:ind w:left="720"/>
      <w:contextualSpacing/>
    </w:pPr>
  </w:style>
  <w:style w:type="character" w:styleId="IntenseEmphasis">
    <w:name w:val="Intense Emphasis"/>
    <w:basedOn w:val="DefaultParagraphFont"/>
    <w:uiPriority w:val="21"/>
    <w:qFormat/>
    <w:rsid w:val="007473F8"/>
    <w:rPr>
      <w:i/>
      <w:iCs/>
      <w:color w:val="2F5496" w:themeColor="accent1" w:themeShade="BF"/>
    </w:rPr>
  </w:style>
  <w:style w:type="paragraph" w:styleId="IntenseQuote">
    <w:name w:val="Intense Quote"/>
    <w:basedOn w:val="Normal"/>
    <w:next w:val="Normal"/>
    <w:link w:val="IntenseQuoteChar"/>
    <w:uiPriority w:val="30"/>
    <w:qFormat/>
    <w:rsid w:val="007473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73F8"/>
    <w:rPr>
      <w:i/>
      <w:iCs/>
      <w:color w:val="2F5496" w:themeColor="accent1" w:themeShade="BF"/>
    </w:rPr>
  </w:style>
  <w:style w:type="character" w:styleId="IntenseReference">
    <w:name w:val="Intense Reference"/>
    <w:basedOn w:val="DefaultParagraphFont"/>
    <w:uiPriority w:val="32"/>
    <w:qFormat/>
    <w:rsid w:val="007473F8"/>
    <w:rPr>
      <w:b/>
      <w:bCs/>
      <w:smallCaps/>
      <w:color w:val="2F5496" w:themeColor="accent1" w:themeShade="BF"/>
      <w:spacing w:val="5"/>
    </w:rPr>
  </w:style>
  <w:style w:type="paragraph" w:styleId="Header">
    <w:name w:val="header"/>
    <w:basedOn w:val="Normal"/>
    <w:link w:val="HeaderChar"/>
    <w:uiPriority w:val="99"/>
    <w:unhideWhenUsed/>
    <w:rsid w:val="00C44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F80"/>
  </w:style>
  <w:style w:type="paragraph" w:styleId="Footer">
    <w:name w:val="footer"/>
    <w:basedOn w:val="Normal"/>
    <w:link w:val="FooterChar"/>
    <w:uiPriority w:val="99"/>
    <w:unhideWhenUsed/>
    <w:rsid w:val="00C44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F80"/>
  </w:style>
  <w:style w:type="paragraph" w:styleId="BodyText">
    <w:name w:val="Body Text"/>
    <w:basedOn w:val="Normal"/>
    <w:link w:val="BodyTextChar"/>
    <w:uiPriority w:val="1"/>
    <w:qFormat/>
    <w:rsid w:val="00DF39D8"/>
    <w:pPr>
      <w:widowControl w:val="0"/>
      <w:autoSpaceDE w:val="0"/>
      <w:autoSpaceDN w:val="0"/>
      <w:spacing w:after="0" w:line="240" w:lineRule="auto"/>
    </w:pPr>
    <w:rPr>
      <w:rFonts w:ascii="Arial MT" w:eastAsia="Arial MT" w:hAnsi="Arial MT" w:cs="Arial MT"/>
      <w:kern w:val="0"/>
      <w:sz w:val="23"/>
      <w:szCs w:val="23"/>
      <w:lang w:val="en-US"/>
      <w14:ligatures w14:val="none"/>
    </w:rPr>
  </w:style>
  <w:style w:type="character" w:customStyle="1" w:styleId="BodyTextChar">
    <w:name w:val="Body Text Char"/>
    <w:basedOn w:val="DefaultParagraphFont"/>
    <w:link w:val="BodyText"/>
    <w:uiPriority w:val="1"/>
    <w:rsid w:val="00DF39D8"/>
    <w:rPr>
      <w:rFonts w:ascii="Arial MT" w:eastAsia="Arial MT" w:hAnsi="Arial MT" w:cs="Arial MT"/>
      <w:kern w:val="0"/>
      <w:sz w:val="23"/>
      <w:szCs w:val="23"/>
      <w:lang w:val="en-US"/>
      <w14:ligatures w14:val="none"/>
    </w:rPr>
  </w:style>
  <w:style w:type="paragraph" w:customStyle="1" w:styleId="TableParagraph">
    <w:name w:val="Table Paragraph"/>
    <w:basedOn w:val="Normal"/>
    <w:uiPriority w:val="1"/>
    <w:qFormat/>
    <w:rsid w:val="00DF39D8"/>
    <w:pPr>
      <w:widowControl w:val="0"/>
      <w:autoSpaceDE w:val="0"/>
      <w:autoSpaceDN w:val="0"/>
      <w:spacing w:after="0" w:line="240" w:lineRule="auto"/>
    </w:pPr>
    <w:rPr>
      <w:rFonts w:ascii="Arial MT" w:eastAsia="Arial MT" w:hAnsi="Arial MT" w:cs="Arial MT"/>
      <w:kern w:val="0"/>
      <w:lang w:val="en-US"/>
      <w14:ligatures w14:val="none"/>
    </w:rPr>
  </w:style>
  <w:style w:type="table" w:styleId="PlainTable3">
    <w:name w:val="Plain Table 3"/>
    <w:basedOn w:val="TableNormal"/>
    <w:uiPriority w:val="43"/>
    <w:rsid w:val="00DF39D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3">
    <w:name w:val="Grid Table 3 Accent 3"/>
    <w:basedOn w:val="TableNormal"/>
    <w:uiPriority w:val="48"/>
    <w:rsid w:val="00DF39D8"/>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1Light">
    <w:name w:val="Grid Table 1 Light"/>
    <w:basedOn w:val="TableNormal"/>
    <w:uiPriority w:val="46"/>
    <w:rsid w:val="00DF39D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F39D8"/>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F39D8"/>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F39D8"/>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DF39D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
    <w:name w:val="Grid Table 4"/>
    <w:basedOn w:val="TableNormal"/>
    <w:uiPriority w:val="49"/>
    <w:rsid w:val="00DF39D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DF39D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leGrid">
    <w:name w:val="Table Grid"/>
    <w:basedOn w:val="TableNormal"/>
    <w:uiPriority w:val="39"/>
    <w:rsid w:val="00DF3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29</Pages>
  <Words>7451</Words>
  <Characters>42476</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Narendra Nelavalli</dc:creator>
  <cp:keywords/>
  <dc:description/>
  <cp:lastModifiedBy>Narendra Nelavalli</cp:lastModifiedBy>
  <cp:revision>17</cp:revision>
  <dcterms:created xsi:type="dcterms:W3CDTF">2025-12-08T21:24:00Z</dcterms:created>
  <dcterms:modified xsi:type="dcterms:W3CDTF">2025-12-15T01:52:00Z</dcterms:modified>
</cp:coreProperties>
</file>