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62E890" w14:textId="6517308F" w:rsidR="009C213D" w:rsidRDefault="009C213D" w:rsidP="009C213D">
      <w:r w:rsidRPr="009C213D">
        <w:t>Simon Richards 1809846</w:t>
      </w:r>
      <w:r>
        <w:tab/>
      </w:r>
      <w:r>
        <w:tab/>
      </w:r>
      <w:r>
        <w:tab/>
      </w:r>
      <w:r>
        <w:tab/>
      </w:r>
      <w:r w:rsidRPr="009C213D">
        <w:t>Environmental Conservation</w:t>
      </w:r>
    </w:p>
    <w:p w14:paraId="45AECF9E" w14:textId="77777777" w:rsidR="009C213D" w:rsidRPr="009C213D" w:rsidRDefault="009C213D" w:rsidP="009C213D"/>
    <w:p w14:paraId="05574227" w14:textId="5E5FA8ED" w:rsidR="009C213D" w:rsidRPr="009C213D" w:rsidRDefault="009C213D" w:rsidP="009C213D">
      <w:pPr>
        <w:rPr>
          <w:rFonts w:cstheme="minorHAnsi"/>
          <w:sz w:val="32"/>
          <w:szCs w:val="32"/>
        </w:rPr>
      </w:pPr>
      <w:r w:rsidRPr="009C213D">
        <w:rPr>
          <w:rFonts w:cstheme="minorHAnsi"/>
          <w:sz w:val="32"/>
          <w:szCs w:val="32"/>
        </w:rPr>
        <w:t xml:space="preserve"> Discuss the use of GIS as a suitable data analysis tool for use within environmental management</w:t>
      </w:r>
    </w:p>
    <w:p w14:paraId="7F918FAE" w14:textId="77777777" w:rsidR="009C213D" w:rsidRPr="009C213D" w:rsidRDefault="009C213D" w:rsidP="009C213D">
      <w:pPr>
        <w:numPr>
          <w:ilvl w:val="0"/>
          <w:numId w:val="1"/>
        </w:numPr>
        <w:contextualSpacing/>
        <w:rPr>
          <w:rFonts w:cstheme="minorHAnsi"/>
        </w:rPr>
      </w:pPr>
      <w:r w:rsidRPr="009C213D">
        <w:rPr>
          <w:rFonts w:cstheme="minorHAnsi"/>
        </w:rPr>
        <w:t>Introduction</w:t>
      </w:r>
    </w:p>
    <w:p w14:paraId="0E420B49" w14:textId="77777777" w:rsidR="009C213D" w:rsidRPr="009C213D" w:rsidRDefault="009C213D" w:rsidP="009C213D">
      <w:pPr>
        <w:numPr>
          <w:ilvl w:val="0"/>
          <w:numId w:val="1"/>
        </w:numPr>
        <w:contextualSpacing/>
        <w:rPr>
          <w:rFonts w:cstheme="minorHAnsi"/>
        </w:rPr>
      </w:pPr>
      <w:r w:rsidRPr="009C213D">
        <w:rPr>
          <w:rFonts w:cstheme="minorHAnsi"/>
        </w:rPr>
        <w:t>Main Body</w:t>
      </w:r>
    </w:p>
    <w:p w14:paraId="16B7B9C7" w14:textId="77777777" w:rsidR="009C213D" w:rsidRPr="009C213D" w:rsidRDefault="009C213D" w:rsidP="009C213D">
      <w:pPr>
        <w:numPr>
          <w:ilvl w:val="0"/>
          <w:numId w:val="1"/>
        </w:numPr>
        <w:contextualSpacing/>
        <w:rPr>
          <w:rFonts w:cstheme="minorHAnsi"/>
        </w:rPr>
      </w:pPr>
      <w:r w:rsidRPr="009C213D">
        <w:rPr>
          <w:rFonts w:cstheme="minorHAnsi"/>
        </w:rPr>
        <w:t>Maps</w:t>
      </w:r>
    </w:p>
    <w:p w14:paraId="215EBAFF" w14:textId="77777777" w:rsidR="009C213D" w:rsidRPr="009C213D" w:rsidRDefault="009C213D" w:rsidP="009C213D">
      <w:pPr>
        <w:numPr>
          <w:ilvl w:val="0"/>
          <w:numId w:val="1"/>
        </w:numPr>
        <w:contextualSpacing/>
        <w:rPr>
          <w:rFonts w:cstheme="minorHAnsi"/>
        </w:rPr>
      </w:pPr>
      <w:r w:rsidRPr="009C213D">
        <w:rPr>
          <w:rFonts w:cstheme="minorHAnsi"/>
        </w:rPr>
        <w:t>Results and Discussion</w:t>
      </w:r>
    </w:p>
    <w:p w14:paraId="4A3888DA" w14:textId="77777777" w:rsidR="009C213D" w:rsidRPr="009C213D" w:rsidRDefault="009C213D" w:rsidP="009C213D">
      <w:pPr>
        <w:numPr>
          <w:ilvl w:val="0"/>
          <w:numId w:val="1"/>
        </w:numPr>
        <w:contextualSpacing/>
        <w:rPr>
          <w:rFonts w:cstheme="minorHAnsi"/>
        </w:rPr>
      </w:pPr>
      <w:r w:rsidRPr="009C213D">
        <w:rPr>
          <w:rFonts w:cstheme="minorHAnsi"/>
        </w:rPr>
        <w:t>Limitations of GIS</w:t>
      </w:r>
    </w:p>
    <w:p w14:paraId="75E6E038" w14:textId="77777777" w:rsidR="009C213D" w:rsidRPr="009C213D" w:rsidRDefault="009C213D" w:rsidP="009C213D">
      <w:pPr>
        <w:numPr>
          <w:ilvl w:val="0"/>
          <w:numId w:val="1"/>
        </w:numPr>
        <w:contextualSpacing/>
        <w:rPr>
          <w:rFonts w:cstheme="minorHAnsi"/>
        </w:rPr>
      </w:pPr>
      <w:r w:rsidRPr="009C213D">
        <w:rPr>
          <w:rFonts w:cstheme="minorHAnsi"/>
        </w:rPr>
        <w:t>Conclusion</w:t>
      </w:r>
    </w:p>
    <w:p w14:paraId="3534BA0F" w14:textId="16E085B6" w:rsidR="009C213D" w:rsidRDefault="009C213D" w:rsidP="009C213D">
      <w:pPr>
        <w:numPr>
          <w:ilvl w:val="0"/>
          <w:numId w:val="1"/>
        </w:numPr>
        <w:contextualSpacing/>
        <w:rPr>
          <w:rFonts w:cstheme="minorHAnsi"/>
        </w:rPr>
      </w:pPr>
      <w:r w:rsidRPr="009C213D">
        <w:rPr>
          <w:rFonts w:cstheme="minorHAnsi"/>
        </w:rPr>
        <w:t>References</w:t>
      </w:r>
    </w:p>
    <w:p w14:paraId="3E764307" w14:textId="77777777" w:rsidR="009C213D" w:rsidRPr="009C213D" w:rsidRDefault="009C213D" w:rsidP="009C213D">
      <w:pPr>
        <w:numPr>
          <w:ilvl w:val="0"/>
          <w:numId w:val="1"/>
        </w:numPr>
        <w:contextualSpacing/>
        <w:rPr>
          <w:rFonts w:cstheme="minorHAnsi"/>
        </w:rPr>
      </w:pPr>
    </w:p>
    <w:p w14:paraId="42D292B6" w14:textId="77777777" w:rsidR="009C213D" w:rsidRPr="009C213D" w:rsidRDefault="009C213D" w:rsidP="009C213D">
      <w:pPr>
        <w:keepNext/>
        <w:keepLines/>
        <w:spacing w:before="240" w:after="0"/>
        <w:outlineLvl w:val="0"/>
        <w:rPr>
          <w:rFonts w:eastAsiaTheme="majorEastAsia" w:cstheme="minorHAnsi"/>
        </w:rPr>
      </w:pPr>
      <w:r w:rsidRPr="009C213D">
        <w:rPr>
          <w:rFonts w:eastAsiaTheme="majorEastAsia" w:cstheme="minorHAnsi"/>
        </w:rPr>
        <w:t>1.0</w:t>
      </w:r>
      <w:r w:rsidRPr="009C213D">
        <w:rPr>
          <w:rFonts w:eastAsiaTheme="majorEastAsia" w:cstheme="minorHAnsi"/>
        </w:rPr>
        <w:tab/>
      </w:r>
      <w:r w:rsidRPr="009C213D">
        <w:rPr>
          <w:rStyle w:val="Heading1Char"/>
        </w:rPr>
        <w:t>Introduction</w:t>
      </w:r>
    </w:p>
    <w:p w14:paraId="235331FA" w14:textId="77777777" w:rsidR="009C213D" w:rsidRPr="009C213D" w:rsidRDefault="009C213D" w:rsidP="009C213D">
      <w:pPr>
        <w:rPr>
          <w:rFonts w:cstheme="minorHAnsi"/>
        </w:rPr>
      </w:pPr>
      <w:r w:rsidRPr="009C213D">
        <w:rPr>
          <w:rFonts w:cstheme="minorHAnsi"/>
        </w:rPr>
        <w:t>Geographic Information Systems (GIS) is a relatively new and fast developing science, initially developed in 1960’s in Canada to identify their land mass, its resources and their potential for human benefit, it has developed quickly, initially in large part by the military  to provide geographic data in a format that is visual and flexible allowing manipulation of many geospatial datasets, providing easier access and better understanding with the ability able to analyse and evaluate complex datasets to provide better decision making. Valuable on a global and local scale across all disciplines this scientific technique is proving invaluable in our fast moving world where informed decisions have to be taken in a timely way in the real world of environmental management.</w:t>
      </w:r>
    </w:p>
    <w:p w14:paraId="49B0FFD6" w14:textId="7B55D32B" w:rsidR="009C213D" w:rsidRPr="009C213D" w:rsidRDefault="009C213D" w:rsidP="009C213D">
      <w:pPr>
        <w:rPr>
          <w:rFonts w:cstheme="minorHAnsi"/>
          <w:shd w:val="clear" w:color="auto" w:fill="FFFFFF"/>
        </w:rPr>
      </w:pPr>
      <w:r w:rsidRPr="009C213D">
        <w:rPr>
          <w:rFonts w:cstheme="minorHAnsi"/>
          <w:shd w:val="clear" w:color="auto" w:fill="FFFFFF"/>
        </w:rPr>
        <w:t xml:space="preserve">With climate change the threat of flooding in many areas of the globe is modelled by GIS predicting the effects different weather scenarios could have on the geography and therefore the population of affected areas. </w:t>
      </w:r>
    </w:p>
    <w:p w14:paraId="2653A18A" w14:textId="77777777" w:rsidR="009C213D" w:rsidRPr="009C213D" w:rsidRDefault="009C213D" w:rsidP="009C213D">
      <w:pPr>
        <w:rPr>
          <w:rFonts w:cstheme="minorHAnsi"/>
          <w:shd w:val="clear" w:color="auto" w:fill="FFFFFF"/>
        </w:rPr>
      </w:pPr>
      <w:r w:rsidRPr="009C213D">
        <w:rPr>
          <w:rFonts w:cstheme="minorHAnsi"/>
        </w:rPr>
        <w:t>The Welsh government has a Towards Zero Waste by 2050 strategy and an initiative called Beyond Recycling which is part of its circular low carbon economy vision where waste is eliminated from the Welsh economy and all items are reused. With a clear focus provided by The Wellbeing of Future Generations (Wales) Act 2015, a national indicator set and measured quarterly is the amount of waste generated per person, it has helped drive up the amount that is recycled. Its aims to make resource efficiency part of the Welsh culture and for Wales to lead the world in recycling waste.</w:t>
      </w:r>
    </w:p>
    <w:p w14:paraId="7168FB14" w14:textId="77777777" w:rsidR="009C213D" w:rsidRPr="009C213D" w:rsidRDefault="009C213D" w:rsidP="009C213D">
      <w:pPr>
        <w:rPr>
          <w:rFonts w:cstheme="minorHAnsi"/>
        </w:rPr>
      </w:pPr>
      <w:r w:rsidRPr="009C213D">
        <w:rPr>
          <w:rFonts w:cstheme="minorHAnsi"/>
        </w:rPr>
        <w:t>Back in 1993 Elston and Buckland were promoting the use of GIS for modelling spacial distribution in environmental management. Stated benefits included the ability to demonstrate a wide range of datasets at differing levels of detail all at the same scale. This can be very useful, for example the data for a county can be shown and then data for smaller parts of the county down to street level can be added as layers, this can visually show results in both macro and micro detail.</w:t>
      </w:r>
      <w:r w:rsidRPr="009C213D">
        <w:rPr>
          <w:rFonts w:cstheme="minorHAnsi"/>
          <w:shd w:val="clear" w:color="auto" w:fill="FFFFFF"/>
        </w:rPr>
        <w:t xml:space="preserve"> Higgs in 2006 highlighted</w:t>
      </w:r>
      <w:r w:rsidRPr="009C213D">
        <w:rPr>
          <w:rFonts w:cstheme="minorHAnsi"/>
        </w:rPr>
        <w:t xml:space="preserve"> a body of literature that promotes GIS when used as a part of wider framework of existing systems as an information tool helping build consensus across multiple viewpoints.</w:t>
      </w:r>
    </w:p>
    <w:p w14:paraId="63752733" w14:textId="77777777" w:rsidR="009C213D" w:rsidRPr="009C213D" w:rsidRDefault="009C213D" w:rsidP="009C213D">
      <w:pPr>
        <w:rPr>
          <w:rFonts w:cstheme="minorHAnsi"/>
        </w:rPr>
      </w:pPr>
      <w:r w:rsidRPr="009C213D">
        <w:rPr>
          <w:rFonts w:cstheme="minorHAnsi"/>
        </w:rPr>
        <w:t>This case study looks at Wales and compared different spacial zones, firstly there was a need to choose how to examine different areas within Wales, the twenty two unitary authorities across Wales all provide separate and largely comparative data sets as they need to report back to the Welsh government across a wide range of data sets, so these were chosen as the spacial reference starting point.</w:t>
      </w:r>
    </w:p>
    <w:p w14:paraId="206DAFF6" w14:textId="77777777" w:rsidR="009C213D" w:rsidRPr="009C213D" w:rsidRDefault="009C213D" w:rsidP="009C213D">
      <w:pPr>
        <w:rPr>
          <w:rFonts w:cstheme="minorHAnsi"/>
        </w:rPr>
      </w:pPr>
      <w:r w:rsidRPr="009C213D">
        <w:rPr>
          <w:rFonts w:cstheme="minorHAnsi"/>
        </w:rPr>
        <w:lastRenderedPageBreak/>
        <w:t xml:space="preserve">The study is analysing geospatial data on public waste to monitor how it varies between the various unitary councils. Additionally, there was many opportunities to look at contributory influences of the populations waste patterns. Choices were made as to what could be major contributory factors, the following factors considered were: deprivation levels, educational attainment, rural and urban areas, location to major road networks, </w:t>
      </w:r>
    </w:p>
    <w:p w14:paraId="2B044171" w14:textId="77777777" w:rsidR="009C213D" w:rsidRPr="009C213D" w:rsidRDefault="009C213D" w:rsidP="009C213D">
      <w:pPr>
        <w:rPr>
          <w:rFonts w:cstheme="minorHAnsi"/>
        </w:rPr>
      </w:pPr>
      <w:r w:rsidRPr="009C213D">
        <w:rPr>
          <w:rFonts w:cstheme="minorHAnsi"/>
        </w:rPr>
        <w:t>An earlier study (</w:t>
      </w:r>
      <w:r w:rsidRPr="009C213D">
        <w:rPr>
          <w:rFonts w:cstheme="minorHAnsi"/>
          <w:shd w:val="clear" w:color="auto" w:fill="FFFFFF"/>
        </w:rPr>
        <w:t>Woollam, 2006) looked at whether deprivation and the levels of recycling of household waste was correlated and found that in the two Welsh borough councils studied of Rhondda Cynon Taf and Caerphilly the large study of 114,000 households showed no significant correlation effect was found between the socio economic status of the household and the kerb side recycling rate. This study used  the Arcview GIS package</w:t>
      </w:r>
      <w:r w:rsidRPr="009C213D">
        <w:rPr>
          <w:rFonts w:cstheme="minorHAnsi"/>
        </w:rPr>
        <w:t>, in addition to showing a colour coded visualization on a map of the differing kerbside recycling, the datasets were also used via the GIS package to produce scatter diagrams and  show analysis of linear regression. Increasingly the display of data and modelling using GIS is being used in micro scale as with our case study analysing waste generated by individual unitary authorities. (Goodchild, 2004)</w:t>
      </w:r>
    </w:p>
    <w:p w14:paraId="5D4F540E" w14:textId="77777777" w:rsidR="009C213D" w:rsidRPr="009C213D" w:rsidRDefault="009C213D" w:rsidP="009C213D">
      <w:pPr>
        <w:keepNext/>
        <w:keepLines/>
        <w:spacing w:before="240" w:after="0"/>
        <w:outlineLvl w:val="0"/>
        <w:rPr>
          <w:rFonts w:eastAsiaTheme="majorEastAsia" w:cstheme="minorHAnsi"/>
        </w:rPr>
      </w:pPr>
      <w:r w:rsidRPr="009C213D">
        <w:rPr>
          <w:rFonts w:eastAsiaTheme="majorEastAsia" w:cstheme="minorHAnsi"/>
        </w:rPr>
        <w:t>2.0</w:t>
      </w:r>
      <w:r w:rsidRPr="009C213D">
        <w:rPr>
          <w:rFonts w:eastAsiaTheme="majorEastAsia" w:cstheme="minorHAnsi"/>
        </w:rPr>
        <w:tab/>
      </w:r>
      <w:r w:rsidRPr="009C213D">
        <w:rPr>
          <w:rStyle w:val="Heading1Char"/>
        </w:rPr>
        <w:t>Main Body</w:t>
      </w:r>
    </w:p>
    <w:p w14:paraId="47588C48" w14:textId="77777777" w:rsidR="009C213D" w:rsidRPr="009C213D" w:rsidRDefault="009C213D" w:rsidP="009C213D">
      <w:pPr>
        <w:rPr>
          <w:rFonts w:cstheme="minorHAnsi"/>
        </w:rPr>
      </w:pPr>
      <w:r w:rsidRPr="009C213D">
        <w:rPr>
          <w:rFonts w:cstheme="minorHAnsi"/>
        </w:rPr>
        <w:t xml:space="preserve">Crucial to the production of quality GIS is the requirement to only use reliable and trustworthy data from recognized sources, the old adage rubbish in rubbish out applies here. For the building of this case study thematic maps showing a range of different datasets within the same spacial areas were produced. The following sites were examined and used for the collection and integration of base data sets </w:t>
      </w:r>
      <w:hyperlink r:id="rId5" w:history="1">
        <w:r w:rsidRPr="009C213D">
          <w:rPr>
            <w:rFonts w:cstheme="minorHAnsi"/>
          </w:rPr>
          <w:t>www.wastemanagementdatasets</w:t>
        </w:r>
      </w:hyperlink>
      <w:r w:rsidRPr="009C213D">
        <w:rPr>
          <w:rFonts w:cstheme="minorHAnsi"/>
        </w:rPr>
        <w:t xml:space="preserve"> for information on waste management, </w:t>
      </w:r>
      <w:hyperlink r:id="rId6" w:history="1">
        <w:r w:rsidRPr="009C213D">
          <w:rPr>
            <w:rFonts w:cstheme="minorHAnsi"/>
          </w:rPr>
          <w:t>www.ukdataservices</w:t>
        </w:r>
      </w:hyperlink>
      <w:r w:rsidRPr="009C213D">
        <w:rPr>
          <w:rFonts w:cstheme="minorHAnsi"/>
        </w:rPr>
        <w:t xml:space="preserve"> providing boundary data, </w:t>
      </w:r>
      <w:hyperlink r:id="rId7" w:history="1">
        <w:r w:rsidRPr="009C213D">
          <w:rPr>
            <w:rFonts w:cstheme="minorHAnsi"/>
          </w:rPr>
          <w:t>www.lle</w:t>
        </w:r>
      </w:hyperlink>
      <w:r w:rsidRPr="009C213D">
        <w:rPr>
          <w:rFonts w:cstheme="minorHAnsi"/>
        </w:rPr>
        <w:t xml:space="preserve"> is a collaboration between Welsh government and Natural Resources Wales (NRW) with a focus on environmental issues and </w:t>
      </w:r>
      <w:hyperlink r:id="rId8" w:history="1">
        <w:r w:rsidRPr="009C213D">
          <w:rPr>
            <w:rFonts w:cstheme="minorHAnsi"/>
          </w:rPr>
          <w:t>www.infuse</w:t>
        </w:r>
      </w:hyperlink>
      <w:r w:rsidRPr="009C213D">
        <w:rPr>
          <w:rFonts w:cstheme="minorHAnsi"/>
        </w:rPr>
        <w:t xml:space="preserve"> providing National census data for ten year periods 2001,2011, 2021. Many other information packages are available, a useful mapping one from the ordinance survey OS Roam.</w:t>
      </w:r>
    </w:p>
    <w:p w14:paraId="2B0A6EEA" w14:textId="77777777" w:rsidR="009C213D" w:rsidRPr="009C213D" w:rsidRDefault="009C213D" w:rsidP="009C213D">
      <w:pPr>
        <w:rPr>
          <w:rFonts w:cstheme="minorHAnsi"/>
        </w:rPr>
      </w:pPr>
      <w:r w:rsidRPr="009C213D">
        <w:rPr>
          <w:rFonts w:cstheme="minorHAnsi"/>
        </w:rPr>
        <w:t xml:space="preserve">UK data services website provided the raw data, which was available to browse and select, initially the geographic area of Wales needed to be identified then this data is extracted, transferred and saved as a directory. This was then included onto a base map in GIS mapping software package Mapinfo Pro 16. </w:t>
      </w:r>
    </w:p>
    <w:p w14:paraId="4A4DC8CB" w14:textId="77777777" w:rsidR="009C213D" w:rsidRPr="009C213D" w:rsidRDefault="009C213D" w:rsidP="009C213D">
      <w:pPr>
        <w:rPr>
          <w:rFonts w:cstheme="minorHAnsi"/>
        </w:rPr>
      </w:pPr>
      <w:r w:rsidRPr="009C213D">
        <w:rPr>
          <w:rFonts w:cstheme="minorHAnsi"/>
        </w:rPr>
        <w:t xml:space="preserve">The twenty two Welsh unitary authorities were added and saved as a first layer of detail on the base map. A search through the database allowed selection of datasets needing analysis. To be able to accurately compare each spacial zone, the data needed to be selected and cleansed to provide the same date period, in this case results for household waste produced per ton annually adjusted by population in each unitary zone for 2011 and 2021 were selected. By uploading into a suitable database for manipulation, cleansing of the data can take place. Excel 97 was used for this case study for this purpose. Each map is accompanied with its corresponding legend, carefully labelled to accurately detail what is shown on the map to ensure clarity for users to understand its relevance. </w:t>
      </w:r>
    </w:p>
    <w:p w14:paraId="251D0005" w14:textId="77777777" w:rsidR="009C213D" w:rsidRPr="009C213D" w:rsidRDefault="009C213D" w:rsidP="009C213D">
      <w:pPr>
        <w:rPr>
          <w:rFonts w:cstheme="minorHAnsi"/>
        </w:rPr>
      </w:pPr>
      <w:r w:rsidRPr="009C213D">
        <w:rPr>
          <w:rFonts w:cstheme="minorHAnsi"/>
        </w:rPr>
        <w:t>A second layer was added to provide level of deprivation per authority using the deprivation index, this can be shown visually on the map in many ways including suitable small to large icons or with various charts. With twenty two areas available, I selected two unitary authorities Pembrokeshire and Neath Port Talbot to test a hypothesis whether there is a correlation between waste produced per household to poverty of the households within the two authorities. The case study also looked at general recycling and green (garden) waste recycling across the two authorities.</w:t>
      </w:r>
    </w:p>
    <w:p w14:paraId="25058508" w14:textId="58DF3524" w:rsidR="009C213D" w:rsidRPr="009C213D" w:rsidRDefault="009C213D" w:rsidP="009C213D">
      <w:pPr>
        <w:keepNext/>
        <w:keepLines/>
        <w:spacing w:before="240" w:after="0"/>
        <w:outlineLvl w:val="0"/>
        <w:rPr>
          <w:rFonts w:asciiTheme="majorHAnsi" w:eastAsiaTheme="majorEastAsia" w:hAnsiTheme="majorHAnsi" w:cstheme="majorBidi"/>
          <w:color w:val="2F5496" w:themeColor="accent1" w:themeShade="BF"/>
          <w:sz w:val="32"/>
          <w:szCs w:val="32"/>
        </w:rPr>
      </w:pPr>
      <w:r w:rsidRPr="009C213D">
        <w:rPr>
          <w:rFonts w:eastAsiaTheme="majorEastAsia" w:cstheme="minorHAnsi"/>
        </w:rPr>
        <w:lastRenderedPageBreak/>
        <w:t>3.0</w:t>
      </w:r>
      <w:r w:rsidRPr="009C213D">
        <w:rPr>
          <w:rFonts w:eastAsiaTheme="majorEastAsia" w:cstheme="minorHAnsi"/>
        </w:rPr>
        <w:tab/>
      </w:r>
      <w:r w:rsidRPr="009C213D">
        <w:rPr>
          <w:rStyle w:val="Heading1Char"/>
        </w:rPr>
        <w:t>Maps</w:t>
      </w:r>
    </w:p>
    <w:p w14:paraId="048E2670" w14:textId="77777777" w:rsidR="009C4699" w:rsidRDefault="009C4699" w:rsidP="009C213D">
      <w:pPr>
        <w:rPr>
          <w:rFonts w:cstheme="minorHAnsi"/>
          <w:noProof/>
        </w:rPr>
      </w:pPr>
    </w:p>
    <w:p w14:paraId="37844048" w14:textId="77777777" w:rsidR="009C4699" w:rsidRDefault="009C4699" w:rsidP="009C213D">
      <w:pPr>
        <w:rPr>
          <w:rFonts w:cstheme="minorHAnsi"/>
          <w:noProof/>
        </w:rPr>
      </w:pPr>
    </w:p>
    <w:p w14:paraId="7D8696BF" w14:textId="5C655BEB" w:rsidR="009C213D" w:rsidRPr="009C213D" w:rsidRDefault="009C213D" w:rsidP="009C213D">
      <w:pPr>
        <w:rPr>
          <w:rFonts w:cstheme="minorHAnsi"/>
          <w:noProof/>
        </w:rPr>
      </w:pPr>
      <w:r w:rsidRPr="009C213D">
        <w:rPr>
          <w:rFonts w:cstheme="minorHAnsi"/>
          <w:noProof/>
        </w:rPr>
        <w:t xml:space="preserve">Map 1. </w:t>
      </w:r>
    </w:p>
    <w:p w14:paraId="7CD89514" w14:textId="494005A3" w:rsidR="009C213D" w:rsidRPr="009C213D" w:rsidRDefault="009C213D" w:rsidP="009C213D">
      <w:pPr>
        <w:rPr>
          <w:rFonts w:cstheme="minorHAnsi"/>
        </w:rPr>
      </w:pPr>
      <w:r w:rsidRPr="009C213D">
        <w:rPr>
          <w:rFonts w:cstheme="minorHAnsi"/>
          <w:noProof/>
        </w:rPr>
        <w:t xml:space="preserve">One level of deprevation </w:t>
      </w:r>
      <w:r w:rsidRPr="009C213D">
        <w:rPr>
          <w:rFonts w:cstheme="minorHAnsi"/>
        </w:rPr>
        <w:t>in each unitary authority in Wales</w:t>
      </w:r>
      <w:r w:rsidRPr="009C213D">
        <w:rPr>
          <w:rFonts w:cstheme="minorHAnsi"/>
          <w:noProof/>
        </w:rPr>
        <w:t>, the darker the colour the more deprevation.</w:t>
      </w:r>
      <w:r w:rsidRPr="009C213D">
        <w:rPr>
          <w:rFonts w:cstheme="minorHAnsi"/>
          <w:noProof/>
        </w:rPr>
        <w:drawing>
          <wp:anchor distT="0" distB="0" distL="114300" distR="114300" simplePos="0" relativeHeight="251652096" behindDoc="0" locked="0" layoutInCell="1" allowOverlap="1" wp14:anchorId="47B825E9" wp14:editId="7E932C44">
            <wp:simplePos x="0" y="0"/>
            <wp:positionH relativeFrom="column">
              <wp:posOffset>381000</wp:posOffset>
            </wp:positionH>
            <wp:positionV relativeFrom="paragraph">
              <wp:posOffset>419735</wp:posOffset>
            </wp:positionV>
            <wp:extent cx="1803400" cy="1358900"/>
            <wp:effectExtent l="0" t="0" r="6350" b="0"/>
            <wp:wrapNone/>
            <wp:docPr id="6" name="Picture 6"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low confidence"/>
                    <pic:cNvPicPr/>
                  </pic:nvPicPr>
                  <pic:blipFill rotWithShape="1">
                    <a:blip r:embed="rId9">
                      <a:extLst>
                        <a:ext uri="{28A0092B-C50C-407E-A947-70E740481C1C}">
                          <a14:useLocalDpi xmlns:a14="http://schemas.microsoft.com/office/drawing/2010/main" val="0"/>
                        </a:ext>
                      </a:extLst>
                    </a:blip>
                    <a:srcRect r="28463" b="68895"/>
                    <a:stretch/>
                  </pic:blipFill>
                  <pic:spPr bwMode="auto">
                    <a:xfrm>
                      <a:off x="0" y="0"/>
                      <a:ext cx="1803400" cy="1358900"/>
                    </a:xfrm>
                    <a:prstGeom prst="rect">
                      <a:avLst/>
                    </a:prstGeom>
                    <a:ln>
                      <a:noFill/>
                    </a:ln>
                    <a:extLst>
                      <a:ext uri="{53640926-AAD7-44D8-BBD7-CCE9431645EC}">
                        <a14:shadowObscured xmlns:a14="http://schemas.microsoft.com/office/drawing/2010/main"/>
                      </a:ext>
                    </a:extLst>
                  </pic:spPr>
                </pic:pic>
              </a:graphicData>
            </a:graphic>
          </wp:anchor>
        </w:drawing>
      </w:r>
      <w:r w:rsidRPr="009C213D">
        <w:rPr>
          <w:rFonts w:cstheme="minorHAnsi"/>
          <w:noProof/>
        </w:rPr>
        <w:t>The brackets show the local authorities that are catogorized within that level</w:t>
      </w:r>
      <w:r w:rsidRPr="009C213D">
        <w:rPr>
          <w:rFonts w:cstheme="minorHAnsi"/>
          <w:noProof/>
        </w:rPr>
        <w:drawing>
          <wp:inline distT="0" distB="0" distL="0" distR="0" wp14:anchorId="6F1617A0" wp14:editId="12F41A3C">
            <wp:extent cx="7581639" cy="5283200"/>
            <wp:effectExtent l="152400" t="114300" r="153035" b="165100"/>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7583261" cy="52843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BDC1B9A" w14:textId="0FD8ACC6" w:rsidR="009C213D" w:rsidRPr="009C213D" w:rsidRDefault="009C213D" w:rsidP="009C4699">
      <w:pPr>
        <w:ind w:left="720"/>
        <w:rPr>
          <w:rFonts w:cstheme="minorHAnsi"/>
        </w:rPr>
      </w:pPr>
      <w:r w:rsidRPr="009C213D">
        <w:rPr>
          <w:rFonts w:cstheme="minorHAnsi"/>
        </w:rPr>
        <w:t>Neath Port Talbot shows a higher proportion  of population with</w:t>
      </w:r>
      <w:r w:rsidR="000362CF">
        <w:rPr>
          <w:rFonts w:cstheme="minorHAnsi"/>
        </w:rPr>
        <w:t xml:space="preserve"> one factor of</w:t>
      </w:r>
      <w:r w:rsidRPr="009C213D">
        <w:rPr>
          <w:rFonts w:cstheme="minorHAnsi"/>
        </w:rPr>
        <w:t xml:space="preserve"> deprivation  when compared with Pembrokeshire.</w:t>
      </w:r>
    </w:p>
    <w:p w14:paraId="661B95D2" w14:textId="77777777" w:rsidR="009C213D" w:rsidRPr="009C213D" w:rsidRDefault="009C213D" w:rsidP="009C213D">
      <w:pPr>
        <w:ind w:firstLine="720"/>
        <w:rPr>
          <w:rFonts w:cstheme="minorHAnsi"/>
        </w:rPr>
      </w:pPr>
    </w:p>
    <w:p w14:paraId="4B4F7FF1" w14:textId="77777777" w:rsidR="009C213D" w:rsidRPr="009C213D" w:rsidRDefault="009C213D" w:rsidP="009C213D">
      <w:pPr>
        <w:ind w:firstLine="720"/>
        <w:rPr>
          <w:rFonts w:cstheme="minorHAnsi"/>
        </w:rPr>
      </w:pPr>
    </w:p>
    <w:p w14:paraId="43EC148C" w14:textId="77777777" w:rsidR="009C213D" w:rsidRPr="009C213D" w:rsidRDefault="009C213D" w:rsidP="009C213D">
      <w:pPr>
        <w:ind w:firstLine="720"/>
        <w:rPr>
          <w:rFonts w:cstheme="minorHAnsi"/>
        </w:rPr>
      </w:pPr>
    </w:p>
    <w:p w14:paraId="52DD0A16" w14:textId="77777777" w:rsidR="009C213D" w:rsidRPr="009C213D" w:rsidRDefault="009C213D" w:rsidP="009C213D">
      <w:pPr>
        <w:ind w:firstLine="720"/>
        <w:rPr>
          <w:rFonts w:cstheme="minorHAnsi"/>
        </w:rPr>
      </w:pPr>
    </w:p>
    <w:p w14:paraId="04D8D5EC" w14:textId="77777777" w:rsidR="009C213D" w:rsidRPr="009C213D" w:rsidRDefault="009C213D" w:rsidP="009C213D">
      <w:pPr>
        <w:ind w:firstLine="720"/>
        <w:rPr>
          <w:rFonts w:cstheme="minorHAnsi"/>
        </w:rPr>
      </w:pPr>
    </w:p>
    <w:p w14:paraId="0D936FBE" w14:textId="77777777" w:rsidR="009C213D" w:rsidRPr="009C213D" w:rsidRDefault="009C213D" w:rsidP="009C213D">
      <w:pPr>
        <w:ind w:firstLine="720"/>
        <w:rPr>
          <w:rFonts w:cstheme="minorHAnsi"/>
        </w:rPr>
      </w:pPr>
    </w:p>
    <w:p w14:paraId="6C32778E" w14:textId="77777777" w:rsidR="009C213D" w:rsidRPr="009C213D" w:rsidRDefault="009C213D" w:rsidP="009C213D">
      <w:pPr>
        <w:ind w:firstLine="720"/>
        <w:rPr>
          <w:rFonts w:cstheme="minorHAnsi"/>
        </w:rPr>
      </w:pPr>
    </w:p>
    <w:p w14:paraId="672170E1" w14:textId="77777777" w:rsidR="009C213D" w:rsidRPr="009C213D" w:rsidRDefault="009C213D" w:rsidP="009C213D">
      <w:pPr>
        <w:ind w:firstLine="720"/>
        <w:rPr>
          <w:rFonts w:cstheme="minorHAnsi"/>
        </w:rPr>
      </w:pPr>
      <w:r w:rsidRPr="009C213D">
        <w:rPr>
          <w:rFonts w:cstheme="minorHAnsi"/>
        </w:rPr>
        <w:t>Map 2.</w:t>
      </w:r>
    </w:p>
    <w:p w14:paraId="08F44FF8" w14:textId="77777777" w:rsidR="009C213D" w:rsidRPr="009C213D" w:rsidRDefault="009C213D" w:rsidP="009C213D">
      <w:pPr>
        <w:ind w:firstLine="720"/>
        <w:rPr>
          <w:rFonts w:cstheme="minorHAnsi"/>
        </w:rPr>
      </w:pPr>
      <w:r w:rsidRPr="009C213D">
        <w:rPr>
          <w:rFonts w:cstheme="minorHAnsi"/>
        </w:rPr>
        <w:t>No deprivation in each unitary authority in Wales, the darker the colour the greater the percentage of the population has no deprivation</w:t>
      </w:r>
    </w:p>
    <w:p w14:paraId="1FAC839C" w14:textId="77777777" w:rsidR="009C213D" w:rsidRPr="009C213D" w:rsidRDefault="009C213D" w:rsidP="009C213D">
      <w:pPr>
        <w:ind w:firstLine="720"/>
        <w:rPr>
          <w:rFonts w:cstheme="minorHAnsi"/>
        </w:rPr>
      </w:pPr>
      <w:r w:rsidRPr="009C213D">
        <w:rPr>
          <w:rFonts w:cstheme="minorHAnsi"/>
          <w:noProof/>
        </w:rPr>
        <w:drawing>
          <wp:inline distT="0" distB="0" distL="0" distR="0" wp14:anchorId="20627E08" wp14:editId="1AAA6265">
            <wp:extent cx="6490898" cy="4616450"/>
            <wp:effectExtent l="0" t="0" r="5715" b="0"/>
            <wp:docPr id="9" name="Picture 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494669" cy="4619132"/>
                    </a:xfrm>
                    <a:prstGeom prst="rect">
                      <a:avLst/>
                    </a:prstGeom>
                  </pic:spPr>
                </pic:pic>
              </a:graphicData>
            </a:graphic>
          </wp:inline>
        </w:drawing>
      </w:r>
      <w:r w:rsidRPr="009C213D">
        <w:rPr>
          <w:rFonts w:cstheme="minorHAnsi"/>
          <w:noProof/>
        </w:rPr>
        <w:drawing>
          <wp:anchor distT="0" distB="0" distL="114300" distR="114300" simplePos="0" relativeHeight="251654144" behindDoc="0" locked="0" layoutInCell="1" allowOverlap="1" wp14:anchorId="25A41D68" wp14:editId="2408D601">
            <wp:simplePos x="0" y="0"/>
            <wp:positionH relativeFrom="column">
              <wp:posOffset>495300</wp:posOffset>
            </wp:positionH>
            <wp:positionV relativeFrom="paragraph">
              <wp:posOffset>171450</wp:posOffset>
            </wp:positionV>
            <wp:extent cx="1784350" cy="1308100"/>
            <wp:effectExtent l="0" t="0" r="6350" b="6350"/>
            <wp:wrapNone/>
            <wp:docPr id="8" name="Picture 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medium confidence"/>
                    <pic:cNvPicPr/>
                  </pic:nvPicPr>
                  <pic:blipFill rotWithShape="1">
                    <a:blip r:embed="rId12">
                      <a:extLst>
                        <a:ext uri="{28A0092B-C50C-407E-A947-70E740481C1C}">
                          <a14:useLocalDpi xmlns:a14="http://schemas.microsoft.com/office/drawing/2010/main" val="0"/>
                        </a:ext>
                      </a:extLst>
                    </a:blip>
                    <a:srcRect r="29219" b="70058"/>
                    <a:stretch/>
                  </pic:blipFill>
                  <pic:spPr bwMode="auto">
                    <a:xfrm>
                      <a:off x="0" y="0"/>
                      <a:ext cx="1784350" cy="1308100"/>
                    </a:xfrm>
                    <a:prstGeom prst="rect">
                      <a:avLst/>
                    </a:prstGeom>
                    <a:ln>
                      <a:noFill/>
                    </a:ln>
                    <a:extLst>
                      <a:ext uri="{53640926-AAD7-44D8-BBD7-CCE9431645EC}">
                        <a14:shadowObscured xmlns:a14="http://schemas.microsoft.com/office/drawing/2010/main"/>
                      </a:ext>
                    </a:extLst>
                  </pic:spPr>
                </pic:pic>
              </a:graphicData>
            </a:graphic>
          </wp:anchor>
        </w:drawing>
      </w:r>
    </w:p>
    <w:p w14:paraId="3841B916" w14:textId="02D232A2" w:rsidR="009C213D" w:rsidRPr="009C213D" w:rsidRDefault="009C213D" w:rsidP="000362CF">
      <w:pPr>
        <w:ind w:left="720"/>
        <w:rPr>
          <w:rFonts w:cstheme="minorHAnsi"/>
        </w:rPr>
      </w:pPr>
      <w:bookmarkStart w:id="0" w:name="_Hlk97624254"/>
      <w:r w:rsidRPr="009C213D">
        <w:rPr>
          <w:rFonts w:cstheme="minorHAnsi"/>
        </w:rPr>
        <w:t>Neath Port Talbot shows a higher proportion  of population with no deprivation when compared with Pembrokeshire.</w:t>
      </w:r>
    </w:p>
    <w:bookmarkEnd w:id="0"/>
    <w:p w14:paraId="4C664A6C" w14:textId="77777777" w:rsidR="009C213D" w:rsidRPr="009C213D" w:rsidRDefault="009C213D" w:rsidP="009C213D">
      <w:pPr>
        <w:ind w:firstLine="720"/>
        <w:rPr>
          <w:rFonts w:cstheme="minorHAnsi"/>
        </w:rPr>
      </w:pPr>
    </w:p>
    <w:p w14:paraId="0B41EB60" w14:textId="77777777" w:rsidR="009C213D" w:rsidRPr="009C213D" w:rsidRDefault="009C213D" w:rsidP="009C213D">
      <w:pPr>
        <w:ind w:firstLine="720"/>
        <w:rPr>
          <w:rFonts w:cstheme="minorHAnsi"/>
        </w:rPr>
      </w:pPr>
    </w:p>
    <w:p w14:paraId="7AEF890E" w14:textId="77777777" w:rsidR="009C213D" w:rsidRPr="009C213D" w:rsidRDefault="009C213D" w:rsidP="009C213D">
      <w:pPr>
        <w:ind w:firstLine="720"/>
        <w:rPr>
          <w:rFonts w:cstheme="minorHAnsi"/>
        </w:rPr>
      </w:pPr>
    </w:p>
    <w:p w14:paraId="5269CD5B" w14:textId="77777777" w:rsidR="009C213D" w:rsidRPr="009C213D" w:rsidRDefault="009C213D" w:rsidP="009C213D">
      <w:pPr>
        <w:ind w:firstLine="720"/>
        <w:rPr>
          <w:rFonts w:cstheme="minorHAnsi"/>
        </w:rPr>
      </w:pPr>
    </w:p>
    <w:p w14:paraId="3FF7EBDC" w14:textId="77777777" w:rsidR="009C213D" w:rsidRPr="009C213D" w:rsidRDefault="009C213D" w:rsidP="009C213D">
      <w:pPr>
        <w:ind w:firstLine="720"/>
        <w:rPr>
          <w:rFonts w:cstheme="minorHAnsi"/>
        </w:rPr>
      </w:pPr>
    </w:p>
    <w:p w14:paraId="25201B8F" w14:textId="77777777" w:rsidR="009C213D" w:rsidRPr="009C213D" w:rsidRDefault="009C213D" w:rsidP="009C213D">
      <w:pPr>
        <w:ind w:firstLine="720"/>
        <w:rPr>
          <w:rFonts w:cstheme="minorHAnsi"/>
        </w:rPr>
      </w:pPr>
    </w:p>
    <w:p w14:paraId="6542DE06" w14:textId="77777777" w:rsidR="009C213D" w:rsidRPr="009C213D" w:rsidRDefault="009C213D" w:rsidP="009C213D">
      <w:pPr>
        <w:rPr>
          <w:rFonts w:cstheme="minorHAnsi"/>
        </w:rPr>
      </w:pPr>
    </w:p>
    <w:p w14:paraId="514C7D78" w14:textId="77777777" w:rsidR="009C213D" w:rsidRPr="009C213D" w:rsidRDefault="009C213D" w:rsidP="009C213D">
      <w:pPr>
        <w:ind w:firstLine="720"/>
        <w:rPr>
          <w:rFonts w:cstheme="minorHAnsi"/>
        </w:rPr>
      </w:pPr>
    </w:p>
    <w:p w14:paraId="1AC61498" w14:textId="77777777" w:rsidR="008D71A6" w:rsidRDefault="008D71A6" w:rsidP="008D71A6">
      <w:pPr>
        <w:rPr>
          <w:rFonts w:cstheme="minorHAnsi"/>
        </w:rPr>
      </w:pPr>
    </w:p>
    <w:p w14:paraId="6D5E9712" w14:textId="77777777" w:rsidR="008D71A6" w:rsidRDefault="008D71A6" w:rsidP="009C213D">
      <w:pPr>
        <w:ind w:firstLine="720"/>
        <w:rPr>
          <w:rFonts w:cstheme="minorHAnsi"/>
        </w:rPr>
      </w:pPr>
    </w:p>
    <w:p w14:paraId="1CF4CF94" w14:textId="3C10D8EC" w:rsidR="009C213D" w:rsidRPr="009C213D" w:rsidRDefault="009C213D" w:rsidP="009C213D">
      <w:pPr>
        <w:ind w:firstLine="720"/>
        <w:rPr>
          <w:rFonts w:cstheme="minorHAnsi"/>
        </w:rPr>
      </w:pPr>
      <w:r w:rsidRPr="009C213D">
        <w:rPr>
          <w:rFonts w:cstheme="minorHAnsi"/>
        </w:rPr>
        <w:t>Map 3.</w:t>
      </w:r>
    </w:p>
    <w:p w14:paraId="76CC314F" w14:textId="77777777" w:rsidR="009C213D" w:rsidRPr="009C213D" w:rsidRDefault="009C213D" w:rsidP="009C213D">
      <w:pPr>
        <w:ind w:left="720"/>
        <w:rPr>
          <w:rFonts w:cstheme="minorHAnsi"/>
        </w:rPr>
      </w:pPr>
      <w:r w:rsidRPr="009C213D">
        <w:rPr>
          <w:rFonts w:cstheme="minorHAnsi"/>
        </w:rPr>
        <w:t>The amount of household waste per household in Kg per annum in each unitary authority in Wales, the darker the colour, the greater the waste generated</w:t>
      </w:r>
    </w:p>
    <w:p w14:paraId="128CAE05" w14:textId="77777777" w:rsidR="009C213D" w:rsidRPr="009C213D" w:rsidRDefault="009C213D" w:rsidP="009C213D">
      <w:pPr>
        <w:ind w:firstLine="720"/>
        <w:rPr>
          <w:rFonts w:cstheme="minorHAnsi"/>
        </w:rPr>
      </w:pPr>
      <w:r w:rsidRPr="009C213D">
        <w:rPr>
          <w:rFonts w:cstheme="minorHAnsi"/>
          <w:noProof/>
        </w:rPr>
        <w:drawing>
          <wp:anchor distT="0" distB="0" distL="114300" distR="114300" simplePos="0" relativeHeight="251656192" behindDoc="0" locked="0" layoutInCell="1" allowOverlap="1" wp14:anchorId="0206B930" wp14:editId="56FB0B3A">
            <wp:simplePos x="0" y="0"/>
            <wp:positionH relativeFrom="column">
              <wp:posOffset>571500</wp:posOffset>
            </wp:positionH>
            <wp:positionV relativeFrom="paragraph">
              <wp:posOffset>75565</wp:posOffset>
            </wp:positionV>
            <wp:extent cx="1587500" cy="1358900"/>
            <wp:effectExtent l="0" t="0" r="0" b="0"/>
            <wp:wrapNone/>
            <wp:docPr id="17" name="Picture 17"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with low confidence"/>
                    <pic:cNvPicPr/>
                  </pic:nvPicPr>
                  <pic:blipFill rotWithShape="1">
                    <a:blip r:embed="rId13">
                      <a:extLst>
                        <a:ext uri="{28A0092B-C50C-407E-A947-70E740481C1C}">
                          <a14:useLocalDpi xmlns:a14="http://schemas.microsoft.com/office/drawing/2010/main" val="0"/>
                        </a:ext>
                      </a:extLst>
                    </a:blip>
                    <a:srcRect l="3023" t="-1599" r="34004" b="70494"/>
                    <a:stretch/>
                  </pic:blipFill>
                  <pic:spPr bwMode="auto">
                    <a:xfrm>
                      <a:off x="0" y="0"/>
                      <a:ext cx="1587500" cy="1358900"/>
                    </a:xfrm>
                    <a:prstGeom prst="rect">
                      <a:avLst/>
                    </a:prstGeom>
                    <a:ln>
                      <a:noFill/>
                    </a:ln>
                    <a:extLst>
                      <a:ext uri="{53640926-AAD7-44D8-BBD7-CCE9431645EC}">
                        <a14:shadowObscured xmlns:a14="http://schemas.microsoft.com/office/drawing/2010/main"/>
                      </a:ext>
                    </a:extLst>
                  </pic:spPr>
                </pic:pic>
              </a:graphicData>
            </a:graphic>
          </wp:anchor>
        </w:drawing>
      </w:r>
      <w:r w:rsidRPr="009C213D">
        <w:rPr>
          <w:rFonts w:cstheme="minorHAnsi"/>
          <w:noProof/>
        </w:rPr>
        <w:drawing>
          <wp:inline distT="0" distB="0" distL="0" distR="0" wp14:anchorId="77EA9107" wp14:editId="4CDA5A46">
            <wp:extent cx="6295941" cy="4494212"/>
            <wp:effectExtent l="0" t="0" r="0" b="1905"/>
            <wp:docPr id="18" name="Picture 1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Map&#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296695" cy="4494751"/>
                    </a:xfrm>
                    <a:prstGeom prst="rect">
                      <a:avLst/>
                    </a:prstGeom>
                  </pic:spPr>
                </pic:pic>
              </a:graphicData>
            </a:graphic>
          </wp:inline>
        </w:drawing>
      </w:r>
    </w:p>
    <w:p w14:paraId="39FCB548" w14:textId="77777777" w:rsidR="009C213D" w:rsidRPr="009C213D" w:rsidRDefault="009C213D" w:rsidP="009C213D">
      <w:pPr>
        <w:ind w:left="720"/>
        <w:rPr>
          <w:rFonts w:cstheme="minorHAnsi"/>
        </w:rPr>
      </w:pPr>
      <w:r w:rsidRPr="009C213D">
        <w:rPr>
          <w:rFonts w:cstheme="minorHAnsi"/>
        </w:rPr>
        <w:t>Neath Port Talbot shows very similar levels to Pembrokeshire of household waste generated   in Kg per household.</w:t>
      </w:r>
    </w:p>
    <w:p w14:paraId="2EC35F3A" w14:textId="77777777" w:rsidR="009C213D" w:rsidRPr="009C213D" w:rsidRDefault="009C213D" w:rsidP="009C213D">
      <w:pPr>
        <w:ind w:firstLine="720"/>
        <w:rPr>
          <w:rFonts w:cstheme="minorHAnsi"/>
        </w:rPr>
      </w:pPr>
    </w:p>
    <w:p w14:paraId="18290645" w14:textId="77777777" w:rsidR="009C213D" w:rsidRPr="009C213D" w:rsidRDefault="009C213D" w:rsidP="009C213D">
      <w:pPr>
        <w:ind w:firstLine="720"/>
        <w:rPr>
          <w:rFonts w:cstheme="minorHAnsi"/>
        </w:rPr>
      </w:pPr>
    </w:p>
    <w:p w14:paraId="78E24281" w14:textId="77777777" w:rsidR="009C213D" w:rsidRPr="009C213D" w:rsidRDefault="009C213D" w:rsidP="009C213D">
      <w:pPr>
        <w:ind w:firstLine="720"/>
        <w:rPr>
          <w:rFonts w:cstheme="minorHAnsi"/>
        </w:rPr>
      </w:pPr>
    </w:p>
    <w:p w14:paraId="1B1E4CF8" w14:textId="77777777" w:rsidR="009C213D" w:rsidRPr="009C213D" w:rsidRDefault="009C213D" w:rsidP="009C213D">
      <w:pPr>
        <w:ind w:firstLine="720"/>
        <w:rPr>
          <w:rFonts w:cstheme="minorHAnsi"/>
        </w:rPr>
      </w:pPr>
    </w:p>
    <w:p w14:paraId="747B948A" w14:textId="77777777" w:rsidR="009C213D" w:rsidRPr="009C213D" w:rsidRDefault="009C213D" w:rsidP="009C213D">
      <w:pPr>
        <w:ind w:firstLine="720"/>
        <w:rPr>
          <w:rFonts w:cstheme="minorHAnsi"/>
        </w:rPr>
      </w:pPr>
    </w:p>
    <w:p w14:paraId="43FE7927" w14:textId="77777777" w:rsidR="009C213D" w:rsidRPr="009C213D" w:rsidRDefault="009C213D" w:rsidP="009C213D">
      <w:pPr>
        <w:ind w:firstLine="720"/>
        <w:rPr>
          <w:rFonts w:cstheme="minorHAnsi"/>
        </w:rPr>
      </w:pPr>
    </w:p>
    <w:p w14:paraId="147AB34C" w14:textId="77777777" w:rsidR="009C213D" w:rsidRPr="009C213D" w:rsidRDefault="009C213D" w:rsidP="009C213D">
      <w:pPr>
        <w:ind w:firstLine="720"/>
        <w:rPr>
          <w:rFonts w:cstheme="minorHAnsi"/>
        </w:rPr>
      </w:pPr>
    </w:p>
    <w:p w14:paraId="423D3430" w14:textId="77777777" w:rsidR="009C213D" w:rsidRPr="009C213D" w:rsidRDefault="009C213D" w:rsidP="009C213D">
      <w:pPr>
        <w:ind w:firstLine="720"/>
        <w:rPr>
          <w:rFonts w:cstheme="minorHAnsi"/>
        </w:rPr>
      </w:pPr>
    </w:p>
    <w:p w14:paraId="4107FD83" w14:textId="77777777" w:rsidR="009C213D" w:rsidRPr="009C213D" w:rsidRDefault="009C213D" w:rsidP="009C213D">
      <w:pPr>
        <w:ind w:firstLine="720"/>
        <w:rPr>
          <w:rFonts w:cstheme="minorHAnsi"/>
        </w:rPr>
      </w:pPr>
    </w:p>
    <w:p w14:paraId="6A956FE4" w14:textId="77777777" w:rsidR="009C213D" w:rsidRPr="009C213D" w:rsidRDefault="009C213D" w:rsidP="009C213D">
      <w:pPr>
        <w:ind w:firstLine="720"/>
        <w:rPr>
          <w:rFonts w:cstheme="minorHAnsi"/>
        </w:rPr>
      </w:pPr>
    </w:p>
    <w:p w14:paraId="01F26DDA" w14:textId="77777777" w:rsidR="009C213D" w:rsidRPr="009C213D" w:rsidRDefault="009C213D" w:rsidP="009C213D">
      <w:pPr>
        <w:ind w:firstLine="720"/>
        <w:rPr>
          <w:rFonts w:cstheme="minorHAnsi"/>
        </w:rPr>
      </w:pPr>
    </w:p>
    <w:p w14:paraId="763E40E5" w14:textId="77777777" w:rsidR="00687D99" w:rsidRDefault="00687D99" w:rsidP="009C213D">
      <w:pPr>
        <w:ind w:firstLine="720"/>
        <w:rPr>
          <w:rFonts w:cstheme="minorHAnsi"/>
        </w:rPr>
      </w:pPr>
    </w:p>
    <w:p w14:paraId="4C6CE683" w14:textId="79BA2C31" w:rsidR="009C213D" w:rsidRPr="009C213D" w:rsidRDefault="009C213D" w:rsidP="009C213D">
      <w:pPr>
        <w:ind w:firstLine="720"/>
        <w:rPr>
          <w:rFonts w:cstheme="minorHAnsi"/>
        </w:rPr>
      </w:pPr>
      <w:r w:rsidRPr="009C213D">
        <w:rPr>
          <w:rFonts w:cstheme="minorHAnsi"/>
        </w:rPr>
        <w:t>Map 4.</w:t>
      </w:r>
    </w:p>
    <w:p w14:paraId="4EEB1F67" w14:textId="29C2CF6D" w:rsidR="009C213D" w:rsidRPr="009C213D" w:rsidRDefault="009C213D" w:rsidP="009C213D">
      <w:pPr>
        <w:ind w:firstLine="720"/>
        <w:rPr>
          <w:rFonts w:cstheme="minorHAnsi"/>
        </w:rPr>
      </w:pPr>
      <w:r w:rsidRPr="009C213D">
        <w:rPr>
          <w:rFonts w:cstheme="minorHAnsi"/>
        </w:rPr>
        <w:t>The amount of recycling and green waste composting in each unitary authority in Wales</w:t>
      </w:r>
      <w:r w:rsidRPr="009C213D">
        <w:rPr>
          <w:rFonts w:cstheme="minorHAnsi"/>
          <w:noProof/>
        </w:rPr>
        <w:drawing>
          <wp:anchor distT="0" distB="0" distL="114300" distR="114300" simplePos="0" relativeHeight="251664384" behindDoc="1" locked="0" layoutInCell="1" allowOverlap="1" wp14:anchorId="06369DBB" wp14:editId="1CE963C6">
            <wp:simplePos x="0" y="0"/>
            <wp:positionH relativeFrom="margin">
              <wp:posOffset>-412750</wp:posOffset>
            </wp:positionH>
            <wp:positionV relativeFrom="paragraph">
              <wp:posOffset>260984</wp:posOffset>
            </wp:positionV>
            <wp:extent cx="6927850" cy="4508601"/>
            <wp:effectExtent l="0" t="0" r="6350" b="6350"/>
            <wp:wrapNone/>
            <wp:docPr id="14" name="Picture 1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Map&#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927940" cy="4508659"/>
                    </a:xfrm>
                    <a:prstGeom prst="rect">
                      <a:avLst/>
                    </a:prstGeom>
                  </pic:spPr>
                </pic:pic>
              </a:graphicData>
            </a:graphic>
            <wp14:sizeRelH relativeFrom="margin">
              <wp14:pctWidth>0</wp14:pctWidth>
            </wp14:sizeRelH>
            <wp14:sizeRelV relativeFrom="margin">
              <wp14:pctHeight>0</wp14:pctHeight>
            </wp14:sizeRelV>
          </wp:anchor>
        </w:drawing>
      </w:r>
    </w:p>
    <w:p w14:paraId="2D208750" w14:textId="319C50D4" w:rsidR="009C213D" w:rsidRPr="009C213D" w:rsidRDefault="00687D99" w:rsidP="009C213D">
      <w:pPr>
        <w:ind w:firstLine="720"/>
        <w:rPr>
          <w:rFonts w:cstheme="minorHAnsi"/>
        </w:rPr>
      </w:pPr>
      <w:r w:rsidRPr="009C213D">
        <w:rPr>
          <w:rFonts w:cstheme="minorHAnsi"/>
          <w:noProof/>
        </w:rPr>
        <w:drawing>
          <wp:anchor distT="0" distB="0" distL="114300" distR="114300" simplePos="0" relativeHeight="251661312" behindDoc="0" locked="0" layoutInCell="1" allowOverlap="1" wp14:anchorId="58229F18" wp14:editId="25375282">
            <wp:simplePos x="0" y="0"/>
            <wp:positionH relativeFrom="column">
              <wp:posOffset>-266700</wp:posOffset>
            </wp:positionH>
            <wp:positionV relativeFrom="paragraph">
              <wp:posOffset>330835</wp:posOffset>
            </wp:positionV>
            <wp:extent cx="1845945" cy="965200"/>
            <wp:effectExtent l="0" t="0" r="1905" b="6350"/>
            <wp:wrapNone/>
            <wp:docPr id="15" name="Picture 1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with medium confidence"/>
                    <pic:cNvPicPr/>
                  </pic:nvPicPr>
                  <pic:blipFill rotWithShape="1">
                    <a:blip r:embed="rId16">
                      <a:extLst>
                        <a:ext uri="{28A0092B-C50C-407E-A947-70E740481C1C}">
                          <a14:useLocalDpi xmlns:a14="http://schemas.microsoft.com/office/drawing/2010/main" val="0"/>
                        </a:ext>
                      </a:extLst>
                    </a:blip>
                    <a:srcRect r="6549" b="72238"/>
                    <a:stretch/>
                  </pic:blipFill>
                  <pic:spPr bwMode="auto">
                    <a:xfrm>
                      <a:off x="0" y="0"/>
                      <a:ext cx="1845945" cy="965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F3DA2F" w14:textId="77777777" w:rsidR="009C213D" w:rsidRPr="009C213D" w:rsidRDefault="009C213D" w:rsidP="009C213D">
      <w:pPr>
        <w:ind w:firstLine="720"/>
        <w:rPr>
          <w:rFonts w:cstheme="minorHAnsi"/>
        </w:rPr>
      </w:pPr>
    </w:p>
    <w:p w14:paraId="4D0619E9" w14:textId="77777777" w:rsidR="009C213D" w:rsidRPr="009C213D" w:rsidRDefault="009C213D" w:rsidP="009C213D">
      <w:pPr>
        <w:ind w:firstLine="720"/>
        <w:rPr>
          <w:rFonts w:cstheme="minorHAnsi"/>
        </w:rPr>
      </w:pPr>
    </w:p>
    <w:p w14:paraId="7E1CDB81" w14:textId="77777777" w:rsidR="009C213D" w:rsidRPr="009C213D" w:rsidRDefault="009C213D" w:rsidP="009C213D">
      <w:pPr>
        <w:ind w:firstLine="720"/>
        <w:rPr>
          <w:rFonts w:cstheme="minorHAnsi"/>
        </w:rPr>
      </w:pPr>
    </w:p>
    <w:p w14:paraId="341DD83A" w14:textId="77777777" w:rsidR="009C213D" w:rsidRPr="009C213D" w:rsidRDefault="009C213D" w:rsidP="009C213D">
      <w:pPr>
        <w:ind w:firstLine="720"/>
        <w:rPr>
          <w:rFonts w:cstheme="minorHAnsi"/>
        </w:rPr>
      </w:pPr>
    </w:p>
    <w:p w14:paraId="77FD065A" w14:textId="77777777" w:rsidR="009C213D" w:rsidRPr="009C213D" w:rsidRDefault="009C213D" w:rsidP="009C213D">
      <w:pPr>
        <w:ind w:firstLine="720"/>
        <w:rPr>
          <w:rFonts w:cstheme="minorHAnsi"/>
        </w:rPr>
      </w:pPr>
    </w:p>
    <w:p w14:paraId="40E9B05E" w14:textId="77777777" w:rsidR="009C213D" w:rsidRPr="009C213D" w:rsidRDefault="009C213D" w:rsidP="009C213D">
      <w:pPr>
        <w:rPr>
          <w:rFonts w:cstheme="minorHAnsi"/>
        </w:rPr>
      </w:pPr>
    </w:p>
    <w:p w14:paraId="601FE1C9" w14:textId="77777777" w:rsidR="009C213D" w:rsidRPr="009C213D" w:rsidRDefault="009C213D" w:rsidP="009C213D">
      <w:pPr>
        <w:rPr>
          <w:rFonts w:cstheme="minorHAnsi"/>
        </w:rPr>
      </w:pPr>
    </w:p>
    <w:p w14:paraId="4225BB7A" w14:textId="77777777" w:rsidR="009C213D" w:rsidRPr="009C213D" w:rsidRDefault="009C213D" w:rsidP="009C213D">
      <w:pPr>
        <w:rPr>
          <w:rFonts w:cstheme="minorHAnsi"/>
        </w:rPr>
      </w:pPr>
    </w:p>
    <w:p w14:paraId="3C9620E5" w14:textId="77777777" w:rsidR="009C213D" w:rsidRPr="009C213D" w:rsidRDefault="009C213D" w:rsidP="009C213D">
      <w:pPr>
        <w:rPr>
          <w:rFonts w:cstheme="minorHAnsi"/>
        </w:rPr>
      </w:pPr>
    </w:p>
    <w:p w14:paraId="42AD281B" w14:textId="77777777" w:rsidR="009C213D" w:rsidRPr="009C213D" w:rsidRDefault="009C213D" w:rsidP="008A7337">
      <w:pPr>
        <w:rPr>
          <w:rFonts w:cstheme="minorHAnsi"/>
        </w:rPr>
      </w:pPr>
    </w:p>
    <w:p w14:paraId="79507BA8" w14:textId="77777777" w:rsidR="009C213D" w:rsidRPr="009C213D" w:rsidRDefault="009C213D" w:rsidP="009C213D">
      <w:pPr>
        <w:keepNext/>
        <w:keepLines/>
        <w:spacing w:before="240" w:after="0"/>
        <w:outlineLvl w:val="0"/>
        <w:rPr>
          <w:rFonts w:eastAsiaTheme="majorEastAsia" w:cstheme="minorHAnsi"/>
        </w:rPr>
      </w:pPr>
    </w:p>
    <w:p w14:paraId="4FBCDFB3" w14:textId="77777777" w:rsidR="008A7337" w:rsidRDefault="008A7337" w:rsidP="009C213D">
      <w:pPr>
        <w:keepNext/>
        <w:keepLines/>
        <w:spacing w:before="240" w:after="0"/>
        <w:outlineLvl w:val="0"/>
        <w:rPr>
          <w:rFonts w:eastAsiaTheme="majorEastAsia" w:cstheme="minorHAnsi"/>
        </w:rPr>
      </w:pPr>
    </w:p>
    <w:p w14:paraId="7CF6086B" w14:textId="77777777" w:rsidR="00687D99" w:rsidRDefault="00687D99" w:rsidP="009C213D">
      <w:pPr>
        <w:keepNext/>
        <w:keepLines/>
        <w:spacing w:before="240" w:after="0"/>
        <w:outlineLvl w:val="0"/>
        <w:rPr>
          <w:rFonts w:eastAsiaTheme="majorEastAsia" w:cstheme="minorHAnsi"/>
        </w:rPr>
      </w:pPr>
    </w:p>
    <w:p w14:paraId="6E62A469" w14:textId="77777777" w:rsidR="00687D99" w:rsidRDefault="00687D99" w:rsidP="009C213D">
      <w:pPr>
        <w:keepNext/>
        <w:keepLines/>
        <w:spacing w:before="240" w:after="0"/>
        <w:outlineLvl w:val="0"/>
        <w:rPr>
          <w:rFonts w:eastAsiaTheme="majorEastAsia" w:cstheme="minorHAnsi"/>
        </w:rPr>
      </w:pPr>
    </w:p>
    <w:p w14:paraId="4FE1F67C" w14:textId="77777777" w:rsidR="00687D99" w:rsidRDefault="00687D99" w:rsidP="009C213D">
      <w:pPr>
        <w:keepNext/>
        <w:keepLines/>
        <w:spacing w:before="240" w:after="0"/>
        <w:outlineLvl w:val="0"/>
        <w:rPr>
          <w:rFonts w:eastAsiaTheme="majorEastAsia" w:cstheme="minorHAnsi"/>
        </w:rPr>
      </w:pPr>
    </w:p>
    <w:p w14:paraId="709A577C" w14:textId="4509FCE6" w:rsidR="00687D99" w:rsidRPr="009B526B" w:rsidRDefault="00687D99" w:rsidP="009B526B">
      <w:pPr>
        <w:rPr>
          <w:rFonts w:cstheme="minorHAnsi"/>
        </w:rPr>
      </w:pPr>
      <w:r w:rsidRPr="009C213D">
        <w:rPr>
          <w:rFonts w:cstheme="minorHAnsi"/>
        </w:rPr>
        <w:t>Neath Port Talbot shows much lower levels than Pembrokeshire of household waste recycling and green (garden) waste recycling per household.</w:t>
      </w:r>
    </w:p>
    <w:p w14:paraId="1FA4D651" w14:textId="1000250F" w:rsidR="009C213D" w:rsidRPr="009C213D" w:rsidRDefault="009C213D" w:rsidP="009C213D">
      <w:pPr>
        <w:keepNext/>
        <w:keepLines/>
        <w:spacing w:before="240" w:after="0"/>
        <w:outlineLvl w:val="0"/>
        <w:rPr>
          <w:rFonts w:eastAsiaTheme="majorEastAsia" w:cstheme="minorHAnsi"/>
        </w:rPr>
      </w:pPr>
      <w:r w:rsidRPr="009C213D">
        <w:rPr>
          <w:rFonts w:eastAsiaTheme="majorEastAsia" w:cstheme="minorHAnsi"/>
        </w:rPr>
        <w:t>4.0</w:t>
      </w:r>
      <w:r w:rsidRPr="009C213D">
        <w:rPr>
          <w:rFonts w:eastAsiaTheme="majorEastAsia" w:cstheme="minorHAnsi"/>
        </w:rPr>
        <w:tab/>
      </w:r>
      <w:r w:rsidRPr="009C213D">
        <w:rPr>
          <w:rStyle w:val="Heading1Char"/>
        </w:rPr>
        <w:t>Results and Discussion</w:t>
      </w:r>
    </w:p>
    <w:p w14:paraId="11BEA5B0" w14:textId="77777777" w:rsidR="009C213D" w:rsidRPr="009C213D" w:rsidRDefault="009C213D" w:rsidP="009C213D">
      <w:r w:rsidRPr="009C213D">
        <w:rPr>
          <w:rFonts w:cstheme="minorHAnsi"/>
          <w:shd w:val="clear" w:color="auto" w:fill="FFFFFF"/>
        </w:rPr>
        <w:t>Visual interpretation of data on spacial areas such as a Map of Wales using colour changes to highlight differences can provide easy to understand changes that a stream of numerical data is not able to easily convey.(Goodchild, 2005)</w:t>
      </w:r>
    </w:p>
    <w:p w14:paraId="59E7169F" w14:textId="77777777" w:rsidR="009C213D" w:rsidRPr="009C213D" w:rsidRDefault="009C213D" w:rsidP="009C213D">
      <w:pPr>
        <w:rPr>
          <w:rFonts w:cstheme="minorHAnsi"/>
        </w:rPr>
      </w:pPr>
      <w:r w:rsidRPr="009C213D">
        <w:rPr>
          <w:rFonts w:cstheme="minorHAnsi"/>
        </w:rPr>
        <w:t>When the data is compared between maps 1, 2 and 3, the levels of relative wealth and deprivation vary considerably between Neath Port Talbot (NTP) and Pembrokeshire but no correlation between these disparities is evident in the amount of household waste generated between households in the two distinct unitary authorities.</w:t>
      </w:r>
    </w:p>
    <w:p w14:paraId="115BA8C2" w14:textId="77777777" w:rsidR="009C213D" w:rsidRPr="009C213D" w:rsidRDefault="009C213D" w:rsidP="009C213D">
      <w:pPr>
        <w:rPr>
          <w:rFonts w:cstheme="minorHAnsi"/>
        </w:rPr>
      </w:pPr>
      <w:r w:rsidRPr="009C213D">
        <w:rPr>
          <w:rFonts w:cstheme="minorHAnsi"/>
        </w:rPr>
        <w:lastRenderedPageBreak/>
        <w:t>Overall recycling rates in 2020 are lower in NPT at 62% compared with Pembrokeshire at 72%  although both authorities are improving their performance (wastedataflow).</w:t>
      </w:r>
    </w:p>
    <w:p w14:paraId="0465C989" w14:textId="77777777" w:rsidR="009C213D" w:rsidRPr="009C213D" w:rsidRDefault="009C213D" w:rsidP="009C213D">
      <w:pPr>
        <w:rPr>
          <w:rFonts w:cstheme="minorHAnsi"/>
        </w:rPr>
      </w:pPr>
      <w:r w:rsidRPr="009C213D">
        <w:rPr>
          <w:rFonts w:cstheme="minorHAnsi"/>
        </w:rPr>
        <w:t>Over the past twenty years, Wales has improved its overall recycling rates of municipal waste from less than 5%  to  65% in 2019-20. This includes non-household waste but as 85% of municipal waste is household waste, this area has the greatest impact on the recycling rates. This exceeds the target of 64% and was achieved by eighteen of the twenty two authorities, Neath Port Talbot was one of the four failing to meet the target. (gov.wales, 2021) This is in large part achieved by strong leadership by Welsh government in systems and practices promoting best practice, called  the ‘Collections Blueprint’ that has been largely adopted by the majority of unitary authorities in the country. A Wales wide recycling target of 70% is set for 2025.</w:t>
      </w:r>
    </w:p>
    <w:p w14:paraId="4FF142F1" w14:textId="77777777" w:rsidR="009C213D" w:rsidRPr="009C213D" w:rsidRDefault="009C213D" w:rsidP="009C213D">
      <w:pPr>
        <w:rPr>
          <w:rFonts w:cstheme="minorHAnsi"/>
        </w:rPr>
      </w:pPr>
      <w:r w:rsidRPr="009C213D">
        <w:rPr>
          <w:rFonts w:cstheme="minorHAnsi"/>
        </w:rPr>
        <w:t>Green waste recycling shows a marked difference between NPT with relatively low rates of green waste recycling when compared with Pembrokeshire showing higher rates. (Neath port talbot.gov.uk, 2021) (Pembrokeshire.gov.uk,2021).</w:t>
      </w:r>
    </w:p>
    <w:p w14:paraId="75A1FDE6" w14:textId="77777777" w:rsidR="009C213D" w:rsidRPr="009C213D" w:rsidRDefault="009C213D" w:rsidP="009C213D">
      <w:pPr>
        <w:rPr>
          <w:rFonts w:cstheme="minorHAnsi"/>
        </w:rPr>
      </w:pPr>
      <w:r w:rsidRPr="009C213D">
        <w:rPr>
          <w:rFonts w:cstheme="minorHAnsi"/>
        </w:rPr>
        <w:t>The map of the green waste recycling show that NTP has significantly less green waste recycling compared with Pembrokeshire. The graphs are a clear indication of this but the evaluation of the differing sizes of bars is subjective. With both authorities having similar general recycling rates, the reason for the difference in green waste recycling are unclear but not likely to be driven by relative wealth as the Pembrokeshire council charge £47 for an annual subscription service for a fortnightly wheelie bin green waste collection service from home whereas NPT offer a free fortnightly green waste collection in reusable bags from home with no quantity limits.</w:t>
      </w:r>
    </w:p>
    <w:p w14:paraId="62966567" w14:textId="77777777" w:rsidR="009C213D" w:rsidRPr="009C213D" w:rsidRDefault="009C213D" w:rsidP="009C213D">
      <w:pPr>
        <w:rPr>
          <w:rFonts w:cstheme="minorHAnsi"/>
        </w:rPr>
      </w:pPr>
      <w:r w:rsidRPr="009C213D">
        <w:rPr>
          <w:rFonts w:cstheme="minorHAnsi"/>
        </w:rPr>
        <w:t>Pembrokeshire is a largely rural area which suggests properties with larger gardens than NPT a largely urban area. This would suggest that the amount of green waste generated from the household gardens could reflect the relative size of the gardens. Both authorities have similar numbers of households Pembrokeshire with 56,647 and NPT with 62768  (in 2020) (statswales.gov.wales, 2021)</w:t>
      </w:r>
    </w:p>
    <w:p w14:paraId="3EBCFC35" w14:textId="77777777" w:rsidR="009C213D" w:rsidRPr="009C213D" w:rsidRDefault="009C213D" w:rsidP="009C213D">
      <w:pPr>
        <w:keepNext/>
        <w:keepLines/>
        <w:spacing w:before="240" w:after="0"/>
        <w:outlineLvl w:val="0"/>
        <w:rPr>
          <w:rFonts w:eastAsiaTheme="majorEastAsia" w:cstheme="minorHAnsi"/>
        </w:rPr>
      </w:pPr>
      <w:r w:rsidRPr="009C213D">
        <w:rPr>
          <w:rFonts w:eastAsiaTheme="majorEastAsia" w:cstheme="minorHAnsi"/>
        </w:rPr>
        <w:t>5.0</w:t>
      </w:r>
      <w:r w:rsidRPr="009C213D">
        <w:rPr>
          <w:rFonts w:eastAsiaTheme="majorEastAsia" w:cstheme="minorHAnsi"/>
        </w:rPr>
        <w:tab/>
      </w:r>
      <w:r w:rsidRPr="009C213D">
        <w:rPr>
          <w:rStyle w:val="Heading1Char"/>
        </w:rPr>
        <w:t>Limitations</w:t>
      </w:r>
    </w:p>
    <w:p w14:paraId="73244448" w14:textId="77777777" w:rsidR="009C213D" w:rsidRPr="009C213D" w:rsidRDefault="009C213D" w:rsidP="009C213D">
      <w:pPr>
        <w:rPr>
          <w:rFonts w:cstheme="minorHAnsi"/>
        </w:rPr>
      </w:pPr>
      <w:r w:rsidRPr="009C213D">
        <w:rPr>
          <w:rFonts w:cstheme="minorHAnsi"/>
        </w:rPr>
        <w:t>Consideration of the limitations that the results provide</w:t>
      </w:r>
    </w:p>
    <w:p w14:paraId="515C85DA" w14:textId="77777777" w:rsidR="009C213D" w:rsidRPr="009C213D" w:rsidRDefault="009C213D" w:rsidP="009C213D">
      <w:pPr>
        <w:rPr>
          <w:rFonts w:cstheme="minorHAnsi"/>
        </w:rPr>
      </w:pPr>
      <w:r w:rsidRPr="009C213D">
        <w:rPr>
          <w:rFonts w:cstheme="minorHAnsi"/>
        </w:rPr>
        <w:t>When using GIS data in a map form results should be accompanied with estimates of error as the visual scale can be ambiguous in a visual format. The use of GIS both for modelling predictions and for showing results in datasets has limitations.</w:t>
      </w:r>
    </w:p>
    <w:p w14:paraId="6587D43C" w14:textId="77777777" w:rsidR="009C213D" w:rsidRPr="009C213D" w:rsidRDefault="009C213D" w:rsidP="009C213D">
      <w:pPr>
        <w:rPr>
          <w:rFonts w:cstheme="minorHAnsi"/>
          <w:shd w:val="clear" w:color="auto" w:fill="FFFFFF"/>
        </w:rPr>
      </w:pPr>
      <w:r w:rsidRPr="009C213D">
        <w:rPr>
          <w:rFonts w:cstheme="minorHAnsi"/>
        </w:rPr>
        <w:t>Science has always been rooted in the need for replication, the ability to rerun the study by others and come up with the same results, but due to the subjectivity of human interpretation and decision making when using GIS to display data, there is the very real possibility that simplistic visual interpretations without detailed text to explain the context can deliver something that is misleading. GIS  should be seen alongside existing complimentary methodologies providing scientific data to provide a powerful supporting role in the better understanding of the subject in question (Goodchild, 2004).</w:t>
      </w:r>
      <w:r w:rsidRPr="009C213D">
        <w:rPr>
          <w:rFonts w:cstheme="minorHAnsi"/>
          <w:shd w:val="clear" w:color="auto" w:fill="FFFFFF"/>
        </w:rPr>
        <w:t xml:space="preserve"> </w:t>
      </w:r>
    </w:p>
    <w:p w14:paraId="26E5EC0C" w14:textId="77777777" w:rsidR="009C213D" w:rsidRPr="009C213D" w:rsidRDefault="009C213D" w:rsidP="009C213D">
      <w:pPr>
        <w:rPr>
          <w:rFonts w:cstheme="minorHAnsi"/>
        </w:rPr>
      </w:pPr>
      <w:r w:rsidRPr="009C213D">
        <w:rPr>
          <w:rFonts w:cstheme="minorHAnsi"/>
        </w:rPr>
        <w:t xml:space="preserve">Each software GIS system has its own nuances which can make it difficult for the user to accurately display the datasets in sufficient detail without through training and experience of the software. </w:t>
      </w:r>
    </w:p>
    <w:p w14:paraId="774EECE8" w14:textId="2C564012" w:rsidR="009C213D" w:rsidRPr="009C213D" w:rsidRDefault="009C213D" w:rsidP="009C213D">
      <w:pPr>
        <w:rPr>
          <w:rFonts w:cstheme="minorHAnsi"/>
        </w:rPr>
      </w:pPr>
      <w:r w:rsidRPr="009C213D">
        <w:rPr>
          <w:rFonts w:cstheme="minorHAnsi"/>
        </w:rPr>
        <w:t xml:space="preserve">The benefits of the GIS system in engaging with the general public makes it very attractive but pose a risk if not handled with care, currently hundreds of thousands of users worldwide, many without </w:t>
      </w:r>
      <w:r w:rsidRPr="009C213D">
        <w:rPr>
          <w:rFonts w:cstheme="minorHAnsi"/>
        </w:rPr>
        <w:lastRenderedPageBreak/>
        <w:t xml:space="preserve">through training in spacial data analysis and  best  practice application of this powerful technology could be producing work that misleading and inaccurate. </w:t>
      </w:r>
    </w:p>
    <w:p w14:paraId="29E37A31" w14:textId="77777777" w:rsidR="009C213D" w:rsidRPr="009C213D" w:rsidRDefault="009C213D" w:rsidP="009C213D">
      <w:pPr>
        <w:keepNext/>
        <w:keepLines/>
        <w:spacing w:before="240" w:after="0"/>
        <w:outlineLvl w:val="0"/>
        <w:rPr>
          <w:rFonts w:eastAsiaTheme="majorEastAsia" w:cstheme="minorHAnsi"/>
        </w:rPr>
      </w:pPr>
      <w:r w:rsidRPr="009C213D">
        <w:rPr>
          <w:rFonts w:eastAsiaTheme="majorEastAsia" w:cstheme="minorHAnsi"/>
        </w:rPr>
        <w:t>6.0</w:t>
      </w:r>
      <w:r w:rsidRPr="009C213D">
        <w:rPr>
          <w:rFonts w:eastAsiaTheme="majorEastAsia" w:cstheme="minorHAnsi"/>
        </w:rPr>
        <w:tab/>
      </w:r>
      <w:r w:rsidRPr="009C213D">
        <w:rPr>
          <w:rStyle w:val="Heading1Char"/>
        </w:rPr>
        <w:t>Conclusions</w:t>
      </w:r>
    </w:p>
    <w:p w14:paraId="16D371A9" w14:textId="77777777" w:rsidR="009C213D" w:rsidRPr="009C213D" w:rsidRDefault="009C213D" w:rsidP="009C213D">
      <w:pPr>
        <w:rPr>
          <w:rFonts w:cstheme="minorHAnsi"/>
        </w:rPr>
      </w:pPr>
      <w:r w:rsidRPr="009C213D">
        <w:rPr>
          <w:rFonts w:cstheme="minorHAnsi"/>
        </w:rPr>
        <w:t>GIS is a powerful and invaluable additional tool that provides a flexible technology to better interpret geospatial data presenting it in a more readily available format that can inform decision makers and allow better management decisions by highlighting areas of concern. With historical difficulties in accurately measuring large areas of land, the ability to digitalise these areas has allowed for quick, accurate measurements and combining this with its ability to store and manipulate thousands of data streams and depict them visually, it allows users  to model future trends providing the opportunity to play out different scenarios based on existing real life data to help to understand how changes to a set of parameters might affect future performance or outcomes.</w:t>
      </w:r>
    </w:p>
    <w:p w14:paraId="48BC1B4A" w14:textId="77777777" w:rsidR="009C213D" w:rsidRPr="009C213D" w:rsidRDefault="009C213D" w:rsidP="009C213D">
      <w:pPr>
        <w:rPr>
          <w:rFonts w:cstheme="minorHAnsi"/>
        </w:rPr>
      </w:pPr>
      <w:r w:rsidRPr="009C213D">
        <w:rPr>
          <w:rFonts w:cstheme="minorHAnsi"/>
        </w:rPr>
        <w:t>Due to its operator subjectivity, where huge sets of data can be selected  and prominent highlights displayed, it is most accurately used when presented with accompanying scientific data to support its visual mapping layout.</w:t>
      </w:r>
    </w:p>
    <w:p w14:paraId="736FB6E1" w14:textId="77777777" w:rsidR="009C213D" w:rsidRPr="009C213D" w:rsidRDefault="009C213D" w:rsidP="009C213D">
      <w:pPr>
        <w:rPr>
          <w:rFonts w:cstheme="minorHAnsi"/>
        </w:rPr>
      </w:pPr>
      <w:r w:rsidRPr="009C213D">
        <w:rPr>
          <w:rFonts w:cstheme="minorHAnsi"/>
        </w:rPr>
        <w:t>This small study has shown how GIS software can use data from several data providers and combine them to show how all the unitary authorities of Wales are dealing with their household waste and enabled comparison of this across varying levels of deprivation in NPT and Pembrokeshire, showing  a consistency of performance that is encouraging across all authorities, regardless of deprivation status.</w:t>
      </w:r>
    </w:p>
    <w:p w14:paraId="1FC7BD24" w14:textId="77777777" w:rsidR="009C213D" w:rsidRPr="009C213D" w:rsidRDefault="009C213D" w:rsidP="009C213D">
      <w:pPr>
        <w:rPr>
          <w:rFonts w:cstheme="minorHAnsi"/>
        </w:rPr>
      </w:pPr>
      <w:r w:rsidRPr="009C213D">
        <w:rPr>
          <w:rFonts w:cstheme="minorHAnsi"/>
        </w:rPr>
        <w:t>It has highlighted a disparity between the two authorities studied in recycling performance and more particularly green waste recycling which provides areas of further study to better understand the reasons for this and to inform management so appropriate actions can be taken to improve failing areas.</w:t>
      </w:r>
    </w:p>
    <w:p w14:paraId="4CAFDB07" w14:textId="77777777" w:rsidR="009C213D" w:rsidRPr="009C213D" w:rsidRDefault="009C213D" w:rsidP="009C213D">
      <w:pPr>
        <w:rPr>
          <w:rFonts w:cstheme="minorHAnsi"/>
        </w:rPr>
      </w:pPr>
      <w:r w:rsidRPr="009C213D">
        <w:rPr>
          <w:rFonts w:cstheme="minorHAnsi"/>
        </w:rPr>
        <w:t>GIS is a worldwide system that is helping to provide information to environmental managers across the globe in every conceivable discipline and situation and is an asset to better understanding and decision making at this time of rapid climate change.</w:t>
      </w:r>
    </w:p>
    <w:p w14:paraId="11728A4A" w14:textId="77777777" w:rsidR="009C213D" w:rsidRPr="009C213D" w:rsidRDefault="009C213D" w:rsidP="009C213D">
      <w:pPr>
        <w:keepNext/>
        <w:keepLines/>
        <w:spacing w:before="240" w:after="0"/>
        <w:outlineLvl w:val="0"/>
        <w:rPr>
          <w:rFonts w:eastAsiaTheme="majorEastAsia" w:cstheme="minorHAnsi"/>
        </w:rPr>
      </w:pPr>
      <w:r w:rsidRPr="009C213D">
        <w:rPr>
          <w:rFonts w:eastAsiaTheme="majorEastAsia" w:cstheme="minorHAnsi"/>
        </w:rPr>
        <w:t>7.0</w:t>
      </w:r>
      <w:r w:rsidRPr="009C213D">
        <w:rPr>
          <w:rFonts w:eastAsiaTheme="majorEastAsia" w:cstheme="minorHAnsi"/>
        </w:rPr>
        <w:tab/>
      </w:r>
      <w:r w:rsidRPr="009C213D">
        <w:rPr>
          <w:rStyle w:val="Heading1Char"/>
        </w:rPr>
        <w:t>References</w:t>
      </w:r>
    </w:p>
    <w:p w14:paraId="722FFE30" w14:textId="77777777" w:rsidR="009C213D" w:rsidRPr="009C213D" w:rsidRDefault="009C213D" w:rsidP="009C213D">
      <w:pPr>
        <w:rPr>
          <w:rFonts w:cstheme="minorHAnsi"/>
        </w:rPr>
      </w:pPr>
      <w:r w:rsidRPr="009C213D">
        <w:rPr>
          <w:rFonts w:cstheme="minorHAnsi"/>
        </w:rPr>
        <w:t xml:space="preserve">Available at: </w:t>
      </w:r>
      <w:hyperlink r:id="rId17" w:history="1">
        <w:r w:rsidRPr="009C213D">
          <w:rPr>
            <w:rFonts w:cstheme="minorHAnsi"/>
          </w:rPr>
          <w:t>https://statswales.gov.wales/Catalogue/Housing/Households/Estimates/households-by-localauthority-year</w:t>
        </w:r>
      </w:hyperlink>
      <w:r w:rsidRPr="009C213D">
        <w:rPr>
          <w:rFonts w:cstheme="minorHAnsi"/>
        </w:rPr>
        <w:t xml:space="preserve"> (Accessed : 8</w:t>
      </w:r>
      <w:r w:rsidRPr="009C213D">
        <w:rPr>
          <w:rFonts w:cstheme="minorHAnsi"/>
          <w:vertAlign w:val="superscript"/>
        </w:rPr>
        <w:t>th</w:t>
      </w:r>
      <w:r w:rsidRPr="009C213D">
        <w:rPr>
          <w:rFonts w:cstheme="minorHAnsi"/>
        </w:rPr>
        <w:t xml:space="preserve"> March 2022)</w:t>
      </w:r>
    </w:p>
    <w:p w14:paraId="36377851" w14:textId="77777777" w:rsidR="009C213D" w:rsidRPr="009C213D" w:rsidRDefault="009C213D" w:rsidP="009C213D">
      <w:pPr>
        <w:rPr>
          <w:rFonts w:cstheme="minorHAnsi"/>
        </w:rPr>
      </w:pPr>
      <w:r w:rsidRPr="009C213D">
        <w:rPr>
          <w:rFonts w:cstheme="minorHAnsi"/>
          <w:shd w:val="clear" w:color="auto" w:fill="FFFFFF"/>
        </w:rPr>
        <w:t>Bocedi, G., Palmer, S.C., Malchow, A.K., Zurell, D., Watts, K. and Travis, J.M., 2021. RangeShifter 2.0: an extended and enhanced platform for modelling spatial eco‐evolutionary dynamics and species' responses to environmental changes. </w:t>
      </w:r>
      <w:r w:rsidRPr="009C213D">
        <w:rPr>
          <w:rFonts w:cstheme="minorHAnsi"/>
          <w:i/>
          <w:iCs/>
          <w:shd w:val="clear" w:color="auto" w:fill="FFFFFF"/>
        </w:rPr>
        <w:t>Ecography</w:t>
      </w:r>
      <w:r w:rsidRPr="009C213D">
        <w:rPr>
          <w:rFonts w:cstheme="minorHAnsi"/>
          <w:shd w:val="clear" w:color="auto" w:fill="FFFFFF"/>
        </w:rPr>
        <w:t>, </w:t>
      </w:r>
      <w:r w:rsidRPr="009C213D">
        <w:rPr>
          <w:rFonts w:cstheme="minorHAnsi"/>
          <w:i/>
          <w:iCs/>
          <w:shd w:val="clear" w:color="auto" w:fill="FFFFFF"/>
        </w:rPr>
        <w:t>44</w:t>
      </w:r>
      <w:r w:rsidRPr="009C213D">
        <w:rPr>
          <w:rFonts w:cstheme="minorHAnsi"/>
          <w:shd w:val="clear" w:color="auto" w:fill="FFFFFF"/>
        </w:rPr>
        <w:t>(10), pp.1453-1462.</w:t>
      </w:r>
    </w:p>
    <w:p w14:paraId="090F7F17" w14:textId="77777777" w:rsidR="009C213D" w:rsidRPr="009C213D" w:rsidRDefault="009C213D" w:rsidP="009C213D">
      <w:pPr>
        <w:rPr>
          <w:rFonts w:cstheme="minorHAnsi"/>
        </w:rPr>
      </w:pPr>
      <w:r w:rsidRPr="009C213D">
        <w:rPr>
          <w:rFonts w:cstheme="minorHAnsi"/>
          <w:shd w:val="clear" w:color="auto" w:fill="FFFFFF"/>
        </w:rPr>
        <w:t>Elston, D.A. and Buckland, S.T., 1993. Statistical modelling of regional GIS data: an overview. </w:t>
      </w:r>
      <w:r w:rsidRPr="009C213D">
        <w:rPr>
          <w:rFonts w:cstheme="minorHAnsi"/>
          <w:i/>
          <w:iCs/>
          <w:shd w:val="clear" w:color="auto" w:fill="FFFFFF"/>
        </w:rPr>
        <w:t>Ecological Modelling</w:t>
      </w:r>
      <w:r w:rsidRPr="009C213D">
        <w:rPr>
          <w:rFonts w:cstheme="minorHAnsi"/>
          <w:shd w:val="clear" w:color="auto" w:fill="FFFFFF"/>
        </w:rPr>
        <w:t>, </w:t>
      </w:r>
      <w:r w:rsidRPr="009C213D">
        <w:rPr>
          <w:rFonts w:cstheme="minorHAnsi"/>
          <w:i/>
          <w:iCs/>
          <w:shd w:val="clear" w:color="auto" w:fill="FFFFFF"/>
        </w:rPr>
        <w:t>67</w:t>
      </w:r>
      <w:r w:rsidRPr="009C213D">
        <w:rPr>
          <w:rFonts w:cstheme="minorHAnsi"/>
          <w:shd w:val="clear" w:color="auto" w:fill="FFFFFF"/>
        </w:rPr>
        <w:t>(1), pp.81-102.</w:t>
      </w:r>
    </w:p>
    <w:p w14:paraId="328B49A8" w14:textId="77777777" w:rsidR="009C213D" w:rsidRPr="009C213D" w:rsidRDefault="009C213D" w:rsidP="009C213D">
      <w:pPr>
        <w:rPr>
          <w:rFonts w:cstheme="minorHAnsi"/>
          <w:shd w:val="clear" w:color="auto" w:fill="FFFFFF"/>
        </w:rPr>
      </w:pPr>
      <w:r w:rsidRPr="009C213D">
        <w:rPr>
          <w:rFonts w:cstheme="minorHAnsi"/>
          <w:shd w:val="clear" w:color="auto" w:fill="FFFFFF"/>
        </w:rPr>
        <w:t>Goodchild, M.F. and Haining, R.P., 2004. GIS and spatial data analysis: Converging perspectives. </w:t>
      </w:r>
      <w:r w:rsidRPr="009C213D">
        <w:rPr>
          <w:rFonts w:cstheme="minorHAnsi"/>
          <w:i/>
          <w:iCs/>
          <w:shd w:val="clear" w:color="auto" w:fill="FFFFFF"/>
        </w:rPr>
        <w:t>Papers in Regional Science</w:t>
      </w:r>
      <w:r w:rsidRPr="009C213D">
        <w:rPr>
          <w:rFonts w:cstheme="minorHAnsi"/>
          <w:shd w:val="clear" w:color="auto" w:fill="FFFFFF"/>
        </w:rPr>
        <w:t>, </w:t>
      </w:r>
      <w:r w:rsidRPr="009C213D">
        <w:rPr>
          <w:rFonts w:cstheme="minorHAnsi"/>
          <w:i/>
          <w:iCs/>
          <w:shd w:val="clear" w:color="auto" w:fill="FFFFFF"/>
        </w:rPr>
        <w:t>83</w:t>
      </w:r>
      <w:r w:rsidRPr="009C213D">
        <w:rPr>
          <w:rFonts w:cstheme="minorHAnsi"/>
          <w:shd w:val="clear" w:color="auto" w:fill="FFFFFF"/>
        </w:rPr>
        <w:t>(1), pp.363-385.</w:t>
      </w:r>
    </w:p>
    <w:p w14:paraId="249583A1" w14:textId="77777777" w:rsidR="009C213D" w:rsidRPr="009C213D" w:rsidRDefault="009C213D" w:rsidP="009C213D">
      <w:pPr>
        <w:rPr>
          <w:rFonts w:cstheme="minorHAnsi"/>
          <w:shd w:val="clear" w:color="auto" w:fill="FFFFFF"/>
        </w:rPr>
      </w:pPr>
      <w:r w:rsidRPr="009C213D">
        <w:rPr>
          <w:rFonts w:cstheme="minorHAnsi"/>
          <w:shd w:val="clear" w:color="auto" w:fill="FFFFFF"/>
        </w:rPr>
        <w:t>Goodchild, M.F., Longley, P.A., Maguire, D.J. and Rhind, D.W., 2005. Geographic information systems and science. </w:t>
      </w:r>
      <w:r w:rsidRPr="009C213D">
        <w:rPr>
          <w:rFonts w:cstheme="minorHAnsi"/>
          <w:i/>
          <w:iCs/>
          <w:shd w:val="clear" w:color="auto" w:fill="FFFFFF"/>
        </w:rPr>
        <w:t>Wiley &amp; Sons, West Sussex, UK</w:t>
      </w:r>
      <w:r w:rsidRPr="009C213D">
        <w:rPr>
          <w:rFonts w:cstheme="minorHAnsi"/>
          <w:shd w:val="clear" w:color="auto" w:fill="FFFFFF"/>
        </w:rPr>
        <w:t>, </w:t>
      </w:r>
      <w:r w:rsidRPr="009C213D">
        <w:rPr>
          <w:rFonts w:cstheme="minorHAnsi"/>
          <w:i/>
          <w:iCs/>
          <w:shd w:val="clear" w:color="auto" w:fill="FFFFFF"/>
        </w:rPr>
        <w:t>17</w:t>
      </w:r>
      <w:r w:rsidRPr="009C213D">
        <w:rPr>
          <w:rFonts w:cstheme="minorHAnsi"/>
          <w:shd w:val="clear" w:color="auto" w:fill="FFFFFF"/>
        </w:rPr>
        <w:t>, p.517.</w:t>
      </w:r>
    </w:p>
    <w:p w14:paraId="16E789EA" w14:textId="77777777" w:rsidR="009C213D" w:rsidRPr="009C213D" w:rsidRDefault="009C213D" w:rsidP="009C213D">
      <w:pPr>
        <w:rPr>
          <w:rFonts w:cstheme="minorHAnsi"/>
        </w:rPr>
      </w:pPr>
      <w:bookmarkStart w:id="1" w:name="_Hlk97720235"/>
      <w:r w:rsidRPr="009C213D">
        <w:rPr>
          <w:rFonts w:cstheme="minorHAnsi"/>
        </w:rPr>
        <w:lastRenderedPageBreak/>
        <w:t xml:space="preserve">Government Wales (2021) </w:t>
      </w:r>
      <w:bookmarkEnd w:id="1"/>
      <w:r w:rsidRPr="009C213D">
        <w:rPr>
          <w:rFonts w:cstheme="minorHAnsi"/>
          <w:i/>
          <w:iCs/>
        </w:rPr>
        <w:t xml:space="preserve">Garden waste collections. </w:t>
      </w:r>
      <w:r w:rsidRPr="009C213D">
        <w:rPr>
          <w:rFonts w:cstheme="minorHAnsi"/>
        </w:rPr>
        <w:t>Available at:</w:t>
      </w:r>
      <w:r w:rsidRPr="009C213D">
        <w:rPr>
          <w:rFonts w:cstheme="minorHAnsi"/>
          <w:i/>
          <w:iCs/>
        </w:rPr>
        <w:t xml:space="preserve"> </w:t>
      </w:r>
      <w:r w:rsidRPr="009C213D">
        <w:rPr>
          <w:rFonts w:cstheme="minorHAnsi"/>
        </w:rPr>
        <w:t>https://www.neath port talbot.gov.uk/waste-collections/garden-waste-collections (Accessed :8</w:t>
      </w:r>
      <w:r w:rsidRPr="009C213D">
        <w:rPr>
          <w:rFonts w:cstheme="minorHAnsi"/>
          <w:vertAlign w:val="superscript"/>
        </w:rPr>
        <w:t>th</w:t>
      </w:r>
      <w:r w:rsidRPr="009C213D">
        <w:rPr>
          <w:rFonts w:cstheme="minorHAnsi"/>
        </w:rPr>
        <w:t xml:space="preserve"> March 2022).</w:t>
      </w:r>
    </w:p>
    <w:p w14:paraId="4BA281FE" w14:textId="77777777" w:rsidR="009C213D" w:rsidRPr="009C213D" w:rsidRDefault="009C213D" w:rsidP="009C213D">
      <w:pPr>
        <w:rPr>
          <w:rFonts w:cstheme="minorHAnsi"/>
        </w:rPr>
      </w:pPr>
      <w:r w:rsidRPr="009C213D">
        <w:rPr>
          <w:rFonts w:cstheme="minorHAnsi"/>
        </w:rPr>
        <w:t>Government Wales (2021)</w:t>
      </w:r>
      <w:r w:rsidRPr="009C213D">
        <w:rPr>
          <w:rFonts w:cstheme="minorHAnsi"/>
          <w:i/>
          <w:iCs/>
        </w:rPr>
        <w:t xml:space="preserve"> Garden waste collections.</w:t>
      </w:r>
      <w:r w:rsidRPr="009C213D">
        <w:rPr>
          <w:rFonts w:cstheme="minorHAnsi"/>
        </w:rPr>
        <w:t xml:space="preserve"> Available at:</w:t>
      </w:r>
      <w:hyperlink r:id="rId18" w:history="1">
        <w:r w:rsidRPr="009C213D">
          <w:rPr>
            <w:rFonts w:cstheme="minorHAnsi"/>
          </w:rPr>
          <w:t>https://www.pembrokeshire.gov.uk/waste-collections/garden-waste-collections</w:t>
        </w:r>
      </w:hyperlink>
      <w:r w:rsidRPr="009C213D">
        <w:rPr>
          <w:rFonts w:cstheme="minorHAnsi"/>
        </w:rPr>
        <w:t xml:space="preserve"> (Accessed: 8</w:t>
      </w:r>
      <w:r w:rsidRPr="009C213D">
        <w:rPr>
          <w:rFonts w:cstheme="minorHAnsi"/>
          <w:vertAlign w:val="superscript"/>
        </w:rPr>
        <w:t>th</w:t>
      </w:r>
      <w:r w:rsidRPr="009C213D">
        <w:rPr>
          <w:rFonts w:cstheme="minorHAnsi"/>
        </w:rPr>
        <w:t xml:space="preserve"> March 2022).</w:t>
      </w:r>
    </w:p>
    <w:p w14:paraId="3461B8A7" w14:textId="77777777" w:rsidR="009C213D" w:rsidRPr="009C213D" w:rsidRDefault="009C213D" w:rsidP="009C213D">
      <w:pPr>
        <w:rPr>
          <w:rFonts w:cstheme="minorHAnsi"/>
        </w:rPr>
      </w:pPr>
      <w:r w:rsidRPr="009C213D">
        <w:rPr>
          <w:rFonts w:cstheme="minorHAnsi"/>
        </w:rPr>
        <w:t xml:space="preserve">Government Wales (2021) </w:t>
      </w:r>
      <w:r w:rsidRPr="009C213D">
        <w:rPr>
          <w:rFonts w:cstheme="minorHAnsi"/>
          <w:i/>
          <w:iCs/>
        </w:rPr>
        <w:t>Households by local authority year</w:t>
      </w:r>
      <w:r w:rsidRPr="009C213D">
        <w:rPr>
          <w:rFonts w:cstheme="minorHAnsi"/>
        </w:rPr>
        <w:t>.</w:t>
      </w:r>
    </w:p>
    <w:p w14:paraId="23F5AE2B" w14:textId="77777777" w:rsidR="009C213D" w:rsidRPr="009C213D" w:rsidRDefault="009C213D" w:rsidP="009C213D">
      <w:pPr>
        <w:rPr>
          <w:rFonts w:cstheme="minorHAnsi"/>
        </w:rPr>
      </w:pPr>
      <w:r w:rsidRPr="009C213D">
        <w:rPr>
          <w:rFonts w:cstheme="minorHAnsi"/>
        </w:rPr>
        <w:t>Government Wales (2021)</w:t>
      </w:r>
      <w:r w:rsidRPr="009C213D">
        <w:t xml:space="preserve"> </w:t>
      </w:r>
      <w:r w:rsidRPr="009C213D">
        <w:rPr>
          <w:rFonts w:cstheme="minorHAnsi"/>
          <w:i/>
          <w:iCs/>
        </w:rPr>
        <w:t>Local authority municipal waste management</w:t>
      </w:r>
      <w:r w:rsidRPr="009C213D">
        <w:rPr>
          <w:rFonts w:cstheme="minorHAnsi"/>
        </w:rPr>
        <w:t xml:space="preserve">. Available at </w:t>
      </w:r>
      <w:hyperlink r:id="rId19" w:history="1">
        <w:r w:rsidRPr="009C213D">
          <w:rPr>
            <w:rFonts w:cstheme="minorHAnsi"/>
          </w:rPr>
          <w:t>https://gov.wales/sites/default/files/statistics-and-research/2020-11/local-authority-municipal-waste-management-april-2019-march-2020-628.pdf</w:t>
        </w:r>
      </w:hyperlink>
      <w:r w:rsidRPr="009C213D">
        <w:rPr>
          <w:rFonts w:cstheme="minorHAnsi"/>
        </w:rPr>
        <w:t xml:space="preserve">  (Accessed : 8th March 2022).</w:t>
      </w:r>
    </w:p>
    <w:p w14:paraId="232776BF" w14:textId="77777777" w:rsidR="009C213D" w:rsidRPr="009C213D" w:rsidRDefault="009C213D" w:rsidP="009C213D">
      <w:pPr>
        <w:rPr>
          <w:rFonts w:cstheme="minorHAnsi"/>
          <w:shd w:val="clear" w:color="auto" w:fill="FFFFFF"/>
        </w:rPr>
      </w:pPr>
      <w:r w:rsidRPr="009C213D">
        <w:rPr>
          <w:rFonts w:cstheme="minorHAnsi"/>
          <w:shd w:val="clear" w:color="auto" w:fill="FFFFFF"/>
        </w:rPr>
        <w:t>Higgs, G., 2006. Integrating multi-criteria techniques with geographical information systems in waste facility location to enhance public participation. </w:t>
      </w:r>
      <w:r w:rsidRPr="009C213D">
        <w:rPr>
          <w:rFonts w:cstheme="minorHAnsi"/>
          <w:i/>
          <w:iCs/>
          <w:shd w:val="clear" w:color="auto" w:fill="FFFFFF"/>
        </w:rPr>
        <w:t>Waste management &amp; research</w:t>
      </w:r>
      <w:r w:rsidRPr="009C213D">
        <w:rPr>
          <w:rFonts w:cstheme="minorHAnsi"/>
          <w:shd w:val="clear" w:color="auto" w:fill="FFFFFF"/>
        </w:rPr>
        <w:t>, </w:t>
      </w:r>
      <w:r w:rsidRPr="009C213D">
        <w:rPr>
          <w:rFonts w:cstheme="minorHAnsi"/>
          <w:i/>
          <w:iCs/>
          <w:shd w:val="clear" w:color="auto" w:fill="FFFFFF"/>
        </w:rPr>
        <w:t>24</w:t>
      </w:r>
      <w:r w:rsidRPr="009C213D">
        <w:rPr>
          <w:rFonts w:cstheme="minorHAnsi"/>
          <w:shd w:val="clear" w:color="auto" w:fill="FFFFFF"/>
        </w:rPr>
        <w:t>(2), pp.105-117.</w:t>
      </w:r>
    </w:p>
    <w:p w14:paraId="3C035008" w14:textId="77777777" w:rsidR="009C213D" w:rsidRPr="009C213D" w:rsidRDefault="009C213D" w:rsidP="009C213D">
      <w:pPr>
        <w:rPr>
          <w:rFonts w:cstheme="minorHAnsi"/>
        </w:rPr>
      </w:pPr>
      <w:r w:rsidRPr="009C213D">
        <w:rPr>
          <w:rFonts w:cstheme="minorHAnsi"/>
        </w:rPr>
        <w:t xml:space="preserve">WasteDataFlow (2021) </w:t>
      </w:r>
      <w:r w:rsidRPr="009C213D">
        <w:rPr>
          <w:rFonts w:cstheme="minorHAnsi"/>
          <w:i/>
          <w:iCs/>
        </w:rPr>
        <w:t xml:space="preserve">Recycling rates. </w:t>
      </w:r>
      <w:r w:rsidRPr="009C213D">
        <w:rPr>
          <w:rFonts w:cstheme="minorHAnsi"/>
        </w:rPr>
        <w:t xml:space="preserve">Available at: </w:t>
      </w:r>
      <w:hyperlink r:id="rId20" w:history="1">
        <w:r w:rsidRPr="009C213D">
          <w:rPr>
            <w:rFonts w:cstheme="minorHAnsi"/>
          </w:rPr>
          <w:t>https://www.wastedataflow.org</w:t>
        </w:r>
      </w:hyperlink>
      <w:r w:rsidRPr="009C213D">
        <w:rPr>
          <w:rFonts w:cstheme="minorHAnsi"/>
        </w:rPr>
        <w:t xml:space="preserve"> (Accessed: 8</w:t>
      </w:r>
      <w:r w:rsidRPr="009C213D">
        <w:rPr>
          <w:rFonts w:cstheme="minorHAnsi"/>
          <w:vertAlign w:val="superscript"/>
        </w:rPr>
        <w:t>th</w:t>
      </w:r>
      <w:r w:rsidRPr="009C213D">
        <w:rPr>
          <w:rFonts w:cstheme="minorHAnsi"/>
        </w:rPr>
        <w:t xml:space="preserve"> March 2022).</w:t>
      </w:r>
    </w:p>
    <w:p w14:paraId="66222A28" w14:textId="77777777" w:rsidR="009C213D" w:rsidRPr="009C213D" w:rsidRDefault="009C213D" w:rsidP="009C213D">
      <w:pPr>
        <w:rPr>
          <w:rFonts w:cstheme="minorHAnsi"/>
          <w:shd w:val="clear" w:color="auto" w:fill="FFFFFF"/>
        </w:rPr>
      </w:pPr>
      <w:r w:rsidRPr="009C213D">
        <w:rPr>
          <w:rFonts w:cstheme="minorHAnsi"/>
          <w:shd w:val="clear" w:color="auto" w:fill="FFFFFF"/>
        </w:rPr>
        <w:t>Woollam, T., Williams, K. and Griffiths, A., 2006. An investigation into the kerbside recycling behaviour of two Welsh case study authorities. </w:t>
      </w:r>
      <w:r w:rsidRPr="009C213D">
        <w:rPr>
          <w:rFonts w:cstheme="minorHAnsi"/>
          <w:i/>
          <w:iCs/>
          <w:shd w:val="clear" w:color="auto" w:fill="FFFFFF"/>
        </w:rPr>
        <w:t>Waste management &amp; research</w:t>
      </w:r>
      <w:r w:rsidRPr="009C213D">
        <w:rPr>
          <w:rFonts w:cstheme="minorHAnsi"/>
          <w:shd w:val="clear" w:color="auto" w:fill="FFFFFF"/>
        </w:rPr>
        <w:t>, </w:t>
      </w:r>
      <w:r w:rsidRPr="009C213D">
        <w:rPr>
          <w:rFonts w:cstheme="minorHAnsi"/>
          <w:i/>
          <w:iCs/>
          <w:shd w:val="clear" w:color="auto" w:fill="FFFFFF"/>
        </w:rPr>
        <w:t>24</w:t>
      </w:r>
      <w:r w:rsidRPr="009C213D">
        <w:rPr>
          <w:rFonts w:cstheme="minorHAnsi"/>
          <w:shd w:val="clear" w:color="auto" w:fill="FFFFFF"/>
        </w:rPr>
        <w:t>(4), pp.345-353.</w:t>
      </w:r>
    </w:p>
    <w:p w14:paraId="6E7C95A3" w14:textId="77777777" w:rsidR="00A61D04" w:rsidRDefault="00A61D04"/>
    <w:sectPr w:rsidR="00A61D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FB4557"/>
    <w:multiLevelType w:val="multilevel"/>
    <w:tmpl w:val="F8BCFE2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13D"/>
    <w:rsid w:val="0003299A"/>
    <w:rsid w:val="000362CF"/>
    <w:rsid w:val="0007151F"/>
    <w:rsid w:val="00235287"/>
    <w:rsid w:val="00687D99"/>
    <w:rsid w:val="007348C4"/>
    <w:rsid w:val="008A7337"/>
    <w:rsid w:val="008D71A6"/>
    <w:rsid w:val="00960C97"/>
    <w:rsid w:val="009B526B"/>
    <w:rsid w:val="009C213D"/>
    <w:rsid w:val="009C4699"/>
    <w:rsid w:val="00A61D04"/>
    <w:rsid w:val="00AD0FEC"/>
    <w:rsid w:val="00B358D9"/>
    <w:rsid w:val="00D90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3EAED"/>
  <w15:chartTrackingRefBased/>
  <w15:docId w15:val="{2420EF79-59B4-45DA-B63A-A2E99BAF0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21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13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fuse" TargetMode="External"/><Relationship Id="rId13" Type="http://schemas.openxmlformats.org/officeDocument/2006/relationships/image" Target="media/image5.png"/><Relationship Id="rId18" Type="http://schemas.openxmlformats.org/officeDocument/2006/relationships/hyperlink" Target="https://www.pembrokeshire.gov.uk/waste-collections/garden-waste-collection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lle" TargetMode="External"/><Relationship Id="rId12" Type="http://schemas.openxmlformats.org/officeDocument/2006/relationships/image" Target="media/image4.png"/><Relationship Id="rId17" Type="http://schemas.openxmlformats.org/officeDocument/2006/relationships/hyperlink" Target="https://statswales.gov.wales/Catalogue/Housing/Households/Estimates/households-by-localauthority-year"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www.wastedataflow.org" TargetMode="External"/><Relationship Id="rId1" Type="http://schemas.openxmlformats.org/officeDocument/2006/relationships/numbering" Target="numbering.xml"/><Relationship Id="rId6" Type="http://schemas.openxmlformats.org/officeDocument/2006/relationships/hyperlink" Target="http://www.ukdataservices" TargetMode="External"/><Relationship Id="rId11" Type="http://schemas.openxmlformats.org/officeDocument/2006/relationships/image" Target="media/image3.png"/><Relationship Id="rId5" Type="http://schemas.openxmlformats.org/officeDocument/2006/relationships/hyperlink" Target="http://www.wastemanagementdatasets" TargetMode="Externa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yperlink" Target="https://gov.wales/sites/default/files/statistics-and-research/2020-11/local-authority-municipal-waste-management-april-2019-march-2020-628.pdf"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2488</Words>
  <Characters>14184</Characters>
  <Application>Microsoft Office Word</Application>
  <DocSecurity>0</DocSecurity>
  <Lines>118</Lines>
  <Paragraphs>33</Paragraphs>
  <ScaleCrop>false</ScaleCrop>
  <Company/>
  <LinksUpToDate>false</LinksUpToDate>
  <CharactersWithSpaces>16639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Richards</dc:creator>
  <cp:keywords/>
  <dc:description/>
  <cp:lastModifiedBy>Simon Richards</cp:lastModifiedBy>
  <cp:revision>2</cp:revision>
  <dcterms:created xsi:type="dcterms:W3CDTF">2022-03-09T12:45:00Z</dcterms:created>
  <dcterms:modified xsi:type="dcterms:W3CDTF">2022-03-09T12:45:00Z</dcterms:modified>
</cp:coreProperties>
</file>