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112BD" w14:textId="77777777" w:rsidR="00D65FDA" w:rsidRDefault="00D65FDA" w:rsidP="00D65FDA">
      <w:pPr>
        <w:spacing w:before="120" w:after="120" w:line="360" w:lineRule="auto"/>
        <w:ind w:firstLine="720"/>
        <w:jc w:val="center"/>
        <w:rPr>
          <w:rFonts w:ascii="Arial" w:hAnsi="Arial" w:cs="Arial"/>
          <w:b/>
          <w:sz w:val="28"/>
          <w:szCs w:val="28"/>
        </w:rPr>
      </w:pPr>
    </w:p>
    <w:p w14:paraId="5898BE11" w14:textId="77777777" w:rsidR="00D65FDA" w:rsidRDefault="00D65FDA" w:rsidP="00D65FDA">
      <w:pPr>
        <w:spacing w:before="120" w:after="120" w:line="360" w:lineRule="auto"/>
        <w:ind w:firstLine="720"/>
        <w:jc w:val="center"/>
        <w:rPr>
          <w:rFonts w:ascii="Arial" w:hAnsi="Arial" w:cs="Arial"/>
          <w:b/>
          <w:sz w:val="28"/>
          <w:szCs w:val="28"/>
        </w:rPr>
      </w:pPr>
    </w:p>
    <w:p w14:paraId="76C07C92" w14:textId="77777777" w:rsidR="00D65FDA" w:rsidRDefault="00D65FDA" w:rsidP="00D65FDA">
      <w:pPr>
        <w:spacing w:before="120" w:after="120" w:line="360" w:lineRule="auto"/>
        <w:ind w:firstLine="720"/>
        <w:jc w:val="center"/>
        <w:rPr>
          <w:rFonts w:ascii="Arial" w:hAnsi="Arial" w:cs="Arial"/>
          <w:b/>
          <w:sz w:val="28"/>
          <w:szCs w:val="28"/>
        </w:rPr>
      </w:pPr>
    </w:p>
    <w:p w14:paraId="5177EA8B" w14:textId="77777777" w:rsidR="00D65FDA" w:rsidRDefault="00D65FDA" w:rsidP="00D65FDA">
      <w:pPr>
        <w:spacing w:before="120" w:after="120" w:line="360" w:lineRule="auto"/>
        <w:ind w:firstLine="720"/>
        <w:jc w:val="center"/>
        <w:rPr>
          <w:rFonts w:ascii="Arial" w:hAnsi="Arial" w:cs="Arial"/>
          <w:b/>
          <w:sz w:val="28"/>
          <w:szCs w:val="28"/>
        </w:rPr>
      </w:pPr>
    </w:p>
    <w:p w14:paraId="006DB9EE" w14:textId="77777777" w:rsidR="00D65FDA" w:rsidRDefault="00D65FDA" w:rsidP="00D65FDA">
      <w:pPr>
        <w:spacing w:before="120" w:after="120" w:line="360" w:lineRule="auto"/>
        <w:ind w:firstLine="720"/>
        <w:jc w:val="center"/>
        <w:rPr>
          <w:rFonts w:ascii="Arial" w:hAnsi="Arial" w:cs="Arial"/>
          <w:b/>
          <w:sz w:val="28"/>
          <w:szCs w:val="28"/>
        </w:rPr>
      </w:pPr>
    </w:p>
    <w:p w14:paraId="0C82945D" w14:textId="77777777" w:rsidR="00D65FDA" w:rsidRDefault="00D65FDA" w:rsidP="00D65FDA">
      <w:pPr>
        <w:spacing w:before="120" w:after="120" w:line="360" w:lineRule="auto"/>
        <w:ind w:firstLine="720"/>
        <w:jc w:val="center"/>
        <w:rPr>
          <w:rFonts w:ascii="Arial" w:hAnsi="Arial" w:cs="Arial"/>
          <w:b/>
          <w:sz w:val="28"/>
          <w:szCs w:val="28"/>
        </w:rPr>
      </w:pPr>
    </w:p>
    <w:p w14:paraId="08827068" w14:textId="77777777" w:rsidR="00D65FDA" w:rsidRDefault="00D65FDA" w:rsidP="00D65FDA">
      <w:pPr>
        <w:spacing w:before="120" w:after="120" w:line="360" w:lineRule="auto"/>
        <w:ind w:firstLine="720"/>
        <w:jc w:val="center"/>
        <w:rPr>
          <w:rFonts w:ascii="Arial" w:hAnsi="Arial" w:cs="Arial"/>
          <w:b/>
          <w:sz w:val="28"/>
          <w:szCs w:val="28"/>
        </w:rPr>
      </w:pPr>
    </w:p>
    <w:p w14:paraId="0F1F02BD" w14:textId="77777777" w:rsidR="00D65FDA" w:rsidRPr="000E3764" w:rsidRDefault="00D65FDA" w:rsidP="00D65FDA">
      <w:pPr>
        <w:spacing w:before="120" w:after="120" w:line="360" w:lineRule="auto"/>
        <w:ind w:firstLine="720"/>
        <w:jc w:val="center"/>
        <w:rPr>
          <w:rFonts w:ascii="Arial" w:hAnsi="Arial" w:cs="Arial"/>
          <w:sz w:val="28"/>
          <w:szCs w:val="28"/>
        </w:rPr>
      </w:pPr>
      <w:r w:rsidRPr="000E3764">
        <w:rPr>
          <w:rFonts w:ascii="Arial" w:hAnsi="Arial" w:cs="Arial"/>
          <w:noProof/>
        </w:rPr>
        <w:drawing>
          <wp:anchor distT="0" distB="0" distL="114300" distR="114300" simplePos="0" relativeHeight="251659264" behindDoc="0" locked="0" layoutInCell="1" allowOverlap="1" wp14:anchorId="132C37C4" wp14:editId="22641819">
            <wp:simplePos x="0" y="0"/>
            <wp:positionH relativeFrom="column">
              <wp:posOffset>-338137</wp:posOffset>
            </wp:positionH>
            <wp:positionV relativeFrom="page">
              <wp:posOffset>788670</wp:posOffset>
            </wp:positionV>
            <wp:extent cx="3314700" cy="1381125"/>
            <wp:effectExtent l="0" t="0" r="0" b="9525"/>
            <wp:wrapThrough wrapText="bothSides">
              <wp:wrapPolygon edited="0">
                <wp:start x="0" y="0"/>
                <wp:lineTo x="0" y="21451"/>
                <wp:lineTo x="21476" y="21451"/>
                <wp:lineTo x="21476" y="0"/>
                <wp:lineTo x="0" y="0"/>
              </wp:wrapPolygon>
            </wp:wrapThrough>
            <wp:docPr id="30903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35626" name="Picture 309035626"/>
                    <pic:cNvPicPr/>
                  </pic:nvPicPr>
                  <pic:blipFill>
                    <a:blip r:embed="rId8">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anchor>
        </w:drawing>
      </w:r>
      <w:r w:rsidRPr="000E3764">
        <w:rPr>
          <w:rFonts w:ascii="Arial" w:hAnsi="Arial" w:cs="Arial"/>
          <w:sz w:val="28"/>
          <w:szCs w:val="28"/>
        </w:rPr>
        <w:t>BA (Hons) Leadership and Management Skills for the Workplace</w:t>
      </w:r>
    </w:p>
    <w:p w14:paraId="53354EDD" w14:textId="78CB3206" w:rsidR="00D65FDA" w:rsidRDefault="00615263" w:rsidP="00D65FDA">
      <w:pPr>
        <w:spacing w:before="120" w:after="120" w:line="360" w:lineRule="auto"/>
        <w:jc w:val="center"/>
        <w:rPr>
          <w:rFonts w:ascii="Arial" w:hAnsi="Arial" w:cs="Arial"/>
          <w:b/>
          <w:bCs/>
          <w:sz w:val="28"/>
          <w:szCs w:val="28"/>
        </w:rPr>
      </w:pPr>
      <w:r w:rsidRPr="00615263">
        <w:rPr>
          <w:rFonts w:ascii="Arial" w:hAnsi="Arial" w:cs="Arial"/>
          <w:sz w:val="28"/>
          <w:szCs w:val="28"/>
        </w:rPr>
        <w:t>Managing Business Information</w:t>
      </w:r>
      <w:r w:rsidRPr="00615263">
        <w:rPr>
          <w:rFonts w:ascii="Arial" w:hAnsi="Arial" w:cs="Arial"/>
          <w:b/>
          <w:bCs/>
          <w:sz w:val="28"/>
          <w:szCs w:val="28"/>
        </w:rPr>
        <w:t> </w:t>
      </w:r>
      <w:r w:rsidR="00E520C7" w:rsidRPr="00E520C7">
        <w:rPr>
          <w:rFonts w:ascii="Arial" w:hAnsi="Arial" w:cs="Arial"/>
          <w:sz w:val="28"/>
          <w:szCs w:val="28"/>
        </w:rPr>
        <w:t>(LCLM500</w:t>
      </w:r>
      <w:r w:rsidR="000773EA">
        <w:rPr>
          <w:rFonts w:ascii="Arial" w:hAnsi="Arial" w:cs="Arial"/>
          <w:sz w:val="28"/>
          <w:szCs w:val="28"/>
        </w:rPr>
        <w:t>4</w:t>
      </w:r>
      <w:r w:rsidR="00E520C7" w:rsidRPr="00E520C7">
        <w:rPr>
          <w:rFonts w:ascii="Arial" w:hAnsi="Arial" w:cs="Arial"/>
          <w:sz w:val="28"/>
          <w:szCs w:val="28"/>
        </w:rPr>
        <w:t>_BIRM)</w:t>
      </w:r>
    </w:p>
    <w:p w14:paraId="3F1F4B8A" w14:textId="77777777" w:rsidR="00D65FDA" w:rsidRDefault="00D65FDA" w:rsidP="00D65FDA">
      <w:pPr>
        <w:spacing w:before="120" w:after="120" w:line="360" w:lineRule="auto"/>
        <w:jc w:val="center"/>
        <w:rPr>
          <w:rFonts w:ascii="Arial" w:hAnsi="Arial" w:cs="Arial"/>
          <w:b/>
          <w:bCs/>
          <w:sz w:val="28"/>
          <w:szCs w:val="28"/>
        </w:rPr>
      </w:pPr>
    </w:p>
    <w:p w14:paraId="2EA1C7CC" w14:textId="77777777" w:rsidR="00D65FDA" w:rsidRDefault="00D65FDA" w:rsidP="00D65FDA">
      <w:pPr>
        <w:spacing w:before="120" w:after="120" w:line="360" w:lineRule="auto"/>
        <w:jc w:val="center"/>
        <w:rPr>
          <w:rFonts w:ascii="Arial" w:hAnsi="Arial" w:cs="Arial"/>
          <w:b/>
          <w:bCs/>
          <w:sz w:val="28"/>
          <w:szCs w:val="28"/>
        </w:rPr>
      </w:pPr>
    </w:p>
    <w:p w14:paraId="708D282C" w14:textId="6BE779C7" w:rsidR="00D65FDA" w:rsidRPr="000E3764" w:rsidRDefault="006925C6" w:rsidP="00D65FDA">
      <w:pPr>
        <w:spacing w:before="120" w:after="120" w:line="360" w:lineRule="auto"/>
        <w:jc w:val="center"/>
        <w:rPr>
          <w:rFonts w:ascii="Arial" w:hAnsi="Arial" w:cs="Arial"/>
          <w:b/>
          <w:bCs/>
          <w:sz w:val="28"/>
          <w:szCs w:val="28"/>
        </w:rPr>
      </w:pPr>
      <w:r w:rsidRPr="006925C6">
        <w:rPr>
          <w:rFonts w:ascii="Arial" w:hAnsi="Arial" w:cs="Arial"/>
          <w:sz w:val="28"/>
          <w:szCs w:val="28"/>
        </w:rPr>
        <w:t>Information Systems Improvements</w:t>
      </w:r>
      <w:r w:rsidRPr="006925C6">
        <w:rPr>
          <w:rFonts w:ascii="Arial" w:hAnsi="Arial" w:cs="Arial"/>
          <w:sz w:val="28"/>
          <w:szCs w:val="28"/>
        </w:rPr>
        <w:t xml:space="preserve"> </w:t>
      </w:r>
      <w:r w:rsidR="000B0B8C">
        <w:rPr>
          <w:rFonts w:ascii="Arial" w:hAnsi="Arial" w:cs="Arial"/>
          <w:sz w:val="28"/>
          <w:szCs w:val="28"/>
        </w:rPr>
        <w:t>–</w:t>
      </w:r>
      <w:r w:rsidR="00CA04DC">
        <w:rPr>
          <w:rFonts w:ascii="Arial" w:hAnsi="Arial" w:cs="Arial"/>
          <w:sz w:val="28"/>
          <w:szCs w:val="28"/>
        </w:rPr>
        <w:t xml:space="preserve"> </w:t>
      </w:r>
      <w:r w:rsidR="000B0B8C">
        <w:rPr>
          <w:rFonts w:ascii="Arial" w:hAnsi="Arial" w:cs="Arial"/>
          <w:sz w:val="28"/>
          <w:szCs w:val="28"/>
        </w:rPr>
        <w:t>Individual r</w:t>
      </w:r>
      <w:r w:rsidR="00CA04DC">
        <w:rPr>
          <w:rFonts w:ascii="Arial" w:hAnsi="Arial" w:cs="Arial"/>
          <w:sz w:val="28"/>
          <w:szCs w:val="28"/>
        </w:rPr>
        <w:t>eport</w:t>
      </w:r>
    </w:p>
    <w:p w14:paraId="724B18B1" w14:textId="77777777" w:rsidR="00D65FDA" w:rsidRPr="00022088" w:rsidRDefault="00D65FDA" w:rsidP="00D65FDA">
      <w:pPr>
        <w:spacing w:before="120" w:after="120" w:line="360" w:lineRule="auto"/>
        <w:jc w:val="center"/>
        <w:rPr>
          <w:rFonts w:ascii="Arial" w:hAnsi="Arial" w:cs="Arial"/>
          <w:b/>
          <w:sz w:val="28"/>
          <w:szCs w:val="28"/>
        </w:rPr>
      </w:pPr>
    </w:p>
    <w:p w14:paraId="45FF301E" w14:textId="77777777" w:rsidR="00D65FDA" w:rsidRDefault="00D65FDA" w:rsidP="00D65FDA">
      <w:pPr>
        <w:spacing w:line="360" w:lineRule="auto"/>
        <w:jc w:val="both"/>
        <w:rPr>
          <w:rFonts w:ascii="Arial" w:hAnsi="Arial" w:cs="Arial"/>
          <w:b/>
          <w:bCs/>
        </w:rPr>
      </w:pPr>
    </w:p>
    <w:p w14:paraId="69E5C570" w14:textId="297B6509" w:rsidR="00D65FDA" w:rsidRDefault="00D65FDA" w:rsidP="00D65FDA">
      <w:pPr>
        <w:spacing w:line="360" w:lineRule="auto"/>
        <w:ind w:left="720"/>
        <w:jc w:val="right"/>
        <w:rPr>
          <w:rFonts w:ascii="Arial" w:hAnsi="Arial" w:cs="Arial"/>
        </w:rPr>
      </w:pPr>
      <w:r w:rsidRPr="00DF7C3E">
        <w:rPr>
          <w:rFonts w:ascii="Arial" w:hAnsi="Arial" w:cs="Arial"/>
        </w:rPr>
        <w:t>Module Lead</w:t>
      </w:r>
      <w:r>
        <w:rPr>
          <w:rFonts w:ascii="Arial" w:hAnsi="Arial" w:cs="Arial"/>
        </w:rPr>
        <w:t>er:</w:t>
      </w:r>
      <w:r w:rsidRPr="00DF7C3E">
        <w:rPr>
          <w:rFonts w:ascii="Arial" w:hAnsi="Arial" w:cs="Arial"/>
        </w:rPr>
        <w:t xml:space="preserve"> </w:t>
      </w:r>
      <w:r w:rsidR="000773EA" w:rsidRPr="000773EA">
        <w:rPr>
          <w:rFonts w:ascii="Arial" w:hAnsi="Arial" w:cs="Arial"/>
        </w:rPr>
        <w:t>Dr Chinomso Nwagboso</w:t>
      </w:r>
    </w:p>
    <w:p w14:paraId="2ED45206" w14:textId="77777777" w:rsidR="00D65FDA" w:rsidRDefault="00D65FDA" w:rsidP="00D65FDA">
      <w:pPr>
        <w:spacing w:line="360" w:lineRule="auto"/>
        <w:ind w:left="720"/>
        <w:jc w:val="right"/>
        <w:rPr>
          <w:rFonts w:ascii="Arial" w:hAnsi="Arial" w:cs="Arial"/>
        </w:rPr>
      </w:pPr>
      <w:r>
        <w:rPr>
          <w:rFonts w:ascii="Arial" w:hAnsi="Arial" w:cs="Arial"/>
        </w:rPr>
        <w:t>Student name: Alina Mihaila</w:t>
      </w:r>
    </w:p>
    <w:p w14:paraId="225B7F15" w14:textId="77777777" w:rsidR="00D65FDA" w:rsidRPr="00DF7C3E" w:rsidRDefault="00D65FDA" w:rsidP="00D65FDA">
      <w:pPr>
        <w:spacing w:line="360" w:lineRule="auto"/>
        <w:ind w:left="720"/>
        <w:jc w:val="right"/>
        <w:rPr>
          <w:rFonts w:ascii="Arial" w:hAnsi="Arial" w:cs="Arial"/>
        </w:rPr>
      </w:pPr>
      <w:r>
        <w:rPr>
          <w:rFonts w:ascii="Arial" w:hAnsi="Arial" w:cs="Arial"/>
        </w:rPr>
        <w:t xml:space="preserve">Student ID: </w:t>
      </w:r>
      <w:r w:rsidRPr="00281CDC">
        <w:rPr>
          <w:rFonts w:ascii="Arial" w:hAnsi="Arial" w:cs="Arial"/>
        </w:rPr>
        <w:t>2410740</w:t>
      </w:r>
    </w:p>
    <w:p w14:paraId="2B27065F" w14:textId="77777777" w:rsidR="00D65FDA" w:rsidRDefault="00D65FDA" w:rsidP="00D65FDA">
      <w:pPr>
        <w:jc w:val="right"/>
        <w:rPr>
          <w:rFonts w:ascii="Arial" w:hAnsi="Arial" w:cs="Arial"/>
          <w:b/>
          <w:bCs/>
        </w:rPr>
      </w:pPr>
      <w:r>
        <w:rPr>
          <w:rFonts w:ascii="Arial" w:hAnsi="Arial" w:cs="Arial"/>
          <w:b/>
          <w:bCs/>
        </w:rPr>
        <w:br w:type="page"/>
      </w:r>
    </w:p>
    <w:sdt>
      <w:sdtPr>
        <w:rPr>
          <w:rFonts w:asciiTheme="minorHAnsi" w:eastAsiaTheme="minorHAnsi" w:hAnsiTheme="minorHAnsi" w:cstheme="minorBidi"/>
          <w:b w:val="0"/>
          <w:kern w:val="2"/>
          <w:sz w:val="24"/>
          <w:szCs w:val="24"/>
          <w:lang w:eastAsia="en-US"/>
          <w14:ligatures w14:val="standardContextual"/>
        </w:rPr>
        <w:id w:val="-1570413097"/>
        <w:docPartObj>
          <w:docPartGallery w:val="Table of Contents"/>
          <w:docPartUnique/>
        </w:docPartObj>
      </w:sdtPr>
      <w:sdtEndPr>
        <w:rPr>
          <w:rFonts w:ascii="Arial" w:hAnsi="Arial" w:cs="Arial"/>
          <w:bCs/>
          <w:sz w:val="22"/>
          <w:szCs w:val="22"/>
        </w:rPr>
      </w:sdtEndPr>
      <w:sdtContent>
        <w:p w14:paraId="41E4B408" w14:textId="30589404" w:rsidR="008F542A" w:rsidRPr="00E94F2A" w:rsidRDefault="008F542A" w:rsidP="00E94F2A">
          <w:pPr>
            <w:pStyle w:val="TOCHeading"/>
            <w:spacing w:line="360" w:lineRule="auto"/>
            <w:rPr>
              <w:rFonts w:cs="Arial"/>
              <w:sz w:val="22"/>
              <w:szCs w:val="22"/>
            </w:rPr>
          </w:pPr>
          <w:r w:rsidRPr="00E94F2A">
            <w:rPr>
              <w:rFonts w:cs="Arial"/>
              <w:sz w:val="22"/>
              <w:szCs w:val="22"/>
            </w:rPr>
            <w:t>Contents</w:t>
          </w:r>
        </w:p>
        <w:p w14:paraId="4CD4EA3D" w14:textId="52A31C2B" w:rsidR="006D4EE5" w:rsidRPr="00E94F2A" w:rsidRDefault="008F542A" w:rsidP="00E94F2A">
          <w:pPr>
            <w:pStyle w:val="TOC1"/>
            <w:tabs>
              <w:tab w:val="right" w:leader="dot" w:pos="9016"/>
            </w:tabs>
            <w:spacing w:line="360" w:lineRule="auto"/>
            <w:rPr>
              <w:rFonts w:ascii="Arial" w:eastAsiaTheme="minorEastAsia" w:hAnsi="Arial" w:cs="Arial"/>
              <w:noProof/>
              <w:sz w:val="22"/>
              <w:szCs w:val="22"/>
              <w:lang w:eastAsia="en-GB"/>
            </w:rPr>
          </w:pPr>
          <w:r w:rsidRPr="00E94F2A">
            <w:rPr>
              <w:rFonts w:ascii="Arial" w:hAnsi="Arial" w:cs="Arial"/>
              <w:sz w:val="22"/>
              <w:szCs w:val="22"/>
            </w:rPr>
            <w:fldChar w:fldCharType="begin"/>
          </w:r>
          <w:r w:rsidRPr="00E94F2A">
            <w:rPr>
              <w:rFonts w:ascii="Arial" w:hAnsi="Arial" w:cs="Arial"/>
              <w:sz w:val="22"/>
              <w:szCs w:val="22"/>
            </w:rPr>
            <w:instrText xml:space="preserve"> TOC \o "1-3" \h \z \u </w:instrText>
          </w:r>
          <w:r w:rsidRPr="00E94F2A">
            <w:rPr>
              <w:rFonts w:ascii="Arial" w:hAnsi="Arial" w:cs="Arial"/>
              <w:sz w:val="22"/>
              <w:szCs w:val="22"/>
            </w:rPr>
            <w:fldChar w:fldCharType="separate"/>
          </w:r>
          <w:hyperlink w:anchor="_Toc235272549" w:history="1">
            <w:r w:rsidR="006D4EE5" w:rsidRPr="00E94F2A">
              <w:rPr>
                <w:rStyle w:val="Hyperlink"/>
                <w:rFonts w:ascii="Arial" w:hAnsi="Arial" w:cs="Arial"/>
                <w:noProof/>
                <w:sz w:val="22"/>
                <w:szCs w:val="22"/>
              </w:rPr>
              <w:t>1. Introduction</w:t>
            </w:r>
            <w:r w:rsidR="006D4EE5" w:rsidRPr="00E94F2A">
              <w:rPr>
                <w:rFonts w:ascii="Arial" w:hAnsi="Arial" w:cs="Arial"/>
                <w:noProof/>
                <w:webHidden/>
                <w:sz w:val="22"/>
                <w:szCs w:val="22"/>
              </w:rPr>
              <w:tab/>
            </w:r>
            <w:r w:rsidR="006D4EE5" w:rsidRPr="00E94F2A">
              <w:rPr>
                <w:rFonts w:ascii="Arial" w:hAnsi="Arial" w:cs="Arial"/>
                <w:noProof/>
                <w:webHidden/>
                <w:sz w:val="22"/>
                <w:szCs w:val="22"/>
              </w:rPr>
              <w:fldChar w:fldCharType="begin"/>
            </w:r>
            <w:r w:rsidR="006D4EE5" w:rsidRPr="00E94F2A">
              <w:rPr>
                <w:rFonts w:ascii="Arial" w:hAnsi="Arial" w:cs="Arial"/>
                <w:noProof/>
                <w:webHidden/>
                <w:sz w:val="22"/>
                <w:szCs w:val="22"/>
              </w:rPr>
              <w:instrText xml:space="preserve"> PAGEREF _Toc235272549 \h </w:instrText>
            </w:r>
            <w:r w:rsidR="006D4EE5" w:rsidRPr="00E94F2A">
              <w:rPr>
                <w:rFonts w:ascii="Arial" w:hAnsi="Arial" w:cs="Arial"/>
                <w:noProof/>
                <w:webHidden/>
                <w:sz w:val="22"/>
                <w:szCs w:val="22"/>
              </w:rPr>
            </w:r>
            <w:r w:rsidR="006D4EE5" w:rsidRPr="00E94F2A">
              <w:rPr>
                <w:rFonts w:ascii="Arial" w:hAnsi="Arial" w:cs="Arial"/>
                <w:noProof/>
                <w:webHidden/>
                <w:sz w:val="22"/>
                <w:szCs w:val="22"/>
              </w:rPr>
              <w:fldChar w:fldCharType="separate"/>
            </w:r>
            <w:r w:rsidR="006D4EE5" w:rsidRPr="00E94F2A">
              <w:rPr>
                <w:rFonts w:ascii="Arial" w:hAnsi="Arial" w:cs="Arial"/>
                <w:noProof/>
                <w:webHidden/>
                <w:sz w:val="22"/>
                <w:szCs w:val="22"/>
              </w:rPr>
              <w:t>3</w:t>
            </w:r>
            <w:r w:rsidR="006D4EE5" w:rsidRPr="00E94F2A">
              <w:rPr>
                <w:rFonts w:ascii="Arial" w:hAnsi="Arial" w:cs="Arial"/>
                <w:noProof/>
                <w:webHidden/>
                <w:sz w:val="22"/>
                <w:szCs w:val="22"/>
              </w:rPr>
              <w:fldChar w:fldCharType="end"/>
            </w:r>
          </w:hyperlink>
        </w:p>
        <w:p w14:paraId="1F2B0EEA" w14:textId="01DCE613" w:rsidR="006D4EE5" w:rsidRPr="00E94F2A" w:rsidRDefault="006D4EE5" w:rsidP="00E94F2A">
          <w:pPr>
            <w:pStyle w:val="TOC1"/>
            <w:tabs>
              <w:tab w:val="right" w:leader="dot" w:pos="9016"/>
            </w:tabs>
            <w:spacing w:line="360" w:lineRule="auto"/>
            <w:rPr>
              <w:rFonts w:ascii="Arial" w:eastAsiaTheme="minorEastAsia" w:hAnsi="Arial" w:cs="Arial"/>
              <w:noProof/>
              <w:sz w:val="22"/>
              <w:szCs w:val="22"/>
              <w:lang w:eastAsia="en-GB"/>
            </w:rPr>
          </w:pPr>
          <w:hyperlink w:anchor="_Toc235272550" w:history="1">
            <w:r w:rsidRPr="00E94F2A">
              <w:rPr>
                <w:rStyle w:val="Hyperlink"/>
                <w:rFonts w:ascii="Arial" w:hAnsi="Arial" w:cs="Arial"/>
                <w:noProof/>
                <w:sz w:val="22"/>
                <w:szCs w:val="22"/>
              </w:rPr>
              <w:t>2. Evaluation of Existing Systems</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_Toc235272550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4</w:t>
            </w:r>
            <w:r w:rsidRPr="00E94F2A">
              <w:rPr>
                <w:rFonts w:ascii="Arial" w:hAnsi="Arial" w:cs="Arial"/>
                <w:noProof/>
                <w:webHidden/>
                <w:sz w:val="22"/>
                <w:szCs w:val="22"/>
              </w:rPr>
              <w:fldChar w:fldCharType="end"/>
            </w:r>
          </w:hyperlink>
        </w:p>
        <w:p w14:paraId="51E7D7EF" w14:textId="65ADC290" w:rsidR="006D4EE5" w:rsidRPr="00E94F2A" w:rsidRDefault="006D4EE5" w:rsidP="00E94F2A">
          <w:pPr>
            <w:pStyle w:val="TOC1"/>
            <w:tabs>
              <w:tab w:val="right" w:leader="dot" w:pos="9016"/>
            </w:tabs>
            <w:spacing w:line="360" w:lineRule="auto"/>
            <w:rPr>
              <w:rFonts w:ascii="Arial" w:eastAsiaTheme="minorEastAsia" w:hAnsi="Arial" w:cs="Arial"/>
              <w:noProof/>
              <w:sz w:val="22"/>
              <w:szCs w:val="22"/>
              <w:lang w:eastAsia="en-GB"/>
            </w:rPr>
          </w:pPr>
          <w:hyperlink w:anchor="_Toc235272551" w:history="1">
            <w:r w:rsidRPr="00E94F2A">
              <w:rPr>
                <w:rStyle w:val="Hyperlink"/>
                <w:rFonts w:ascii="Arial" w:hAnsi="Arial" w:cs="Arial"/>
                <w:noProof/>
                <w:sz w:val="22"/>
                <w:szCs w:val="22"/>
              </w:rPr>
              <w:t>3. Recommended Solution</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_Toc235272551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5</w:t>
            </w:r>
            <w:r w:rsidRPr="00E94F2A">
              <w:rPr>
                <w:rFonts w:ascii="Arial" w:hAnsi="Arial" w:cs="Arial"/>
                <w:noProof/>
                <w:webHidden/>
                <w:sz w:val="22"/>
                <w:szCs w:val="22"/>
              </w:rPr>
              <w:fldChar w:fldCharType="end"/>
            </w:r>
          </w:hyperlink>
        </w:p>
        <w:p w14:paraId="4653DD1E" w14:textId="74471003"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2" w:history="1">
            <w:r w:rsidRPr="00E94F2A">
              <w:rPr>
                <w:rStyle w:val="Hyperlink"/>
                <w:rFonts w:ascii="Arial" w:hAnsi="Arial" w:cs="Arial"/>
                <w:noProof/>
                <w:sz w:val="22"/>
                <w:szCs w:val="22"/>
              </w:rPr>
              <w:t>Justification based on business needs</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_Toc235272552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6</w:t>
            </w:r>
            <w:r w:rsidRPr="00E94F2A">
              <w:rPr>
                <w:rFonts w:ascii="Arial" w:hAnsi="Arial" w:cs="Arial"/>
                <w:noProof/>
                <w:webHidden/>
                <w:sz w:val="22"/>
                <w:szCs w:val="22"/>
              </w:rPr>
              <w:fldChar w:fldCharType="end"/>
            </w:r>
          </w:hyperlink>
        </w:p>
        <w:p w14:paraId="1A5693F4" w14:textId="1CB1B3B9"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3" w:history="1">
            <w:r w:rsidRPr="00E94F2A">
              <w:rPr>
                <w:rStyle w:val="Hyperlink"/>
                <w:rFonts w:ascii="Arial" w:hAnsi="Arial" w:cs="Arial"/>
                <w:noProof/>
                <w:sz w:val="22"/>
                <w:szCs w:val="22"/>
              </w:rPr>
              <w:t>Compliance and security</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_Toc235272553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6</w:t>
            </w:r>
            <w:r w:rsidRPr="00E94F2A">
              <w:rPr>
                <w:rFonts w:ascii="Arial" w:hAnsi="Arial" w:cs="Arial"/>
                <w:noProof/>
                <w:webHidden/>
                <w:sz w:val="22"/>
                <w:szCs w:val="22"/>
              </w:rPr>
              <w:fldChar w:fldCharType="end"/>
            </w:r>
          </w:hyperlink>
        </w:p>
        <w:p w14:paraId="0676B922" w14:textId="401A6045"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4" w:history="1">
            <w:r w:rsidRPr="00E94F2A">
              <w:rPr>
                <w:rStyle w:val="Hyperlink"/>
                <w:rFonts w:ascii="Arial" w:hAnsi="Arial" w:cs="Arial"/>
                <w:noProof/>
                <w:sz w:val="22"/>
                <w:szCs w:val="22"/>
              </w:rPr>
              <w:t>Cost, scalability, and ROI considerations</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_Toc235272554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6</w:t>
            </w:r>
            <w:r w:rsidRPr="00E94F2A">
              <w:rPr>
                <w:rFonts w:ascii="Arial" w:hAnsi="Arial" w:cs="Arial"/>
                <w:noProof/>
                <w:webHidden/>
                <w:sz w:val="22"/>
                <w:szCs w:val="22"/>
              </w:rPr>
              <w:fldChar w:fldCharType="end"/>
            </w:r>
          </w:hyperlink>
        </w:p>
        <w:p w14:paraId="13A8F764" w14:textId="51A4C234" w:rsidR="006D4EE5" w:rsidRPr="00E94F2A" w:rsidRDefault="006D4EE5" w:rsidP="00E94F2A">
          <w:pPr>
            <w:pStyle w:val="TOC1"/>
            <w:tabs>
              <w:tab w:val="right" w:leader="dot" w:pos="9016"/>
            </w:tabs>
            <w:spacing w:line="360" w:lineRule="auto"/>
            <w:rPr>
              <w:rFonts w:ascii="Arial" w:eastAsiaTheme="minorEastAsia" w:hAnsi="Arial" w:cs="Arial"/>
              <w:noProof/>
              <w:sz w:val="22"/>
              <w:szCs w:val="22"/>
              <w:lang w:eastAsia="en-GB"/>
            </w:rPr>
          </w:pPr>
          <w:hyperlink w:anchor="_Toc235272555" w:history="1">
            <w:r w:rsidRPr="00E94F2A">
              <w:rPr>
                <w:rStyle w:val="Hyperlink"/>
                <w:rFonts w:ascii="Arial" w:hAnsi="Arial" w:cs="Arial"/>
                <w:noProof/>
                <w:sz w:val="22"/>
                <w:szCs w:val="22"/>
              </w:rPr>
              <w:t>4. Implementation Plan</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_Toc235272555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7</w:t>
            </w:r>
            <w:r w:rsidRPr="00E94F2A">
              <w:rPr>
                <w:rFonts w:ascii="Arial" w:hAnsi="Arial" w:cs="Arial"/>
                <w:noProof/>
                <w:webHidden/>
                <w:sz w:val="22"/>
                <w:szCs w:val="22"/>
              </w:rPr>
              <w:fldChar w:fldCharType="end"/>
            </w:r>
          </w:hyperlink>
        </w:p>
        <w:p w14:paraId="542766FB" w14:textId="7CDBE602"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6" w:history="1">
            <w:r w:rsidRPr="00E94F2A">
              <w:rPr>
                <w:rStyle w:val="Hyperlink"/>
                <w:rFonts w:ascii="Arial" w:hAnsi="Arial" w:cs="Arial"/>
                <w:noProof/>
                <w:sz w:val="22"/>
                <w:szCs w:val="22"/>
              </w:rPr>
              <w:t>Phase 1: Planning and Selection (Weeks 1-4):</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_Toc235272556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7</w:t>
            </w:r>
            <w:r w:rsidRPr="00E94F2A">
              <w:rPr>
                <w:rFonts w:ascii="Arial" w:hAnsi="Arial" w:cs="Arial"/>
                <w:noProof/>
                <w:webHidden/>
                <w:sz w:val="22"/>
                <w:szCs w:val="22"/>
              </w:rPr>
              <w:fldChar w:fldCharType="end"/>
            </w:r>
          </w:hyperlink>
        </w:p>
        <w:p w14:paraId="06A6991B" w14:textId="63979012"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7" w:history="1">
            <w:r w:rsidRPr="00E94F2A">
              <w:rPr>
                <w:rStyle w:val="Hyperlink"/>
                <w:rFonts w:ascii="Arial" w:hAnsi="Arial" w:cs="Arial"/>
                <w:noProof/>
                <w:sz w:val="22"/>
                <w:szCs w:val="22"/>
              </w:rPr>
              <w:t>Phase 2: Data Preparation and Integration (Months 2-3):</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_Toc235272557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7</w:t>
            </w:r>
            <w:r w:rsidRPr="00E94F2A">
              <w:rPr>
                <w:rFonts w:ascii="Arial" w:hAnsi="Arial" w:cs="Arial"/>
                <w:noProof/>
                <w:webHidden/>
                <w:sz w:val="22"/>
                <w:szCs w:val="22"/>
              </w:rPr>
              <w:fldChar w:fldCharType="end"/>
            </w:r>
          </w:hyperlink>
        </w:p>
        <w:p w14:paraId="404C6631" w14:textId="494BBF35"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8" w:history="1">
            <w:r w:rsidRPr="00E94F2A">
              <w:rPr>
                <w:rStyle w:val="Hyperlink"/>
                <w:rFonts w:ascii="Arial" w:hAnsi="Arial" w:cs="Arial"/>
                <w:noProof/>
                <w:sz w:val="22"/>
                <w:szCs w:val="22"/>
              </w:rPr>
              <w:t>Phase 3: System Configuration, Customisation, and Testing (Months 3-5):</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_Toc235272558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7</w:t>
            </w:r>
            <w:r w:rsidRPr="00E94F2A">
              <w:rPr>
                <w:rFonts w:ascii="Arial" w:hAnsi="Arial" w:cs="Arial"/>
                <w:noProof/>
                <w:webHidden/>
                <w:sz w:val="22"/>
                <w:szCs w:val="22"/>
              </w:rPr>
              <w:fldChar w:fldCharType="end"/>
            </w:r>
          </w:hyperlink>
        </w:p>
        <w:p w14:paraId="4DF94748" w14:textId="014A7FC0"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59" w:history="1">
            <w:r w:rsidRPr="00E94F2A">
              <w:rPr>
                <w:rStyle w:val="Hyperlink"/>
                <w:rFonts w:ascii="Arial" w:hAnsi="Arial" w:cs="Arial"/>
                <w:noProof/>
                <w:sz w:val="22"/>
                <w:szCs w:val="22"/>
              </w:rPr>
              <w:t>Phase 4: Training, Change Management, and Rollout Preparation (Months 4-6):</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_Toc235272559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8</w:t>
            </w:r>
            <w:r w:rsidRPr="00E94F2A">
              <w:rPr>
                <w:rFonts w:ascii="Arial" w:hAnsi="Arial" w:cs="Arial"/>
                <w:noProof/>
                <w:webHidden/>
                <w:sz w:val="22"/>
                <w:szCs w:val="22"/>
              </w:rPr>
              <w:fldChar w:fldCharType="end"/>
            </w:r>
          </w:hyperlink>
        </w:p>
        <w:p w14:paraId="6F307B0E" w14:textId="623852F4"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60" w:history="1">
            <w:r w:rsidRPr="00E94F2A">
              <w:rPr>
                <w:rStyle w:val="Hyperlink"/>
                <w:rFonts w:ascii="Arial" w:hAnsi="Arial" w:cs="Arial"/>
                <w:noProof/>
                <w:sz w:val="22"/>
                <w:szCs w:val="22"/>
              </w:rPr>
              <w:t>Phase 5: Go-Live, Monitoring, and Optimisation (Months 6-9):</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_Toc235272560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8</w:t>
            </w:r>
            <w:r w:rsidRPr="00E94F2A">
              <w:rPr>
                <w:rFonts w:ascii="Arial" w:hAnsi="Arial" w:cs="Arial"/>
                <w:noProof/>
                <w:webHidden/>
                <w:sz w:val="22"/>
                <w:szCs w:val="22"/>
              </w:rPr>
              <w:fldChar w:fldCharType="end"/>
            </w:r>
          </w:hyperlink>
        </w:p>
        <w:p w14:paraId="31EDC97D" w14:textId="34AC1C25" w:rsidR="006D4EE5" w:rsidRPr="00E94F2A" w:rsidRDefault="006D4EE5" w:rsidP="00E94F2A">
          <w:pPr>
            <w:pStyle w:val="TOC2"/>
            <w:tabs>
              <w:tab w:val="right" w:leader="dot" w:pos="9016"/>
            </w:tabs>
            <w:spacing w:line="360" w:lineRule="auto"/>
            <w:rPr>
              <w:rFonts w:ascii="Arial" w:eastAsiaTheme="minorEastAsia" w:hAnsi="Arial" w:cs="Arial"/>
              <w:noProof/>
              <w:sz w:val="22"/>
              <w:szCs w:val="22"/>
              <w:lang w:eastAsia="en-GB"/>
            </w:rPr>
          </w:pPr>
          <w:hyperlink w:anchor="_Toc235272561" w:history="1">
            <w:r w:rsidRPr="00E94F2A">
              <w:rPr>
                <w:rStyle w:val="Hyperlink"/>
                <w:rFonts w:ascii="Arial" w:hAnsi="Arial" w:cs="Arial"/>
                <w:noProof/>
                <w:sz w:val="22"/>
                <w:szCs w:val="22"/>
              </w:rPr>
              <w:t>Key Considerations</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_Toc235272561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8</w:t>
            </w:r>
            <w:r w:rsidRPr="00E94F2A">
              <w:rPr>
                <w:rFonts w:ascii="Arial" w:hAnsi="Arial" w:cs="Arial"/>
                <w:noProof/>
                <w:webHidden/>
                <w:sz w:val="22"/>
                <w:szCs w:val="22"/>
              </w:rPr>
              <w:fldChar w:fldCharType="end"/>
            </w:r>
          </w:hyperlink>
        </w:p>
        <w:p w14:paraId="0A578E90" w14:textId="7B364CF7" w:rsidR="006D4EE5" w:rsidRPr="00E94F2A" w:rsidRDefault="006D4EE5" w:rsidP="00E94F2A">
          <w:pPr>
            <w:pStyle w:val="TOC1"/>
            <w:tabs>
              <w:tab w:val="right" w:leader="dot" w:pos="9016"/>
            </w:tabs>
            <w:spacing w:line="360" w:lineRule="auto"/>
            <w:rPr>
              <w:rFonts w:ascii="Arial" w:eastAsiaTheme="minorEastAsia" w:hAnsi="Arial" w:cs="Arial"/>
              <w:noProof/>
              <w:sz w:val="22"/>
              <w:szCs w:val="22"/>
              <w:lang w:eastAsia="en-GB"/>
            </w:rPr>
          </w:pPr>
          <w:hyperlink w:anchor="_Toc235272562" w:history="1">
            <w:r w:rsidRPr="00E94F2A">
              <w:rPr>
                <w:rStyle w:val="Hyperlink"/>
                <w:rFonts w:ascii="Arial" w:hAnsi="Arial" w:cs="Arial"/>
                <w:noProof/>
                <w:sz w:val="22"/>
                <w:szCs w:val="22"/>
              </w:rPr>
              <w:t>5. Conclusion</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_Toc235272562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8</w:t>
            </w:r>
            <w:r w:rsidRPr="00E94F2A">
              <w:rPr>
                <w:rFonts w:ascii="Arial" w:hAnsi="Arial" w:cs="Arial"/>
                <w:noProof/>
                <w:webHidden/>
                <w:sz w:val="22"/>
                <w:szCs w:val="22"/>
              </w:rPr>
              <w:fldChar w:fldCharType="end"/>
            </w:r>
          </w:hyperlink>
        </w:p>
        <w:p w14:paraId="5C04EF18" w14:textId="6D3E4B97" w:rsidR="006D4EE5" w:rsidRPr="00E94F2A" w:rsidRDefault="006D4EE5" w:rsidP="00E94F2A">
          <w:pPr>
            <w:pStyle w:val="TOC1"/>
            <w:tabs>
              <w:tab w:val="right" w:leader="dot" w:pos="9016"/>
            </w:tabs>
            <w:spacing w:line="360" w:lineRule="auto"/>
            <w:rPr>
              <w:rFonts w:ascii="Arial" w:eastAsiaTheme="minorEastAsia" w:hAnsi="Arial" w:cs="Arial"/>
              <w:noProof/>
              <w:sz w:val="22"/>
              <w:szCs w:val="22"/>
              <w:lang w:eastAsia="en-GB"/>
            </w:rPr>
          </w:pPr>
          <w:hyperlink w:anchor="_Toc235272563" w:history="1">
            <w:r w:rsidRPr="00E94F2A">
              <w:rPr>
                <w:rStyle w:val="Hyperlink"/>
                <w:rFonts w:ascii="Arial" w:hAnsi="Arial" w:cs="Arial"/>
                <w:noProof/>
                <w:sz w:val="22"/>
                <w:szCs w:val="22"/>
              </w:rPr>
              <w:t>References:</w:t>
            </w:r>
            <w:r w:rsidRPr="00E94F2A">
              <w:rPr>
                <w:rFonts w:ascii="Arial" w:hAnsi="Arial" w:cs="Arial"/>
                <w:noProof/>
                <w:webHidden/>
                <w:sz w:val="22"/>
                <w:szCs w:val="22"/>
              </w:rPr>
              <w:tab/>
            </w:r>
            <w:r w:rsidRPr="00E94F2A">
              <w:rPr>
                <w:rFonts w:ascii="Arial" w:hAnsi="Arial" w:cs="Arial"/>
                <w:noProof/>
                <w:webHidden/>
                <w:sz w:val="22"/>
                <w:szCs w:val="22"/>
              </w:rPr>
              <w:fldChar w:fldCharType="begin"/>
            </w:r>
            <w:r w:rsidRPr="00E94F2A">
              <w:rPr>
                <w:rFonts w:ascii="Arial" w:hAnsi="Arial" w:cs="Arial"/>
                <w:noProof/>
                <w:webHidden/>
                <w:sz w:val="22"/>
                <w:szCs w:val="22"/>
              </w:rPr>
              <w:instrText xml:space="preserve"> PAGEREF _Toc235272563 \h </w:instrText>
            </w:r>
            <w:r w:rsidRPr="00E94F2A">
              <w:rPr>
                <w:rFonts w:ascii="Arial" w:hAnsi="Arial" w:cs="Arial"/>
                <w:noProof/>
                <w:webHidden/>
                <w:sz w:val="22"/>
                <w:szCs w:val="22"/>
              </w:rPr>
            </w:r>
            <w:r w:rsidRPr="00E94F2A">
              <w:rPr>
                <w:rFonts w:ascii="Arial" w:hAnsi="Arial" w:cs="Arial"/>
                <w:noProof/>
                <w:webHidden/>
                <w:sz w:val="22"/>
                <w:szCs w:val="22"/>
              </w:rPr>
              <w:fldChar w:fldCharType="separate"/>
            </w:r>
            <w:r w:rsidRPr="00E94F2A">
              <w:rPr>
                <w:rFonts w:ascii="Arial" w:hAnsi="Arial" w:cs="Arial"/>
                <w:noProof/>
                <w:webHidden/>
                <w:sz w:val="22"/>
                <w:szCs w:val="22"/>
              </w:rPr>
              <w:t>10</w:t>
            </w:r>
            <w:r w:rsidRPr="00E94F2A">
              <w:rPr>
                <w:rFonts w:ascii="Arial" w:hAnsi="Arial" w:cs="Arial"/>
                <w:noProof/>
                <w:webHidden/>
                <w:sz w:val="22"/>
                <w:szCs w:val="22"/>
              </w:rPr>
              <w:fldChar w:fldCharType="end"/>
            </w:r>
          </w:hyperlink>
        </w:p>
        <w:p w14:paraId="7DDB5F49" w14:textId="4455622E" w:rsidR="008F542A" w:rsidRPr="00E94F2A" w:rsidRDefault="008F542A" w:rsidP="00E94F2A">
          <w:pPr>
            <w:spacing w:line="360" w:lineRule="auto"/>
            <w:rPr>
              <w:rFonts w:ascii="Arial" w:hAnsi="Arial" w:cs="Arial"/>
              <w:sz w:val="22"/>
              <w:szCs w:val="22"/>
            </w:rPr>
          </w:pPr>
          <w:r w:rsidRPr="00E94F2A">
            <w:rPr>
              <w:rFonts w:ascii="Arial" w:hAnsi="Arial" w:cs="Arial"/>
              <w:b/>
              <w:bCs/>
              <w:sz w:val="22"/>
              <w:szCs w:val="22"/>
            </w:rPr>
            <w:fldChar w:fldCharType="end"/>
          </w:r>
        </w:p>
      </w:sdtContent>
    </w:sdt>
    <w:p w14:paraId="5536F26D" w14:textId="77777777" w:rsidR="001A1B0D" w:rsidRPr="00E94F2A" w:rsidRDefault="001A1B0D" w:rsidP="00E94F2A">
      <w:pPr>
        <w:spacing w:line="360" w:lineRule="auto"/>
        <w:jc w:val="both"/>
        <w:rPr>
          <w:rFonts w:ascii="Arial" w:hAnsi="Arial" w:cs="Arial"/>
          <w:b/>
          <w:bCs/>
          <w:sz w:val="22"/>
          <w:szCs w:val="22"/>
        </w:rPr>
      </w:pPr>
    </w:p>
    <w:p w14:paraId="50FE29AB" w14:textId="77777777" w:rsidR="001A1B0D" w:rsidRPr="00E94F2A" w:rsidRDefault="001A1B0D" w:rsidP="00E94F2A">
      <w:pPr>
        <w:spacing w:line="360" w:lineRule="auto"/>
        <w:rPr>
          <w:rFonts w:ascii="Arial" w:hAnsi="Arial" w:cs="Arial"/>
          <w:b/>
          <w:bCs/>
          <w:sz w:val="22"/>
          <w:szCs w:val="22"/>
        </w:rPr>
      </w:pPr>
      <w:r w:rsidRPr="00E94F2A">
        <w:rPr>
          <w:rFonts w:ascii="Arial" w:hAnsi="Arial" w:cs="Arial"/>
          <w:b/>
          <w:bCs/>
          <w:sz w:val="22"/>
          <w:szCs w:val="22"/>
        </w:rPr>
        <w:br w:type="page"/>
      </w:r>
    </w:p>
    <w:p w14:paraId="7B5037BD" w14:textId="77777777" w:rsidR="00D96DA3" w:rsidRPr="00E94F2A" w:rsidRDefault="00D96DA3" w:rsidP="00E94F2A">
      <w:pPr>
        <w:pStyle w:val="Heading1"/>
        <w:spacing w:line="360" w:lineRule="auto"/>
        <w:rPr>
          <w:rFonts w:cs="Arial"/>
          <w:sz w:val="22"/>
          <w:szCs w:val="22"/>
        </w:rPr>
      </w:pPr>
      <w:bookmarkStart w:id="0" w:name="_Toc235272549"/>
      <w:r w:rsidRPr="00E94F2A">
        <w:rPr>
          <w:rFonts w:cs="Arial"/>
          <w:sz w:val="22"/>
          <w:szCs w:val="22"/>
        </w:rPr>
        <w:lastRenderedPageBreak/>
        <w:t>1. Introduction</w:t>
      </w:r>
      <w:bookmarkEnd w:id="0"/>
      <w:r w:rsidRPr="00E94F2A">
        <w:rPr>
          <w:rFonts w:cs="Arial"/>
          <w:sz w:val="22"/>
          <w:szCs w:val="22"/>
        </w:rPr>
        <w:t xml:space="preserve"> </w:t>
      </w:r>
    </w:p>
    <w:p w14:paraId="4F774625" w14:textId="77777777" w:rsidR="00D96DA3" w:rsidRPr="00E94F2A" w:rsidRDefault="00D96DA3" w:rsidP="00E94F2A">
      <w:pPr>
        <w:spacing w:line="360" w:lineRule="auto"/>
        <w:jc w:val="both"/>
        <w:rPr>
          <w:rFonts w:ascii="Arial" w:hAnsi="Arial" w:cs="Arial"/>
          <w:sz w:val="22"/>
          <w:szCs w:val="22"/>
        </w:rPr>
      </w:pPr>
      <w:proofErr w:type="spellStart"/>
      <w:r w:rsidRPr="00E94F2A">
        <w:rPr>
          <w:rFonts w:ascii="Arial" w:hAnsi="Arial" w:cs="Arial"/>
          <w:sz w:val="22"/>
          <w:szCs w:val="22"/>
        </w:rPr>
        <w:t>Maldiva</w:t>
      </w:r>
      <w:proofErr w:type="spellEnd"/>
      <w:r w:rsidRPr="00E94F2A">
        <w:rPr>
          <w:rFonts w:ascii="Arial" w:hAnsi="Arial" w:cs="Arial"/>
          <w:sz w:val="22"/>
          <w:szCs w:val="22"/>
        </w:rPr>
        <w:t xml:space="preserve"> Ltd. is a dynamic, fast-growing fictional consumer electronics retailer with 30 physical stores across key locations and a robust e-commerce platform. Over the past year, the company has experienced substantial sales growth, driven by increasing consumer demand for electronics and successful online expansion. Leadership is eager to capitalise on this momentum through further store openings and market penetration. However, significant operational challenges stemming from outdated and inefficient information systems threaten sustainability and scalability (</w:t>
      </w:r>
      <w:proofErr w:type="spellStart"/>
      <w:r w:rsidRPr="00E94F2A">
        <w:rPr>
          <w:rFonts w:ascii="Arial" w:hAnsi="Arial" w:cs="Arial"/>
          <w:sz w:val="22"/>
          <w:szCs w:val="22"/>
        </w:rPr>
        <w:t>ITransition</w:t>
      </w:r>
      <w:proofErr w:type="spellEnd"/>
      <w:r w:rsidRPr="00E94F2A">
        <w:rPr>
          <w:rFonts w:ascii="Arial" w:hAnsi="Arial" w:cs="Arial"/>
          <w:sz w:val="22"/>
          <w:szCs w:val="22"/>
        </w:rPr>
        <w:t>, 2025; Laudon and Laudon, 2021).</w:t>
      </w:r>
    </w:p>
    <w:p w14:paraId="2DCAD647"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At the core of these issues is the manual inventory tracking system. Stock levels are not synchronised in real time between physical stores and the online channel. Customers frequently encounter situations where items ordered online are unavailable upon fulfilment, leading to backorders, cancellations, refunds, and damaged customer trust. Store managers face difficulties in monitoring overstocked and understocked products, resulting in tied-up capital, increased holding costs, and lost sales opportunities. These discrepancies directly contribute to financial losses and delays in order processing (Panorama Consulting, 2022; Microsoft Dynamics World, 2025).</w:t>
      </w:r>
    </w:p>
    <w:p w14:paraId="598B3DA7"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Customer relationship management (CRM) presents another critical pain point. Customer data resides across multiple disconnected systems, making it nearly impossible to maintain accurate purchase histories or generate actionable insights. The marketing team struggles to design and deploy targeted promotions, while customer support representatives lack immediate access to relevant records, prolonging resolution times and reducing service quality (Priority Software, 2025; Zhu et al., 2010). This fragmentation undermines customer loyalty in a competitive retail landscape where personalisation is expected.</w:t>
      </w:r>
    </w:p>
    <w:p w14:paraId="4DC92408"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Decision-making processes are equally hampered. Sales reports are manually compiled from spreadsheets, often containing errors and relying on outdated information. Management lacks access to real-time analytics for sales trends, demand forecasting, or performance evaluation, leading to suboptimal inventory decisions and missed revenue opportunities (WJARR, 2025; Laudon and Laudon, 2021).</w:t>
      </w:r>
    </w:p>
    <w:p w14:paraId="3878241E"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Compliance with data protection regulations such as GDPR is another pressing concern. The current systems lack robust secure access controls, encryption standards, and audit capabilities, increasing vulnerability to unauthorised access and potential legal penalties. In an era of heightened cyber threats, this exposure could result in significant fines and reputational damage (GDPR.eu, n.d.; Atlan, 2025).</w:t>
      </w:r>
    </w:p>
    <w:p w14:paraId="740E6B3C"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lastRenderedPageBreak/>
        <w:t>Finally, the absence of integration across departments—sales, finance, inventory, and operations—creates bottlenecks. Employees waste time on manual data transfers, which not only reduces productivity but also amplifies the risk of human error (Codeless Platforms, 2025; Siddiqui et al., 2023).</w:t>
      </w:r>
    </w:p>
    <w:p w14:paraId="6834E2EB"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This proposal outlines a comprehensive solution: the adoption of a modern cloud-based Enterprise Resource Planning (ERP) system with integrated CRM functionalities. Drawing upon industry reports, academic literature, and successful retail case studies, it demonstrates how such a system will address these challenges, drive efficiency, improve customer satisfaction, and support long-term growth (NetSuite, 2024; QAD, 2025; Hong et al., 2024). The following sections evaluate current systems, detail the recommendation, outline implementation, and summarise expected benefits.</w:t>
      </w:r>
    </w:p>
    <w:p w14:paraId="4FF2309B" w14:textId="77777777" w:rsidR="00D96DA3" w:rsidRPr="00E94F2A" w:rsidRDefault="00D96DA3" w:rsidP="00E94F2A">
      <w:pPr>
        <w:spacing w:line="360" w:lineRule="auto"/>
        <w:jc w:val="both"/>
        <w:rPr>
          <w:rFonts w:ascii="Arial" w:hAnsi="Arial" w:cs="Arial"/>
          <w:sz w:val="22"/>
          <w:szCs w:val="22"/>
        </w:rPr>
      </w:pPr>
    </w:p>
    <w:p w14:paraId="193F7EFB" w14:textId="77777777" w:rsidR="00D96DA3" w:rsidRPr="00E94F2A" w:rsidRDefault="00D96DA3" w:rsidP="00E94F2A">
      <w:pPr>
        <w:pStyle w:val="Heading1"/>
        <w:spacing w:line="360" w:lineRule="auto"/>
        <w:rPr>
          <w:rFonts w:cs="Arial"/>
          <w:sz w:val="22"/>
          <w:szCs w:val="22"/>
        </w:rPr>
      </w:pPr>
      <w:bookmarkStart w:id="1" w:name="_Toc235272550"/>
      <w:r w:rsidRPr="00E94F2A">
        <w:rPr>
          <w:rFonts w:cs="Arial"/>
          <w:sz w:val="22"/>
          <w:szCs w:val="22"/>
        </w:rPr>
        <w:t>2. Evaluation of Existing Systems</w:t>
      </w:r>
      <w:bookmarkEnd w:id="1"/>
      <w:r w:rsidRPr="00E94F2A">
        <w:rPr>
          <w:rFonts w:cs="Arial"/>
          <w:sz w:val="22"/>
          <w:szCs w:val="22"/>
        </w:rPr>
        <w:t xml:space="preserve"> </w:t>
      </w:r>
    </w:p>
    <w:p w14:paraId="33F72067" w14:textId="77777777" w:rsidR="00D96DA3" w:rsidRPr="00E94F2A" w:rsidRDefault="00D96DA3" w:rsidP="00E94F2A">
      <w:pPr>
        <w:spacing w:line="360" w:lineRule="auto"/>
        <w:jc w:val="both"/>
        <w:rPr>
          <w:rFonts w:ascii="Arial" w:hAnsi="Arial" w:cs="Arial"/>
          <w:sz w:val="22"/>
          <w:szCs w:val="22"/>
        </w:rPr>
      </w:pPr>
      <w:proofErr w:type="spellStart"/>
      <w:r w:rsidRPr="00E94F2A">
        <w:rPr>
          <w:rFonts w:ascii="Arial" w:hAnsi="Arial" w:cs="Arial"/>
          <w:sz w:val="22"/>
          <w:szCs w:val="22"/>
        </w:rPr>
        <w:t>Maldiva</w:t>
      </w:r>
      <w:proofErr w:type="spellEnd"/>
      <w:r w:rsidRPr="00E94F2A">
        <w:rPr>
          <w:rFonts w:ascii="Arial" w:hAnsi="Arial" w:cs="Arial"/>
          <w:sz w:val="22"/>
          <w:szCs w:val="22"/>
        </w:rPr>
        <w:t xml:space="preserve"> Ltd.’s existing information systems are predominantly </w:t>
      </w:r>
      <w:proofErr w:type="gramStart"/>
      <w:r w:rsidRPr="00E94F2A">
        <w:rPr>
          <w:rFonts w:ascii="Arial" w:hAnsi="Arial" w:cs="Arial"/>
          <w:sz w:val="22"/>
          <w:szCs w:val="22"/>
        </w:rPr>
        <w:t>legacy-based</w:t>
      </w:r>
      <w:proofErr w:type="gramEnd"/>
      <w:r w:rsidRPr="00E94F2A">
        <w:rPr>
          <w:rFonts w:ascii="Arial" w:hAnsi="Arial" w:cs="Arial"/>
          <w:sz w:val="22"/>
          <w:szCs w:val="22"/>
        </w:rPr>
        <w:t xml:space="preserve">, relying on manual processes and siloed applications that no longer meet the demands of a multi-channel retailer. The inventory management system, largely manual or supported by basic standalone tools, fails to provide unified visibility. Physical store data and e-commerce inventories are updated separately, often through end-of-day reconciliations. This leads to frequent inaccuracies, with stockouts occurring despite apparent availability in one channel and excess inventory accumulating unnoticed in another. Such inefficiencies result in higher carrying costs, stock obsolescence for electronics (which have short product life cycles), and customer dissatisfaction (Panorama Consulting, 2022; </w:t>
      </w:r>
      <w:proofErr w:type="spellStart"/>
      <w:r w:rsidRPr="00E94F2A">
        <w:rPr>
          <w:rFonts w:ascii="Arial" w:hAnsi="Arial" w:cs="Arial"/>
          <w:sz w:val="22"/>
          <w:szCs w:val="22"/>
        </w:rPr>
        <w:t>ITransition</w:t>
      </w:r>
      <w:proofErr w:type="spellEnd"/>
      <w:r w:rsidRPr="00E94F2A">
        <w:rPr>
          <w:rFonts w:ascii="Arial" w:hAnsi="Arial" w:cs="Arial"/>
          <w:sz w:val="22"/>
          <w:szCs w:val="22"/>
        </w:rPr>
        <w:t>, 2025).</w:t>
      </w:r>
    </w:p>
    <w:p w14:paraId="2AA2D241"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CRM capabilities are severely limited by data fragmentation. Information on customer interactions, purchases, preferences, and feedback is scattered across email systems, point-of-sale terminals, and separate databases. This prevents the creation of comprehensive customer profiles essential for segmentation and personalisation. Consequently, marketing campaigns remain generic and less effective, while support teams spend excessive time gathering information during interactions, impacting first-contact resolution rates (Priority Software, 2025; Zhu et al., 2010). In today’s retail environment, where data-driven personalisation drives loyalty, these gaps represent a competitive disadvantage.</w:t>
      </w:r>
    </w:p>
    <w:p w14:paraId="4368E25A"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Reporting and analytics are equally outdated. Managers compile sales reports manually using spreadsheets, a process that is labour-intensive, prone to transcription errors, and incapable of delivering timely insights. Without real-time dashboards or predictive analytics, leadership cannot effectively monitor key performance indicators (KPIs) such as sell-through rates, </w:t>
      </w:r>
      <w:r w:rsidRPr="00E94F2A">
        <w:rPr>
          <w:rFonts w:ascii="Arial" w:hAnsi="Arial" w:cs="Arial"/>
          <w:sz w:val="22"/>
          <w:szCs w:val="22"/>
        </w:rPr>
        <w:lastRenderedPageBreak/>
        <w:t>regional performance variations, or emerging trends in consumer electronics demand. This hampers strategic planning and responsive decision-making (WJARR, 2025; Laudon and Laudon, 2021).</w:t>
      </w:r>
    </w:p>
    <w:p w14:paraId="29C06F43"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Inter-departmental integration is virtually non-existent. Sales teams enter orders in one system, inventory updates occur separately, and finance reconciles data through manual uploads. This not only consumes valuable employee time but also introduces inconsistencies and delays in financial reporting and supply chain coordination (Codeless Platforms, 2025; Siddiqui et al., 2023).</w:t>
      </w:r>
    </w:p>
    <w:p w14:paraId="56792BA4"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From a compliance perspective, the systems fall short of GDPR requirements. There is limited control over data access, inadequate consent tracking, and insufficient measures for data subject rights (e.g., right to erasure). This increases breach risks and potential regulatory fines of up to 4% of global turnover (GDPR.eu, n.d.; Atlan, 2025).</w:t>
      </w:r>
    </w:p>
    <w:p w14:paraId="018C054E"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Overall, these legacy systems create a cycle of inefficiency, error, and risk that constrains growth. Academic and industry analyses confirm that retailers with similar fragmented infrastructures experience higher operational costs and lower agility compared to integrated competitors (</w:t>
      </w:r>
      <w:proofErr w:type="spellStart"/>
      <w:r w:rsidRPr="00E94F2A">
        <w:rPr>
          <w:rFonts w:ascii="Arial" w:hAnsi="Arial" w:cs="Arial"/>
          <w:sz w:val="22"/>
          <w:szCs w:val="22"/>
        </w:rPr>
        <w:t>Tongsuksai</w:t>
      </w:r>
      <w:proofErr w:type="spellEnd"/>
      <w:r w:rsidRPr="00E94F2A">
        <w:rPr>
          <w:rFonts w:ascii="Arial" w:hAnsi="Arial" w:cs="Arial"/>
          <w:sz w:val="22"/>
          <w:szCs w:val="22"/>
        </w:rPr>
        <w:t xml:space="preserve"> et al., 2022; Garg, 2010). A holistic modernisation is therefore essential.</w:t>
      </w:r>
    </w:p>
    <w:p w14:paraId="73B422D3" w14:textId="77777777" w:rsidR="00D96DA3" w:rsidRPr="00E94F2A" w:rsidRDefault="00D96DA3" w:rsidP="00E94F2A">
      <w:pPr>
        <w:spacing w:line="360" w:lineRule="auto"/>
        <w:jc w:val="both"/>
        <w:rPr>
          <w:rFonts w:ascii="Arial" w:hAnsi="Arial" w:cs="Arial"/>
          <w:sz w:val="22"/>
          <w:szCs w:val="22"/>
        </w:rPr>
      </w:pPr>
    </w:p>
    <w:p w14:paraId="60A90046" w14:textId="77777777" w:rsidR="00D96DA3" w:rsidRPr="00E94F2A" w:rsidRDefault="00D96DA3" w:rsidP="00E94F2A">
      <w:pPr>
        <w:pStyle w:val="Heading1"/>
        <w:spacing w:line="360" w:lineRule="auto"/>
        <w:rPr>
          <w:rFonts w:cs="Arial"/>
          <w:sz w:val="22"/>
          <w:szCs w:val="22"/>
        </w:rPr>
      </w:pPr>
      <w:bookmarkStart w:id="2" w:name="_Toc235272551"/>
      <w:r w:rsidRPr="00E94F2A">
        <w:rPr>
          <w:rFonts w:cs="Arial"/>
          <w:sz w:val="22"/>
          <w:szCs w:val="22"/>
        </w:rPr>
        <w:t>3. Recommended Solution</w:t>
      </w:r>
      <w:bookmarkEnd w:id="2"/>
      <w:r w:rsidRPr="00E94F2A">
        <w:rPr>
          <w:rFonts w:cs="Arial"/>
          <w:sz w:val="22"/>
          <w:szCs w:val="22"/>
        </w:rPr>
        <w:t xml:space="preserve"> </w:t>
      </w:r>
    </w:p>
    <w:p w14:paraId="4E7C59F7"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The recommended solution is the implementation of a cloud-based ERP system integrated with advanced CRM, inventory, POS, supply chain, and business intelligence modules. Platforms such as Microsoft Dynamics 365 for Retail or SAP Business One Cloud are strong fits due to their retail-specific functionalities, scalability, and proven track records (Microsoft Dynamics World, 2025; </w:t>
      </w:r>
      <w:proofErr w:type="spellStart"/>
      <w:r w:rsidRPr="00E94F2A">
        <w:rPr>
          <w:rFonts w:ascii="Arial" w:hAnsi="Arial" w:cs="Arial"/>
          <w:sz w:val="22"/>
          <w:szCs w:val="22"/>
        </w:rPr>
        <w:t>ITransition</w:t>
      </w:r>
      <w:proofErr w:type="spellEnd"/>
      <w:r w:rsidRPr="00E94F2A">
        <w:rPr>
          <w:rFonts w:ascii="Arial" w:hAnsi="Arial" w:cs="Arial"/>
          <w:sz w:val="22"/>
          <w:szCs w:val="22"/>
        </w:rPr>
        <w:t>, 2025).</w:t>
      </w:r>
    </w:p>
    <w:p w14:paraId="13943F16" w14:textId="77777777" w:rsidR="00D96DA3" w:rsidRPr="00E94F2A" w:rsidRDefault="00D96DA3" w:rsidP="00E94F2A">
      <w:pPr>
        <w:spacing w:line="360" w:lineRule="auto"/>
        <w:jc w:val="both"/>
        <w:rPr>
          <w:rFonts w:ascii="Arial" w:hAnsi="Arial" w:cs="Arial"/>
          <w:sz w:val="22"/>
          <w:szCs w:val="22"/>
        </w:rPr>
      </w:pPr>
      <w:bookmarkStart w:id="3" w:name="_Toc235272552"/>
      <w:r w:rsidRPr="00E94F2A">
        <w:rPr>
          <w:rStyle w:val="Heading2Char"/>
          <w:rFonts w:cs="Arial"/>
          <w:szCs w:val="22"/>
        </w:rPr>
        <w:t>Justification based on business needs</w:t>
      </w:r>
      <w:bookmarkEnd w:id="3"/>
      <w:r w:rsidRPr="00E94F2A">
        <w:rPr>
          <w:rFonts w:ascii="Arial" w:hAnsi="Arial" w:cs="Arial"/>
          <w:i/>
          <w:iCs/>
          <w:sz w:val="22"/>
          <w:szCs w:val="22"/>
          <w:u w:val="single"/>
        </w:rPr>
        <w:t>:</w:t>
      </w:r>
      <w:r w:rsidRPr="00E94F2A">
        <w:rPr>
          <w:rFonts w:ascii="Arial" w:hAnsi="Arial" w:cs="Arial"/>
          <w:sz w:val="22"/>
          <w:szCs w:val="22"/>
        </w:rPr>
        <w:t xml:space="preserve"> The system addresses inventory challenges through real-time tracking and automated replenishment alerts. Multi-channel visibility ensures that stock levels across all 30 stores and the e-commerce site are synchronised instantly. POS integration automatically deducts sold items, minimising discrepancies and enabling accurate demand forecasting using historical and predictive analytics (Panorama Consulting, 2022; WJARR, 2025). This directly reduces stockouts, overstock, and associated financial losses.</w:t>
      </w:r>
    </w:p>
    <w:p w14:paraId="3944E71D"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For CRM and customer experience, the unified database consolidates all touchpoints into a single 360-degree customer view. Features such as segmentation, automated personalised campaigns, purchase history analysis, and AI-driven recommendations empower marketing </w:t>
      </w:r>
      <w:r w:rsidRPr="00E94F2A">
        <w:rPr>
          <w:rFonts w:ascii="Arial" w:hAnsi="Arial" w:cs="Arial"/>
          <w:sz w:val="22"/>
          <w:szCs w:val="22"/>
        </w:rPr>
        <w:lastRenderedPageBreak/>
        <w:t>and support teams. Integration with ERP ensures that inventory availability informs customer-facing processes in real time, improving order accuracy and satisfaction (Priority Software, 2025; Codeless Platforms, 2025; NetSuite, 2024).</w:t>
      </w:r>
    </w:p>
    <w:p w14:paraId="23631F40"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Decision-making improves dramatically with embedded analytics and dashboards. Real-time reporting on sales trends, profitability by product/store, and forecasting models replaces manual spreadsheets. Management gains actionable insights for pricing, promotions, and expansion decisions, fostering data-driven agility in a volatile electronics market (Laudon and Laudon, 2021; QAD, 2025).</w:t>
      </w:r>
    </w:p>
    <w:p w14:paraId="2CB29A51" w14:textId="77777777" w:rsidR="00D96DA3" w:rsidRPr="00E94F2A" w:rsidRDefault="00D96DA3" w:rsidP="00E94F2A">
      <w:pPr>
        <w:spacing w:line="360" w:lineRule="auto"/>
        <w:jc w:val="both"/>
        <w:rPr>
          <w:rFonts w:ascii="Arial" w:hAnsi="Arial" w:cs="Arial"/>
          <w:sz w:val="22"/>
          <w:szCs w:val="22"/>
        </w:rPr>
      </w:pPr>
      <w:bookmarkStart w:id="4" w:name="_Toc235272553"/>
      <w:r w:rsidRPr="00E94F2A">
        <w:rPr>
          <w:rStyle w:val="Heading2Char"/>
          <w:rFonts w:cs="Arial"/>
          <w:szCs w:val="22"/>
        </w:rPr>
        <w:t>Compliance and security</w:t>
      </w:r>
      <w:bookmarkEnd w:id="4"/>
      <w:r w:rsidRPr="00E94F2A">
        <w:rPr>
          <w:rFonts w:ascii="Arial" w:hAnsi="Arial" w:cs="Arial"/>
          <w:i/>
          <w:iCs/>
          <w:sz w:val="22"/>
          <w:szCs w:val="22"/>
          <w:u w:val="single"/>
        </w:rPr>
        <w:t>:</w:t>
      </w:r>
      <w:r w:rsidRPr="00E94F2A">
        <w:rPr>
          <w:rFonts w:ascii="Arial" w:hAnsi="Arial" w:cs="Arial"/>
          <w:sz w:val="22"/>
          <w:szCs w:val="22"/>
        </w:rPr>
        <w:t xml:space="preserve"> Modern cloud ERP solutions incorporate GDPR-compliant tools including consent management, data encryption, anonymisation options, audit trails, and automated breach notification capabilities. Role-based access controls further mitigate risks, providing peace of mind and legal protection (GDPR.eu, n.d.; Atlan, 2025).</w:t>
      </w:r>
    </w:p>
    <w:p w14:paraId="5AD6D484" w14:textId="77777777" w:rsidR="00D96DA3" w:rsidRPr="00E94F2A" w:rsidRDefault="00D96DA3" w:rsidP="00E94F2A">
      <w:pPr>
        <w:spacing w:line="360" w:lineRule="auto"/>
        <w:jc w:val="both"/>
        <w:rPr>
          <w:rFonts w:ascii="Arial" w:hAnsi="Arial" w:cs="Arial"/>
          <w:sz w:val="22"/>
          <w:szCs w:val="22"/>
        </w:rPr>
      </w:pPr>
      <w:bookmarkStart w:id="5" w:name="_Toc235272554"/>
      <w:r w:rsidRPr="00E94F2A">
        <w:rPr>
          <w:rStyle w:val="Heading2Char"/>
          <w:rFonts w:cs="Arial"/>
          <w:szCs w:val="22"/>
        </w:rPr>
        <w:t>Cost, scalability, and ROI considerations</w:t>
      </w:r>
      <w:bookmarkEnd w:id="5"/>
      <w:r w:rsidRPr="00E94F2A">
        <w:rPr>
          <w:rFonts w:ascii="Arial" w:hAnsi="Arial" w:cs="Arial"/>
          <w:i/>
          <w:iCs/>
          <w:sz w:val="22"/>
          <w:szCs w:val="22"/>
          <w:u w:val="single"/>
        </w:rPr>
        <w:t>:</w:t>
      </w:r>
      <w:r w:rsidRPr="00E94F2A">
        <w:rPr>
          <w:rFonts w:ascii="Arial" w:hAnsi="Arial" w:cs="Arial"/>
          <w:sz w:val="22"/>
          <w:szCs w:val="22"/>
        </w:rPr>
        <w:t xml:space="preserve"> Cloud deployment eliminates heavy upfront capital expenditure on servers and infrastructure, shifting to predictable subscription models. Automatic updates ensure the system evolves without additional IT overhead. Scalability supports </w:t>
      </w:r>
      <w:proofErr w:type="spellStart"/>
      <w:r w:rsidRPr="00E94F2A">
        <w:rPr>
          <w:rFonts w:ascii="Arial" w:hAnsi="Arial" w:cs="Arial"/>
          <w:sz w:val="22"/>
          <w:szCs w:val="22"/>
        </w:rPr>
        <w:t>Maldiva’s</w:t>
      </w:r>
      <w:proofErr w:type="spellEnd"/>
      <w:r w:rsidRPr="00E94F2A">
        <w:rPr>
          <w:rFonts w:ascii="Arial" w:hAnsi="Arial" w:cs="Arial"/>
          <w:sz w:val="22"/>
          <w:szCs w:val="22"/>
        </w:rPr>
        <w:t xml:space="preserve"> growth ambitions—adding new stores or enhancing e-commerce features is straightforward (Hong et al., 2024; </w:t>
      </w:r>
      <w:proofErr w:type="spellStart"/>
      <w:r w:rsidRPr="00E94F2A">
        <w:rPr>
          <w:rFonts w:ascii="Arial" w:hAnsi="Arial" w:cs="Arial"/>
          <w:sz w:val="22"/>
          <w:szCs w:val="22"/>
        </w:rPr>
        <w:t>Tigunia</w:t>
      </w:r>
      <w:proofErr w:type="spellEnd"/>
      <w:r w:rsidRPr="00E94F2A">
        <w:rPr>
          <w:rFonts w:ascii="Arial" w:hAnsi="Arial" w:cs="Arial"/>
          <w:sz w:val="22"/>
          <w:szCs w:val="22"/>
        </w:rPr>
        <w:t xml:space="preserve">, 2024; </w:t>
      </w:r>
      <w:proofErr w:type="spellStart"/>
      <w:r w:rsidRPr="00E94F2A">
        <w:rPr>
          <w:rFonts w:ascii="Arial" w:hAnsi="Arial" w:cs="Arial"/>
          <w:sz w:val="22"/>
          <w:szCs w:val="22"/>
        </w:rPr>
        <w:t>Tongsuksai</w:t>
      </w:r>
      <w:proofErr w:type="spellEnd"/>
      <w:r w:rsidRPr="00E94F2A">
        <w:rPr>
          <w:rFonts w:ascii="Arial" w:hAnsi="Arial" w:cs="Arial"/>
          <w:sz w:val="22"/>
          <w:szCs w:val="22"/>
        </w:rPr>
        <w:t xml:space="preserve"> et al., 2022). Case studies of similar retailers demonstrate ROI through 20-40% improvements in inventory accuracy, reduced manual labour, faster order fulfilment, and increased sales from better customer engagement (NetSuite, 2024; WJARR, 2025; QAD, 2025).</w:t>
      </w:r>
    </w:p>
    <w:p w14:paraId="7EA3A38A"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Compared to alternatives like custom development or piecemeal software upgrades, a comprehensive cloud ERP offers superior integration, lower total cost of ownership, and faster time-to-value. Critical success factors such as top management support, user involvement, and change management—widely documented in ERP literature—will be prioritised (</w:t>
      </w:r>
      <w:proofErr w:type="spellStart"/>
      <w:r w:rsidRPr="00E94F2A">
        <w:rPr>
          <w:rFonts w:ascii="Arial" w:hAnsi="Arial" w:cs="Arial"/>
          <w:sz w:val="22"/>
          <w:szCs w:val="22"/>
        </w:rPr>
        <w:t>Akmila</w:t>
      </w:r>
      <w:proofErr w:type="spellEnd"/>
      <w:r w:rsidRPr="00E94F2A">
        <w:rPr>
          <w:rFonts w:ascii="Arial" w:hAnsi="Arial" w:cs="Arial"/>
          <w:sz w:val="22"/>
          <w:szCs w:val="22"/>
        </w:rPr>
        <w:t xml:space="preserve"> et al., 2023; </w:t>
      </w:r>
      <w:proofErr w:type="spellStart"/>
      <w:r w:rsidRPr="00E94F2A">
        <w:rPr>
          <w:rFonts w:ascii="Arial" w:hAnsi="Arial" w:cs="Arial"/>
          <w:sz w:val="22"/>
          <w:szCs w:val="22"/>
        </w:rPr>
        <w:t>Butarbutar</w:t>
      </w:r>
      <w:proofErr w:type="spellEnd"/>
      <w:r w:rsidRPr="00E94F2A">
        <w:rPr>
          <w:rFonts w:ascii="Arial" w:hAnsi="Arial" w:cs="Arial"/>
          <w:sz w:val="22"/>
          <w:szCs w:val="22"/>
        </w:rPr>
        <w:t xml:space="preserve"> et al., 2023; Goundar, 2020; Siddiqui et al., 2023; Zhu et al., 2010).</w:t>
      </w:r>
    </w:p>
    <w:p w14:paraId="66C5F24C"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This solution transforms </w:t>
      </w:r>
      <w:proofErr w:type="spellStart"/>
      <w:r w:rsidRPr="00E94F2A">
        <w:rPr>
          <w:rFonts w:ascii="Arial" w:hAnsi="Arial" w:cs="Arial"/>
          <w:sz w:val="22"/>
          <w:szCs w:val="22"/>
        </w:rPr>
        <w:t>Maldiva</w:t>
      </w:r>
      <w:proofErr w:type="spellEnd"/>
      <w:r w:rsidRPr="00E94F2A">
        <w:rPr>
          <w:rFonts w:ascii="Arial" w:hAnsi="Arial" w:cs="Arial"/>
          <w:sz w:val="22"/>
          <w:szCs w:val="22"/>
        </w:rPr>
        <w:t xml:space="preserve"> from a reactive, fragmented operation into a proactive, integrated, and customer-centric enterprise.</w:t>
      </w:r>
    </w:p>
    <w:p w14:paraId="52ED2F8A" w14:textId="77777777" w:rsidR="00D96DA3" w:rsidRPr="00E94F2A" w:rsidRDefault="00D96DA3" w:rsidP="00E94F2A">
      <w:pPr>
        <w:spacing w:line="360" w:lineRule="auto"/>
        <w:jc w:val="both"/>
        <w:rPr>
          <w:rFonts w:ascii="Arial" w:hAnsi="Arial" w:cs="Arial"/>
          <w:sz w:val="22"/>
          <w:szCs w:val="22"/>
        </w:rPr>
      </w:pPr>
    </w:p>
    <w:p w14:paraId="7045AA7B" w14:textId="77777777" w:rsidR="00D96DA3" w:rsidRPr="00E94F2A" w:rsidRDefault="00D96DA3" w:rsidP="00E94F2A">
      <w:pPr>
        <w:pStyle w:val="Heading1"/>
        <w:spacing w:line="360" w:lineRule="auto"/>
        <w:rPr>
          <w:rFonts w:cs="Arial"/>
          <w:sz w:val="22"/>
          <w:szCs w:val="22"/>
        </w:rPr>
      </w:pPr>
      <w:bookmarkStart w:id="6" w:name="_Toc235272555"/>
      <w:r w:rsidRPr="00E94F2A">
        <w:rPr>
          <w:rFonts w:cs="Arial"/>
          <w:sz w:val="22"/>
          <w:szCs w:val="22"/>
        </w:rPr>
        <w:t>4. Implementation Plan</w:t>
      </w:r>
      <w:bookmarkEnd w:id="6"/>
      <w:r w:rsidRPr="00E94F2A">
        <w:rPr>
          <w:rFonts w:cs="Arial"/>
          <w:sz w:val="22"/>
          <w:szCs w:val="22"/>
        </w:rPr>
        <w:t xml:space="preserve"> </w:t>
      </w:r>
    </w:p>
    <w:p w14:paraId="3BAA195C"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Successful ERP adoption requires a structured, phased approach to mitigate risks and maximise benefits. The proposed timeline spans 6-9 months, with clear milestones and governance (NetSuite, 2024; </w:t>
      </w:r>
      <w:proofErr w:type="spellStart"/>
      <w:r w:rsidRPr="00E94F2A">
        <w:rPr>
          <w:rFonts w:ascii="Arial" w:hAnsi="Arial" w:cs="Arial"/>
          <w:sz w:val="22"/>
          <w:szCs w:val="22"/>
        </w:rPr>
        <w:t>ITransition</w:t>
      </w:r>
      <w:proofErr w:type="spellEnd"/>
      <w:r w:rsidRPr="00E94F2A">
        <w:rPr>
          <w:rFonts w:ascii="Arial" w:hAnsi="Arial" w:cs="Arial"/>
          <w:sz w:val="22"/>
          <w:szCs w:val="22"/>
        </w:rPr>
        <w:t>, 2025; Goundar, 2020).</w:t>
      </w:r>
    </w:p>
    <w:p w14:paraId="079BAED3" w14:textId="77777777" w:rsidR="00D96DA3" w:rsidRPr="00E94F2A" w:rsidRDefault="00D96DA3" w:rsidP="00E94F2A">
      <w:pPr>
        <w:spacing w:line="360" w:lineRule="auto"/>
        <w:jc w:val="both"/>
        <w:rPr>
          <w:rFonts w:ascii="Arial" w:hAnsi="Arial" w:cs="Arial"/>
          <w:sz w:val="22"/>
          <w:szCs w:val="22"/>
        </w:rPr>
      </w:pPr>
      <w:bookmarkStart w:id="7" w:name="_Toc235272556"/>
      <w:r w:rsidRPr="00E94F2A">
        <w:rPr>
          <w:rStyle w:val="Heading2Char"/>
          <w:rFonts w:cs="Arial"/>
          <w:szCs w:val="22"/>
        </w:rPr>
        <w:lastRenderedPageBreak/>
        <w:t>Phase 1: Planning and Selection (Weeks 1-4):</w:t>
      </w:r>
      <w:bookmarkEnd w:id="7"/>
      <w:r w:rsidRPr="00E94F2A">
        <w:rPr>
          <w:rFonts w:ascii="Arial" w:hAnsi="Arial" w:cs="Arial"/>
          <w:sz w:val="22"/>
          <w:szCs w:val="22"/>
        </w:rPr>
        <w:t xml:space="preserve"> Assemble a project steering committee including representatives from IT, operations, finance, sales, and executive leadership. Conduct a detailed requirements analysis, business process mapping, and vendor demonstrations. Select the solution and implementation partner based on retail expertise, cost, and support offerings. Establish a risk register and detailed project plan with KPIs (Laudon and Laudon, 2021; Garg, 2010).</w:t>
      </w:r>
    </w:p>
    <w:p w14:paraId="7A8E844E" w14:textId="77777777" w:rsidR="00D96DA3" w:rsidRPr="00E94F2A" w:rsidRDefault="00D96DA3" w:rsidP="00E94F2A">
      <w:pPr>
        <w:spacing w:line="360" w:lineRule="auto"/>
        <w:jc w:val="both"/>
        <w:rPr>
          <w:rFonts w:ascii="Arial" w:hAnsi="Arial" w:cs="Arial"/>
          <w:sz w:val="22"/>
          <w:szCs w:val="22"/>
        </w:rPr>
      </w:pPr>
      <w:bookmarkStart w:id="8" w:name="_Toc235272557"/>
      <w:r w:rsidRPr="00E94F2A">
        <w:rPr>
          <w:rStyle w:val="Heading2Char"/>
          <w:rFonts w:cs="Arial"/>
          <w:szCs w:val="22"/>
        </w:rPr>
        <w:t>Phase 2: Data Preparation and Integration (Months 2-3):</w:t>
      </w:r>
      <w:bookmarkEnd w:id="8"/>
      <w:r w:rsidRPr="00E94F2A">
        <w:rPr>
          <w:rFonts w:ascii="Arial" w:hAnsi="Arial" w:cs="Arial"/>
          <w:sz w:val="22"/>
          <w:szCs w:val="22"/>
        </w:rPr>
        <w:t xml:space="preserve"> Perform comprehensive data auditing and cleansing to ensure quality migration. Develop integration strategies using APIs and middleware to connect with the existing e-commerce platform and any retained legacy elements. Pilot data flows for inventory and customer records (Codeless Platforms, 2025; Panorama Consulting, 2022).</w:t>
      </w:r>
    </w:p>
    <w:p w14:paraId="48769241" w14:textId="77777777" w:rsidR="00D96DA3" w:rsidRPr="00E94F2A" w:rsidRDefault="00D96DA3" w:rsidP="00E94F2A">
      <w:pPr>
        <w:spacing w:line="360" w:lineRule="auto"/>
        <w:jc w:val="both"/>
        <w:rPr>
          <w:rFonts w:ascii="Arial" w:hAnsi="Arial" w:cs="Arial"/>
          <w:sz w:val="22"/>
          <w:szCs w:val="22"/>
        </w:rPr>
      </w:pPr>
      <w:bookmarkStart w:id="9" w:name="_Toc235272558"/>
      <w:r w:rsidRPr="00E94F2A">
        <w:rPr>
          <w:rStyle w:val="Heading2Char"/>
          <w:rFonts w:cs="Arial"/>
          <w:szCs w:val="22"/>
        </w:rPr>
        <w:t>Phase 3: System Configuration, Customisation, and Testing (Months 3-5):</w:t>
      </w:r>
      <w:bookmarkEnd w:id="9"/>
      <w:r w:rsidRPr="00E94F2A">
        <w:rPr>
          <w:rFonts w:ascii="Arial" w:hAnsi="Arial" w:cs="Arial"/>
          <w:sz w:val="22"/>
          <w:szCs w:val="22"/>
        </w:rPr>
        <w:t xml:space="preserve"> Configure core modules (inventory, CRM, finance, reporting) with retail-specific workflows. Customise dashboards and reports to </w:t>
      </w:r>
      <w:proofErr w:type="spellStart"/>
      <w:r w:rsidRPr="00E94F2A">
        <w:rPr>
          <w:rFonts w:ascii="Arial" w:hAnsi="Arial" w:cs="Arial"/>
          <w:sz w:val="22"/>
          <w:szCs w:val="22"/>
        </w:rPr>
        <w:t>Maldiva’s</w:t>
      </w:r>
      <w:proofErr w:type="spellEnd"/>
      <w:r w:rsidRPr="00E94F2A">
        <w:rPr>
          <w:rFonts w:ascii="Arial" w:hAnsi="Arial" w:cs="Arial"/>
          <w:sz w:val="22"/>
          <w:szCs w:val="22"/>
        </w:rPr>
        <w:t xml:space="preserve"> needs. Conduct extensive testing—including unit, integration, user acceptance, and security tests—in a staging environment. Run parallel operations in a pilot store group to validate functionality (</w:t>
      </w:r>
      <w:proofErr w:type="spellStart"/>
      <w:r w:rsidRPr="00E94F2A">
        <w:rPr>
          <w:rFonts w:ascii="Arial" w:hAnsi="Arial" w:cs="Arial"/>
          <w:sz w:val="22"/>
          <w:szCs w:val="22"/>
        </w:rPr>
        <w:t>Akmila</w:t>
      </w:r>
      <w:proofErr w:type="spellEnd"/>
      <w:r w:rsidRPr="00E94F2A">
        <w:rPr>
          <w:rFonts w:ascii="Arial" w:hAnsi="Arial" w:cs="Arial"/>
          <w:sz w:val="22"/>
          <w:szCs w:val="22"/>
        </w:rPr>
        <w:t xml:space="preserve"> et al., 2023; Zhu et al., 2010).</w:t>
      </w:r>
    </w:p>
    <w:p w14:paraId="07D5B370" w14:textId="77777777" w:rsidR="00D96DA3" w:rsidRPr="00E94F2A" w:rsidRDefault="00D96DA3" w:rsidP="00E94F2A">
      <w:pPr>
        <w:spacing w:line="360" w:lineRule="auto"/>
        <w:jc w:val="both"/>
        <w:rPr>
          <w:rFonts w:ascii="Arial" w:hAnsi="Arial" w:cs="Arial"/>
          <w:sz w:val="22"/>
          <w:szCs w:val="22"/>
        </w:rPr>
      </w:pPr>
      <w:bookmarkStart w:id="10" w:name="_Toc235272559"/>
      <w:r w:rsidRPr="00E94F2A">
        <w:rPr>
          <w:rStyle w:val="Heading2Char"/>
          <w:rFonts w:cs="Arial"/>
          <w:szCs w:val="22"/>
        </w:rPr>
        <w:t>Phase 4: Training, Change Management, and Rollout Preparation (Months 4-6):</w:t>
      </w:r>
      <w:bookmarkEnd w:id="10"/>
      <w:r w:rsidRPr="00E94F2A">
        <w:rPr>
          <w:rFonts w:ascii="Arial" w:hAnsi="Arial" w:cs="Arial"/>
          <w:i/>
          <w:iCs/>
          <w:sz w:val="22"/>
          <w:szCs w:val="22"/>
          <w:u w:val="single"/>
        </w:rPr>
        <w:t xml:space="preserve"> </w:t>
      </w:r>
      <w:r w:rsidRPr="00E94F2A">
        <w:rPr>
          <w:rFonts w:ascii="Arial" w:hAnsi="Arial" w:cs="Arial"/>
          <w:sz w:val="22"/>
          <w:szCs w:val="22"/>
        </w:rPr>
        <w:t>Design and deliver comprehensive, role-based training programmes using a blend of classroom sessions, e-learning modules, and hands-on simulations. Address change resistance through regular communication, highlighting benefits and involving users early. Appoint super-users for ongoing peer support (</w:t>
      </w:r>
      <w:proofErr w:type="spellStart"/>
      <w:r w:rsidRPr="00E94F2A">
        <w:rPr>
          <w:rFonts w:ascii="Arial" w:hAnsi="Arial" w:cs="Arial"/>
          <w:sz w:val="22"/>
          <w:szCs w:val="22"/>
        </w:rPr>
        <w:t>Tigunia</w:t>
      </w:r>
      <w:proofErr w:type="spellEnd"/>
      <w:r w:rsidRPr="00E94F2A">
        <w:rPr>
          <w:rFonts w:ascii="Arial" w:hAnsi="Arial" w:cs="Arial"/>
          <w:sz w:val="22"/>
          <w:szCs w:val="22"/>
        </w:rPr>
        <w:t xml:space="preserve">, 2024; </w:t>
      </w:r>
      <w:proofErr w:type="spellStart"/>
      <w:r w:rsidRPr="00E94F2A">
        <w:rPr>
          <w:rFonts w:ascii="Arial" w:hAnsi="Arial" w:cs="Arial"/>
          <w:sz w:val="22"/>
          <w:szCs w:val="22"/>
        </w:rPr>
        <w:t>Butarbutar</w:t>
      </w:r>
      <w:proofErr w:type="spellEnd"/>
      <w:r w:rsidRPr="00E94F2A">
        <w:rPr>
          <w:rFonts w:ascii="Arial" w:hAnsi="Arial" w:cs="Arial"/>
          <w:sz w:val="22"/>
          <w:szCs w:val="22"/>
        </w:rPr>
        <w:t xml:space="preserve"> et al., 2023).</w:t>
      </w:r>
    </w:p>
    <w:p w14:paraId="2C5191C7" w14:textId="77777777" w:rsidR="00D96DA3" w:rsidRPr="00E94F2A" w:rsidRDefault="00D96DA3" w:rsidP="00E94F2A">
      <w:pPr>
        <w:spacing w:line="360" w:lineRule="auto"/>
        <w:jc w:val="both"/>
        <w:rPr>
          <w:rFonts w:ascii="Arial" w:hAnsi="Arial" w:cs="Arial"/>
          <w:sz w:val="22"/>
          <w:szCs w:val="22"/>
        </w:rPr>
      </w:pPr>
      <w:bookmarkStart w:id="11" w:name="_Toc235272560"/>
      <w:r w:rsidRPr="00E94F2A">
        <w:rPr>
          <w:rStyle w:val="Heading2Char"/>
          <w:rFonts w:cs="Arial"/>
          <w:szCs w:val="22"/>
        </w:rPr>
        <w:t>Phase 5: Go-Live, Monitoring, and Optimisation (Months 6-9):</w:t>
      </w:r>
      <w:bookmarkEnd w:id="11"/>
      <w:r w:rsidRPr="00E94F2A">
        <w:rPr>
          <w:rFonts w:ascii="Arial" w:hAnsi="Arial" w:cs="Arial"/>
          <w:sz w:val="22"/>
          <w:szCs w:val="22"/>
        </w:rPr>
        <w:t xml:space="preserve"> Execute a phased go-live (e.g., initial stores, then full network and online integration). Provide intensive hyper-care support in the first weeks. Monitor performance against KPIs, gather feedback, and implement adjustments. Establish long-term governance for updates and enhancements (Siddiqui et al., 2023; QAD, 2025).</w:t>
      </w:r>
    </w:p>
    <w:p w14:paraId="50523AB6" w14:textId="77777777" w:rsidR="00D96DA3" w:rsidRPr="00E94F2A" w:rsidRDefault="00D96DA3" w:rsidP="00E94F2A">
      <w:pPr>
        <w:spacing w:line="360" w:lineRule="auto"/>
        <w:jc w:val="both"/>
        <w:rPr>
          <w:rFonts w:ascii="Arial" w:hAnsi="Arial" w:cs="Arial"/>
          <w:sz w:val="22"/>
          <w:szCs w:val="22"/>
        </w:rPr>
      </w:pPr>
      <w:bookmarkStart w:id="12" w:name="_Toc235272561"/>
      <w:r w:rsidRPr="00E94F2A">
        <w:rPr>
          <w:rStyle w:val="Heading2Char"/>
          <w:rFonts w:cs="Arial"/>
          <w:szCs w:val="22"/>
        </w:rPr>
        <w:t>Key Considerations</w:t>
      </w:r>
      <w:bookmarkEnd w:id="12"/>
      <w:r w:rsidRPr="00E94F2A">
        <w:rPr>
          <w:rFonts w:ascii="Arial" w:hAnsi="Arial" w:cs="Arial"/>
          <w:i/>
          <w:iCs/>
          <w:sz w:val="22"/>
          <w:szCs w:val="22"/>
          <w:u w:val="single"/>
        </w:rPr>
        <w:t>:</w:t>
      </w:r>
      <w:r w:rsidRPr="00E94F2A">
        <w:rPr>
          <w:rFonts w:ascii="Arial" w:hAnsi="Arial" w:cs="Arial"/>
          <w:sz w:val="22"/>
          <w:szCs w:val="22"/>
        </w:rPr>
        <w:t xml:space="preserve"> Budget for training, potential temporary productivity dips, and contingency funds. Partner expertise is crucial for overcoming common challenges like data migration hurdles or user adoption barriers (</w:t>
      </w:r>
      <w:proofErr w:type="spellStart"/>
      <w:r w:rsidRPr="00E94F2A">
        <w:rPr>
          <w:rFonts w:ascii="Arial" w:hAnsi="Arial" w:cs="Arial"/>
          <w:sz w:val="22"/>
          <w:szCs w:val="22"/>
        </w:rPr>
        <w:t>ITransition</w:t>
      </w:r>
      <w:proofErr w:type="spellEnd"/>
      <w:r w:rsidRPr="00E94F2A">
        <w:rPr>
          <w:rFonts w:ascii="Arial" w:hAnsi="Arial" w:cs="Arial"/>
          <w:sz w:val="22"/>
          <w:szCs w:val="22"/>
        </w:rPr>
        <w:t>, 2025; Hong et al., 2024). Post-implementation, focus on continuous improvement through regular reviews and module expansions.</w:t>
      </w:r>
    </w:p>
    <w:p w14:paraId="7DA33387"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This structured plan, informed by best practices and lessons from successful retail ERP projects, positions </w:t>
      </w:r>
      <w:proofErr w:type="spellStart"/>
      <w:r w:rsidRPr="00E94F2A">
        <w:rPr>
          <w:rFonts w:ascii="Arial" w:hAnsi="Arial" w:cs="Arial"/>
          <w:sz w:val="22"/>
          <w:szCs w:val="22"/>
        </w:rPr>
        <w:t>Maldiva</w:t>
      </w:r>
      <w:proofErr w:type="spellEnd"/>
      <w:r w:rsidRPr="00E94F2A">
        <w:rPr>
          <w:rFonts w:ascii="Arial" w:hAnsi="Arial" w:cs="Arial"/>
          <w:sz w:val="22"/>
          <w:szCs w:val="22"/>
        </w:rPr>
        <w:t xml:space="preserve"> for a smooth transition (NetSuite, 2024; Goundar, 2020).</w:t>
      </w:r>
    </w:p>
    <w:p w14:paraId="78FCB2F5" w14:textId="77777777" w:rsidR="00D96DA3" w:rsidRPr="00E94F2A" w:rsidRDefault="00D96DA3" w:rsidP="00E94F2A">
      <w:pPr>
        <w:spacing w:line="360" w:lineRule="auto"/>
        <w:jc w:val="both"/>
        <w:rPr>
          <w:rFonts w:ascii="Arial" w:hAnsi="Arial" w:cs="Arial"/>
          <w:sz w:val="22"/>
          <w:szCs w:val="22"/>
        </w:rPr>
      </w:pPr>
    </w:p>
    <w:p w14:paraId="116A5705" w14:textId="77777777" w:rsidR="00D96DA3" w:rsidRPr="00E94F2A" w:rsidRDefault="00D96DA3" w:rsidP="00E94F2A">
      <w:pPr>
        <w:pStyle w:val="Heading1"/>
        <w:spacing w:line="360" w:lineRule="auto"/>
        <w:rPr>
          <w:rFonts w:cs="Arial"/>
          <w:sz w:val="22"/>
          <w:szCs w:val="22"/>
        </w:rPr>
      </w:pPr>
      <w:bookmarkStart w:id="13" w:name="_Toc235272562"/>
      <w:r w:rsidRPr="00E94F2A">
        <w:rPr>
          <w:rFonts w:cs="Arial"/>
          <w:sz w:val="22"/>
          <w:szCs w:val="22"/>
        </w:rPr>
        <w:lastRenderedPageBreak/>
        <w:t>5. Conclusion</w:t>
      </w:r>
      <w:bookmarkEnd w:id="13"/>
      <w:r w:rsidRPr="00E94F2A">
        <w:rPr>
          <w:rFonts w:cs="Arial"/>
          <w:sz w:val="22"/>
          <w:szCs w:val="22"/>
        </w:rPr>
        <w:t xml:space="preserve"> </w:t>
      </w:r>
    </w:p>
    <w:p w14:paraId="37991197"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In conclusion, </w:t>
      </w:r>
      <w:proofErr w:type="spellStart"/>
      <w:r w:rsidRPr="00E94F2A">
        <w:rPr>
          <w:rFonts w:ascii="Arial" w:hAnsi="Arial" w:cs="Arial"/>
          <w:sz w:val="22"/>
          <w:szCs w:val="22"/>
        </w:rPr>
        <w:t>Maldiva</w:t>
      </w:r>
      <w:proofErr w:type="spellEnd"/>
      <w:r w:rsidRPr="00E94F2A">
        <w:rPr>
          <w:rFonts w:ascii="Arial" w:hAnsi="Arial" w:cs="Arial"/>
          <w:sz w:val="22"/>
          <w:szCs w:val="22"/>
        </w:rPr>
        <w:t xml:space="preserve"> Ltd. stands at a pivotal juncture. The recommended cloud-based integrated ERP system with CRM will resolve critical inventory, customer data, reporting, compliance, and integration challenges while delivering substantial efficiency gains, enhanced customer experiences, and data-driven decision-making capabilities (</w:t>
      </w:r>
      <w:proofErr w:type="spellStart"/>
      <w:r w:rsidRPr="00E94F2A">
        <w:rPr>
          <w:rFonts w:ascii="Arial" w:hAnsi="Arial" w:cs="Arial"/>
          <w:sz w:val="22"/>
          <w:szCs w:val="22"/>
        </w:rPr>
        <w:t>ITransition</w:t>
      </w:r>
      <w:proofErr w:type="spellEnd"/>
      <w:r w:rsidRPr="00E94F2A">
        <w:rPr>
          <w:rFonts w:ascii="Arial" w:hAnsi="Arial" w:cs="Arial"/>
          <w:sz w:val="22"/>
          <w:szCs w:val="22"/>
        </w:rPr>
        <w:t>, 2025; Laudon and Laudon, 2021; WJARR, 2025; NetSuite, 2024). By addressing current pain points and building a scalable foundation, the company can confidently pursue growth, reduce operational costs, minimise risks, and strengthen its market position in the competitive consumer electronics sector (QAD, 2025; Hong et al., 2024).</w:t>
      </w:r>
    </w:p>
    <w:p w14:paraId="06449F3B" w14:textId="77777777" w:rsidR="00D96DA3" w:rsidRPr="00E94F2A" w:rsidRDefault="00D96DA3" w:rsidP="00E94F2A">
      <w:pPr>
        <w:spacing w:line="360" w:lineRule="auto"/>
        <w:jc w:val="both"/>
        <w:rPr>
          <w:rFonts w:ascii="Arial" w:hAnsi="Arial" w:cs="Arial"/>
          <w:sz w:val="22"/>
          <w:szCs w:val="22"/>
        </w:rPr>
      </w:pPr>
      <w:r w:rsidRPr="00E94F2A">
        <w:rPr>
          <w:rFonts w:ascii="Arial" w:hAnsi="Arial" w:cs="Arial"/>
          <w:sz w:val="22"/>
          <w:szCs w:val="22"/>
        </w:rPr>
        <w:t xml:space="preserve">Timely implementation, supported by strong leadership and effective change management, will yield measurable returns and position </w:t>
      </w:r>
      <w:proofErr w:type="spellStart"/>
      <w:r w:rsidRPr="00E94F2A">
        <w:rPr>
          <w:rFonts w:ascii="Arial" w:hAnsi="Arial" w:cs="Arial"/>
          <w:sz w:val="22"/>
          <w:szCs w:val="22"/>
        </w:rPr>
        <w:t>Maldiva</w:t>
      </w:r>
      <w:proofErr w:type="spellEnd"/>
      <w:r w:rsidRPr="00E94F2A">
        <w:rPr>
          <w:rFonts w:ascii="Arial" w:hAnsi="Arial" w:cs="Arial"/>
          <w:sz w:val="22"/>
          <w:szCs w:val="22"/>
        </w:rPr>
        <w:t xml:space="preserve"> as a modern, agile retailer. This strategic investment in information systems is not merely a technological upgrade but a catalyst for sustainable business transformation.</w:t>
      </w:r>
    </w:p>
    <w:p w14:paraId="119D57F4" w14:textId="77777777" w:rsidR="00D96DA3" w:rsidRPr="00E94F2A" w:rsidRDefault="00D96DA3" w:rsidP="00E94F2A">
      <w:pPr>
        <w:spacing w:line="360" w:lineRule="auto"/>
        <w:rPr>
          <w:rFonts w:ascii="Arial" w:hAnsi="Arial" w:cs="Arial"/>
          <w:sz w:val="22"/>
          <w:szCs w:val="22"/>
        </w:rPr>
      </w:pPr>
    </w:p>
    <w:p w14:paraId="5C43E3FC"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br w:type="page"/>
      </w:r>
    </w:p>
    <w:p w14:paraId="338E2B2A" w14:textId="77777777" w:rsidR="00D96DA3" w:rsidRPr="00E94F2A" w:rsidRDefault="00D96DA3" w:rsidP="00E94F2A">
      <w:pPr>
        <w:pStyle w:val="Heading1"/>
        <w:spacing w:line="360" w:lineRule="auto"/>
        <w:rPr>
          <w:rFonts w:cs="Arial"/>
          <w:sz w:val="22"/>
          <w:szCs w:val="22"/>
        </w:rPr>
      </w:pPr>
      <w:bookmarkStart w:id="14" w:name="_Toc235272563"/>
      <w:r w:rsidRPr="00E94F2A">
        <w:rPr>
          <w:rFonts w:cs="Arial"/>
          <w:sz w:val="22"/>
          <w:szCs w:val="22"/>
        </w:rPr>
        <w:lastRenderedPageBreak/>
        <w:t>References:</w:t>
      </w:r>
      <w:bookmarkEnd w:id="14"/>
    </w:p>
    <w:p w14:paraId="701AC452"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 </w:t>
      </w:r>
      <w:proofErr w:type="spellStart"/>
      <w:r w:rsidRPr="00E94F2A">
        <w:rPr>
          <w:rFonts w:ascii="Arial" w:hAnsi="Arial" w:cs="Arial"/>
          <w:sz w:val="22"/>
          <w:szCs w:val="22"/>
        </w:rPr>
        <w:t>Akmila</w:t>
      </w:r>
      <w:proofErr w:type="spellEnd"/>
      <w:r w:rsidRPr="00E94F2A">
        <w:rPr>
          <w:rFonts w:ascii="Arial" w:hAnsi="Arial" w:cs="Arial"/>
          <w:sz w:val="22"/>
          <w:szCs w:val="22"/>
        </w:rPr>
        <w:t xml:space="preserve">, F., Fadilah, I.N. and Dewi, H.R. (2023) Critical success factors of ERP implementation at retail franchise company in Indonesia, </w:t>
      </w:r>
      <w:r w:rsidRPr="00E94F2A">
        <w:rPr>
          <w:rFonts w:ascii="Arial" w:hAnsi="Arial" w:cs="Arial"/>
          <w:i/>
          <w:iCs/>
          <w:sz w:val="22"/>
          <w:szCs w:val="22"/>
        </w:rPr>
        <w:t>Journal of Contemporary Accounting</w:t>
      </w:r>
      <w:r w:rsidRPr="00E94F2A">
        <w:rPr>
          <w:rFonts w:ascii="Arial" w:hAnsi="Arial" w:cs="Arial"/>
          <w:sz w:val="22"/>
          <w:szCs w:val="22"/>
        </w:rPr>
        <w:t xml:space="preserve">, 5(2), pp.83–96. </w:t>
      </w:r>
      <w:hyperlink r:id="rId9" w:tgtFrame="_blank" w:history="1">
        <w:r w:rsidRPr="00E94F2A">
          <w:rPr>
            <w:rStyle w:val="Hyperlink"/>
            <w:rFonts w:ascii="Arial" w:hAnsi="Arial" w:cs="Arial"/>
            <w:color w:val="auto"/>
            <w:sz w:val="22"/>
            <w:szCs w:val="22"/>
          </w:rPr>
          <w:t>https://doi.org/10.20885/jca.vol5.iss2.art3</w:t>
        </w:r>
      </w:hyperlink>
      <w:r w:rsidRPr="00E94F2A">
        <w:rPr>
          <w:rFonts w:ascii="Arial" w:hAnsi="Arial" w:cs="Arial"/>
          <w:sz w:val="22"/>
          <w:szCs w:val="22"/>
        </w:rPr>
        <w:t xml:space="preserve">. </w:t>
      </w:r>
    </w:p>
    <w:p w14:paraId="4DEA645E"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2. Atlan (2025) </w:t>
      </w:r>
      <w:r w:rsidRPr="00E94F2A">
        <w:rPr>
          <w:rFonts w:ascii="Arial" w:hAnsi="Arial" w:cs="Arial"/>
          <w:i/>
          <w:iCs/>
          <w:sz w:val="22"/>
          <w:szCs w:val="22"/>
        </w:rPr>
        <w:t>Data Compliance Management in Retail in 2026</w:t>
      </w:r>
      <w:r w:rsidRPr="00E94F2A">
        <w:rPr>
          <w:rFonts w:ascii="Arial" w:hAnsi="Arial" w:cs="Arial"/>
          <w:sz w:val="22"/>
          <w:szCs w:val="22"/>
        </w:rPr>
        <w:t xml:space="preserve">. Available at: </w:t>
      </w:r>
      <w:hyperlink r:id="rId10" w:tgtFrame="_blank" w:history="1">
        <w:r w:rsidRPr="00E94F2A">
          <w:rPr>
            <w:rStyle w:val="Hyperlink"/>
            <w:rFonts w:ascii="Arial" w:hAnsi="Arial" w:cs="Arial"/>
            <w:color w:val="auto"/>
            <w:sz w:val="22"/>
            <w:szCs w:val="22"/>
          </w:rPr>
          <w:t>https://atlan.com/know/data-governance/data-compliance-management-in-retail/</w:t>
        </w:r>
      </w:hyperlink>
      <w:r w:rsidRPr="00E94F2A">
        <w:rPr>
          <w:rFonts w:ascii="Arial" w:hAnsi="Arial" w:cs="Arial"/>
          <w:sz w:val="22"/>
          <w:szCs w:val="22"/>
        </w:rPr>
        <w:t xml:space="preserve"> (Accessed: 12 July 2026). </w:t>
      </w:r>
    </w:p>
    <w:p w14:paraId="34193740"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3. </w:t>
      </w:r>
      <w:proofErr w:type="spellStart"/>
      <w:r w:rsidRPr="00E94F2A">
        <w:rPr>
          <w:rFonts w:ascii="Arial" w:hAnsi="Arial" w:cs="Arial"/>
          <w:sz w:val="22"/>
          <w:szCs w:val="22"/>
        </w:rPr>
        <w:t>Butarbutar</w:t>
      </w:r>
      <w:proofErr w:type="spellEnd"/>
      <w:r w:rsidRPr="00E94F2A">
        <w:rPr>
          <w:rFonts w:ascii="Arial" w:hAnsi="Arial" w:cs="Arial"/>
          <w:sz w:val="22"/>
          <w:szCs w:val="22"/>
        </w:rPr>
        <w:t xml:space="preserve">, Z.T. et al. (2023) Systematic literature review of Critical success factors on enterprise resource planning post implementation, </w:t>
      </w:r>
      <w:r w:rsidRPr="00E94F2A">
        <w:rPr>
          <w:rFonts w:ascii="Arial" w:hAnsi="Arial" w:cs="Arial"/>
          <w:i/>
          <w:iCs/>
          <w:sz w:val="22"/>
          <w:szCs w:val="22"/>
        </w:rPr>
        <w:t>Cogent Business &amp; Management</w:t>
      </w:r>
      <w:r w:rsidRPr="00E94F2A">
        <w:rPr>
          <w:rFonts w:ascii="Arial" w:hAnsi="Arial" w:cs="Arial"/>
          <w:sz w:val="22"/>
          <w:szCs w:val="22"/>
        </w:rPr>
        <w:t xml:space="preserve">, 10(1). </w:t>
      </w:r>
      <w:hyperlink r:id="rId11" w:tgtFrame="_blank" w:history="1">
        <w:r w:rsidRPr="00E94F2A">
          <w:rPr>
            <w:rStyle w:val="Hyperlink"/>
            <w:rFonts w:ascii="Arial" w:hAnsi="Arial" w:cs="Arial"/>
            <w:color w:val="auto"/>
            <w:sz w:val="22"/>
            <w:szCs w:val="22"/>
          </w:rPr>
          <w:t>https://doi.org/10.1080/23311975.2023.2264001</w:t>
        </w:r>
      </w:hyperlink>
      <w:r w:rsidRPr="00E94F2A">
        <w:rPr>
          <w:rFonts w:ascii="Arial" w:hAnsi="Arial" w:cs="Arial"/>
          <w:sz w:val="22"/>
          <w:szCs w:val="22"/>
        </w:rPr>
        <w:t xml:space="preserve">. </w:t>
      </w:r>
    </w:p>
    <w:p w14:paraId="46696891"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4. Codeless Platforms (2025) </w:t>
      </w:r>
      <w:r w:rsidRPr="00E94F2A">
        <w:rPr>
          <w:rFonts w:ascii="Arial" w:hAnsi="Arial" w:cs="Arial"/>
          <w:i/>
          <w:iCs/>
          <w:sz w:val="22"/>
          <w:szCs w:val="22"/>
        </w:rPr>
        <w:t>12 Real-World ERP Integration Examples</w:t>
      </w:r>
      <w:r w:rsidRPr="00E94F2A">
        <w:rPr>
          <w:rFonts w:ascii="Arial" w:hAnsi="Arial" w:cs="Arial"/>
          <w:sz w:val="22"/>
          <w:szCs w:val="22"/>
        </w:rPr>
        <w:t xml:space="preserve">. Available at: </w:t>
      </w:r>
      <w:hyperlink r:id="rId12" w:tgtFrame="_blank" w:history="1">
        <w:r w:rsidRPr="00E94F2A">
          <w:rPr>
            <w:rStyle w:val="Hyperlink"/>
            <w:rFonts w:ascii="Arial" w:hAnsi="Arial" w:cs="Arial"/>
            <w:color w:val="auto"/>
            <w:sz w:val="22"/>
            <w:szCs w:val="22"/>
          </w:rPr>
          <w:t>https://www.codelessplatforms.com/real-world-erp-integration-examples/</w:t>
        </w:r>
      </w:hyperlink>
      <w:r w:rsidRPr="00E94F2A">
        <w:rPr>
          <w:rFonts w:ascii="Arial" w:hAnsi="Arial" w:cs="Arial"/>
          <w:sz w:val="22"/>
          <w:szCs w:val="22"/>
        </w:rPr>
        <w:t xml:space="preserve"> (Accessed: 12 July 2026). </w:t>
      </w:r>
    </w:p>
    <w:p w14:paraId="54DD661B"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5. Garg, P. (2010) Critical Success factors for Enterprise Resource Planning implementation in Indian retail sector, arXiv:1006.5749. </w:t>
      </w:r>
    </w:p>
    <w:p w14:paraId="4CA2F512"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6. GDPR.eu (n.d.) </w:t>
      </w:r>
      <w:r w:rsidRPr="00E94F2A">
        <w:rPr>
          <w:rFonts w:ascii="Arial" w:hAnsi="Arial" w:cs="Arial"/>
          <w:i/>
          <w:iCs/>
          <w:sz w:val="22"/>
          <w:szCs w:val="22"/>
        </w:rPr>
        <w:t>What is GDPR, the EU's new data protection law?</w:t>
      </w:r>
      <w:r w:rsidRPr="00E94F2A">
        <w:rPr>
          <w:rFonts w:ascii="Arial" w:hAnsi="Arial" w:cs="Arial"/>
          <w:sz w:val="22"/>
          <w:szCs w:val="22"/>
        </w:rPr>
        <w:t xml:space="preserve"> Available at: </w:t>
      </w:r>
      <w:hyperlink r:id="rId13" w:tgtFrame="_blank" w:history="1">
        <w:r w:rsidRPr="00E94F2A">
          <w:rPr>
            <w:rStyle w:val="Hyperlink"/>
            <w:rFonts w:ascii="Arial" w:hAnsi="Arial" w:cs="Arial"/>
            <w:color w:val="auto"/>
            <w:sz w:val="22"/>
            <w:szCs w:val="22"/>
          </w:rPr>
          <w:t>https://gdpr.eu/what-is-gdpr/</w:t>
        </w:r>
      </w:hyperlink>
      <w:r w:rsidRPr="00E94F2A">
        <w:rPr>
          <w:rFonts w:ascii="Arial" w:hAnsi="Arial" w:cs="Arial"/>
          <w:sz w:val="22"/>
          <w:szCs w:val="22"/>
        </w:rPr>
        <w:t xml:space="preserve"> (Accessed: 12 July 2026). </w:t>
      </w:r>
    </w:p>
    <w:p w14:paraId="22A09685"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7. Goundar, S. (2020) ERP Implementation Challenges and Critical Success Factors, in </w:t>
      </w:r>
      <w:r w:rsidRPr="00E94F2A">
        <w:rPr>
          <w:rFonts w:ascii="Arial" w:hAnsi="Arial" w:cs="Arial"/>
          <w:i/>
          <w:iCs/>
          <w:sz w:val="22"/>
          <w:szCs w:val="22"/>
        </w:rPr>
        <w:t>Enterprise Systems and Technological Convergence</w:t>
      </w:r>
      <w:r w:rsidRPr="00E94F2A">
        <w:rPr>
          <w:rFonts w:ascii="Arial" w:hAnsi="Arial" w:cs="Arial"/>
          <w:sz w:val="22"/>
          <w:szCs w:val="22"/>
        </w:rPr>
        <w:t xml:space="preserve">. Emerald Publishing. </w:t>
      </w:r>
    </w:p>
    <w:p w14:paraId="05BB4423"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8. Hong, P.W. et al. (2024) Exploring cloud enterprise resource planning, </w:t>
      </w:r>
      <w:r w:rsidRPr="00E94F2A">
        <w:rPr>
          <w:rFonts w:ascii="Arial" w:hAnsi="Arial" w:cs="Arial"/>
          <w:i/>
          <w:iCs/>
          <w:sz w:val="22"/>
          <w:szCs w:val="22"/>
        </w:rPr>
        <w:t>Journal of Open Innovation</w:t>
      </w:r>
      <w:r w:rsidRPr="00E94F2A">
        <w:rPr>
          <w:rFonts w:ascii="Arial" w:hAnsi="Arial" w:cs="Arial"/>
          <w:sz w:val="22"/>
          <w:szCs w:val="22"/>
        </w:rPr>
        <w:t xml:space="preserve">. </w:t>
      </w:r>
      <w:hyperlink r:id="rId14" w:tgtFrame="_blank" w:history="1">
        <w:r w:rsidRPr="00E94F2A">
          <w:rPr>
            <w:rStyle w:val="Hyperlink"/>
            <w:rFonts w:ascii="Arial" w:hAnsi="Arial" w:cs="Arial"/>
            <w:color w:val="auto"/>
            <w:sz w:val="22"/>
            <w:szCs w:val="22"/>
          </w:rPr>
          <w:t>https://doi.org/10.1016/j.joitmc.2024.100212</w:t>
        </w:r>
      </w:hyperlink>
      <w:r w:rsidRPr="00E94F2A">
        <w:rPr>
          <w:rFonts w:ascii="Arial" w:hAnsi="Arial" w:cs="Arial"/>
          <w:sz w:val="22"/>
          <w:szCs w:val="22"/>
        </w:rPr>
        <w:t xml:space="preserve">. </w:t>
      </w:r>
    </w:p>
    <w:p w14:paraId="7C31A1B1"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9. </w:t>
      </w:r>
      <w:proofErr w:type="spellStart"/>
      <w:r w:rsidRPr="00E94F2A">
        <w:rPr>
          <w:rFonts w:ascii="Arial" w:hAnsi="Arial" w:cs="Arial"/>
          <w:sz w:val="22"/>
          <w:szCs w:val="22"/>
        </w:rPr>
        <w:t>ITransition</w:t>
      </w:r>
      <w:proofErr w:type="spellEnd"/>
      <w:r w:rsidRPr="00E94F2A">
        <w:rPr>
          <w:rFonts w:ascii="Arial" w:hAnsi="Arial" w:cs="Arial"/>
          <w:sz w:val="22"/>
          <w:szCs w:val="22"/>
        </w:rPr>
        <w:t xml:space="preserve"> (2025) </w:t>
      </w:r>
      <w:r w:rsidRPr="00E94F2A">
        <w:rPr>
          <w:rFonts w:ascii="Arial" w:hAnsi="Arial" w:cs="Arial"/>
          <w:i/>
          <w:iCs/>
          <w:sz w:val="22"/>
          <w:szCs w:val="22"/>
        </w:rPr>
        <w:t>Retail ERP: Key Features, Benefits, Challenges &amp; Platforms</w:t>
      </w:r>
      <w:r w:rsidRPr="00E94F2A">
        <w:rPr>
          <w:rFonts w:ascii="Arial" w:hAnsi="Arial" w:cs="Arial"/>
          <w:sz w:val="22"/>
          <w:szCs w:val="22"/>
        </w:rPr>
        <w:t xml:space="preserve">. Available at: </w:t>
      </w:r>
      <w:hyperlink r:id="rId15" w:tgtFrame="_blank" w:history="1">
        <w:r w:rsidRPr="00E94F2A">
          <w:rPr>
            <w:rStyle w:val="Hyperlink"/>
            <w:rFonts w:ascii="Arial" w:hAnsi="Arial" w:cs="Arial"/>
            <w:color w:val="auto"/>
            <w:sz w:val="22"/>
            <w:szCs w:val="22"/>
          </w:rPr>
          <w:t>https://www.itransition.com/erp/retail</w:t>
        </w:r>
      </w:hyperlink>
      <w:r w:rsidRPr="00E94F2A">
        <w:rPr>
          <w:rFonts w:ascii="Arial" w:hAnsi="Arial" w:cs="Arial"/>
          <w:sz w:val="22"/>
          <w:szCs w:val="22"/>
        </w:rPr>
        <w:t xml:space="preserve"> (Accessed: 12 July 2026). </w:t>
      </w:r>
    </w:p>
    <w:p w14:paraId="1714FF3C"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10. Laudon, K.C. and Laudon, J.P. (2021) </w:t>
      </w:r>
      <w:r w:rsidRPr="00E94F2A">
        <w:rPr>
          <w:rFonts w:ascii="Arial" w:hAnsi="Arial" w:cs="Arial"/>
          <w:i/>
          <w:iCs/>
          <w:sz w:val="22"/>
          <w:szCs w:val="22"/>
        </w:rPr>
        <w:t>Management Information Systems: Managing the Digital Firm</w:t>
      </w:r>
      <w:r w:rsidRPr="00E94F2A">
        <w:rPr>
          <w:rFonts w:ascii="Arial" w:hAnsi="Arial" w:cs="Arial"/>
          <w:sz w:val="22"/>
          <w:szCs w:val="22"/>
        </w:rPr>
        <w:t xml:space="preserve">. 17th </w:t>
      </w:r>
      <w:proofErr w:type="spellStart"/>
      <w:r w:rsidRPr="00E94F2A">
        <w:rPr>
          <w:rFonts w:ascii="Arial" w:hAnsi="Arial" w:cs="Arial"/>
          <w:sz w:val="22"/>
          <w:szCs w:val="22"/>
        </w:rPr>
        <w:t>edn</w:t>
      </w:r>
      <w:proofErr w:type="spellEnd"/>
      <w:r w:rsidRPr="00E94F2A">
        <w:rPr>
          <w:rFonts w:ascii="Arial" w:hAnsi="Arial" w:cs="Arial"/>
          <w:sz w:val="22"/>
          <w:szCs w:val="22"/>
        </w:rPr>
        <w:t xml:space="preserve">. Harlow: Pearson. </w:t>
      </w:r>
    </w:p>
    <w:p w14:paraId="1B90650F"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11. Microsoft Dynamics World (2025) </w:t>
      </w:r>
      <w:r w:rsidRPr="00E94F2A">
        <w:rPr>
          <w:rFonts w:ascii="Arial" w:hAnsi="Arial" w:cs="Arial"/>
          <w:i/>
          <w:iCs/>
          <w:sz w:val="22"/>
          <w:szCs w:val="22"/>
        </w:rPr>
        <w:t>How Retailers Can Boost Efficiency with ERP and POS Integration</w:t>
      </w:r>
      <w:r w:rsidRPr="00E94F2A">
        <w:rPr>
          <w:rFonts w:ascii="Arial" w:hAnsi="Arial" w:cs="Arial"/>
          <w:sz w:val="22"/>
          <w:szCs w:val="22"/>
        </w:rPr>
        <w:t xml:space="preserve">. Available at: </w:t>
      </w:r>
      <w:hyperlink r:id="rId16" w:tgtFrame="_blank" w:history="1">
        <w:r w:rsidRPr="00E94F2A">
          <w:rPr>
            <w:rStyle w:val="Hyperlink"/>
            <w:rFonts w:ascii="Arial" w:hAnsi="Arial" w:cs="Arial"/>
            <w:color w:val="auto"/>
            <w:sz w:val="22"/>
            <w:szCs w:val="22"/>
          </w:rPr>
          <w:t>https://msdynamicsworld.com/blog-post/how-retailers-can-boost-efficiency-erp-and-pos-integration</w:t>
        </w:r>
      </w:hyperlink>
      <w:r w:rsidRPr="00E94F2A">
        <w:rPr>
          <w:rFonts w:ascii="Arial" w:hAnsi="Arial" w:cs="Arial"/>
          <w:sz w:val="22"/>
          <w:szCs w:val="22"/>
        </w:rPr>
        <w:t xml:space="preserve"> (Accessed: 12 July 2026). </w:t>
      </w:r>
    </w:p>
    <w:p w14:paraId="0D81B623"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12. NetSuite (2024) </w:t>
      </w:r>
      <w:r w:rsidRPr="00E94F2A">
        <w:rPr>
          <w:rFonts w:ascii="Arial" w:hAnsi="Arial" w:cs="Arial"/>
          <w:i/>
          <w:iCs/>
          <w:sz w:val="22"/>
          <w:szCs w:val="22"/>
        </w:rPr>
        <w:t>3 Successful ERP Implementation Case Studies</w:t>
      </w:r>
      <w:r w:rsidRPr="00E94F2A">
        <w:rPr>
          <w:rFonts w:ascii="Arial" w:hAnsi="Arial" w:cs="Arial"/>
          <w:sz w:val="22"/>
          <w:szCs w:val="22"/>
        </w:rPr>
        <w:t xml:space="preserve">. Available at: </w:t>
      </w:r>
      <w:hyperlink r:id="rId17" w:tgtFrame="_blank" w:history="1">
        <w:r w:rsidRPr="00E94F2A">
          <w:rPr>
            <w:rStyle w:val="Hyperlink"/>
            <w:rFonts w:ascii="Arial" w:hAnsi="Arial" w:cs="Arial"/>
            <w:color w:val="auto"/>
            <w:sz w:val="22"/>
            <w:szCs w:val="22"/>
          </w:rPr>
          <w:t>https://www.netsuite.com/portal/resource/articles/erp/erp-implementation-case-study.shtml</w:t>
        </w:r>
      </w:hyperlink>
      <w:r w:rsidRPr="00E94F2A">
        <w:rPr>
          <w:rFonts w:ascii="Arial" w:hAnsi="Arial" w:cs="Arial"/>
          <w:sz w:val="22"/>
          <w:szCs w:val="22"/>
        </w:rPr>
        <w:t xml:space="preserve"> (Accessed: 12 July 2026). </w:t>
      </w:r>
    </w:p>
    <w:p w14:paraId="44350D58"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lastRenderedPageBreak/>
        <w:t xml:space="preserve">13. Panorama Consulting (2022) </w:t>
      </w:r>
      <w:r w:rsidRPr="00E94F2A">
        <w:rPr>
          <w:rFonts w:ascii="Arial" w:hAnsi="Arial" w:cs="Arial"/>
          <w:i/>
          <w:iCs/>
          <w:sz w:val="22"/>
          <w:szCs w:val="22"/>
        </w:rPr>
        <w:t xml:space="preserve">ERP In Inventory Management: 9 Benefits </w:t>
      </w:r>
      <w:proofErr w:type="gramStart"/>
      <w:r w:rsidRPr="00E94F2A">
        <w:rPr>
          <w:rFonts w:ascii="Arial" w:hAnsi="Arial" w:cs="Arial"/>
          <w:i/>
          <w:iCs/>
          <w:sz w:val="22"/>
          <w:szCs w:val="22"/>
        </w:rPr>
        <w:t>For</w:t>
      </w:r>
      <w:proofErr w:type="gramEnd"/>
      <w:r w:rsidRPr="00E94F2A">
        <w:rPr>
          <w:rFonts w:ascii="Arial" w:hAnsi="Arial" w:cs="Arial"/>
          <w:i/>
          <w:iCs/>
          <w:sz w:val="22"/>
          <w:szCs w:val="22"/>
        </w:rPr>
        <w:t xml:space="preserve"> Warehouse Efficiency</w:t>
      </w:r>
      <w:r w:rsidRPr="00E94F2A">
        <w:rPr>
          <w:rFonts w:ascii="Arial" w:hAnsi="Arial" w:cs="Arial"/>
          <w:sz w:val="22"/>
          <w:szCs w:val="22"/>
        </w:rPr>
        <w:t xml:space="preserve">. Available at: </w:t>
      </w:r>
      <w:hyperlink r:id="rId18" w:tgtFrame="_blank" w:history="1">
        <w:r w:rsidRPr="00E94F2A">
          <w:rPr>
            <w:rStyle w:val="Hyperlink"/>
            <w:rFonts w:ascii="Arial" w:hAnsi="Arial" w:cs="Arial"/>
            <w:color w:val="auto"/>
            <w:sz w:val="22"/>
            <w:szCs w:val="22"/>
          </w:rPr>
          <w:t>https://www.panorama-consulting.com/role-of-erp-in-inventory-management/</w:t>
        </w:r>
      </w:hyperlink>
      <w:r w:rsidRPr="00E94F2A">
        <w:rPr>
          <w:rFonts w:ascii="Arial" w:hAnsi="Arial" w:cs="Arial"/>
          <w:sz w:val="22"/>
          <w:szCs w:val="22"/>
        </w:rPr>
        <w:t xml:space="preserve"> (Accessed: 12 July 2026). </w:t>
      </w:r>
    </w:p>
    <w:p w14:paraId="424DBE63"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14. Priority Software (2025) </w:t>
      </w:r>
      <w:r w:rsidRPr="00E94F2A">
        <w:rPr>
          <w:rFonts w:ascii="Arial" w:hAnsi="Arial" w:cs="Arial"/>
          <w:i/>
          <w:iCs/>
          <w:sz w:val="22"/>
          <w:szCs w:val="22"/>
        </w:rPr>
        <w:t xml:space="preserve">ERP &amp; CRM Integration: Benefits </w:t>
      </w:r>
      <w:proofErr w:type="gramStart"/>
      <w:r w:rsidRPr="00E94F2A">
        <w:rPr>
          <w:rFonts w:ascii="Arial" w:hAnsi="Arial" w:cs="Arial"/>
          <w:i/>
          <w:iCs/>
          <w:sz w:val="22"/>
          <w:szCs w:val="22"/>
        </w:rPr>
        <w:t>And</w:t>
      </w:r>
      <w:proofErr w:type="gramEnd"/>
      <w:r w:rsidRPr="00E94F2A">
        <w:rPr>
          <w:rFonts w:ascii="Arial" w:hAnsi="Arial" w:cs="Arial"/>
          <w:i/>
          <w:iCs/>
          <w:sz w:val="22"/>
          <w:szCs w:val="22"/>
        </w:rPr>
        <w:t xml:space="preserve"> Best Practices</w:t>
      </w:r>
      <w:r w:rsidRPr="00E94F2A">
        <w:rPr>
          <w:rFonts w:ascii="Arial" w:hAnsi="Arial" w:cs="Arial"/>
          <w:sz w:val="22"/>
          <w:szCs w:val="22"/>
        </w:rPr>
        <w:t xml:space="preserve">. Available at: </w:t>
      </w:r>
      <w:hyperlink r:id="rId19" w:tgtFrame="_blank" w:history="1">
        <w:r w:rsidRPr="00E94F2A">
          <w:rPr>
            <w:rStyle w:val="Hyperlink"/>
            <w:rFonts w:ascii="Arial" w:hAnsi="Arial" w:cs="Arial"/>
            <w:color w:val="auto"/>
            <w:sz w:val="22"/>
            <w:szCs w:val="22"/>
          </w:rPr>
          <w:t>https://www.priority-software.com/resources/erp-crm-integration/</w:t>
        </w:r>
      </w:hyperlink>
      <w:r w:rsidRPr="00E94F2A">
        <w:rPr>
          <w:rFonts w:ascii="Arial" w:hAnsi="Arial" w:cs="Arial"/>
          <w:sz w:val="22"/>
          <w:szCs w:val="22"/>
        </w:rPr>
        <w:t xml:space="preserve"> (Accessed: 12 July 2026). </w:t>
      </w:r>
    </w:p>
    <w:p w14:paraId="3B8DB880"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15. QAD (2025) </w:t>
      </w:r>
      <w:r w:rsidRPr="00E94F2A">
        <w:rPr>
          <w:rFonts w:ascii="Arial" w:hAnsi="Arial" w:cs="Arial"/>
          <w:i/>
          <w:iCs/>
          <w:sz w:val="22"/>
          <w:szCs w:val="22"/>
        </w:rPr>
        <w:t>Companies Using ERP: Case Studies</w:t>
      </w:r>
      <w:r w:rsidRPr="00E94F2A">
        <w:rPr>
          <w:rFonts w:ascii="Arial" w:hAnsi="Arial" w:cs="Arial"/>
          <w:sz w:val="22"/>
          <w:szCs w:val="22"/>
        </w:rPr>
        <w:t xml:space="preserve">. Available at: </w:t>
      </w:r>
      <w:hyperlink r:id="rId20" w:tgtFrame="_blank" w:history="1">
        <w:r w:rsidRPr="00E94F2A">
          <w:rPr>
            <w:rStyle w:val="Hyperlink"/>
            <w:rFonts w:ascii="Arial" w:hAnsi="Arial" w:cs="Arial"/>
            <w:color w:val="auto"/>
            <w:sz w:val="22"/>
            <w:szCs w:val="22"/>
          </w:rPr>
          <w:t>https://www.qad.com/blog/2025/05/companies-using-erp-case-studies</w:t>
        </w:r>
      </w:hyperlink>
      <w:r w:rsidRPr="00E94F2A">
        <w:rPr>
          <w:rFonts w:ascii="Arial" w:hAnsi="Arial" w:cs="Arial"/>
          <w:sz w:val="22"/>
          <w:szCs w:val="22"/>
        </w:rPr>
        <w:t xml:space="preserve"> (Accessed: 12 July 2026). </w:t>
      </w:r>
    </w:p>
    <w:p w14:paraId="46EBECDA"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16. Siddiqui, N.A. et al. (2023) A systematic review of ERP implementation strategies in the retail industry, </w:t>
      </w:r>
      <w:r w:rsidRPr="00E94F2A">
        <w:rPr>
          <w:rFonts w:ascii="Arial" w:hAnsi="Arial" w:cs="Arial"/>
          <w:i/>
          <w:iCs/>
          <w:sz w:val="22"/>
          <w:szCs w:val="22"/>
        </w:rPr>
        <w:t>American Journal of Scientific Research and Innovation</w:t>
      </w:r>
      <w:r w:rsidRPr="00E94F2A">
        <w:rPr>
          <w:rFonts w:ascii="Arial" w:hAnsi="Arial" w:cs="Arial"/>
          <w:sz w:val="22"/>
          <w:szCs w:val="22"/>
        </w:rPr>
        <w:t xml:space="preserve">. </w:t>
      </w:r>
    </w:p>
    <w:p w14:paraId="63EA45AE"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17. </w:t>
      </w:r>
      <w:proofErr w:type="spellStart"/>
      <w:r w:rsidRPr="00E94F2A">
        <w:rPr>
          <w:rFonts w:ascii="Arial" w:hAnsi="Arial" w:cs="Arial"/>
          <w:sz w:val="22"/>
          <w:szCs w:val="22"/>
        </w:rPr>
        <w:t>Tigunia</w:t>
      </w:r>
      <w:proofErr w:type="spellEnd"/>
      <w:r w:rsidRPr="00E94F2A">
        <w:rPr>
          <w:rFonts w:ascii="Arial" w:hAnsi="Arial" w:cs="Arial"/>
          <w:sz w:val="22"/>
          <w:szCs w:val="22"/>
        </w:rPr>
        <w:t xml:space="preserve"> (2024) </w:t>
      </w:r>
      <w:r w:rsidRPr="00E94F2A">
        <w:rPr>
          <w:rFonts w:ascii="Arial" w:hAnsi="Arial" w:cs="Arial"/>
          <w:i/>
          <w:iCs/>
          <w:sz w:val="22"/>
          <w:szCs w:val="22"/>
        </w:rPr>
        <w:t>9 Benefits of Cloud ERP for Your Growing Small Business</w:t>
      </w:r>
      <w:r w:rsidRPr="00E94F2A">
        <w:rPr>
          <w:rFonts w:ascii="Arial" w:hAnsi="Arial" w:cs="Arial"/>
          <w:sz w:val="22"/>
          <w:szCs w:val="22"/>
        </w:rPr>
        <w:t xml:space="preserve">. Available at: </w:t>
      </w:r>
      <w:hyperlink r:id="rId21" w:tgtFrame="_blank" w:history="1">
        <w:r w:rsidRPr="00E94F2A">
          <w:rPr>
            <w:rStyle w:val="Hyperlink"/>
            <w:rFonts w:ascii="Arial" w:hAnsi="Arial" w:cs="Arial"/>
            <w:color w:val="auto"/>
            <w:sz w:val="22"/>
            <w:szCs w:val="22"/>
          </w:rPr>
          <w:t>https://tigunia.com/blog/9-benefits-of-cloud-erp-for-your-growing-small-business/</w:t>
        </w:r>
      </w:hyperlink>
      <w:r w:rsidRPr="00E94F2A">
        <w:rPr>
          <w:rFonts w:ascii="Arial" w:hAnsi="Arial" w:cs="Arial"/>
          <w:sz w:val="22"/>
          <w:szCs w:val="22"/>
        </w:rPr>
        <w:t xml:space="preserve"> (Accessed: 12 July 2026). </w:t>
      </w:r>
    </w:p>
    <w:p w14:paraId="2D7FFFED"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18. </w:t>
      </w:r>
      <w:proofErr w:type="spellStart"/>
      <w:r w:rsidRPr="00E94F2A">
        <w:rPr>
          <w:rFonts w:ascii="Arial" w:hAnsi="Arial" w:cs="Arial"/>
          <w:sz w:val="22"/>
          <w:szCs w:val="22"/>
        </w:rPr>
        <w:t>Tongsuksai</w:t>
      </w:r>
      <w:proofErr w:type="spellEnd"/>
      <w:r w:rsidRPr="00E94F2A">
        <w:rPr>
          <w:rFonts w:ascii="Arial" w:hAnsi="Arial" w:cs="Arial"/>
          <w:sz w:val="22"/>
          <w:szCs w:val="22"/>
        </w:rPr>
        <w:t xml:space="preserve">, S. et al. (2022) Cloud ERP adoption in SMEs of New Zealand Retail Industry, </w:t>
      </w:r>
      <w:r w:rsidRPr="00E94F2A">
        <w:rPr>
          <w:rFonts w:ascii="Arial" w:hAnsi="Arial" w:cs="Arial"/>
          <w:i/>
          <w:iCs/>
          <w:sz w:val="22"/>
          <w:szCs w:val="22"/>
        </w:rPr>
        <w:t>IEEE Xplore</w:t>
      </w:r>
      <w:r w:rsidRPr="00E94F2A">
        <w:rPr>
          <w:rFonts w:ascii="Arial" w:hAnsi="Arial" w:cs="Arial"/>
          <w:sz w:val="22"/>
          <w:szCs w:val="22"/>
        </w:rPr>
        <w:t xml:space="preserve">. </w:t>
      </w:r>
    </w:p>
    <w:p w14:paraId="2289E72A"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19. WJARR (2025) </w:t>
      </w:r>
      <w:r w:rsidRPr="00E94F2A">
        <w:rPr>
          <w:rFonts w:ascii="Arial" w:hAnsi="Arial" w:cs="Arial"/>
          <w:i/>
          <w:iCs/>
          <w:sz w:val="22"/>
          <w:szCs w:val="22"/>
        </w:rPr>
        <w:t xml:space="preserve">Evaluating the role of ERP systems in streamlining order management, </w:t>
      </w:r>
      <w:r w:rsidRPr="00E94F2A">
        <w:rPr>
          <w:rFonts w:ascii="Arial" w:hAnsi="Arial" w:cs="Arial"/>
          <w:sz w:val="22"/>
          <w:szCs w:val="22"/>
        </w:rPr>
        <w:t xml:space="preserve">Available at: </w:t>
      </w:r>
      <w:hyperlink r:id="rId22" w:tgtFrame="_blank" w:history="1">
        <w:r w:rsidRPr="00E94F2A">
          <w:rPr>
            <w:rStyle w:val="Hyperlink"/>
            <w:rFonts w:ascii="Arial" w:hAnsi="Arial" w:cs="Arial"/>
            <w:color w:val="auto"/>
            <w:sz w:val="22"/>
            <w:szCs w:val="22"/>
          </w:rPr>
          <w:t>https://wjarr.com/sites/default/files/fulltext_pdf/WJARR-2024-1776.pdf</w:t>
        </w:r>
      </w:hyperlink>
      <w:r w:rsidRPr="00E94F2A">
        <w:rPr>
          <w:rFonts w:ascii="Arial" w:hAnsi="Arial" w:cs="Arial"/>
          <w:sz w:val="22"/>
          <w:szCs w:val="22"/>
        </w:rPr>
        <w:t xml:space="preserve"> (Accessed: 12 July 2026). </w:t>
      </w:r>
    </w:p>
    <w:p w14:paraId="1F75F55A" w14:textId="77777777" w:rsidR="00D96DA3" w:rsidRPr="00E94F2A" w:rsidRDefault="00D96DA3" w:rsidP="00E94F2A">
      <w:pPr>
        <w:spacing w:line="360" w:lineRule="auto"/>
        <w:rPr>
          <w:rFonts w:ascii="Arial" w:hAnsi="Arial" w:cs="Arial"/>
          <w:sz w:val="22"/>
          <w:szCs w:val="22"/>
        </w:rPr>
      </w:pPr>
      <w:r w:rsidRPr="00E94F2A">
        <w:rPr>
          <w:rFonts w:ascii="Arial" w:hAnsi="Arial" w:cs="Arial"/>
          <w:sz w:val="22"/>
          <w:szCs w:val="22"/>
        </w:rPr>
        <w:t xml:space="preserve">20. Zhu, Y. et al. (2010) What leads to post-implementation success of ERP? An empirical study of the Chinese retail industry, </w:t>
      </w:r>
      <w:r w:rsidRPr="00E94F2A">
        <w:rPr>
          <w:rFonts w:ascii="Arial" w:hAnsi="Arial" w:cs="Arial"/>
          <w:i/>
          <w:iCs/>
          <w:sz w:val="22"/>
          <w:szCs w:val="22"/>
        </w:rPr>
        <w:t>International Journal of Information Management</w:t>
      </w:r>
      <w:r w:rsidRPr="00E94F2A">
        <w:rPr>
          <w:rFonts w:ascii="Arial" w:hAnsi="Arial" w:cs="Arial"/>
          <w:sz w:val="22"/>
          <w:szCs w:val="22"/>
        </w:rPr>
        <w:t xml:space="preserve">, 30(3), pp.265–276. </w:t>
      </w:r>
      <w:hyperlink r:id="rId23" w:tgtFrame="_blank" w:history="1">
        <w:r w:rsidRPr="00E94F2A">
          <w:rPr>
            <w:rStyle w:val="Hyperlink"/>
            <w:rFonts w:ascii="Arial" w:hAnsi="Arial" w:cs="Arial"/>
            <w:color w:val="auto"/>
            <w:sz w:val="22"/>
            <w:szCs w:val="22"/>
          </w:rPr>
          <w:t>https://doi.org/10.1016/j.ijinfomgt.2009.09.007</w:t>
        </w:r>
      </w:hyperlink>
      <w:r w:rsidRPr="00E94F2A">
        <w:rPr>
          <w:rFonts w:ascii="Arial" w:hAnsi="Arial" w:cs="Arial"/>
          <w:sz w:val="22"/>
          <w:szCs w:val="22"/>
        </w:rPr>
        <w:t>.</w:t>
      </w:r>
    </w:p>
    <w:p w14:paraId="1BE5166A" w14:textId="7641B684" w:rsidR="0017471A" w:rsidRPr="00D07FB4" w:rsidRDefault="0017471A" w:rsidP="00240F7D">
      <w:pPr>
        <w:spacing w:line="360" w:lineRule="auto"/>
        <w:rPr>
          <w:rFonts w:ascii="Arial" w:hAnsi="Arial" w:cs="Arial"/>
        </w:rPr>
      </w:pPr>
    </w:p>
    <w:sectPr w:rsidR="0017471A" w:rsidRPr="00D07FB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A4BD5" w14:textId="77777777" w:rsidR="00663723" w:rsidRDefault="00663723" w:rsidP="000C4176">
      <w:pPr>
        <w:spacing w:after="0" w:line="240" w:lineRule="auto"/>
      </w:pPr>
      <w:r>
        <w:separator/>
      </w:r>
    </w:p>
  </w:endnote>
  <w:endnote w:type="continuationSeparator" w:id="0">
    <w:p w14:paraId="3459ED53" w14:textId="77777777" w:rsidR="00663723" w:rsidRDefault="00663723" w:rsidP="000C4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8222170"/>
      <w:docPartObj>
        <w:docPartGallery w:val="Page Numbers (Bottom of Page)"/>
        <w:docPartUnique/>
      </w:docPartObj>
    </w:sdtPr>
    <w:sdtEndPr/>
    <w:sdtContent>
      <w:p w14:paraId="5BCBB494" w14:textId="34C0D076" w:rsidR="000C4176" w:rsidRDefault="000C4176">
        <w:pPr>
          <w:pStyle w:val="Footer"/>
          <w:jc w:val="right"/>
        </w:pPr>
        <w:r>
          <w:fldChar w:fldCharType="begin"/>
        </w:r>
        <w:r>
          <w:instrText>PAGE   \* MERGEFORMAT</w:instrText>
        </w:r>
        <w:r>
          <w:fldChar w:fldCharType="separate"/>
        </w:r>
        <w:r>
          <w:t>2</w:t>
        </w:r>
        <w:r>
          <w:fldChar w:fldCharType="end"/>
        </w:r>
      </w:p>
    </w:sdtContent>
  </w:sdt>
  <w:p w14:paraId="547A0972" w14:textId="77777777" w:rsidR="000C4176" w:rsidRDefault="000C4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A61C8" w14:textId="77777777" w:rsidR="00663723" w:rsidRDefault="00663723" w:rsidP="000C4176">
      <w:pPr>
        <w:spacing w:after="0" w:line="240" w:lineRule="auto"/>
      </w:pPr>
      <w:r>
        <w:separator/>
      </w:r>
    </w:p>
  </w:footnote>
  <w:footnote w:type="continuationSeparator" w:id="0">
    <w:p w14:paraId="767C076E" w14:textId="77777777" w:rsidR="00663723" w:rsidRDefault="00663723" w:rsidP="000C4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B1FFD"/>
    <w:multiLevelType w:val="multilevel"/>
    <w:tmpl w:val="BC4E7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C203D2"/>
    <w:multiLevelType w:val="multilevel"/>
    <w:tmpl w:val="849E2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435885"/>
    <w:multiLevelType w:val="multilevel"/>
    <w:tmpl w:val="566A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4102B9"/>
    <w:multiLevelType w:val="multilevel"/>
    <w:tmpl w:val="4BD69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7E2DCB"/>
    <w:multiLevelType w:val="multilevel"/>
    <w:tmpl w:val="19BE0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8120558">
    <w:abstractNumId w:val="2"/>
  </w:num>
  <w:num w:numId="2" w16cid:durableId="1925459062">
    <w:abstractNumId w:val="0"/>
  </w:num>
  <w:num w:numId="3" w16cid:durableId="2052800075">
    <w:abstractNumId w:val="4"/>
  </w:num>
  <w:num w:numId="4" w16cid:durableId="615408097">
    <w:abstractNumId w:val="1"/>
  </w:num>
  <w:num w:numId="5" w16cid:durableId="18358026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F0E"/>
    <w:rsid w:val="00004C7A"/>
    <w:rsid w:val="00074F0E"/>
    <w:rsid w:val="000773EA"/>
    <w:rsid w:val="000B0B8C"/>
    <w:rsid w:val="000C4176"/>
    <w:rsid w:val="000C6A6F"/>
    <w:rsid w:val="000E6779"/>
    <w:rsid w:val="001155C9"/>
    <w:rsid w:val="00142D5B"/>
    <w:rsid w:val="001616A2"/>
    <w:rsid w:val="0017471A"/>
    <w:rsid w:val="001A1B0D"/>
    <w:rsid w:val="001A5EF4"/>
    <w:rsid w:val="002139E3"/>
    <w:rsid w:val="002152AC"/>
    <w:rsid w:val="00235CDE"/>
    <w:rsid w:val="00240F7D"/>
    <w:rsid w:val="002B087D"/>
    <w:rsid w:val="0030082E"/>
    <w:rsid w:val="00307DC0"/>
    <w:rsid w:val="0035195B"/>
    <w:rsid w:val="003B5636"/>
    <w:rsid w:val="003D4313"/>
    <w:rsid w:val="003D654E"/>
    <w:rsid w:val="003E0DE4"/>
    <w:rsid w:val="0040231A"/>
    <w:rsid w:val="00404B6C"/>
    <w:rsid w:val="00452F29"/>
    <w:rsid w:val="004B72E5"/>
    <w:rsid w:val="005461D1"/>
    <w:rsid w:val="005A0CCA"/>
    <w:rsid w:val="005A4D32"/>
    <w:rsid w:val="005E28B9"/>
    <w:rsid w:val="00615263"/>
    <w:rsid w:val="00663723"/>
    <w:rsid w:val="00677A77"/>
    <w:rsid w:val="006925C6"/>
    <w:rsid w:val="006D16F3"/>
    <w:rsid w:val="006D4EE5"/>
    <w:rsid w:val="006D687B"/>
    <w:rsid w:val="006E5E20"/>
    <w:rsid w:val="00700B6A"/>
    <w:rsid w:val="00795FCE"/>
    <w:rsid w:val="00877043"/>
    <w:rsid w:val="008F542A"/>
    <w:rsid w:val="00907B1E"/>
    <w:rsid w:val="009447A8"/>
    <w:rsid w:val="0095373C"/>
    <w:rsid w:val="009A42B9"/>
    <w:rsid w:val="009C4239"/>
    <w:rsid w:val="009E0A16"/>
    <w:rsid w:val="009E5DE1"/>
    <w:rsid w:val="00AD1FFB"/>
    <w:rsid w:val="00AE254F"/>
    <w:rsid w:val="00B30588"/>
    <w:rsid w:val="00B31B7A"/>
    <w:rsid w:val="00B56B41"/>
    <w:rsid w:val="00BD16AF"/>
    <w:rsid w:val="00BF4AFB"/>
    <w:rsid w:val="00CA04DC"/>
    <w:rsid w:val="00CC4BEC"/>
    <w:rsid w:val="00CE3749"/>
    <w:rsid w:val="00D0244C"/>
    <w:rsid w:val="00D07FB4"/>
    <w:rsid w:val="00D15DD0"/>
    <w:rsid w:val="00D65FDA"/>
    <w:rsid w:val="00D96DA3"/>
    <w:rsid w:val="00E520C7"/>
    <w:rsid w:val="00E94F2A"/>
    <w:rsid w:val="00E9506A"/>
    <w:rsid w:val="00EF70F4"/>
    <w:rsid w:val="00F30097"/>
    <w:rsid w:val="00F5075B"/>
    <w:rsid w:val="00F730BC"/>
    <w:rsid w:val="00F809BF"/>
    <w:rsid w:val="00F949C7"/>
    <w:rsid w:val="00FA50EB"/>
    <w:rsid w:val="00FB4A99"/>
    <w:rsid w:val="00FD778B"/>
    <w:rsid w:val="00FF6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2336"/>
  <w15:chartTrackingRefBased/>
  <w15:docId w15:val="{3320467E-CAE0-44AE-B660-363801352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E0DE4"/>
    <w:pPr>
      <w:keepNext/>
      <w:keepLines/>
      <w:spacing w:before="360" w:after="80"/>
      <w:outlineLvl w:val="0"/>
    </w:pPr>
    <w:rPr>
      <w:rFonts w:ascii="Arial" w:eastAsiaTheme="majorEastAsia" w:hAnsi="Arial" w:cstheme="majorBidi"/>
      <w:b/>
      <w:szCs w:val="40"/>
    </w:rPr>
  </w:style>
  <w:style w:type="paragraph" w:styleId="Heading2">
    <w:name w:val="heading 2"/>
    <w:basedOn w:val="Normal"/>
    <w:next w:val="Normal"/>
    <w:link w:val="Heading2Char"/>
    <w:autoRedefine/>
    <w:uiPriority w:val="9"/>
    <w:unhideWhenUsed/>
    <w:qFormat/>
    <w:rsid w:val="003E0DE4"/>
    <w:pPr>
      <w:keepNext/>
      <w:keepLines/>
      <w:spacing w:before="160" w:after="80"/>
      <w:outlineLvl w:val="1"/>
    </w:pPr>
    <w:rPr>
      <w:rFonts w:ascii="Arial" w:eastAsiaTheme="majorEastAsia" w:hAnsi="Arial" w:cstheme="majorBidi"/>
      <w:i/>
      <w:sz w:val="22"/>
      <w:szCs w:val="32"/>
    </w:rPr>
  </w:style>
  <w:style w:type="paragraph" w:styleId="Heading3">
    <w:name w:val="heading 3"/>
    <w:basedOn w:val="Normal"/>
    <w:next w:val="Normal"/>
    <w:link w:val="Heading3Char"/>
    <w:uiPriority w:val="9"/>
    <w:semiHidden/>
    <w:unhideWhenUsed/>
    <w:qFormat/>
    <w:rsid w:val="00074F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F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F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F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F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F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F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DE4"/>
    <w:rPr>
      <w:rFonts w:ascii="Arial" w:eastAsiaTheme="majorEastAsia" w:hAnsi="Arial" w:cstheme="majorBidi"/>
      <w:b/>
      <w:szCs w:val="40"/>
    </w:rPr>
  </w:style>
  <w:style w:type="character" w:customStyle="1" w:styleId="Heading2Char">
    <w:name w:val="Heading 2 Char"/>
    <w:basedOn w:val="DefaultParagraphFont"/>
    <w:link w:val="Heading2"/>
    <w:uiPriority w:val="9"/>
    <w:rsid w:val="003E0DE4"/>
    <w:rPr>
      <w:rFonts w:ascii="Arial" w:eastAsiaTheme="majorEastAsia" w:hAnsi="Arial" w:cstheme="majorBidi"/>
      <w:i/>
      <w:sz w:val="22"/>
      <w:szCs w:val="32"/>
    </w:rPr>
  </w:style>
  <w:style w:type="character" w:customStyle="1" w:styleId="Heading3Char">
    <w:name w:val="Heading 3 Char"/>
    <w:basedOn w:val="DefaultParagraphFont"/>
    <w:link w:val="Heading3"/>
    <w:uiPriority w:val="9"/>
    <w:semiHidden/>
    <w:rsid w:val="00074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F0E"/>
    <w:rPr>
      <w:rFonts w:eastAsiaTheme="majorEastAsia" w:cstheme="majorBidi"/>
      <w:color w:val="272727" w:themeColor="text1" w:themeTint="D8"/>
    </w:rPr>
  </w:style>
  <w:style w:type="paragraph" w:styleId="Title">
    <w:name w:val="Title"/>
    <w:basedOn w:val="Normal"/>
    <w:next w:val="Normal"/>
    <w:link w:val="TitleChar"/>
    <w:uiPriority w:val="10"/>
    <w:qFormat/>
    <w:rsid w:val="00074F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F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F0E"/>
    <w:pPr>
      <w:spacing w:before="160"/>
      <w:jc w:val="center"/>
    </w:pPr>
    <w:rPr>
      <w:i/>
      <w:iCs/>
      <w:color w:val="404040" w:themeColor="text1" w:themeTint="BF"/>
    </w:rPr>
  </w:style>
  <w:style w:type="character" w:customStyle="1" w:styleId="QuoteChar">
    <w:name w:val="Quote Char"/>
    <w:basedOn w:val="DefaultParagraphFont"/>
    <w:link w:val="Quote"/>
    <w:uiPriority w:val="29"/>
    <w:rsid w:val="00074F0E"/>
    <w:rPr>
      <w:i/>
      <w:iCs/>
      <w:color w:val="404040" w:themeColor="text1" w:themeTint="BF"/>
    </w:rPr>
  </w:style>
  <w:style w:type="paragraph" w:styleId="ListParagraph">
    <w:name w:val="List Paragraph"/>
    <w:basedOn w:val="Normal"/>
    <w:uiPriority w:val="34"/>
    <w:qFormat/>
    <w:rsid w:val="00074F0E"/>
    <w:pPr>
      <w:ind w:left="720"/>
      <w:contextualSpacing/>
    </w:pPr>
  </w:style>
  <w:style w:type="character" w:styleId="IntenseEmphasis">
    <w:name w:val="Intense Emphasis"/>
    <w:basedOn w:val="DefaultParagraphFont"/>
    <w:uiPriority w:val="21"/>
    <w:qFormat/>
    <w:rsid w:val="00074F0E"/>
    <w:rPr>
      <w:i/>
      <w:iCs/>
      <w:color w:val="0F4761" w:themeColor="accent1" w:themeShade="BF"/>
    </w:rPr>
  </w:style>
  <w:style w:type="paragraph" w:styleId="IntenseQuote">
    <w:name w:val="Intense Quote"/>
    <w:basedOn w:val="Normal"/>
    <w:next w:val="Normal"/>
    <w:link w:val="IntenseQuoteChar"/>
    <w:uiPriority w:val="30"/>
    <w:qFormat/>
    <w:rsid w:val="00074F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F0E"/>
    <w:rPr>
      <w:i/>
      <w:iCs/>
      <w:color w:val="0F4761" w:themeColor="accent1" w:themeShade="BF"/>
    </w:rPr>
  </w:style>
  <w:style w:type="character" w:styleId="IntenseReference">
    <w:name w:val="Intense Reference"/>
    <w:basedOn w:val="DefaultParagraphFont"/>
    <w:uiPriority w:val="32"/>
    <w:qFormat/>
    <w:rsid w:val="00074F0E"/>
    <w:rPr>
      <w:b/>
      <w:bCs/>
      <w:smallCaps/>
      <w:color w:val="0F4761" w:themeColor="accent1" w:themeShade="BF"/>
      <w:spacing w:val="5"/>
    </w:rPr>
  </w:style>
  <w:style w:type="character" w:styleId="Hyperlink">
    <w:name w:val="Hyperlink"/>
    <w:basedOn w:val="DefaultParagraphFont"/>
    <w:uiPriority w:val="99"/>
    <w:unhideWhenUsed/>
    <w:rsid w:val="00074F0E"/>
    <w:rPr>
      <w:color w:val="467886" w:themeColor="hyperlink"/>
      <w:u w:val="single"/>
    </w:rPr>
  </w:style>
  <w:style w:type="character" w:styleId="UnresolvedMention">
    <w:name w:val="Unresolved Mention"/>
    <w:basedOn w:val="DefaultParagraphFont"/>
    <w:uiPriority w:val="99"/>
    <w:semiHidden/>
    <w:unhideWhenUsed/>
    <w:rsid w:val="00074F0E"/>
    <w:rPr>
      <w:color w:val="605E5C"/>
      <w:shd w:val="clear" w:color="auto" w:fill="E1DFDD"/>
    </w:rPr>
  </w:style>
  <w:style w:type="paragraph" w:styleId="Header">
    <w:name w:val="header"/>
    <w:basedOn w:val="Normal"/>
    <w:link w:val="HeaderChar"/>
    <w:uiPriority w:val="99"/>
    <w:unhideWhenUsed/>
    <w:rsid w:val="000C4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176"/>
  </w:style>
  <w:style w:type="paragraph" w:styleId="Footer">
    <w:name w:val="footer"/>
    <w:basedOn w:val="Normal"/>
    <w:link w:val="FooterChar"/>
    <w:uiPriority w:val="99"/>
    <w:unhideWhenUsed/>
    <w:rsid w:val="000C4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176"/>
  </w:style>
  <w:style w:type="paragraph" w:styleId="TOCHeading">
    <w:name w:val="TOC Heading"/>
    <w:basedOn w:val="Heading1"/>
    <w:next w:val="Normal"/>
    <w:uiPriority w:val="39"/>
    <w:unhideWhenUsed/>
    <w:qFormat/>
    <w:rsid w:val="008F542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139E3"/>
    <w:pPr>
      <w:spacing w:after="100"/>
    </w:pPr>
  </w:style>
  <w:style w:type="paragraph" w:styleId="TOC2">
    <w:name w:val="toc 2"/>
    <w:basedOn w:val="Normal"/>
    <w:next w:val="Normal"/>
    <w:autoRedefine/>
    <w:uiPriority w:val="39"/>
    <w:unhideWhenUsed/>
    <w:rsid w:val="002139E3"/>
    <w:pPr>
      <w:spacing w:after="100"/>
      <w:ind w:left="240"/>
    </w:pPr>
  </w:style>
  <w:style w:type="paragraph" w:styleId="NormalWeb">
    <w:name w:val="Normal (Web)"/>
    <w:basedOn w:val="Normal"/>
    <w:uiPriority w:val="99"/>
    <w:unhideWhenUsed/>
    <w:rsid w:val="003B56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447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dpr.eu/what-is-gdpr/" TargetMode="External"/><Relationship Id="rId18" Type="http://schemas.openxmlformats.org/officeDocument/2006/relationships/hyperlink" Target="https://www.panorama-consulting.com/role-of-erp-in-inventory-manage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igunia.com/blog/9-benefits-of-cloud-erp-for-your-growing-small-business/" TargetMode="External"/><Relationship Id="rId7" Type="http://schemas.openxmlformats.org/officeDocument/2006/relationships/endnotes" Target="endnotes.xml"/><Relationship Id="rId12" Type="http://schemas.openxmlformats.org/officeDocument/2006/relationships/hyperlink" Target="https://www.codelessplatforms.com/real-world-erp-integration-examples/" TargetMode="External"/><Relationship Id="rId17" Type="http://schemas.openxmlformats.org/officeDocument/2006/relationships/hyperlink" Target="https://www.netsuite.com/portal/resource/articles/erp/erp-implementation-case-study.s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sdynamicsworld.com/blog-post/how-retailers-can-boost-efficiency-erp-and-pos-integration" TargetMode="External"/><Relationship Id="rId20" Type="http://schemas.openxmlformats.org/officeDocument/2006/relationships/hyperlink" Target="https://www.qad.com/blog/2025/05/companies-using-erp-case-stud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23.226400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transition.com/erp/retail" TargetMode="External"/><Relationship Id="rId23" Type="http://schemas.openxmlformats.org/officeDocument/2006/relationships/hyperlink" Target="https://doi.org/10.1016/j.ijinfomgt.2009.09.007" TargetMode="External"/><Relationship Id="rId10" Type="http://schemas.openxmlformats.org/officeDocument/2006/relationships/hyperlink" Target="https://atlan.com/know/data-governance/data-compliance-management-in-retail/" TargetMode="External"/><Relationship Id="rId19" Type="http://schemas.openxmlformats.org/officeDocument/2006/relationships/hyperlink" Target="https://www.priority-software.com/resources/erp-crm-integration/" TargetMode="External"/><Relationship Id="rId4" Type="http://schemas.openxmlformats.org/officeDocument/2006/relationships/settings" Target="settings.xml"/><Relationship Id="rId9" Type="http://schemas.openxmlformats.org/officeDocument/2006/relationships/hyperlink" Target="https://doi.org/10.20885/jca.vol5.iss2.art3" TargetMode="External"/><Relationship Id="rId14" Type="http://schemas.openxmlformats.org/officeDocument/2006/relationships/hyperlink" Target="https://doi.org/10.1016/j.joitmc.2024.100212" TargetMode="External"/><Relationship Id="rId22" Type="http://schemas.openxmlformats.org/officeDocument/2006/relationships/hyperlink" Target="https://wjarr.com/sites/default/files/fulltext_pdf/WJARR-2024-17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300F8-AB1F-4228-B2BD-6E9F2568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3125</Words>
  <Characters>17813</Characters>
  <Application>Microsoft Office Word</Application>
  <DocSecurity>0</DocSecurity>
  <Lines>148</Lines>
  <Paragraphs>41</Paragraphs>
  <ScaleCrop>false</ScaleCrop>
  <Company/>
  <LinksUpToDate>false</LinksUpToDate>
  <CharactersWithSpaces>20897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Mihaila</dc:creator>
  <cp:keywords/>
  <dc:description/>
  <cp:lastModifiedBy>Alina Mihaila</cp:lastModifiedBy>
  <cp:revision>2</cp:revision>
  <dcterms:created xsi:type="dcterms:W3CDTF">2026-07-18T12:12:00Z</dcterms:created>
  <dcterms:modified xsi:type="dcterms:W3CDTF">2026-07-18T12:12:00Z</dcterms:modified>
</cp:coreProperties>
</file>