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14AFD" w:rsidRPr="0068208A" w:rsidRDefault="005C6AAA">
      <w:pPr>
        <w:rPr>
          <w:b/>
          <w:u w:val="single"/>
        </w:rPr>
      </w:pPr>
      <w:r w:rsidRPr="0068208A">
        <w:rPr>
          <w:b/>
          <w:u w:val="single"/>
        </w:rPr>
        <w:t>Britain</w:t>
      </w:r>
      <w:r w:rsidR="00DE7491" w:rsidRPr="0068208A">
        <w:rPr>
          <w:b/>
          <w:u w:val="single"/>
        </w:rPr>
        <w:t xml:space="preserve"> and the First World War Portfolio</w:t>
      </w:r>
    </w:p>
    <w:p w:rsidR="005C6AAA" w:rsidRPr="0068208A" w:rsidRDefault="00D61AF3">
      <w:pPr>
        <w:rPr>
          <w:u w:val="single"/>
        </w:rPr>
      </w:pPr>
      <w:r w:rsidRPr="0068208A">
        <w:rPr>
          <w:u w:val="single"/>
        </w:rPr>
        <w:t xml:space="preserve">Article </w:t>
      </w:r>
      <w:r w:rsidR="005C6AAA" w:rsidRPr="0068208A">
        <w:rPr>
          <w:u w:val="single"/>
        </w:rPr>
        <w:t xml:space="preserve">review </w:t>
      </w:r>
    </w:p>
    <w:p w:rsidR="00352722" w:rsidRDefault="00352722">
      <w:r>
        <w:t>The officers by Keith Simpson taken from A nation in arms a social study of the British army in the first world war.</w:t>
      </w:r>
      <w:r>
        <w:rPr>
          <w:rStyle w:val="FootnoteReference"/>
        </w:rPr>
        <w:footnoteReference w:id="1"/>
      </w:r>
    </w:p>
    <w:p w:rsidR="00A43C22" w:rsidRDefault="00D61AF3">
      <w:r>
        <w:t xml:space="preserve">This </w:t>
      </w:r>
      <w:r w:rsidR="007110F7">
        <w:t>article was produced for a collection of essays produced to show the societal implications of the British Army during the First World War. The reason that the editors Simpson and Beckett elected to include the article ‘The Officers</w:t>
      </w:r>
      <w:r w:rsidR="00AB32E9">
        <w:t>’ to give</w:t>
      </w:r>
      <w:r w:rsidR="00D6436F">
        <w:t xml:space="preserve"> a full view of the British army as a whole as other </w:t>
      </w:r>
      <w:r w:rsidR="00AB32E9">
        <w:t>articles</w:t>
      </w:r>
      <w:r w:rsidR="00D6436F">
        <w:t xml:space="preserve"> include ‘the territorial forces’, ‘the new armies’ and ‘the regular army’.</w:t>
      </w:r>
      <w:r w:rsidR="00AB32E9">
        <w:t xml:space="preserve"> The latter three are the usual staple subjects of essays on the British army of the First World War and wider works such as, however it is not uncommon to have Officers</w:t>
      </w:r>
      <w:r w:rsidR="0077189A">
        <w:t xml:space="preserve"> as a key theme</w:t>
      </w:r>
      <w:r w:rsidR="00AB32E9">
        <w:t xml:space="preserve"> of the British</w:t>
      </w:r>
      <w:r w:rsidR="0077189A">
        <w:t xml:space="preserve"> A</w:t>
      </w:r>
      <w:r w:rsidR="00AB32E9">
        <w:t xml:space="preserve">rmy over looked in </w:t>
      </w:r>
      <w:r w:rsidR="00704F34">
        <w:t>such works,</w:t>
      </w:r>
      <w:r w:rsidR="0077189A">
        <w:t xml:space="preserve"> even in Brian Bonds </w:t>
      </w:r>
      <w:r w:rsidR="00094385">
        <w:t>the</w:t>
      </w:r>
      <w:r w:rsidR="0077189A">
        <w:t xml:space="preserve"> First World War and British Military History a crucial work on the field.</w:t>
      </w:r>
      <w:r w:rsidR="00094385">
        <w:rPr>
          <w:rStyle w:val="FootnoteReference"/>
        </w:rPr>
        <w:footnoteReference w:id="2"/>
      </w:r>
      <w:r w:rsidR="0077189A">
        <w:t xml:space="preserve"> </w:t>
      </w:r>
      <w:r w:rsidR="00094385">
        <w:t>Therefore,</w:t>
      </w:r>
      <w:r w:rsidR="0077189A">
        <w:t xml:space="preserve"> to have an entire essay dedicated to the matter is significant to helping develo</w:t>
      </w:r>
      <w:r w:rsidR="00094385">
        <w:t xml:space="preserve">p the reputation of the First World War British Army Officer after years of being belittled by the phrase ‘lions </w:t>
      </w:r>
      <w:r w:rsidR="00523492">
        <w:t xml:space="preserve">  </w:t>
      </w:r>
      <w:r w:rsidR="002A7745">
        <w:t xml:space="preserve"> extremely effective in difficult and ever evolving conditions.</w:t>
      </w:r>
      <w:r w:rsidR="002A7745">
        <w:rPr>
          <w:rStyle w:val="FootnoteReference"/>
        </w:rPr>
        <w:footnoteReference w:id="3"/>
      </w:r>
    </w:p>
    <w:p w:rsidR="00A43C22" w:rsidRDefault="002A7745">
      <w:r>
        <w:t>The Officer as an essay is</w:t>
      </w:r>
      <w:r w:rsidR="004B3FC9">
        <w:t xml:space="preserve"> a somewhat</w:t>
      </w:r>
      <w:r>
        <w:t xml:space="preserve"> effective as both an academic tool for scholarly usage or a general history read for the wider public.</w:t>
      </w:r>
      <w:r w:rsidR="004B3FC9">
        <w:t xml:space="preserve"> However, what this means is that it is not entirely fit for both. As an academic recourse, it is very useful due to its extensive referencing that make more relevant and </w:t>
      </w:r>
      <w:r w:rsidR="00852C1C">
        <w:t>specific reading easier allowing for mo</w:t>
      </w:r>
      <w:r w:rsidR="00B70251">
        <w:t xml:space="preserve">re depth to the research. </w:t>
      </w:r>
      <w:r w:rsidR="00382751">
        <w:t>As well</w:t>
      </w:r>
      <w:r w:rsidR="00B70251">
        <w:t xml:space="preserve"> as this Simpson includes a number of detailed tables of statistics that aid in gaining a comprehensive understand of the back grounds, death rates and numbers of officers in the British army before, </w:t>
      </w:r>
      <w:r w:rsidR="000F3B86">
        <w:t>during and</w:t>
      </w:r>
      <w:r w:rsidR="00B70251">
        <w:t xml:space="preserve"> after the First World War.</w:t>
      </w:r>
      <w:r w:rsidR="000F3B86">
        <w:rPr>
          <w:rStyle w:val="FootnoteReference"/>
        </w:rPr>
        <w:footnoteReference w:id="4"/>
      </w:r>
      <w:r w:rsidR="00382751">
        <w:t xml:space="preserve"> The essay is limited as an academic resource by </w:t>
      </w:r>
      <w:r w:rsidR="00E90B5A">
        <w:t>the</w:t>
      </w:r>
      <w:r w:rsidR="00801C2B">
        <w:t xml:space="preserve"> lack of alternative argument Simpson takes a ve</w:t>
      </w:r>
      <w:r w:rsidR="006A5601">
        <w:t xml:space="preserve">ry one sided approach throughout his work, without taking an alternative view to balance his argument on how the British Officer </w:t>
      </w:r>
      <w:r w:rsidR="00E90B5A">
        <w:t xml:space="preserve">to heavily criticised during the First World War and that their only down fall was due to a lack of experience as result of rapid  recruitment of officers with the growing army  and the new style of warfare. </w:t>
      </w:r>
      <w:r w:rsidR="00E90B5A">
        <w:rPr>
          <w:rStyle w:val="FootnoteReference"/>
        </w:rPr>
        <w:footnoteReference w:id="5"/>
      </w:r>
      <w:r w:rsidR="00E90B5A">
        <w:t xml:space="preserve"> Yet fails to mention the other factors that attributed to the failing</w:t>
      </w:r>
      <w:r w:rsidR="00DA7793">
        <w:t>s as mentioned in other works such as in the British army and the First World War, where a lack of clear guidance from the Generals, the lack of officer taken from the experience soldier ranks and demand to maintain the ‘traditional officer class’ who only came from the most elite public schools such as Harrow, Eaton and</w:t>
      </w:r>
      <w:r w:rsidR="00546E16">
        <w:t xml:space="preserve"> Wellington.</w:t>
      </w:r>
      <w:r w:rsidR="00546E16">
        <w:rPr>
          <w:rStyle w:val="FootnoteReference"/>
        </w:rPr>
        <w:footnoteReference w:id="6"/>
      </w:r>
      <w:r w:rsidR="00546E16">
        <w:t xml:space="preserve"> This likely Given Simpsons back ground as a lecturer</w:t>
      </w:r>
      <w:r w:rsidR="007D20F2">
        <w:t xml:space="preserve"> on war studies</w:t>
      </w:r>
      <w:r w:rsidR="00546E16">
        <w:t xml:space="preserve"> at the Royal Military Academy Sandhurst</w:t>
      </w:r>
      <w:r w:rsidR="007D20F2">
        <w:t>, which would lead his personal philosophies to be in line with his work in that the British Officer could were not personally responsible for what went wrong during the war.</w:t>
      </w:r>
      <w:r w:rsidR="005756AE">
        <w:t xml:space="preserve"> This at first glance would also make the essay appear to be the work of a revisionist historian however </w:t>
      </w:r>
      <w:r w:rsidR="0068208A">
        <w:t xml:space="preserve">for the most part </w:t>
      </w:r>
      <w:r w:rsidR="005756AE">
        <w:t>he is not directly revising the history that has</w:t>
      </w:r>
      <w:r w:rsidR="0068208A">
        <w:t xml:space="preserve"> been previously discussed, rather Simpson has decided to write his own ‘fresh’ history of events.</w:t>
      </w:r>
      <w:r w:rsidR="004F291B">
        <w:t xml:space="preserve"> </w:t>
      </w:r>
    </w:p>
    <w:p w:rsidR="004F291B" w:rsidRDefault="00F03647">
      <w:r>
        <w:t>As</w:t>
      </w:r>
      <w:r w:rsidR="00D02FC8">
        <w:t xml:space="preserve"> an informative history for the general public the article has relative success again. Any reader with a basic understanding of the First world war beyond who the belligerents were and when it </w:t>
      </w:r>
      <w:r w:rsidR="00D02FC8">
        <w:lastRenderedPageBreak/>
        <w:t>took place could easily navigate the essay as tool to aid their learning of how the British army’s officers were set up and maintained during the war as well the immediate problems and successes they had.</w:t>
      </w:r>
      <w:r w:rsidR="00101A51">
        <w:t xml:space="preserve"> </w:t>
      </w:r>
      <w:r w:rsidR="00A93582">
        <w:t>However,</w:t>
      </w:r>
      <w:r w:rsidR="00101A51">
        <w:t xml:space="preserve"> after this </w:t>
      </w:r>
      <w:r w:rsidR="00A93582">
        <w:t xml:space="preserve">the essay cease to be useful as an ‘introductory’ history. To fully appreciate and understand the text a greater knowledge of Britain during the First World War is necessary, firstly to </w:t>
      </w:r>
      <w:r w:rsidR="00101A51">
        <w:t xml:space="preserve"> </w:t>
      </w:r>
      <w:r w:rsidR="00A93582">
        <w:t>fully decipher</w:t>
      </w:r>
      <w:r w:rsidR="00992BAB">
        <w:t xml:space="preserve"> the table’s you need to know more than the information provide for example table 3.5 provides the casualty</w:t>
      </w:r>
      <w:r w:rsidR="00FB6DAF">
        <w:t xml:space="preserve"> percentage</w:t>
      </w:r>
      <w:r w:rsidR="00992BAB">
        <w:t xml:space="preserve"> figures for officers each year of the wa</w:t>
      </w:r>
      <w:r w:rsidR="00FB6DAF">
        <w:t xml:space="preserve">r, </w:t>
      </w:r>
      <w:r w:rsidR="00A93582">
        <w:t xml:space="preserve"> </w:t>
      </w:r>
      <w:r w:rsidR="00FB6DAF">
        <w:t xml:space="preserve">which despite giving an idea of what the other ranks casualty numbers were the figure given do not fully explain the level of loss amongst officers for example the 14.2% of Officers that detailed as killed between October 1914 and September 1915 </w:t>
      </w:r>
      <w:r w:rsidR="00EE50A6">
        <w:t>appears substantially worse when compared to the 5.8% of other ranks.</w:t>
      </w:r>
      <w:r w:rsidR="00EE50A6">
        <w:rPr>
          <w:rStyle w:val="FootnoteReference"/>
        </w:rPr>
        <w:footnoteReference w:id="7"/>
      </w:r>
      <w:r w:rsidR="00EE50A6">
        <w:rPr>
          <w:rStyle w:val="FootnoteReference"/>
        </w:rPr>
        <w:footnoteReference w:id="8"/>
      </w:r>
      <w:r w:rsidR="00EE50A6">
        <w:t xml:space="preserve"> Therefore a general population whole are significantly less likely to find the information for a comparison than a scholar would and therefore would not gain the level of understand the essay aims to provide on the difficult situation Officers faced during the First World War. Further to </w:t>
      </w:r>
      <w:r w:rsidR="0068624C">
        <w:t>this the intent of the book this essay is included in is to look at the social implications of the First World War once again without a in depth understanding of the British Army and Britain during the First World War one would strug</w:t>
      </w:r>
      <w:r w:rsidR="00B469D8">
        <w:t xml:space="preserve">gle to understand, how discussion of Officers during the war had a wider social impact. Such as when </w:t>
      </w:r>
      <w:r w:rsidR="00107962">
        <w:t xml:space="preserve">Simpson expects the reader to understand without explanation to understand how Pals battalions effected both the soldier and their home communities, when trying to compare the to the regular army. This is largely </w:t>
      </w:r>
      <w:r w:rsidR="00110F55">
        <w:t>why this</w:t>
      </w:r>
      <w:r w:rsidR="00107962">
        <w:t xml:space="preserve"> work is </w:t>
      </w:r>
      <w:r w:rsidR="00110F55">
        <w:t>substantially,</w:t>
      </w:r>
      <w:r w:rsidR="00107962">
        <w:t xml:space="preserve"> despite its academic floors</w:t>
      </w:r>
      <w:r w:rsidR="00110F55">
        <w:t>,</w:t>
      </w:r>
      <w:r w:rsidR="00107962">
        <w:t xml:space="preserve"> </w:t>
      </w:r>
      <w:r w:rsidR="008A44B5">
        <w:t xml:space="preserve">much more useful as </w:t>
      </w:r>
      <w:r w:rsidR="00110F55">
        <w:t>a</w:t>
      </w:r>
      <w:r w:rsidR="008A44B5">
        <w:t xml:space="preserve"> scholarly tool than it is for </w:t>
      </w:r>
      <w:r w:rsidR="00110F55">
        <w:t>a</w:t>
      </w:r>
      <w:r w:rsidR="008A44B5">
        <w:t xml:space="preserve"> member of the public with a passing interest in the First World War, unlike the more popular history works such as Norman Stone’s World War One a short history.</w:t>
      </w:r>
      <w:r w:rsidR="008A44B5">
        <w:rPr>
          <w:rStyle w:val="FootnoteReference"/>
        </w:rPr>
        <w:footnoteReference w:id="9"/>
      </w:r>
    </w:p>
    <w:p w:rsidR="0068208A" w:rsidRDefault="00FE58D1">
      <w:r>
        <w:t xml:space="preserve">Overall Simpsons work on British army officers during the first world war is an incisive view especially when compared to the common perception of the officer in this period. </w:t>
      </w:r>
      <w:r w:rsidR="00CC191C">
        <w:t>Its main strength lies largely in Simpsons extensive use of sources and references to other scholars</w:t>
      </w:r>
      <w:r w:rsidR="00635333">
        <w:t xml:space="preserve">, meaning </w:t>
      </w:r>
      <w:r w:rsidR="00CC191C">
        <w:t>that as an academic tool it has great value as on its own it provides a clear argument in support of the capabilities of the British offic</w:t>
      </w:r>
      <w:r w:rsidR="00635333">
        <w:t xml:space="preserve">er and the hardships they faced. However, with the extensive use of other works within the essay Simpson </w:t>
      </w:r>
      <w:r w:rsidR="00E85CAB">
        <w:t>gives a comprehensive look into the development of the officer, while the references allow any academic working with the essay or any anyone with an extended interest</w:t>
      </w:r>
      <w:r w:rsidR="00CE5835">
        <w:t xml:space="preserve"> could easily continue their work or research in great amount of depth and accurate research. Despite this Simpsons </w:t>
      </w:r>
      <w:r w:rsidR="00712E9D">
        <w:t>personal philosophy hinders his ability to make a balanced argument, this means that a</w:t>
      </w:r>
      <w:r w:rsidR="00FD6216">
        <w:t>s a</w:t>
      </w:r>
      <w:r w:rsidR="00712E9D">
        <w:t xml:space="preserve"> tool for an acad</w:t>
      </w:r>
      <w:r w:rsidR="00FD6216">
        <w:t>emic it must be used in conjunction with another very similar work in order to develop a comprehensive argument of a high standard that does not only support the idea of the British army officer being underrated during the First World War.</w:t>
      </w:r>
    </w:p>
    <w:p w:rsidR="00FD6216" w:rsidRDefault="00FD6216"/>
    <w:p w:rsidR="00FD6216" w:rsidRDefault="00FD6216"/>
    <w:p w:rsidR="00FD6216" w:rsidRDefault="00FD6216"/>
    <w:p w:rsidR="00FD6216" w:rsidRDefault="00FD6216"/>
    <w:p w:rsidR="00FD6216" w:rsidRDefault="00FD6216"/>
    <w:p w:rsidR="00FD6216" w:rsidRDefault="00FD6216"/>
    <w:p w:rsidR="00FD6216" w:rsidRDefault="00FD6216">
      <w:r>
        <w:lastRenderedPageBreak/>
        <w:t>Document Report.</w:t>
      </w:r>
    </w:p>
    <w:p w:rsidR="00FD6216" w:rsidRDefault="00100E4E">
      <w:r>
        <w:t>The Fifth Glo’st</w:t>
      </w:r>
      <w:r w:rsidR="00FD6216">
        <w:t xml:space="preserve">er Gazette  </w:t>
      </w:r>
    </w:p>
    <w:p w:rsidR="00100E4E" w:rsidRDefault="00100E4E"/>
    <w:p w:rsidR="00100E4E" w:rsidRDefault="00100E4E">
      <w:r>
        <w:t>The Fifth Glo’ster gazette is thought to be the first ‘trench magazine’ set up on the initiative of the battalions commanding officer Lieutenant- Colonel Collette in April 1915 shortly after the unit’s deployment to France.</w:t>
      </w:r>
      <w:r>
        <w:rPr>
          <w:rStyle w:val="FootnoteReference"/>
        </w:rPr>
        <w:footnoteReference w:id="10"/>
      </w:r>
      <w:r>
        <w:t xml:space="preserve"> Typed by one of the battalion clerks many of the </w:t>
      </w:r>
      <w:r w:rsidR="00B4619F">
        <w:t>battalion contributed</w:t>
      </w:r>
      <w:r>
        <w:t xml:space="preserve"> to the papers 25 issues. In </w:t>
      </w:r>
      <w:r w:rsidR="00B4619F">
        <w:t>this document</w:t>
      </w:r>
      <w:r>
        <w:t xml:space="preserve"> report I will be looking specifically at </w:t>
      </w:r>
      <w:r w:rsidR="00B4619F">
        <w:t>the fourth issue published on the 12 of July 1915.</w:t>
      </w:r>
      <w:r w:rsidR="004B57A2">
        <w:rPr>
          <w:rStyle w:val="FootnoteReference"/>
        </w:rPr>
        <w:footnoteReference w:id="11"/>
      </w:r>
      <w:r>
        <w:t xml:space="preserve"> </w:t>
      </w:r>
    </w:p>
    <w:p w:rsidR="00B4619F" w:rsidRPr="00DA664A" w:rsidRDefault="00B4619F">
      <w:r>
        <w:t xml:space="preserve">In this </w:t>
      </w:r>
      <w:r w:rsidR="00710E48">
        <w:t>issue</w:t>
      </w:r>
      <w:r>
        <w:t xml:space="preserve"> as with the others the intended audience for the most part was the 5</w:t>
      </w:r>
      <w:r w:rsidRPr="00B4619F">
        <w:rPr>
          <w:vertAlign w:val="superscript"/>
        </w:rPr>
        <w:t>th</w:t>
      </w:r>
      <w:r>
        <w:t xml:space="preserve"> battalion Gloucester regiment at all ranks, however given its humorous nature it was quickly picked up where possible by the other battalions of the regiment as well as any other nearby soldiers. </w:t>
      </w:r>
      <w:r w:rsidR="00710E48">
        <w:t>However,</w:t>
      </w:r>
      <w:r>
        <w:t xml:space="preserve"> as it was aimed for a rather specific audience it </w:t>
      </w:r>
      <w:r w:rsidR="00710E48">
        <w:t>meant</w:t>
      </w:r>
      <w:r>
        <w:t xml:space="preserve"> that they could </w:t>
      </w:r>
      <w:r w:rsidR="00710E48">
        <w:t>include</w:t>
      </w:r>
      <w:r>
        <w:t xml:space="preserve"> rather </w:t>
      </w:r>
      <w:r w:rsidR="00ED0A3D">
        <w:t xml:space="preserve">specific inside jokes such as </w:t>
      </w:r>
      <w:r w:rsidR="00AB0FEC">
        <w:t xml:space="preserve">‘which corporal reported that the Germans were white washing sand bags’ which would have been a running element of banter that would be discussed by all in the </w:t>
      </w:r>
      <w:r w:rsidR="00710E48">
        <w:t>battalion, in order to maintain spirits</w:t>
      </w:r>
      <w:r w:rsidR="00AB0FEC">
        <w:t>.</w:t>
      </w:r>
      <w:r w:rsidR="00AB0FEC">
        <w:rPr>
          <w:rStyle w:val="FootnoteReference"/>
        </w:rPr>
        <w:footnoteReference w:id="12"/>
      </w:r>
      <w:r w:rsidR="00AB0FEC">
        <w:t xml:space="preserve"> </w:t>
      </w:r>
      <w:r>
        <w:t xml:space="preserve"> </w:t>
      </w:r>
      <w:r w:rsidR="00710E48">
        <w:t xml:space="preserve">This satirical view </w:t>
      </w:r>
      <w:r w:rsidR="00072747">
        <w:t>was not an uncommon approach to making life in the trenches more tolerable by breaking the soldiers intense routine with light hearted entertainment.</w:t>
      </w:r>
      <w:r w:rsidR="007C4DCD">
        <w:t xml:space="preserve"> What was common of the humour within the Fifth Gloster Gazette as with the trench magazines of other nations is humour based on national identity, this had multiple benefits but it helped to unite the soldiers regardless of background in humour which they can all share, this also has the added benefit that it further helped unite the men as a nation</w:t>
      </w:r>
      <w:r w:rsidR="00CF3268">
        <w:t xml:space="preserve"> by reminding them of what they are fighting, to protect the British way of life which can be summed </w:t>
      </w:r>
      <w:r w:rsidR="003B6EA7">
        <w:t>up to</w:t>
      </w:r>
      <w:r w:rsidR="00302DCE">
        <w:t xml:space="preserve"> </w:t>
      </w:r>
      <w:r w:rsidR="00CF3268">
        <w:t xml:space="preserve"> the inclusion of ‘violent, vulgar, savagely </w:t>
      </w:r>
      <w:r w:rsidR="003B6EA7">
        <w:t>satirical with black and bleakly humour’</w:t>
      </w:r>
      <w:r w:rsidR="00CF3268">
        <w:t>.</w:t>
      </w:r>
      <w:r w:rsidR="00CF3268">
        <w:rPr>
          <w:rStyle w:val="FootnoteReference"/>
        </w:rPr>
        <w:footnoteReference w:id="13"/>
      </w:r>
      <w:r w:rsidR="00CF3268">
        <w:t xml:space="preserve"> </w:t>
      </w:r>
      <w:r w:rsidR="00302DCE">
        <w:t xml:space="preserve"> This would have been colossally motivational to </w:t>
      </w:r>
      <w:r w:rsidR="00D365F4">
        <w:t>the troop by making them feel somewhat more at home, and comfortable</w:t>
      </w:r>
      <w:r w:rsidR="00C87A0B">
        <w:t xml:space="preserve"> by bring part of England to France.</w:t>
      </w:r>
      <w:r w:rsidR="002F2BBA">
        <w:t xml:space="preserve"> This is very similar to other nations even one of the German trench newspapers </w:t>
      </w:r>
      <w:r w:rsidR="002F2BBA">
        <w:rPr>
          <w:i/>
        </w:rPr>
        <w:t>Der Drahtverhau (The Barbed Wire)</w:t>
      </w:r>
      <w:r w:rsidR="00DA664A">
        <w:rPr>
          <w:i/>
        </w:rPr>
        <w:t xml:space="preserve"> </w:t>
      </w:r>
      <w:r w:rsidR="00DA664A">
        <w:t>Who had a running joke that they ‘can teach anyone even the deaf, dumb, blind and French how to order a beer’.</w:t>
      </w:r>
      <w:r w:rsidR="00DA664A">
        <w:rPr>
          <w:rStyle w:val="FootnoteReference"/>
        </w:rPr>
        <w:footnoteReference w:id="14"/>
      </w:r>
      <w:r w:rsidR="00DA664A">
        <w:t xml:space="preserve"> Similar to the Fifth Gloster </w:t>
      </w:r>
      <w:r w:rsidR="00C3405B">
        <w:t>Gazette</w:t>
      </w:r>
      <w:r w:rsidR="00DA664A">
        <w:t xml:space="preserve"> this humour has a heavy focus  </w:t>
      </w:r>
      <w:r w:rsidR="00C33C67">
        <w:t>of the G</w:t>
      </w:r>
      <w:r w:rsidR="00DA664A">
        <w:t>ermans playing on their own national stereo type while joking about the enemy (especially their competency</w:t>
      </w:r>
      <w:r w:rsidR="00C33C67">
        <w:t>) in order to rally the spirits of the troops by giving them confidence against the enemy.</w:t>
      </w:r>
    </w:p>
    <w:p w:rsidR="00710E48" w:rsidRDefault="00EF1A6A">
      <w:r>
        <w:t>Despite the s</w:t>
      </w:r>
      <w:r w:rsidR="00B179A2">
        <w:t>atirical style and theme of the paper</w:t>
      </w:r>
      <w:r>
        <w:t xml:space="preserve"> it does also have a serious side, within the pages it each issue also publishes a list of the battalion’s casualties. This serves in order to inform the men of the unfortunate losses they received but would also provide relief if anybody thought to be killed was in fact only injured. For all the deaths, a thoughtfully written yet somewhat uplifting obituary was provided. This served to give the men some peace of mind as </w:t>
      </w:r>
      <w:r w:rsidR="00C3405B">
        <w:t>usually</w:t>
      </w:r>
      <w:r>
        <w:t xml:space="preserve"> the </w:t>
      </w:r>
      <w:r w:rsidR="00C3405B">
        <w:t>obituary</w:t>
      </w:r>
      <w:r>
        <w:t xml:space="preserve"> contained lines such as ‘died in service to king and country’, ‘after heroic action’</w:t>
      </w:r>
      <w:r w:rsidR="00C3405B">
        <w:t xml:space="preserve"> or ‘while leading from the front’.</w:t>
      </w:r>
      <w:r w:rsidR="00C3405B">
        <w:rPr>
          <w:rStyle w:val="FootnoteReference"/>
        </w:rPr>
        <w:footnoteReference w:id="15"/>
      </w:r>
      <w:r w:rsidR="00C3405B">
        <w:t xml:space="preserve"> These phrases would if even slightly lift the other troops spirits despite the loss as these were all ‘buzz phrases’ that highlighted the heroic nature that many of the soldiers either wanted in the event of death, or encouraged them that nobody was dying in vain. The placement of the </w:t>
      </w:r>
      <w:r w:rsidR="00C01032">
        <w:lastRenderedPageBreak/>
        <w:t>casualty’s</w:t>
      </w:r>
      <w:r w:rsidR="00C3405B">
        <w:t xml:space="preserve"> section </w:t>
      </w:r>
      <w:r w:rsidR="00C01032">
        <w:t>is also intelligently placed at the end after the promotions and appointments list. This was to help transition out of the humorous portion of the paper, to provide more respect for the dead. Also by placing it as the last item it would mean that it if another soldier wanted to not read that section he could easily avoid it, or remove it to send home to familys.</w:t>
      </w:r>
    </w:p>
    <w:p w:rsidR="005A2917" w:rsidRDefault="00C01032">
      <w:r>
        <w:t>The Gazette is also extremely useful as a source in a number of ways, firstly with casualties and promotions list it helps a researcher to establish what the battalion statics were on matters such death rates battali</w:t>
      </w:r>
      <w:r w:rsidR="004D4D65">
        <w:t>on actions and battalion growth. F</w:t>
      </w:r>
      <w:r>
        <w:t xml:space="preserve">or </w:t>
      </w:r>
      <w:r w:rsidR="004D4D65">
        <w:t>example the</w:t>
      </w:r>
      <w:r>
        <w:t xml:space="preserve"> large number of promotions</w:t>
      </w:r>
      <w:r w:rsidR="004D4D65">
        <w:t xml:space="preserve"> to lance corporal (nineteen in total) in the fourth issue with a month since the </w:t>
      </w:r>
      <w:r w:rsidR="005A2917">
        <w:t>previous when</w:t>
      </w:r>
      <w:r w:rsidR="004D4D65">
        <w:t xml:space="preserve"> compared against two deaths and three injuries would suggest that the promotions were as a result of the battalion growing after receiving a number of new private </w:t>
      </w:r>
      <w:r w:rsidR="005A2917">
        <w:t>soldiers with</w:t>
      </w:r>
      <w:r w:rsidR="004D4D65">
        <w:t xml:space="preserve"> the new lance corporals need to command the new men. The promotions list may also help researcher’s when investigating the battalion’s development, by looking at the number promotions a scholar can denote </w:t>
      </w:r>
      <w:r w:rsidR="005A2917">
        <w:t>a number of points; a large number of promotions especially to more senior positions show that a number of soldier are somewhat experienced, and even how many men have been with the unit for extend time. While a lot of sudden promotions to lance corporal may suggest an inexperienced unit who a rushing men throw the ranks to cover losses.</w:t>
      </w:r>
    </w:p>
    <w:p w:rsidR="005A2917" w:rsidRDefault="005A2917">
      <w:r>
        <w:t xml:space="preserve">This issue is also useful when research the social aspect of soldiers at war, with in the issue there is extensive discussion of the </w:t>
      </w:r>
      <w:r w:rsidR="00E64129">
        <w:t>battalion’s</w:t>
      </w:r>
      <w:r>
        <w:t xml:space="preserve"> multiple cricket match. This tell us that the </w:t>
      </w:r>
      <w:r w:rsidR="00E64129">
        <w:t>battalion</w:t>
      </w:r>
      <w:r>
        <w:t xml:space="preserve"> are </w:t>
      </w:r>
      <w:r w:rsidR="00E64129">
        <w:t>comfortable</w:t>
      </w:r>
      <w:r>
        <w:t xml:space="preserve"> and more likely to have high moral given that they are happy to spend time on </w:t>
      </w:r>
      <w:r w:rsidR="00E64129">
        <w:t>casual activities and pass times.</w:t>
      </w:r>
      <w:r w:rsidR="00E64129">
        <w:rPr>
          <w:rStyle w:val="FootnoteReference"/>
        </w:rPr>
        <w:footnoteReference w:id="16"/>
      </w:r>
      <w:r w:rsidR="00E64129">
        <w:t xml:space="preserve"> The confidence of the battalion on the battle field also comes across in the fact that they joke about playing these games ‘within 900 yards of the German trenches’.</w:t>
      </w:r>
      <w:r w:rsidR="00E64129">
        <w:rPr>
          <w:rStyle w:val="FootnoteReference"/>
        </w:rPr>
        <w:footnoteReference w:id="17"/>
      </w:r>
      <w:r w:rsidR="00E64129">
        <w:t xml:space="preserve"> This emphasises how confident of the war the troops were at this point given that they are not fearful of the enemy despite their close proximity.</w:t>
      </w:r>
      <w:r w:rsidR="008238DF">
        <w:rPr>
          <w:rStyle w:val="FootnoteReference"/>
        </w:rPr>
        <w:footnoteReference w:id="18"/>
      </w:r>
    </w:p>
    <w:p w:rsidR="004D4D65" w:rsidRDefault="008238DF">
      <w:r>
        <w:t>This issues also provide also very useful when compared to later issues to show how the soldiers opinions and emotions develop though out the war.</w:t>
      </w:r>
      <w:r w:rsidR="00A44F39">
        <w:t xml:space="preserve"> When compared with issue 23 from July 1918 you see how the soldiers are now dramatically more confident of victory with article titles now being ‘Germanys dance with death’ ‘How to spot a fleeing German’ and ‘where to find the best sausage’.</w:t>
      </w:r>
      <w:r w:rsidR="00A44F39">
        <w:rPr>
          <w:rStyle w:val="FootnoteReference"/>
        </w:rPr>
        <w:footnoteReference w:id="19"/>
      </w:r>
      <w:r w:rsidR="00A44F39">
        <w:t xml:space="preserve"> These all clear jokes that show how the British troops</w:t>
      </w:r>
      <w:r w:rsidR="006262E7">
        <w:t xml:space="preserve"> were very</w:t>
      </w:r>
      <w:r w:rsidR="00A44F39">
        <w:t xml:space="preserve"> confident </w:t>
      </w:r>
      <w:r w:rsidR="006262E7">
        <w:t xml:space="preserve">at how the war had developed as these article headings were very rare in the issues three years previous. This also shows how despite years of loss and hard fighting the idea of national identity still carried strong which is why the attacks on stereo types continued to unite soldiers regardless of their background. Another big change over the years of publishing is how you can see how the novelty of certain aspects has begun to wear off with more jokes being made about the repetitive </w:t>
      </w:r>
      <w:r w:rsidR="00863EC7">
        <w:t>nature of the war including things such as the weather, poor food quality and lack of supplies.</w:t>
      </w:r>
      <w:r w:rsidR="00863EC7">
        <w:rPr>
          <w:rStyle w:val="FootnoteReference"/>
        </w:rPr>
        <w:footnoteReference w:id="20"/>
      </w:r>
      <w:r w:rsidR="00863EC7">
        <w:t xml:space="preserve"> This is usually present</w:t>
      </w:r>
      <w:r w:rsidR="004B57A2">
        <w:t>ed</w:t>
      </w:r>
      <w:r w:rsidR="00863EC7">
        <w:t xml:space="preserve"> in a very satirical manner such as cartoons to make it seem very light hearted. This is likely due to the fact that senior officers would inspect the papers before release to check that nothing overly detrimental was made public such figures on equipment, upcoming troop movement (because of the danger of falling into enemy hands) and anything particularly anti-British or government or military which could damage their reputations.</w:t>
      </w:r>
      <w:r w:rsidR="00863EC7">
        <w:rPr>
          <w:rStyle w:val="FootnoteReference"/>
        </w:rPr>
        <w:footnoteReference w:id="21"/>
      </w:r>
    </w:p>
    <w:p w:rsidR="000403BD" w:rsidRDefault="000403BD">
      <w:r>
        <w:lastRenderedPageBreak/>
        <w:t xml:space="preserve">Despite their being no archetypal style of trench magazine due to how individual they </w:t>
      </w:r>
      <w:r w:rsidR="00BC5553">
        <w:t>were given how different the regiment that made them were, for example the men of the Sherwood Foresters would not of got individual joke aimed at particular officer or NCO’s nor the regional dialectic style they are written in. Most of the Trench newspapers whether from British unit or other nations all share similarities with the Fifth Gloster Gazette</w:t>
      </w:r>
      <w:r w:rsidR="00881430">
        <w:t xml:space="preserve"> if one compares it to the Wipers times</w:t>
      </w:r>
      <w:r w:rsidR="00BC5553">
        <w:t xml:space="preserve"> </w:t>
      </w:r>
      <w:r w:rsidR="00881430">
        <w:t xml:space="preserve">you would see </w:t>
      </w:r>
      <w:r w:rsidR="00420BCE">
        <w:t>massively similarities between the style of the humour being somewhat dark as well usually rather ‘on the nose’ and abrupt such as them both sharing similar jokes about the chain of command.</w:t>
      </w:r>
      <w:r w:rsidR="00420BCE">
        <w:rPr>
          <w:rStyle w:val="FootnoteReference"/>
        </w:rPr>
        <w:footnoteReference w:id="22"/>
      </w:r>
      <w:r w:rsidR="00420BCE">
        <w:t xml:space="preserve"> But when compared with the French equivalent, that is from a nation that has a very different style of humour and as such they do not have the same humour intent, sill contains a substantial amount of poetry, to exhibit the talent but also inadvertently highlight the emotions of the soldier’s.</w:t>
      </w:r>
      <w:r w:rsidR="00420BCE">
        <w:rPr>
          <w:rStyle w:val="FootnoteReference"/>
        </w:rPr>
        <w:footnoteReference w:id="23"/>
      </w:r>
      <w:r w:rsidR="00420BCE">
        <w:t xml:space="preserve"> But most importantly the similarities between these trench newspapers from around the world and from both the allied and  central powers highlights how all the troops had similar experiences</w:t>
      </w:r>
      <w:r w:rsidR="00995111">
        <w:t xml:space="preserve"> and similar emotions to the war with full belief that they were in the write and the dominant nation. This would have been exponentially useful to the commanders of all nations as both an ‘accidental’ propaganda tool and a motivational tool for their own men.</w:t>
      </w:r>
    </w:p>
    <w:p w:rsidR="002D1F40" w:rsidRDefault="002D1F40">
      <w:r>
        <w:t xml:space="preserve">Overall </w:t>
      </w:r>
      <w:r w:rsidR="00306D1C">
        <w:t xml:space="preserve">this document is an exceptional example of the nature of the British soldier during the First World War </w:t>
      </w:r>
      <w:r w:rsidR="00CB6DA1">
        <w:t>with the desire to ‘continue business as usual’ even in the worst of circumstances.</w:t>
      </w:r>
      <w:r w:rsidR="00CB6DA1">
        <w:rPr>
          <w:rStyle w:val="FootnoteReference"/>
        </w:rPr>
        <w:footnoteReference w:id="24"/>
      </w:r>
      <w:r w:rsidR="00CB6DA1">
        <w:t>I would argue that the nature of the each issue maintained moral more so than any official attempt by the government or senior army staff, due to the paper being written and published by the peers  of those who read it, creating a publication that was as close to the heart as possible that would be full</w:t>
      </w:r>
      <w:r w:rsidR="00BD5F51">
        <w:t>y respect and understood by all of its audience.  Furthermore, it is very valuable as a source for social studies of the British soldier at the front during World War One, while also being of use to scholars as a primary source of death rates and the history of the battalion during the period of publication.</w:t>
      </w:r>
    </w:p>
    <w:p w:rsidR="004B57A2" w:rsidRDefault="004B57A2"/>
    <w:p w:rsidR="004B57A2" w:rsidRDefault="004B57A2"/>
    <w:p w:rsidR="004B57A2" w:rsidRDefault="004B57A2"/>
    <w:p w:rsidR="004B57A2" w:rsidRDefault="004B57A2"/>
    <w:p w:rsidR="004B57A2" w:rsidRDefault="004B57A2"/>
    <w:p w:rsidR="004B57A2" w:rsidRDefault="004B57A2"/>
    <w:p w:rsidR="004B57A2" w:rsidRDefault="004B57A2"/>
    <w:p w:rsidR="004B57A2" w:rsidRDefault="004B57A2"/>
    <w:p w:rsidR="004B57A2" w:rsidRDefault="004B57A2"/>
    <w:p w:rsidR="004B57A2" w:rsidRDefault="004B57A2"/>
    <w:p w:rsidR="004B57A2" w:rsidRDefault="004B57A2"/>
    <w:p w:rsidR="004B57A2" w:rsidRDefault="004B57A2"/>
    <w:p w:rsidR="004B57A2" w:rsidRPr="004B57A2" w:rsidRDefault="004B57A2">
      <w:pPr>
        <w:rPr>
          <w:b/>
          <w:u w:val="single"/>
        </w:rPr>
      </w:pPr>
      <w:r w:rsidRPr="004B57A2">
        <w:rPr>
          <w:b/>
          <w:u w:val="single"/>
        </w:rPr>
        <w:lastRenderedPageBreak/>
        <w:t xml:space="preserve">Bibliography </w:t>
      </w:r>
    </w:p>
    <w:p w:rsidR="000403BD" w:rsidRDefault="004B57A2">
      <w:r>
        <w:t xml:space="preserve">B. Bond, </w:t>
      </w:r>
      <w:r>
        <w:rPr>
          <w:i/>
        </w:rPr>
        <w:t xml:space="preserve">The First World War and British Military History, </w:t>
      </w:r>
      <w:r>
        <w:t>London:Clarendon Press, 1991.</w:t>
      </w:r>
    </w:p>
    <w:p w:rsidR="004B57A2" w:rsidRDefault="004B57A2">
      <w:r>
        <w:t xml:space="preserve">C. Tholas-Disset, K. A. Ritzenhoff, </w:t>
      </w:r>
      <w:r w:rsidRPr="00F70F90">
        <w:rPr>
          <w:i/>
        </w:rPr>
        <w:t>Humour, Entertainment and</w:t>
      </w:r>
      <w:r>
        <w:rPr>
          <w:i/>
        </w:rPr>
        <w:t xml:space="preserve"> Popular Culture During World War One, </w:t>
      </w:r>
      <w:r>
        <w:t>New York: Palgrave Macmillan, 2015.</w:t>
      </w:r>
    </w:p>
    <w:p w:rsidR="004B57A2" w:rsidRDefault="004B57A2">
      <w:r>
        <w:t>I. Beckett, T. Bowman, M Connelly, The British Army and the First World War, Cambridge: Cambridge University press, 2017.</w:t>
      </w:r>
    </w:p>
    <w:p w:rsidR="004B57A2" w:rsidRDefault="004B57A2">
      <w:r>
        <w:t>I. F. W. Beckett. K. Simpson, Manchester: Manchester University press, 1985.</w:t>
      </w:r>
    </w:p>
    <w:p w:rsidR="004B57A2" w:rsidRDefault="004B57A2">
      <w:r>
        <w:t xml:space="preserve">J. M. Winter, ‘Britain’s lost generation of the First World War’, </w:t>
      </w:r>
      <w:r>
        <w:rPr>
          <w:i/>
        </w:rPr>
        <w:t>Population Studies</w:t>
      </w:r>
      <w:r>
        <w:t>, XXXI,III, 1977.</w:t>
      </w:r>
    </w:p>
    <w:p w:rsidR="004B57A2" w:rsidRDefault="004B57A2" w:rsidP="004B57A2">
      <w:r>
        <w:t xml:space="preserve">K. Simpson, ‘The Officer’, </w:t>
      </w:r>
      <w:r>
        <w:rPr>
          <w:i/>
        </w:rPr>
        <w:t xml:space="preserve">A Nation in Arms a social study of the British army  in the First World War, </w:t>
      </w:r>
    </w:p>
    <w:p w:rsidR="004B57A2" w:rsidRDefault="004B57A2">
      <w:r>
        <w:t xml:space="preserve">N. Stone, </w:t>
      </w:r>
      <w:r>
        <w:rPr>
          <w:i/>
        </w:rPr>
        <w:t xml:space="preserve">World War One a short history </w:t>
      </w:r>
      <w:r>
        <w:t>(London: Penguin Books, 2007</w:t>
      </w:r>
    </w:p>
    <w:p w:rsidR="004B57A2" w:rsidRDefault="004B57A2">
      <w:r>
        <w:rPr>
          <w:i/>
        </w:rPr>
        <w:t xml:space="preserve">The Fifth Gloster Gazzette, </w:t>
      </w:r>
      <w:r>
        <w:t>ed. C. Beresford, C. Newbould, Avon: Bath press, 1993.</w:t>
      </w:r>
    </w:p>
    <w:p w:rsidR="004B57A2" w:rsidRDefault="004B57A2">
      <w:r w:rsidRPr="004B57A2">
        <w:rPr>
          <w:i/>
        </w:rPr>
        <w:t>The Wipers Times</w:t>
      </w:r>
      <w:r>
        <w:t>, ed. C.Westthorp (Lond</w:t>
      </w:r>
      <w:r w:rsidR="00BE209C">
        <w:t>on: Bloomsbury publishing, 2013.</w:t>
      </w:r>
      <w:bookmarkStart w:id="0" w:name="_GoBack"/>
      <w:bookmarkEnd w:id="0"/>
    </w:p>
    <w:sectPr w:rsidR="004B57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478E7" w:rsidRDefault="006478E7" w:rsidP="00352722">
      <w:pPr>
        <w:spacing w:after="0" w:line="240" w:lineRule="auto"/>
      </w:pPr>
      <w:r>
        <w:separator/>
      </w:r>
    </w:p>
  </w:endnote>
  <w:endnote w:type="continuationSeparator" w:id="0">
    <w:p w:rsidR="006478E7" w:rsidRDefault="006478E7" w:rsidP="003527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478E7" w:rsidRDefault="006478E7" w:rsidP="00352722">
      <w:pPr>
        <w:spacing w:after="0" w:line="240" w:lineRule="auto"/>
      </w:pPr>
      <w:r>
        <w:separator/>
      </w:r>
    </w:p>
  </w:footnote>
  <w:footnote w:type="continuationSeparator" w:id="0">
    <w:p w:rsidR="006478E7" w:rsidRDefault="006478E7" w:rsidP="00352722">
      <w:pPr>
        <w:spacing w:after="0" w:line="240" w:lineRule="auto"/>
      </w:pPr>
      <w:r>
        <w:continuationSeparator/>
      </w:r>
    </w:p>
  </w:footnote>
  <w:footnote w:id="1">
    <w:p w:rsidR="00B818D6" w:rsidRPr="000E46A8" w:rsidRDefault="00B818D6">
      <w:pPr>
        <w:pStyle w:val="FootnoteText"/>
      </w:pPr>
      <w:r>
        <w:rPr>
          <w:rStyle w:val="FootnoteReference"/>
        </w:rPr>
        <w:footnoteRef/>
      </w:r>
      <w:r>
        <w:t xml:space="preserve"> K. Simpson, ‘The Officer’, </w:t>
      </w:r>
      <w:r>
        <w:rPr>
          <w:i/>
        </w:rPr>
        <w:t xml:space="preserve">A Nation in Arms a social study of the British army  in the First World War, </w:t>
      </w:r>
      <w:r>
        <w:t>I. F. W. Beckett. K. Simpson (Manchester: Manchester University press, 1985) 64-92.</w:t>
      </w:r>
    </w:p>
  </w:footnote>
  <w:footnote w:id="2">
    <w:p w:rsidR="00B818D6" w:rsidRPr="00094385" w:rsidRDefault="00B818D6">
      <w:pPr>
        <w:pStyle w:val="FootnoteText"/>
      </w:pPr>
      <w:r>
        <w:rPr>
          <w:rStyle w:val="FootnoteReference"/>
        </w:rPr>
        <w:footnoteRef/>
      </w:r>
      <w:r>
        <w:t xml:space="preserve"> B. Bond, </w:t>
      </w:r>
      <w:r>
        <w:rPr>
          <w:i/>
        </w:rPr>
        <w:t xml:space="preserve">The First World War and British Military History </w:t>
      </w:r>
      <w:r>
        <w:t>(London:Clarendon Press, 1991).</w:t>
      </w:r>
    </w:p>
  </w:footnote>
  <w:footnote w:id="3">
    <w:p w:rsidR="00B818D6" w:rsidRPr="002A7745" w:rsidRDefault="00B818D6">
      <w:pPr>
        <w:pStyle w:val="FootnoteText"/>
      </w:pPr>
      <w:r>
        <w:rPr>
          <w:rStyle w:val="FootnoteReference"/>
        </w:rPr>
        <w:footnoteRef/>
      </w:r>
      <w:r>
        <w:t xml:space="preserve"> Simpson,</w:t>
      </w:r>
      <w:r>
        <w:rPr>
          <w:i/>
        </w:rPr>
        <w:t xml:space="preserve"> The Officer, </w:t>
      </w:r>
      <w:r>
        <w:t>64.</w:t>
      </w:r>
    </w:p>
  </w:footnote>
  <w:footnote w:id="4">
    <w:p w:rsidR="00B818D6" w:rsidRDefault="00B818D6">
      <w:pPr>
        <w:pStyle w:val="FootnoteText"/>
      </w:pPr>
      <w:r>
        <w:rPr>
          <w:rStyle w:val="FootnoteReference"/>
        </w:rPr>
        <w:footnoteRef/>
      </w:r>
      <w:r>
        <w:t xml:space="preserve"> Ibid, 69, 70, 81.</w:t>
      </w:r>
    </w:p>
  </w:footnote>
  <w:footnote w:id="5">
    <w:p w:rsidR="00B818D6" w:rsidRDefault="00B818D6">
      <w:pPr>
        <w:pStyle w:val="FootnoteText"/>
      </w:pPr>
      <w:r>
        <w:rPr>
          <w:rStyle w:val="FootnoteReference"/>
        </w:rPr>
        <w:footnoteRef/>
      </w:r>
      <w:r>
        <w:t xml:space="preserve"> Ibid 69.</w:t>
      </w:r>
    </w:p>
  </w:footnote>
  <w:footnote w:id="6">
    <w:p w:rsidR="00B818D6" w:rsidRPr="00546E16" w:rsidRDefault="00B818D6">
      <w:pPr>
        <w:pStyle w:val="FootnoteText"/>
        <w:rPr>
          <w:i/>
        </w:rPr>
      </w:pPr>
      <w:r>
        <w:rPr>
          <w:rStyle w:val="FootnoteReference"/>
        </w:rPr>
        <w:footnoteRef/>
      </w:r>
      <w:r>
        <w:t xml:space="preserve"> I. Beckett, T. Bowman, M Connelly, The British Army and the First World War (Cambridge: Cambridge University press, 2017) 56.</w:t>
      </w:r>
    </w:p>
  </w:footnote>
  <w:footnote w:id="7">
    <w:p w:rsidR="00B818D6" w:rsidRDefault="00B818D6">
      <w:pPr>
        <w:pStyle w:val="FootnoteText"/>
      </w:pPr>
      <w:r>
        <w:rPr>
          <w:rStyle w:val="FootnoteReference"/>
        </w:rPr>
        <w:footnoteRef/>
      </w:r>
      <w:r>
        <w:t xml:space="preserve"> Simpson,</w:t>
      </w:r>
      <w:r>
        <w:rPr>
          <w:i/>
        </w:rPr>
        <w:t xml:space="preserve"> The Officer,</w:t>
      </w:r>
      <w:r w:rsidRPr="00EE50A6">
        <w:t>87.</w:t>
      </w:r>
    </w:p>
  </w:footnote>
  <w:footnote w:id="8">
    <w:p w:rsidR="00B818D6" w:rsidRPr="00EE50A6" w:rsidRDefault="00B818D6">
      <w:pPr>
        <w:pStyle w:val="FootnoteText"/>
      </w:pPr>
      <w:r>
        <w:rPr>
          <w:rStyle w:val="FootnoteReference"/>
        </w:rPr>
        <w:footnoteRef/>
      </w:r>
      <w:r>
        <w:t xml:space="preserve"> J. M. Winter, ‘Britain’s lost generation of the First World War’, </w:t>
      </w:r>
      <w:r>
        <w:rPr>
          <w:i/>
        </w:rPr>
        <w:t>Population Studies</w:t>
      </w:r>
      <w:r>
        <w:t>, XXXI,III, 1977, 458.</w:t>
      </w:r>
    </w:p>
  </w:footnote>
  <w:footnote w:id="9">
    <w:p w:rsidR="00B818D6" w:rsidRPr="008A44B5" w:rsidRDefault="00B818D6">
      <w:pPr>
        <w:pStyle w:val="FootnoteText"/>
      </w:pPr>
      <w:r>
        <w:rPr>
          <w:rStyle w:val="FootnoteReference"/>
        </w:rPr>
        <w:footnoteRef/>
      </w:r>
      <w:r>
        <w:t xml:space="preserve"> N. Stone, </w:t>
      </w:r>
      <w:r>
        <w:rPr>
          <w:i/>
        </w:rPr>
        <w:t xml:space="preserve">World War One a short history </w:t>
      </w:r>
      <w:r>
        <w:t>(London: Penguin Books, 2007).</w:t>
      </w:r>
    </w:p>
  </w:footnote>
  <w:footnote w:id="10">
    <w:p w:rsidR="00B818D6" w:rsidRPr="00AB0FEC" w:rsidRDefault="00B818D6">
      <w:pPr>
        <w:pStyle w:val="FootnoteText"/>
      </w:pPr>
      <w:r>
        <w:rPr>
          <w:rStyle w:val="FootnoteReference"/>
        </w:rPr>
        <w:footnoteRef/>
      </w:r>
      <w:r>
        <w:t xml:space="preserve"> </w:t>
      </w:r>
      <w:r>
        <w:rPr>
          <w:i/>
        </w:rPr>
        <w:t xml:space="preserve">The Fifth Gloster Gazzette, </w:t>
      </w:r>
      <w:r>
        <w:t>ed. C. Beresford, C. Newbould (Avon: Bath press, 1993) 3.</w:t>
      </w:r>
    </w:p>
  </w:footnote>
  <w:footnote w:id="11">
    <w:p w:rsidR="00B818D6" w:rsidRDefault="00B818D6">
      <w:pPr>
        <w:pStyle w:val="FootnoteText"/>
      </w:pPr>
      <w:r>
        <w:rPr>
          <w:rStyle w:val="FootnoteReference"/>
        </w:rPr>
        <w:footnoteRef/>
      </w:r>
      <w:r>
        <w:t xml:space="preserve"> </w:t>
      </w:r>
      <w:r>
        <w:rPr>
          <w:i/>
        </w:rPr>
        <w:t xml:space="preserve">The Fifth Gloster Gazzette, </w:t>
      </w:r>
      <w:r>
        <w:t>Beresford, 14.</w:t>
      </w:r>
    </w:p>
  </w:footnote>
  <w:footnote w:id="12">
    <w:p w:rsidR="00B818D6" w:rsidRPr="004B57A2" w:rsidRDefault="00B818D6">
      <w:pPr>
        <w:pStyle w:val="FootnoteText"/>
      </w:pPr>
      <w:r>
        <w:rPr>
          <w:rStyle w:val="FootnoteReference"/>
        </w:rPr>
        <w:footnoteRef/>
      </w:r>
      <w:r>
        <w:t>Ibid,14.</w:t>
      </w:r>
    </w:p>
  </w:footnote>
  <w:footnote w:id="13">
    <w:p w:rsidR="00B818D6" w:rsidRPr="00CF3268" w:rsidRDefault="00B818D6">
      <w:pPr>
        <w:pStyle w:val="FootnoteText"/>
      </w:pPr>
      <w:r>
        <w:rPr>
          <w:rStyle w:val="FootnoteReference"/>
        </w:rPr>
        <w:footnoteRef/>
      </w:r>
      <w:r>
        <w:t xml:space="preserve"> C. Tholas-Disset, K. A. Ritzenhoff, </w:t>
      </w:r>
      <w:r w:rsidRPr="00F70F90">
        <w:rPr>
          <w:i/>
        </w:rPr>
        <w:t>Humour, Entertainment and</w:t>
      </w:r>
      <w:r>
        <w:rPr>
          <w:i/>
        </w:rPr>
        <w:t xml:space="preserve"> Popular Culture During World War One </w:t>
      </w:r>
      <w:r>
        <w:t>(New York: Palgrave Macmillan, 2015) 97.</w:t>
      </w:r>
    </w:p>
  </w:footnote>
  <w:footnote w:id="14">
    <w:p w:rsidR="00B818D6" w:rsidRDefault="00B818D6">
      <w:pPr>
        <w:pStyle w:val="FootnoteText"/>
      </w:pPr>
      <w:r>
        <w:rPr>
          <w:rStyle w:val="FootnoteReference"/>
        </w:rPr>
        <w:footnoteRef/>
      </w:r>
      <w:r>
        <w:t xml:space="preserve"> Ibid,98.</w:t>
      </w:r>
    </w:p>
  </w:footnote>
  <w:footnote w:id="15">
    <w:p w:rsidR="00B818D6" w:rsidRDefault="00B818D6">
      <w:pPr>
        <w:pStyle w:val="FootnoteText"/>
      </w:pPr>
      <w:r>
        <w:rPr>
          <w:rStyle w:val="FootnoteReference"/>
        </w:rPr>
        <w:footnoteRef/>
      </w:r>
      <w:r>
        <w:t xml:space="preserve"> </w:t>
      </w:r>
      <w:r>
        <w:rPr>
          <w:i/>
        </w:rPr>
        <w:t xml:space="preserve">The Fifth Gloster Gazzette, </w:t>
      </w:r>
      <w:r>
        <w:t>Beresford, 19.</w:t>
      </w:r>
    </w:p>
  </w:footnote>
  <w:footnote w:id="16">
    <w:p w:rsidR="00B818D6" w:rsidRDefault="00B818D6">
      <w:pPr>
        <w:pStyle w:val="FootnoteText"/>
      </w:pPr>
      <w:r>
        <w:rPr>
          <w:rStyle w:val="FootnoteReference"/>
        </w:rPr>
        <w:footnoteRef/>
      </w:r>
      <w:r>
        <w:t xml:space="preserve"> Ibid, 16</w:t>
      </w:r>
    </w:p>
  </w:footnote>
  <w:footnote w:id="17">
    <w:p w:rsidR="00B818D6" w:rsidRDefault="00B818D6">
      <w:pPr>
        <w:pStyle w:val="FootnoteText"/>
      </w:pPr>
      <w:r>
        <w:rPr>
          <w:rStyle w:val="FootnoteReference"/>
        </w:rPr>
        <w:footnoteRef/>
      </w:r>
      <w:r>
        <w:t xml:space="preserve"> Ibid, 16.</w:t>
      </w:r>
    </w:p>
  </w:footnote>
  <w:footnote w:id="18">
    <w:p w:rsidR="00B818D6" w:rsidRDefault="00B818D6">
      <w:pPr>
        <w:pStyle w:val="FootnoteText"/>
      </w:pPr>
      <w:r>
        <w:rPr>
          <w:rStyle w:val="FootnoteReference"/>
        </w:rPr>
        <w:footnoteRef/>
      </w:r>
      <w:r>
        <w:t xml:space="preserve"> Ibid, 16.</w:t>
      </w:r>
    </w:p>
  </w:footnote>
  <w:footnote w:id="19">
    <w:p w:rsidR="00B818D6" w:rsidRDefault="00B818D6">
      <w:pPr>
        <w:pStyle w:val="FootnoteText"/>
      </w:pPr>
      <w:r>
        <w:rPr>
          <w:rStyle w:val="FootnoteReference"/>
        </w:rPr>
        <w:footnoteRef/>
      </w:r>
      <w:r>
        <w:t>Ibid, 254-256.</w:t>
      </w:r>
    </w:p>
  </w:footnote>
  <w:footnote w:id="20">
    <w:p w:rsidR="00B818D6" w:rsidRDefault="00B818D6">
      <w:pPr>
        <w:pStyle w:val="FootnoteText"/>
      </w:pPr>
      <w:r>
        <w:rPr>
          <w:rStyle w:val="FootnoteReference"/>
        </w:rPr>
        <w:footnoteRef/>
      </w:r>
      <w:r>
        <w:t xml:space="preserve"> Ibid,254-257.</w:t>
      </w:r>
    </w:p>
  </w:footnote>
  <w:footnote w:id="21">
    <w:p w:rsidR="00B818D6" w:rsidRDefault="00B818D6">
      <w:pPr>
        <w:pStyle w:val="FootnoteText"/>
      </w:pPr>
      <w:r>
        <w:rPr>
          <w:rStyle w:val="FootnoteReference"/>
        </w:rPr>
        <w:footnoteRef/>
      </w:r>
      <w:r>
        <w:t xml:space="preserve">Ritzenhoff, </w:t>
      </w:r>
      <w:r w:rsidRPr="00F70F90">
        <w:rPr>
          <w:i/>
        </w:rPr>
        <w:t>Humour, Entertainment and</w:t>
      </w:r>
      <w:r>
        <w:rPr>
          <w:i/>
        </w:rPr>
        <w:t xml:space="preserve"> Popular Culture During World War One, 106-107.</w:t>
      </w:r>
    </w:p>
  </w:footnote>
  <w:footnote w:id="22">
    <w:p w:rsidR="00B818D6" w:rsidRPr="004B57A2" w:rsidRDefault="00B818D6">
      <w:pPr>
        <w:pStyle w:val="FootnoteText"/>
      </w:pPr>
      <w:r w:rsidRPr="004B57A2">
        <w:rPr>
          <w:rStyle w:val="FootnoteReference"/>
        </w:rPr>
        <w:footnoteRef/>
      </w:r>
      <w:r w:rsidRPr="004B57A2">
        <w:t xml:space="preserve"> </w:t>
      </w:r>
      <w:r w:rsidRPr="004B57A2">
        <w:rPr>
          <w:i/>
        </w:rPr>
        <w:t>The Wipers Times</w:t>
      </w:r>
      <w:r>
        <w:t>, ed. C.Westthorp (London: Bloomsbury publishing, 2013).</w:t>
      </w:r>
    </w:p>
  </w:footnote>
  <w:footnote w:id="23">
    <w:p w:rsidR="00B818D6" w:rsidRDefault="00B818D6">
      <w:pPr>
        <w:pStyle w:val="FootnoteText"/>
      </w:pPr>
      <w:r>
        <w:rPr>
          <w:rStyle w:val="FootnoteReference"/>
        </w:rPr>
        <w:footnoteRef/>
      </w:r>
      <w:r>
        <w:t xml:space="preserve"> Ritzenhoff, </w:t>
      </w:r>
      <w:r w:rsidRPr="00F70F90">
        <w:rPr>
          <w:i/>
        </w:rPr>
        <w:t>Humour, Entertainment and</w:t>
      </w:r>
      <w:r>
        <w:rPr>
          <w:i/>
        </w:rPr>
        <w:t xml:space="preserve"> Popular Culture During World War One, 108.</w:t>
      </w:r>
    </w:p>
  </w:footnote>
  <w:footnote w:id="24">
    <w:p w:rsidR="00B818D6" w:rsidRDefault="00B818D6">
      <w:pPr>
        <w:pStyle w:val="FootnoteText"/>
      </w:pPr>
      <w:r>
        <w:rPr>
          <w:rStyle w:val="FootnoteReference"/>
        </w:rPr>
        <w:footnoteRef/>
      </w:r>
      <w:r>
        <w:t xml:space="preserve"> Ibid, 110- 111.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U2sDC3MDA1tzQzNzdT0lEKTi0uzszPAykwrAUAFhRcpSwAAAA="/>
  </w:docVars>
  <w:rsids>
    <w:rsidRoot w:val="00DE7491"/>
    <w:rsid w:val="000403BD"/>
    <w:rsid w:val="00072747"/>
    <w:rsid w:val="00094385"/>
    <w:rsid w:val="000E46A8"/>
    <w:rsid w:val="000F3B86"/>
    <w:rsid w:val="00100E4E"/>
    <w:rsid w:val="00101A51"/>
    <w:rsid w:val="00107962"/>
    <w:rsid w:val="00110F55"/>
    <w:rsid w:val="00243EDB"/>
    <w:rsid w:val="002A7745"/>
    <w:rsid w:val="002D1F40"/>
    <w:rsid w:val="002F2BBA"/>
    <w:rsid w:val="00302DCE"/>
    <w:rsid w:val="00306D1C"/>
    <w:rsid w:val="00352722"/>
    <w:rsid w:val="00382751"/>
    <w:rsid w:val="003B6EA7"/>
    <w:rsid w:val="00420BCE"/>
    <w:rsid w:val="004B3FC9"/>
    <w:rsid w:val="004B57A2"/>
    <w:rsid w:val="004D4D65"/>
    <w:rsid w:val="004F291B"/>
    <w:rsid w:val="00523492"/>
    <w:rsid w:val="00546E16"/>
    <w:rsid w:val="005756AE"/>
    <w:rsid w:val="005A2917"/>
    <w:rsid w:val="005C6AAA"/>
    <w:rsid w:val="005F1F64"/>
    <w:rsid w:val="006262E7"/>
    <w:rsid w:val="00627D9A"/>
    <w:rsid w:val="00635333"/>
    <w:rsid w:val="006478E7"/>
    <w:rsid w:val="00663E7F"/>
    <w:rsid w:val="0068208A"/>
    <w:rsid w:val="0068624C"/>
    <w:rsid w:val="006A5601"/>
    <w:rsid w:val="00704F34"/>
    <w:rsid w:val="00710E48"/>
    <w:rsid w:val="007110F7"/>
    <w:rsid w:val="00712E9D"/>
    <w:rsid w:val="00714AFD"/>
    <w:rsid w:val="0077189A"/>
    <w:rsid w:val="007C4DCD"/>
    <w:rsid w:val="007D20F2"/>
    <w:rsid w:val="007D2231"/>
    <w:rsid w:val="00801C2B"/>
    <w:rsid w:val="008238DF"/>
    <w:rsid w:val="0084082B"/>
    <w:rsid w:val="00852C1C"/>
    <w:rsid w:val="00863EC7"/>
    <w:rsid w:val="00871DAF"/>
    <w:rsid w:val="00881430"/>
    <w:rsid w:val="008A44B5"/>
    <w:rsid w:val="008D7B7E"/>
    <w:rsid w:val="00904563"/>
    <w:rsid w:val="00992BAB"/>
    <w:rsid w:val="00995111"/>
    <w:rsid w:val="009A32E4"/>
    <w:rsid w:val="009D35B2"/>
    <w:rsid w:val="00A43C22"/>
    <w:rsid w:val="00A44F39"/>
    <w:rsid w:val="00A55EC6"/>
    <w:rsid w:val="00A93582"/>
    <w:rsid w:val="00AB0FEC"/>
    <w:rsid w:val="00AB32E9"/>
    <w:rsid w:val="00B179A2"/>
    <w:rsid w:val="00B4619F"/>
    <w:rsid w:val="00B469D8"/>
    <w:rsid w:val="00B70251"/>
    <w:rsid w:val="00B818D6"/>
    <w:rsid w:val="00BC5553"/>
    <w:rsid w:val="00BD5F51"/>
    <w:rsid w:val="00BE209C"/>
    <w:rsid w:val="00C01032"/>
    <w:rsid w:val="00C33C67"/>
    <w:rsid w:val="00C3405B"/>
    <w:rsid w:val="00C87A0B"/>
    <w:rsid w:val="00C96631"/>
    <w:rsid w:val="00CB6DA1"/>
    <w:rsid w:val="00CC191C"/>
    <w:rsid w:val="00CE5835"/>
    <w:rsid w:val="00CF3268"/>
    <w:rsid w:val="00D02FC8"/>
    <w:rsid w:val="00D365F4"/>
    <w:rsid w:val="00D61AF3"/>
    <w:rsid w:val="00D6436F"/>
    <w:rsid w:val="00DA664A"/>
    <w:rsid w:val="00DA7793"/>
    <w:rsid w:val="00DE7491"/>
    <w:rsid w:val="00E64129"/>
    <w:rsid w:val="00E85CAB"/>
    <w:rsid w:val="00E90B5A"/>
    <w:rsid w:val="00ED0A3D"/>
    <w:rsid w:val="00EE50A6"/>
    <w:rsid w:val="00EF1A6A"/>
    <w:rsid w:val="00F03647"/>
    <w:rsid w:val="00F70DAE"/>
    <w:rsid w:val="00F70F90"/>
    <w:rsid w:val="00FB6DAF"/>
    <w:rsid w:val="00FD6216"/>
    <w:rsid w:val="00FE5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AD726"/>
  <w15:chartTrackingRefBased/>
  <w15:docId w15:val="{91004FFC-AD94-4D46-A01A-5EEDE5898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5272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52722"/>
    <w:rPr>
      <w:sz w:val="20"/>
      <w:szCs w:val="20"/>
    </w:rPr>
  </w:style>
  <w:style w:type="character" w:styleId="FootnoteReference">
    <w:name w:val="footnote reference"/>
    <w:basedOn w:val="DefaultParagraphFont"/>
    <w:uiPriority w:val="99"/>
    <w:semiHidden/>
    <w:unhideWhenUsed/>
    <w:rsid w:val="00352722"/>
    <w:rPr>
      <w:vertAlign w:val="superscript"/>
    </w:rPr>
  </w:style>
  <w:style w:type="paragraph" w:styleId="Header">
    <w:name w:val="header"/>
    <w:basedOn w:val="Normal"/>
    <w:link w:val="HeaderChar"/>
    <w:uiPriority w:val="99"/>
    <w:unhideWhenUsed/>
    <w:rsid w:val="002A77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7745"/>
  </w:style>
  <w:style w:type="paragraph" w:styleId="Footer">
    <w:name w:val="footer"/>
    <w:basedOn w:val="Normal"/>
    <w:link w:val="FooterChar"/>
    <w:uiPriority w:val="99"/>
    <w:unhideWhenUsed/>
    <w:rsid w:val="002A77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77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F89DCD-30F9-4B44-A72C-4660CEEEFC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6</Pages>
  <Words>2491</Words>
  <Characters>14199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 (1602192)</dc:creator>
  <cp:keywords/>
  <dc:description/>
  <cp:lastModifiedBy>Elizabeth Cawdell (1602192)</cp:lastModifiedBy>
  <cp:revision>3</cp:revision>
  <dcterms:created xsi:type="dcterms:W3CDTF">2017-11-17T21:15:00Z</dcterms:created>
  <dcterms:modified xsi:type="dcterms:W3CDTF">2017-11-17T21:49:00Z</dcterms:modified>
</cp:coreProperties>
</file>