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8CD2D" w14:textId="77777777" w:rsidR="00092725" w:rsidRDefault="00092725" w:rsidP="00092725">
      <w:pPr>
        <w:jc w:val="center"/>
      </w:pPr>
      <w:r w:rsidRPr="004C5EE4">
        <w:rPr>
          <w:rFonts w:cs="Arial"/>
          <w:noProof/>
          <w:szCs w:val="24"/>
          <w:lang w:eastAsia="en-GB"/>
        </w:rPr>
        <w:drawing>
          <wp:inline distT="0" distB="0" distL="0" distR="0" wp14:anchorId="3FCF9575" wp14:editId="19A580CC">
            <wp:extent cx="4518660" cy="2510367"/>
            <wp:effectExtent l="0" t="0" r="0" b="444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80774" cy="2544875"/>
                    </a:xfrm>
                    <a:prstGeom prst="rect">
                      <a:avLst/>
                    </a:prstGeom>
                  </pic:spPr>
                </pic:pic>
              </a:graphicData>
            </a:graphic>
          </wp:inline>
        </w:drawing>
      </w:r>
    </w:p>
    <w:p w14:paraId="778419BA" w14:textId="77777777" w:rsidR="00092725" w:rsidRDefault="00092725" w:rsidP="00092725">
      <w:pPr>
        <w:jc w:val="center"/>
        <w:rPr>
          <w:sz w:val="36"/>
          <w:szCs w:val="36"/>
        </w:rPr>
      </w:pPr>
      <w:r w:rsidRPr="00231428">
        <w:rPr>
          <w:sz w:val="36"/>
          <w:szCs w:val="36"/>
        </w:rPr>
        <w:t>B</w:t>
      </w:r>
      <w:r>
        <w:rPr>
          <w:sz w:val="36"/>
          <w:szCs w:val="36"/>
        </w:rPr>
        <w:t>A Hons International Hotel Management</w:t>
      </w:r>
    </w:p>
    <w:p w14:paraId="21DBE15E" w14:textId="77777777" w:rsidR="00092725" w:rsidRDefault="00092725" w:rsidP="00092725">
      <w:pPr>
        <w:jc w:val="center"/>
        <w:rPr>
          <w:sz w:val="36"/>
          <w:szCs w:val="36"/>
        </w:rPr>
      </w:pPr>
    </w:p>
    <w:p w14:paraId="0B61A31A" w14:textId="77777777" w:rsidR="00092725" w:rsidRPr="000C5BFC" w:rsidRDefault="00092725" w:rsidP="00092725">
      <w:pPr>
        <w:jc w:val="center"/>
        <w:rPr>
          <w:b/>
          <w:bCs/>
          <w:color w:val="2F5496" w:themeColor="accent1" w:themeShade="BF"/>
          <w:sz w:val="48"/>
          <w:szCs w:val="48"/>
          <w:u w:val="single"/>
        </w:rPr>
      </w:pPr>
      <w:r w:rsidRPr="000C5BFC">
        <w:rPr>
          <w:b/>
          <w:bCs/>
          <w:color w:val="2F5496" w:themeColor="accent1" w:themeShade="BF"/>
          <w:sz w:val="48"/>
          <w:szCs w:val="48"/>
          <w:u w:val="single"/>
        </w:rPr>
        <w:t>Personnel Resourcing and Development</w:t>
      </w:r>
    </w:p>
    <w:p w14:paraId="3BBAC8A7" w14:textId="77777777" w:rsidR="00092725" w:rsidRPr="000C5BFC" w:rsidRDefault="00092725" w:rsidP="00092725">
      <w:pPr>
        <w:jc w:val="center"/>
        <w:rPr>
          <w:b/>
          <w:bCs/>
          <w:color w:val="2F5496" w:themeColor="accent1" w:themeShade="BF"/>
          <w:sz w:val="48"/>
          <w:szCs w:val="48"/>
          <w:u w:val="single"/>
        </w:rPr>
      </w:pPr>
      <w:r w:rsidRPr="000C5BFC">
        <w:rPr>
          <w:b/>
          <w:bCs/>
          <w:color w:val="2F5496" w:themeColor="accent1" w:themeShade="BF"/>
          <w:sz w:val="48"/>
          <w:szCs w:val="48"/>
          <w:u w:val="single"/>
        </w:rPr>
        <w:t>BMIH5005</w:t>
      </w:r>
    </w:p>
    <w:p w14:paraId="07B08EF4" w14:textId="77777777" w:rsidR="00092725" w:rsidRDefault="00092725" w:rsidP="00092725">
      <w:pPr>
        <w:jc w:val="center"/>
        <w:rPr>
          <w:sz w:val="36"/>
          <w:szCs w:val="36"/>
        </w:rPr>
      </w:pPr>
    </w:p>
    <w:p w14:paraId="1B68E9C7" w14:textId="77777777" w:rsidR="00092725" w:rsidRDefault="00092725" w:rsidP="00092725">
      <w:pPr>
        <w:jc w:val="center"/>
        <w:rPr>
          <w:sz w:val="36"/>
          <w:szCs w:val="36"/>
        </w:rPr>
      </w:pPr>
      <w:r>
        <w:rPr>
          <w:sz w:val="36"/>
          <w:szCs w:val="36"/>
        </w:rPr>
        <w:t>Mohammed Abdul Bathen</w:t>
      </w:r>
    </w:p>
    <w:p w14:paraId="22DD478B" w14:textId="77777777" w:rsidR="00092725" w:rsidRDefault="00092725" w:rsidP="00092725">
      <w:pPr>
        <w:jc w:val="center"/>
        <w:rPr>
          <w:sz w:val="36"/>
          <w:szCs w:val="36"/>
        </w:rPr>
      </w:pPr>
      <w:r>
        <w:rPr>
          <w:sz w:val="36"/>
          <w:szCs w:val="36"/>
        </w:rPr>
        <w:t>ID: 2212002</w:t>
      </w:r>
    </w:p>
    <w:p w14:paraId="1E0E6794" w14:textId="77777777" w:rsidR="00092725" w:rsidRDefault="00092725" w:rsidP="00092725">
      <w:pPr>
        <w:jc w:val="center"/>
        <w:rPr>
          <w:sz w:val="36"/>
          <w:szCs w:val="36"/>
        </w:rPr>
      </w:pPr>
      <w:r>
        <w:rPr>
          <w:sz w:val="36"/>
          <w:szCs w:val="36"/>
        </w:rPr>
        <w:t>Lecturer: Deborah Lloyd</w:t>
      </w:r>
    </w:p>
    <w:p w14:paraId="29A86891" w14:textId="35ACE5F1" w:rsidR="00092725" w:rsidRDefault="00092725" w:rsidP="00092725">
      <w:pPr>
        <w:jc w:val="center"/>
        <w:rPr>
          <w:sz w:val="36"/>
          <w:szCs w:val="36"/>
        </w:rPr>
      </w:pPr>
      <w:r>
        <w:rPr>
          <w:sz w:val="36"/>
          <w:szCs w:val="36"/>
        </w:rPr>
        <w:t>Word Count: 1</w:t>
      </w:r>
      <w:r w:rsidR="00CF6B5E">
        <w:rPr>
          <w:sz w:val="36"/>
          <w:szCs w:val="36"/>
        </w:rPr>
        <w:t>9</w:t>
      </w:r>
      <w:r>
        <w:rPr>
          <w:sz w:val="36"/>
          <w:szCs w:val="36"/>
        </w:rPr>
        <w:t>88</w:t>
      </w:r>
    </w:p>
    <w:p w14:paraId="3CC04750" w14:textId="77777777" w:rsidR="00092725" w:rsidRDefault="00092725" w:rsidP="00092725">
      <w:pPr>
        <w:jc w:val="center"/>
        <w:rPr>
          <w:sz w:val="36"/>
          <w:szCs w:val="36"/>
        </w:rPr>
      </w:pPr>
    </w:p>
    <w:p w14:paraId="377C8A3A" w14:textId="53E66B79" w:rsidR="00092725" w:rsidRPr="000C5BFC" w:rsidRDefault="00092725" w:rsidP="00092725">
      <w:pPr>
        <w:jc w:val="center"/>
        <w:rPr>
          <w:b/>
          <w:bCs/>
          <w:color w:val="2F5496" w:themeColor="accent1" w:themeShade="BF"/>
          <w:sz w:val="40"/>
          <w:szCs w:val="40"/>
          <w:u w:val="single"/>
        </w:rPr>
      </w:pPr>
      <w:r w:rsidRPr="000C5BFC">
        <w:rPr>
          <w:b/>
          <w:bCs/>
          <w:color w:val="2F5496" w:themeColor="accent1" w:themeShade="BF"/>
          <w:sz w:val="40"/>
          <w:szCs w:val="40"/>
          <w:u w:val="single"/>
        </w:rPr>
        <w:t xml:space="preserve">Assignment </w:t>
      </w:r>
      <w:r w:rsidRPr="000C5BFC">
        <w:rPr>
          <w:b/>
          <w:bCs/>
          <w:color w:val="2F5496" w:themeColor="accent1" w:themeShade="BF"/>
          <w:sz w:val="40"/>
          <w:szCs w:val="40"/>
          <w:u w:val="single"/>
        </w:rPr>
        <w:t>2</w:t>
      </w:r>
      <w:r w:rsidRPr="000C5BFC">
        <w:rPr>
          <w:b/>
          <w:bCs/>
          <w:color w:val="2F5496" w:themeColor="accent1" w:themeShade="BF"/>
          <w:sz w:val="40"/>
          <w:szCs w:val="40"/>
          <w:u w:val="single"/>
        </w:rPr>
        <w:t xml:space="preserve">; </w:t>
      </w:r>
      <w:r w:rsidRPr="000C5BFC">
        <w:rPr>
          <w:b/>
          <w:bCs/>
          <w:color w:val="2F5496" w:themeColor="accent1" w:themeShade="BF"/>
          <w:sz w:val="40"/>
          <w:szCs w:val="40"/>
          <w:u w:val="single"/>
        </w:rPr>
        <w:t>Research Project Proposal – Impact of current challenges on the human resource department relating to recruitment and retention</w:t>
      </w:r>
      <w:r w:rsidRPr="000C5BFC">
        <w:rPr>
          <w:b/>
          <w:bCs/>
          <w:color w:val="2F5496" w:themeColor="accent1" w:themeShade="BF"/>
          <w:sz w:val="40"/>
          <w:szCs w:val="40"/>
          <w:u w:val="single"/>
        </w:rPr>
        <w:t>.</w:t>
      </w:r>
    </w:p>
    <w:p w14:paraId="220D75DA" w14:textId="528FD429" w:rsidR="003A2E1C" w:rsidRDefault="003A2E1C"/>
    <w:p w14:paraId="62BF7CF3" w14:textId="77777777" w:rsidR="00092725" w:rsidRDefault="00092725"/>
    <w:p w14:paraId="76BF81E6" w14:textId="77777777" w:rsidR="00092725" w:rsidRDefault="00092725"/>
    <w:p w14:paraId="5F5DE136" w14:textId="154B5018" w:rsidR="00092725" w:rsidRPr="00817380" w:rsidRDefault="00092725" w:rsidP="002720CF">
      <w:pPr>
        <w:spacing w:before="120" w:after="120" w:line="360" w:lineRule="auto"/>
        <w:jc w:val="center"/>
        <w:rPr>
          <w:rFonts w:ascii="Arial" w:hAnsi="Arial" w:cs="Arial"/>
          <w:b/>
          <w:i/>
          <w:iCs/>
          <w:sz w:val="32"/>
          <w:szCs w:val="32"/>
          <w:u w:val="single"/>
        </w:rPr>
      </w:pPr>
      <w:r w:rsidRPr="00817380">
        <w:rPr>
          <w:rFonts w:ascii="Arial" w:hAnsi="Arial" w:cs="Arial"/>
          <w:b/>
          <w:i/>
          <w:iCs/>
          <w:sz w:val="32"/>
          <w:szCs w:val="32"/>
          <w:u w:val="single"/>
        </w:rPr>
        <w:lastRenderedPageBreak/>
        <w:t>Title:</w:t>
      </w:r>
      <w:r w:rsidR="002720CF" w:rsidRPr="00817380">
        <w:rPr>
          <w:rFonts w:ascii="Arial" w:hAnsi="Arial" w:cs="Arial"/>
          <w:b/>
          <w:i/>
          <w:iCs/>
          <w:sz w:val="32"/>
          <w:szCs w:val="32"/>
          <w:u w:val="single"/>
        </w:rPr>
        <w:t xml:space="preserve"> Is the external challenge a good or bad?</w:t>
      </w:r>
      <w:r w:rsidRPr="00817380">
        <w:rPr>
          <w:rFonts w:ascii="Arial" w:hAnsi="Arial" w:cs="Arial"/>
          <w:b/>
          <w:i/>
          <w:iCs/>
          <w:sz w:val="32"/>
          <w:szCs w:val="32"/>
          <w:u w:val="single"/>
        </w:rPr>
        <w:t xml:space="preserve"> Analyse the impacts of external environment on employee recruitment and retention in Hilton Hotel</w:t>
      </w:r>
    </w:p>
    <w:p w14:paraId="2F95AE02" w14:textId="77777777" w:rsidR="00092725" w:rsidRPr="002720CF" w:rsidRDefault="00092725" w:rsidP="002720CF">
      <w:pPr>
        <w:spacing w:before="120" w:after="120" w:line="360" w:lineRule="auto"/>
        <w:jc w:val="both"/>
        <w:rPr>
          <w:rFonts w:ascii="Arial" w:hAnsi="Arial" w:cs="Arial"/>
          <w:sz w:val="24"/>
          <w:szCs w:val="24"/>
        </w:rPr>
      </w:pPr>
    </w:p>
    <w:p w14:paraId="1C4150F4" w14:textId="02ED3FD8" w:rsidR="00092725" w:rsidRPr="00817380" w:rsidRDefault="00092725" w:rsidP="002720CF">
      <w:pPr>
        <w:pStyle w:val="Heading1"/>
        <w:spacing w:before="120" w:after="120"/>
        <w:rPr>
          <w:rFonts w:ascii="Arial" w:hAnsi="Arial" w:cs="Arial"/>
          <w:sz w:val="28"/>
          <w:szCs w:val="28"/>
        </w:rPr>
      </w:pPr>
      <w:bookmarkStart w:id="0" w:name="_Toc150290171"/>
      <w:r w:rsidRPr="00817380">
        <w:rPr>
          <w:rFonts w:ascii="Arial" w:hAnsi="Arial" w:cs="Arial"/>
          <w:sz w:val="28"/>
          <w:szCs w:val="28"/>
        </w:rPr>
        <w:t>Executive Summary</w:t>
      </w:r>
      <w:bookmarkEnd w:id="0"/>
    </w:p>
    <w:p w14:paraId="10CB6C65" w14:textId="39FE8C3A"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This comprehensive study examined the complicated interaction of external influences on Hilton Hotel employee recruitment and retention. The study used PESTEL and SWOT analyses to reveal Hilton's workforce quality and motivation challenges and opportunities. Hilton Hotel has many obstacles due to the ever-changing external environment. Political issues, particularly Brexit, have changed immigration policies, </w:t>
      </w:r>
      <w:r w:rsidR="002720CF" w:rsidRPr="002720CF">
        <w:rPr>
          <w:rFonts w:ascii="Arial" w:hAnsi="Arial" w:cs="Arial"/>
          <w:sz w:val="24"/>
          <w:szCs w:val="24"/>
        </w:rPr>
        <w:t>caused</w:t>
      </w:r>
      <w:r w:rsidRPr="002720CF">
        <w:rPr>
          <w:rFonts w:ascii="Arial" w:hAnsi="Arial" w:cs="Arial"/>
          <w:sz w:val="24"/>
          <w:szCs w:val="24"/>
        </w:rPr>
        <w:t xml:space="preserve"> labour shortages and </w:t>
      </w:r>
      <w:r w:rsidR="00817380" w:rsidRPr="002720CF">
        <w:rPr>
          <w:rFonts w:ascii="Arial" w:hAnsi="Arial" w:cs="Arial"/>
          <w:sz w:val="24"/>
          <w:szCs w:val="24"/>
        </w:rPr>
        <w:t>affected</w:t>
      </w:r>
      <w:r w:rsidRPr="002720CF">
        <w:rPr>
          <w:rFonts w:ascii="Arial" w:hAnsi="Arial" w:cs="Arial"/>
          <w:sz w:val="24"/>
          <w:szCs w:val="24"/>
        </w:rPr>
        <w:t xml:space="preserve"> employee retention. Inflation and the COVID-19 pandemic have increased job insecurity and employee dissatisfaction. Due to social factors like the global retirement wave, the ageing workforce is retiring, generating knowledge gaps. Additionally, technology is transforming workforce abilities and competencies. These insights are essential for Hilton Hotel. The company must adjust its HR strategies to be competitive and handle external difficulties. To attract and retain top personnel, companies like Marriott International have increased employee benefits and compensation. Flexible work arrangements and remote work, like Accor's, can enhance employee job satisfaction and retention. A trained and motivated staff requires continuous investment in employee training and development programmes like InterContinental Hotels Group's IHG Academy. Hilton must also actively monitor and adjust to external events, particularly political and economic concerns, to build focused retention strategies in a dynamic and competitive business.</w:t>
      </w:r>
      <w:r w:rsidRPr="002720CF">
        <w:rPr>
          <w:rFonts w:ascii="Arial" w:hAnsi="Arial" w:cs="Arial"/>
          <w:sz w:val="24"/>
          <w:szCs w:val="24"/>
        </w:rPr>
        <w:br w:type="page"/>
      </w:r>
    </w:p>
    <w:sdt>
      <w:sdtPr>
        <w:rPr>
          <w:rFonts w:ascii="Arial" w:eastAsia="Calibri" w:hAnsi="Arial" w:cs="Arial"/>
          <w:color w:val="auto"/>
          <w:kern w:val="2"/>
          <w:sz w:val="24"/>
          <w:szCs w:val="24"/>
          <w:lang w:bidi="bn-BD"/>
        </w:rPr>
        <w:id w:val="1843746490"/>
        <w:docPartObj>
          <w:docPartGallery w:val="Table of Contents"/>
          <w:docPartUnique/>
        </w:docPartObj>
      </w:sdtPr>
      <w:sdtEndPr>
        <w:rPr>
          <w:rFonts w:eastAsiaTheme="minorHAnsi"/>
          <w:b/>
          <w:bCs/>
          <w:noProof/>
          <w:lang w:val="en-GB" w:bidi="ar-SA"/>
          <w14:ligatures w14:val="standardContextual"/>
        </w:rPr>
      </w:sdtEndPr>
      <w:sdtContent>
        <w:p w14:paraId="670A2AAB" w14:textId="77777777" w:rsidR="00092725" w:rsidRPr="002720CF" w:rsidRDefault="00092725" w:rsidP="002720CF">
          <w:pPr>
            <w:pStyle w:val="TOCHeading"/>
            <w:spacing w:before="120" w:after="120" w:line="360" w:lineRule="auto"/>
            <w:jc w:val="both"/>
            <w:rPr>
              <w:rStyle w:val="Heading1Char"/>
              <w:rFonts w:ascii="Arial" w:hAnsi="Arial" w:cs="Arial"/>
              <w:sz w:val="24"/>
              <w:szCs w:val="24"/>
            </w:rPr>
          </w:pPr>
          <w:r w:rsidRPr="002720CF">
            <w:rPr>
              <w:rStyle w:val="Heading1Char"/>
              <w:rFonts w:ascii="Arial" w:hAnsi="Arial" w:cs="Arial"/>
              <w:sz w:val="24"/>
              <w:szCs w:val="24"/>
            </w:rPr>
            <w:t>Table of Contents</w:t>
          </w:r>
        </w:p>
        <w:p w14:paraId="0C13C302" w14:textId="11B62D62" w:rsidR="00092725" w:rsidRPr="002720CF" w:rsidRDefault="00092725" w:rsidP="002720CF">
          <w:pPr>
            <w:pStyle w:val="TOC1"/>
            <w:tabs>
              <w:tab w:val="right" w:leader="dot" w:pos="9010"/>
            </w:tabs>
            <w:spacing w:before="120" w:after="120"/>
            <w:rPr>
              <w:rFonts w:ascii="Arial" w:eastAsiaTheme="minorEastAsia" w:hAnsi="Arial" w:cs="Arial"/>
              <w:noProof/>
              <w:kern w:val="0"/>
              <w:szCs w:val="24"/>
              <w:lang w:val="en-GB" w:eastAsia="en-GB" w:bidi="ar-SA"/>
            </w:rPr>
          </w:pPr>
          <w:r w:rsidRPr="002720CF">
            <w:rPr>
              <w:rFonts w:ascii="Arial" w:hAnsi="Arial" w:cs="Arial"/>
              <w:szCs w:val="24"/>
            </w:rPr>
            <w:fldChar w:fldCharType="begin"/>
          </w:r>
          <w:r w:rsidRPr="002720CF">
            <w:rPr>
              <w:rFonts w:ascii="Arial" w:hAnsi="Arial" w:cs="Arial"/>
              <w:szCs w:val="24"/>
            </w:rPr>
            <w:instrText xml:space="preserve"> TOC \o "1-3" \h \z \u </w:instrText>
          </w:r>
          <w:r w:rsidRPr="002720CF">
            <w:rPr>
              <w:rFonts w:ascii="Arial" w:hAnsi="Arial" w:cs="Arial"/>
              <w:szCs w:val="24"/>
            </w:rPr>
            <w:fldChar w:fldCharType="separate"/>
          </w:r>
          <w:hyperlink w:anchor="_Toc150290171" w:history="1">
            <w:r w:rsidRPr="002720CF">
              <w:rPr>
                <w:rStyle w:val="Hyperlink"/>
                <w:rFonts w:ascii="Arial" w:hAnsi="Arial" w:cs="Arial"/>
                <w:noProof/>
                <w:szCs w:val="24"/>
              </w:rPr>
              <w:t>Executive Summary</w:t>
            </w:r>
            <w:r w:rsidRPr="002720CF">
              <w:rPr>
                <w:rFonts w:ascii="Arial" w:hAnsi="Arial" w:cs="Arial"/>
                <w:noProof/>
                <w:webHidden/>
                <w:szCs w:val="24"/>
              </w:rPr>
              <w:tab/>
            </w:r>
            <w:r w:rsidRPr="002720CF">
              <w:rPr>
                <w:rFonts w:ascii="Arial" w:hAnsi="Arial" w:cs="Arial"/>
                <w:noProof/>
                <w:webHidden/>
                <w:szCs w:val="24"/>
              </w:rPr>
              <w:fldChar w:fldCharType="begin"/>
            </w:r>
            <w:r w:rsidRPr="002720CF">
              <w:rPr>
                <w:rFonts w:ascii="Arial" w:hAnsi="Arial" w:cs="Arial"/>
                <w:noProof/>
                <w:webHidden/>
                <w:szCs w:val="24"/>
              </w:rPr>
              <w:instrText xml:space="preserve"> PAGEREF _Toc150290171 \h </w:instrText>
            </w:r>
            <w:r w:rsidRPr="002720CF">
              <w:rPr>
                <w:rFonts w:ascii="Arial" w:hAnsi="Arial" w:cs="Arial"/>
                <w:noProof/>
                <w:webHidden/>
                <w:szCs w:val="24"/>
              </w:rPr>
            </w:r>
            <w:r w:rsidRPr="002720CF">
              <w:rPr>
                <w:rFonts w:ascii="Arial" w:hAnsi="Arial" w:cs="Arial"/>
                <w:noProof/>
                <w:webHidden/>
                <w:szCs w:val="24"/>
              </w:rPr>
              <w:fldChar w:fldCharType="separate"/>
            </w:r>
            <w:r w:rsidR="00817380">
              <w:rPr>
                <w:rFonts w:ascii="Arial" w:hAnsi="Arial" w:cs="Arial"/>
                <w:noProof/>
                <w:webHidden/>
                <w:szCs w:val="24"/>
              </w:rPr>
              <w:t>2</w:t>
            </w:r>
            <w:r w:rsidRPr="002720CF">
              <w:rPr>
                <w:rFonts w:ascii="Arial" w:hAnsi="Arial" w:cs="Arial"/>
                <w:noProof/>
                <w:webHidden/>
                <w:szCs w:val="24"/>
              </w:rPr>
              <w:fldChar w:fldCharType="end"/>
            </w:r>
          </w:hyperlink>
        </w:p>
        <w:p w14:paraId="6D2CD1E1" w14:textId="7DCC2A62" w:rsidR="00092725" w:rsidRPr="002720CF" w:rsidRDefault="00092725" w:rsidP="002720CF">
          <w:pPr>
            <w:pStyle w:val="TOC1"/>
            <w:tabs>
              <w:tab w:val="right" w:leader="dot" w:pos="9010"/>
            </w:tabs>
            <w:spacing w:before="120" w:after="120"/>
            <w:rPr>
              <w:rFonts w:ascii="Arial" w:eastAsiaTheme="minorEastAsia" w:hAnsi="Arial" w:cs="Arial"/>
              <w:noProof/>
              <w:kern w:val="0"/>
              <w:szCs w:val="24"/>
              <w:lang w:val="en-GB" w:eastAsia="en-GB" w:bidi="ar-SA"/>
            </w:rPr>
          </w:pPr>
          <w:hyperlink w:anchor="_Toc150290172" w:history="1">
            <w:r w:rsidRPr="002720CF">
              <w:rPr>
                <w:rStyle w:val="Hyperlink"/>
                <w:rFonts w:ascii="Arial" w:hAnsi="Arial" w:cs="Arial"/>
                <w:noProof/>
                <w:szCs w:val="24"/>
              </w:rPr>
              <w:t>Introduction and Background</w:t>
            </w:r>
            <w:r w:rsidRPr="002720CF">
              <w:rPr>
                <w:rFonts w:ascii="Arial" w:hAnsi="Arial" w:cs="Arial"/>
                <w:noProof/>
                <w:webHidden/>
                <w:szCs w:val="24"/>
              </w:rPr>
              <w:tab/>
            </w:r>
            <w:r w:rsidRPr="002720CF">
              <w:rPr>
                <w:rFonts w:ascii="Arial" w:hAnsi="Arial" w:cs="Arial"/>
                <w:noProof/>
                <w:webHidden/>
                <w:szCs w:val="24"/>
              </w:rPr>
              <w:fldChar w:fldCharType="begin"/>
            </w:r>
            <w:r w:rsidRPr="002720CF">
              <w:rPr>
                <w:rFonts w:ascii="Arial" w:hAnsi="Arial" w:cs="Arial"/>
                <w:noProof/>
                <w:webHidden/>
                <w:szCs w:val="24"/>
              </w:rPr>
              <w:instrText xml:space="preserve"> PAGEREF _Toc150290172 \h </w:instrText>
            </w:r>
            <w:r w:rsidRPr="002720CF">
              <w:rPr>
                <w:rFonts w:ascii="Arial" w:hAnsi="Arial" w:cs="Arial"/>
                <w:noProof/>
                <w:webHidden/>
                <w:szCs w:val="24"/>
              </w:rPr>
            </w:r>
            <w:r w:rsidRPr="002720CF">
              <w:rPr>
                <w:rFonts w:ascii="Arial" w:hAnsi="Arial" w:cs="Arial"/>
                <w:noProof/>
                <w:webHidden/>
                <w:szCs w:val="24"/>
              </w:rPr>
              <w:fldChar w:fldCharType="separate"/>
            </w:r>
            <w:r w:rsidR="00817380">
              <w:rPr>
                <w:rFonts w:ascii="Arial" w:hAnsi="Arial" w:cs="Arial"/>
                <w:noProof/>
                <w:webHidden/>
                <w:szCs w:val="24"/>
              </w:rPr>
              <w:t>4</w:t>
            </w:r>
            <w:r w:rsidRPr="002720CF">
              <w:rPr>
                <w:rFonts w:ascii="Arial" w:hAnsi="Arial" w:cs="Arial"/>
                <w:noProof/>
                <w:webHidden/>
                <w:szCs w:val="24"/>
              </w:rPr>
              <w:fldChar w:fldCharType="end"/>
            </w:r>
          </w:hyperlink>
        </w:p>
        <w:p w14:paraId="6B7CA0BE" w14:textId="676EF2FA" w:rsidR="00092725" w:rsidRPr="002720CF" w:rsidRDefault="00092725" w:rsidP="002720CF">
          <w:pPr>
            <w:pStyle w:val="TOC1"/>
            <w:tabs>
              <w:tab w:val="right" w:leader="dot" w:pos="9010"/>
            </w:tabs>
            <w:spacing w:before="120" w:after="120"/>
            <w:rPr>
              <w:rFonts w:ascii="Arial" w:eastAsiaTheme="minorEastAsia" w:hAnsi="Arial" w:cs="Arial"/>
              <w:noProof/>
              <w:kern w:val="0"/>
              <w:szCs w:val="24"/>
              <w:lang w:val="en-GB" w:eastAsia="en-GB" w:bidi="ar-SA"/>
            </w:rPr>
          </w:pPr>
          <w:hyperlink w:anchor="_Toc150290173" w:history="1">
            <w:r w:rsidRPr="002720CF">
              <w:rPr>
                <w:rStyle w:val="Hyperlink"/>
                <w:rFonts w:ascii="Arial" w:hAnsi="Arial" w:cs="Arial"/>
                <w:noProof/>
                <w:szCs w:val="24"/>
              </w:rPr>
              <w:t>Literature Review</w:t>
            </w:r>
            <w:r w:rsidRPr="002720CF">
              <w:rPr>
                <w:rFonts w:ascii="Arial" w:hAnsi="Arial" w:cs="Arial"/>
                <w:noProof/>
                <w:webHidden/>
                <w:szCs w:val="24"/>
              </w:rPr>
              <w:tab/>
            </w:r>
            <w:r w:rsidRPr="002720CF">
              <w:rPr>
                <w:rFonts w:ascii="Arial" w:hAnsi="Arial" w:cs="Arial"/>
                <w:noProof/>
                <w:webHidden/>
                <w:szCs w:val="24"/>
              </w:rPr>
              <w:fldChar w:fldCharType="begin"/>
            </w:r>
            <w:r w:rsidRPr="002720CF">
              <w:rPr>
                <w:rFonts w:ascii="Arial" w:hAnsi="Arial" w:cs="Arial"/>
                <w:noProof/>
                <w:webHidden/>
                <w:szCs w:val="24"/>
              </w:rPr>
              <w:instrText xml:space="preserve"> PAGEREF _Toc150290173 \h </w:instrText>
            </w:r>
            <w:r w:rsidRPr="002720CF">
              <w:rPr>
                <w:rFonts w:ascii="Arial" w:hAnsi="Arial" w:cs="Arial"/>
                <w:noProof/>
                <w:webHidden/>
                <w:szCs w:val="24"/>
              </w:rPr>
            </w:r>
            <w:r w:rsidRPr="002720CF">
              <w:rPr>
                <w:rFonts w:ascii="Arial" w:hAnsi="Arial" w:cs="Arial"/>
                <w:noProof/>
                <w:webHidden/>
                <w:szCs w:val="24"/>
              </w:rPr>
              <w:fldChar w:fldCharType="separate"/>
            </w:r>
            <w:r w:rsidR="00817380">
              <w:rPr>
                <w:rFonts w:ascii="Arial" w:hAnsi="Arial" w:cs="Arial"/>
                <w:noProof/>
                <w:webHidden/>
                <w:szCs w:val="24"/>
              </w:rPr>
              <w:t>6</w:t>
            </w:r>
            <w:r w:rsidRPr="002720CF">
              <w:rPr>
                <w:rFonts w:ascii="Arial" w:hAnsi="Arial" w:cs="Arial"/>
                <w:noProof/>
                <w:webHidden/>
                <w:szCs w:val="24"/>
              </w:rPr>
              <w:fldChar w:fldCharType="end"/>
            </w:r>
          </w:hyperlink>
        </w:p>
        <w:p w14:paraId="272F8A8B" w14:textId="2326FF25" w:rsidR="00092725" w:rsidRPr="002720CF" w:rsidRDefault="00092725" w:rsidP="002720CF">
          <w:pPr>
            <w:pStyle w:val="TOC1"/>
            <w:tabs>
              <w:tab w:val="right" w:leader="dot" w:pos="9010"/>
            </w:tabs>
            <w:spacing w:before="120" w:after="120"/>
            <w:rPr>
              <w:rFonts w:ascii="Arial" w:eastAsiaTheme="minorEastAsia" w:hAnsi="Arial" w:cs="Arial"/>
              <w:noProof/>
              <w:kern w:val="0"/>
              <w:szCs w:val="24"/>
              <w:lang w:val="en-GB" w:eastAsia="en-GB" w:bidi="ar-SA"/>
            </w:rPr>
          </w:pPr>
          <w:hyperlink w:anchor="_Toc150290174" w:history="1">
            <w:r w:rsidRPr="002720CF">
              <w:rPr>
                <w:rStyle w:val="Hyperlink"/>
                <w:rFonts w:ascii="Arial" w:hAnsi="Arial" w:cs="Arial"/>
                <w:noProof/>
                <w:szCs w:val="24"/>
              </w:rPr>
              <w:t>Evaluation and Conclusion</w:t>
            </w:r>
            <w:r w:rsidRPr="002720CF">
              <w:rPr>
                <w:rFonts w:ascii="Arial" w:hAnsi="Arial" w:cs="Arial"/>
                <w:noProof/>
                <w:webHidden/>
                <w:szCs w:val="24"/>
              </w:rPr>
              <w:tab/>
            </w:r>
            <w:r w:rsidRPr="002720CF">
              <w:rPr>
                <w:rFonts w:ascii="Arial" w:hAnsi="Arial" w:cs="Arial"/>
                <w:noProof/>
                <w:webHidden/>
                <w:szCs w:val="24"/>
              </w:rPr>
              <w:fldChar w:fldCharType="begin"/>
            </w:r>
            <w:r w:rsidRPr="002720CF">
              <w:rPr>
                <w:rFonts w:ascii="Arial" w:hAnsi="Arial" w:cs="Arial"/>
                <w:noProof/>
                <w:webHidden/>
                <w:szCs w:val="24"/>
              </w:rPr>
              <w:instrText xml:space="preserve"> PAGEREF _Toc150290174 \h </w:instrText>
            </w:r>
            <w:r w:rsidRPr="002720CF">
              <w:rPr>
                <w:rFonts w:ascii="Arial" w:hAnsi="Arial" w:cs="Arial"/>
                <w:noProof/>
                <w:webHidden/>
                <w:szCs w:val="24"/>
              </w:rPr>
            </w:r>
            <w:r w:rsidRPr="002720CF">
              <w:rPr>
                <w:rFonts w:ascii="Arial" w:hAnsi="Arial" w:cs="Arial"/>
                <w:noProof/>
                <w:webHidden/>
                <w:szCs w:val="24"/>
              </w:rPr>
              <w:fldChar w:fldCharType="separate"/>
            </w:r>
            <w:r w:rsidR="00817380">
              <w:rPr>
                <w:rFonts w:ascii="Arial" w:hAnsi="Arial" w:cs="Arial"/>
                <w:noProof/>
                <w:webHidden/>
                <w:szCs w:val="24"/>
              </w:rPr>
              <w:t>10</w:t>
            </w:r>
            <w:r w:rsidRPr="002720CF">
              <w:rPr>
                <w:rFonts w:ascii="Arial" w:hAnsi="Arial" w:cs="Arial"/>
                <w:noProof/>
                <w:webHidden/>
                <w:szCs w:val="24"/>
              </w:rPr>
              <w:fldChar w:fldCharType="end"/>
            </w:r>
          </w:hyperlink>
        </w:p>
        <w:p w14:paraId="65E2B12A" w14:textId="4B8F5E6A" w:rsidR="00092725" w:rsidRPr="002720CF" w:rsidRDefault="00092725" w:rsidP="002720CF">
          <w:pPr>
            <w:pStyle w:val="TOC1"/>
            <w:tabs>
              <w:tab w:val="right" w:leader="dot" w:pos="9010"/>
            </w:tabs>
            <w:spacing w:before="120" w:after="120"/>
            <w:rPr>
              <w:rFonts w:ascii="Arial" w:eastAsiaTheme="minorEastAsia" w:hAnsi="Arial" w:cs="Arial"/>
              <w:noProof/>
              <w:kern w:val="0"/>
              <w:szCs w:val="24"/>
              <w:lang w:val="en-GB" w:eastAsia="en-GB" w:bidi="ar-SA"/>
            </w:rPr>
          </w:pPr>
          <w:hyperlink w:anchor="_Toc150290175" w:history="1">
            <w:r w:rsidRPr="002720CF">
              <w:rPr>
                <w:rStyle w:val="Hyperlink"/>
                <w:rFonts w:ascii="Arial" w:hAnsi="Arial" w:cs="Arial"/>
                <w:noProof/>
                <w:szCs w:val="24"/>
              </w:rPr>
              <w:t>References</w:t>
            </w:r>
            <w:r w:rsidRPr="002720CF">
              <w:rPr>
                <w:rFonts w:ascii="Arial" w:hAnsi="Arial" w:cs="Arial"/>
                <w:noProof/>
                <w:webHidden/>
                <w:szCs w:val="24"/>
              </w:rPr>
              <w:tab/>
            </w:r>
            <w:r w:rsidRPr="002720CF">
              <w:rPr>
                <w:rFonts w:ascii="Arial" w:hAnsi="Arial" w:cs="Arial"/>
                <w:noProof/>
                <w:webHidden/>
                <w:szCs w:val="24"/>
              </w:rPr>
              <w:fldChar w:fldCharType="begin"/>
            </w:r>
            <w:r w:rsidRPr="002720CF">
              <w:rPr>
                <w:rFonts w:ascii="Arial" w:hAnsi="Arial" w:cs="Arial"/>
                <w:noProof/>
                <w:webHidden/>
                <w:szCs w:val="24"/>
              </w:rPr>
              <w:instrText xml:space="preserve"> PAGEREF _Toc150290175 \h </w:instrText>
            </w:r>
            <w:r w:rsidRPr="002720CF">
              <w:rPr>
                <w:rFonts w:ascii="Arial" w:hAnsi="Arial" w:cs="Arial"/>
                <w:noProof/>
                <w:webHidden/>
                <w:szCs w:val="24"/>
              </w:rPr>
            </w:r>
            <w:r w:rsidRPr="002720CF">
              <w:rPr>
                <w:rFonts w:ascii="Arial" w:hAnsi="Arial" w:cs="Arial"/>
                <w:noProof/>
                <w:webHidden/>
                <w:szCs w:val="24"/>
              </w:rPr>
              <w:fldChar w:fldCharType="separate"/>
            </w:r>
            <w:r w:rsidR="00817380">
              <w:rPr>
                <w:rFonts w:ascii="Arial" w:hAnsi="Arial" w:cs="Arial"/>
                <w:noProof/>
                <w:webHidden/>
                <w:szCs w:val="24"/>
              </w:rPr>
              <w:t>11</w:t>
            </w:r>
            <w:r w:rsidRPr="002720CF">
              <w:rPr>
                <w:rFonts w:ascii="Arial" w:hAnsi="Arial" w:cs="Arial"/>
                <w:noProof/>
                <w:webHidden/>
                <w:szCs w:val="24"/>
              </w:rPr>
              <w:fldChar w:fldCharType="end"/>
            </w:r>
          </w:hyperlink>
        </w:p>
        <w:p w14:paraId="44B37AB7"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bCs/>
              <w:noProof/>
              <w:sz w:val="24"/>
              <w:szCs w:val="24"/>
            </w:rPr>
            <w:fldChar w:fldCharType="end"/>
          </w:r>
        </w:p>
      </w:sdtContent>
    </w:sdt>
    <w:p w14:paraId="34778BE2" w14:textId="77777777" w:rsidR="00092725" w:rsidRPr="002720CF" w:rsidRDefault="00092725" w:rsidP="002720CF">
      <w:pPr>
        <w:spacing w:before="120" w:after="120" w:line="360" w:lineRule="auto"/>
        <w:jc w:val="both"/>
        <w:rPr>
          <w:rFonts w:ascii="Arial" w:hAnsi="Arial" w:cs="Arial"/>
          <w:sz w:val="24"/>
          <w:szCs w:val="24"/>
        </w:rPr>
      </w:pPr>
    </w:p>
    <w:p w14:paraId="693E28E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br w:type="page"/>
      </w:r>
    </w:p>
    <w:p w14:paraId="10B50569" w14:textId="77777777" w:rsidR="00092725" w:rsidRPr="00817380" w:rsidRDefault="00092725" w:rsidP="002720CF">
      <w:pPr>
        <w:pStyle w:val="Heading1"/>
        <w:spacing w:before="120" w:after="120"/>
        <w:rPr>
          <w:rFonts w:ascii="Arial" w:hAnsi="Arial" w:cs="Arial"/>
          <w:sz w:val="28"/>
          <w:szCs w:val="28"/>
        </w:rPr>
      </w:pPr>
      <w:bookmarkStart w:id="1" w:name="_Toc150290172"/>
      <w:r w:rsidRPr="00817380">
        <w:rPr>
          <w:rFonts w:ascii="Arial" w:hAnsi="Arial" w:cs="Arial"/>
          <w:sz w:val="28"/>
          <w:szCs w:val="28"/>
        </w:rPr>
        <w:lastRenderedPageBreak/>
        <w:t>Introduction and Background</w:t>
      </w:r>
      <w:bookmarkEnd w:id="1"/>
    </w:p>
    <w:p w14:paraId="0B9D438C"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A renowned American multinational hotel and resort enterprise, Hilton is a global hospitality icon. Hilton has over a century of history, founded by Conrad Hilton in 1919. The company's dedication to guest satisfaction has earned them a solid international presence. Hilton's 18 brands and 6,500 properties in 119 countries are known for luxury hotels, full-service resorts, and extended-stay suites (Hilton Hotels, 2023). Hilton Hotels and Resorts, Waldorf Astoria, DoubleTree by Hilton, and Hampton by Hilton are among the Hilton brands. Hilton, headquartered in McLean, Virginia, strives to be the world's most welcoming company, emphasising its commitment to guests and staff (Snezana Živkovic, Bojan Krstić and </w:t>
      </w:r>
      <w:proofErr w:type="spellStart"/>
      <w:r w:rsidRPr="002720CF">
        <w:rPr>
          <w:rFonts w:ascii="Arial" w:hAnsi="Arial" w:cs="Arial"/>
          <w:sz w:val="24"/>
          <w:szCs w:val="24"/>
        </w:rPr>
        <w:t>Radenovic</w:t>
      </w:r>
      <w:proofErr w:type="spellEnd"/>
      <w:r w:rsidRPr="002720CF">
        <w:rPr>
          <w:rFonts w:ascii="Arial" w:hAnsi="Arial" w:cs="Arial"/>
          <w:sz w:val="24"/>
          <w:szCs w:val="24"/>
        </w:rPr>
        <w:t>, 2021).</w:t>
      </w:r>
    </w:p>
    <w:p w14:paraId="2B350064"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Hilton, like any large company, must retain employees. Hilton struggles to retain employees despite its global reputation. Recent labour market changes and the COVID-19 epidemic have exacerbated these issues. Hilton's rising employee turnover is a major issue. Due to long hours, shift work, and demanding visitors, the hospitality industry has considerable turnover (Adams-</w:t>
      </w:r>
      <w:proofErr w:type="spellStart"/>
      <w:r w:rsidRPr="002720CF">
        <w:rPr>
          <w:rFonts w:ascii="Arial" w:hAnsi="Arial" w:cs="Arial"/>
          <w:sz w:val="24"/>
          <w:szCs w:val="24"/>
        </w:rPr>
        <w:t>Prassl</w:t>
      </w:r>
      <w:proofErr w:type="spellEnd"/>
      <w:r w:rsidRPr="002720CF">
        <w:rPr>
          <w:rFonts w:ascii="Arial" w:hAnsi="Arial" w:cs="Arial"/>
          <w:sz w:val="24"/>
          <w:szCs w:val="24"/>
        </w:rPr>
        <w:t xml:space="preserve"> et al., 2020). Hilton offers a great work environment, competitive salary, and growth possibilities to address this issue. However, turnover remains a worry as employees seek better prospects or work-life balance (Grant and Parker, 2019). Hilton, like other hotel brands, has seasonal business fluctuations. Staff demand rises during busy seasons, whereas off-peak times may result in lower hours or layoffs. Hilton employees may leave for more stable jobs due to this uncertainty. Hospitality staff retention is complicated by the COVID-19 epidemic. Hilton employees, like others, were laid off, furloughed, and worked fewer hours due to the epidemic. Massive industry disruptions left workers with job uncertainty, health issues, and financial instability (</w:t>
      </w:r>
      <w:proofErr w:type="spellStart"/>
      <w:r w:rsidRPr="002720CF">
        <w:rPr>
          <w:rFonts w:ascii="Arial" w:hAnsi="Arial" w:cs="Arial"/>
          <w:sz w:val="24"/>
          <w:szCs w:val="24"/>
        </w:rPr>
        <w:t>Upathambhakul</w:t>
      </w:r>
      <w:proofErr w:type="spellEnd"/>
      <w:r w:rsidRPr="002720CF">
        <w:rPr>
          <w:rFonts w:ascii="Arial" w:hAnsi="Arial" w:cs="Arial"/>
          <w:sz w:val="24"/>
          <w:szCs w:val="24"/>
        </w:rPr>
        <w:t xml:space="preserve"> and </w:t>
      </w:r>
      <w:proofErr w:type="spellStart"/>
      <w:r w:rsidRPr="002720CF">
        <w:rPr>
          <w:rFonts w:ascii="Arial" w:hAnsi="Arial" w:cs="Arial"/>
          <w:sz w:val="24"/>
          <w:szCs w:val="24"/>
        </w:rPr>
        <w:t>Saithanoo</w:t>
      </w:r>
      <w:proofErr w:type="spellEnd"/>
      <w:r w:rsidRPr="002720CF">
        <w:rPr>
          <w:rFonts w:ascii="Arial" w:hAnsi="Arial" w:cs="Arial"/>
          <w:sz w:val="24"/>
          <w:szCs w:val="24"/>
        </w:rPr>
        <w:t>, 2016). Some workers have sought more stable jobs in other areas due to these concerns.</w:t>
      </w:r>
    </w:p>
    <w:p w14:paraId="2B5CCE73"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Employee retention significantly impacts business operations, brand reputation, and success. Employee turnover, especially in hospitality, can have immediate and long-term consequences on the company's profitability. First and foremost, high turnover rates might cause Hilton operational issues. New hire recruitment, training, and onboarding are time-consuming and expensive (Kaur and Sharma, 2018). Daily activities are disrupted, which may lower service quality and guest satisfaction. Hilton promises excellent guest experiences, but employee churn can compromise this. </w:t>
      </w:r>
      <w:r w:rsidRPr="002720CF">
        <w:rPr>
          <w:rFonts w:ascii="Arial" w:hAnsi="Arial" w:cs="Arial"/>
          <w:sz w:val="24"/>
          <w:szCs w:val="24"/>
        </w:rPr>
        <w:lastRenderedPageBreak/>
        <w:t>Additionally, the hospitality business relies on dedicated and experienced workers. Hilton veterans are frequently superior at providing excellent service (</w:t>
      </w:r>
      <w:proofErr w:type="spellStart"/>
      <w:r w:rsidRPr="002720CF">
        <w:rPr>
          <w:rFonts w:ascii="Arial" w:hAnsi="Arial" w:cs="Arial"/>
          <w:sz w:val="24"/>
          <w:szCs w:val="24"/>
        </w:rPr>
        <w:t>Decenzo</w:t>
      </w:r>
      <w:proofErr w:type="spellEnd"/>
      <w:r w:rsidRPr="002720CF">
        <w:rPr>
          <w:rFonts w:ascii="Arial" w:hAnsi="Arial" w:cs="Arial"/>
          <w:sz w:val="24"/>
          <w:szCs w:val="24"/>
        </w:rPr>
        <w:t>, Robbins and Verhulst, 2016).  They know the company's culture, policies, and standards, making guest service better. Hilton locations may lose experienced staff due to retention concerns, affecting service. Hilton's brand reputation depends on employee retention (Kaur and Sharma, 2018). As guests notice service anomalies, high employee turnover can lead to poor press and reviews. Due to social media and online reviews, unpleasant experiences can quickly spread, deterring future Hilton guests (Finkelman, 2020).</w:t>
      </w:r>
    </w:p>
    <w:p w14:paraId="2268EE9E"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br w:type="page"/>
      </w:r>
    </w:p>
    <w:p w14:paraId="2E96D8E6" w14:textId="77777777" w:rsidR="00092725" w:rsidRPr="00817380" w:rsidRDefault="00092725" w:rsidP="002720CF">
      <w:pPr>
        <w:pStyle w:val="Heading1"/>
        <w:spacing w:before="120" w:after="120"/>
        <w:rPr>
          <w:rFonts w:ascii="Arial" w:hAnsi="Arial" w:cs="Arial"/>
          <w:sz w:val="28"/>
          <w:szCs w:val="28"/>
        </w:rPr>
      </w:pPr>
      <w:bookmarkStart w:id="2" w:name="_Toc150290173"/>
      <w:r w:rsidRPr="00817380">
        <w:rPr>
          <w:rFonts w:ascii="Arial" w:hAnsi="Arial" w:cs="Arial"/>
          <w:sz w:val="28"/>
          <w:szCs w:val="28"/>
        </w:rPr>
        <w:lastRenderedPageBreak/>
        <w:t>Literature Review</w:t>
      </w:r>
      <w:bookmarkEnd w:id="2"/>
    </w:p>
    <w:p w14:paraId="6C0BBD8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Human resource management and organisational sustainability depend on employee recruitment and retention. According to </w:t>
      </w:r>
      <w:proofErr w:type="spellStart"/>
      <w:r w:rsidRPr="002720CF">
        <w:rPr>
          <w:rFonts w:ascii="Arial" w:hAnsi="Arial" w:cs="Arial"/>
          <w:sz w:val="24"/>
          <w:szCs w:val="24"/>
        </w:rPr>
        <w:t>Altarawneh</w:t>
      </w:r>
      <w:proofErr w:type="spellEnd"/>
      <w:r w:rsidRPr="002720CF">
        <w:rPr>
          <w:rFonts w:ascii="Arial" w:hAnsi="Arial" w:cs="Arial"/>
          <w:sz w:val="24"/>
          <w:szCs w:val="24"/>
        </w:rPr>
        <w:t xml:space="preserve"> et al. (2019), a company's performance and success depend on its ability to attract and retain talented and motivated people. We examine the complex effects of the external environment on employee recruitment and retention in this research review. Retention rates, industry examples, and Brexit-related problems will be discussed.</w:t>
      </w:r>
    </w:p>
    <w:p w14:paraId="1973CDC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Organisations with high employee retention rates are usually healthy and stable. Franke and Richey (2019) found that high staff turnover costs companies more in recruitment, training, and lost productivity, according to research. The external environment greatly affects retention rates. Labour market conditions affect retention. In a tight labour market with low unemployment, workers have more options and may depart for better possibilities. Employees may stay put during a recession since obtaining new work is difficult. Technology illustrates this dynamic. In the competitive tech industry, firms must adapt to the outside world to attract and retain top workers. Tech organisations often have higher turnover during economic booms as employees leave for higher compensation and benefits (Franke and Richey, 2019). As the labour market tightens and employees become risk-averse during recessions, retention rates may rise. Industry developments and challenges can affect retention rates as well as the economy. Burnout and stress affect healthcare employee retention. In this situation, patient expectations, long hours, and crucial work create a stressful external environment. Thus, healthcare organisations must improve working conditions and staff assistance to reduce turnover rates (Samaras and Willis, 2013).</w:t>
      </w:r>
    </w:p>
    <w:p w14:paraId="0AAAE374"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External variables affect employee recruitment and retention in different businesses. According to Adams-</w:t>
      </w:r>
      <w:proofErr w:type="spellStart"/>
      <w:r w:rsidRPr="002720CF">
        <w:rPr>
          <w:rFonts w:ascii="Arial" w:hAnsi="Arial" w:cs="Arial"/>
          <w:sz w:val="24"/>
          <w:szCs w:val="24"/>
        </w:rPr>
        <w:t>Prassl</w:t>
      </w:r>
      <w:proofErr w:type="spellEnd"/>
      <w:r w:rsidRPr="002720CF">
        <w:rPr>
          <w:rFonts w:ascii="Arial" w:hAnsi="Arial" w:cs="Arial"/>
          <w:sz w:val="24"/>
          <w:szCs w:val="24"/>
        </w:rPr>
        <w:t xml:space="preserve"> et al. (2020), tourism, seasonality, and economic conditions strongly influence the hospitality industry. Labour demand can vary due to high seasonality, affecting retention rates. Tourism slows in the offseason, thus hotels, resorts, and restaurants turnover rises. Natural calamities and pandemics can also devastate industries, as COVID-19 did to the tourism and hospitality industry. DeFilippis and Impink (2020) found that a decline in tourism and travel owing to the epidemic led several businesses to lay off or furlough workers. Thus, maintaining a trained workforce during external crises is difficult. However, regulatory reforms and economic stability affect finance and banking (Bandyopadhyay, 2022). The 2008 </w:t>
      </w:r>
      <w:r w:rsidRPr="002720CF">
        <w:rPr>
          <w:rFonts w:ascii="Arial" w:hAnsi="Arial" w:cs="Arial"/>
          <w:sz w:val="24"/>
          <w:szCs w:val="24"/>
        </w:rPr>
        <w:lastRenderedPageBreak/>
        <w:t>financial crisis shows how external economic shocks can lower employee retention. As the crisis spread, layoffs and job insecurity in the financial industry reduced employee loyalty and retention.</w:t>
      </w:r>
    </w:p>
    <w:p w14:paraId="58E49289"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Brexit has caused a variety of external variables that could impact employee recruitment and retention. According to Kramar (2017), Brexit has changed immigration, trade, and economic policy, affecting UK and EU organisations. Labour market effects post-Brexit are a major issue. Immigrant-dependent industries including agriculture and healthcare worry about labour shortages. Labour shortages may increase labour costs, compel organisations to invest more in employee retention, and lower service quality. International companies also struggle with personnel transfers. Visa and work permit rules have tightened, making international employee mobility harder. This complexity may affect an organization's UK or EU expansion decision. Brexit's economic uncertainty has hurt staff morale and retention. According to Mishra and Sall (2020), uncertainty about the future might create job instability and weaken employer loyalty. Companies must modify their HR strategy to accommodate Brexit problems, including job security and internal mobility (Gerstein et al., 2022).</w:t>
      </w:r>
    </w:p>
    <w:p w14:paraId="53D670DA"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The external environment has complex effects on staff recruitment and retention. Economic conditions, seasonality, and regulatory changes present distinct difficulties and opportunities for industries. Brexit illustrates the necessity of knowing and adapting to external factors that affect retention rates. Organisations must be flexible to adapt to labour market factors in this ever-changing context. Effective HR methods that consider these external influences can boost employee morale, retention, and company performance.</w:t>
      </w:r>
    </w:p>
    <w:p w14:paraId="64B4484A" w14:textId="77777777" w:rsidR="00092725" w:rsidRPr="002720CF" w:rsidRDefault="00092725" w:rsidP="002720CF">
      <w:pPr>
        <w:spacing w:before="120" w:after="120" w:line="360" w:lineRule="auto"/>
        <w:jc w:val="both"/>
        <w:rPr>
          <w:rFonts w:ascii="Arial" w:hAnsi="Arial" w:cs="Arial"/>
          <w:b/>
          <w:sz w:val="24"/>
          <w:szCs w:val="24"/>
          <w:u w:val="single"/>
        </w:rPr>
      </w:pPr>
      <w:r w:rsidRPr="002720CF">
        <w:rPr>
          <w:rFonts w:ascii="Arial" w:hAnsi="Arial" w:cs="Arial"/>
          <w:b/>
          <w:sz w:val="24"/>
          <w:szCs w:val="24"/>
          <w:u w:val="single"/>
        </w:rPr>
        <w:t>PESTEL and SWOT analysis</w:t>
      </w:r>
    </w:p>
    <w:p w14:paraId="73462AB4" w14:textId="1AA0AC03"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Hilton Hotel, like many companies, prioritises employee retention. Understanding how external factors affect retention rates through PESTEL and SWOT analyses can help Hilton understand its challenges and opportunities in maintaining a skilled and motivated workforce. This evaluation will examine Hilton's staff retention strategy </w:t>
      </w:r>
      <w:r w:rsidR="002720CF" w:rsidRPr="002720CF">
        <w:rPr>
          <w:rFonts w:ascii="Arial" w:hAnsi="Arial" w:cs="Arial"/>
          <w:sz w:val="24"/>
          <w:szCs w:val="24"/>
        </w:rPr>
        <w:t>considering</w:t>
      </w:r>
      <w:r w:rsidRPr="002720CF">
        <w:rPr>
          <w:rFonts w:ascii="Arial" w:hAnsi="Arial" w:cs="Arial"/>
          <w:sz w:val="24"/>
          <w:szCs w:val="24"/>
        </w:rPr>
        <w:t xml:space="preserve"> Brexit, COVID-19, inflation, the economy, and the global retirement tidal.</w:t>
      </w:r>
    </w:p>
    <w:p w14:paraId="65E123D7" w14:textId="77777777" w:rsidR="00092725" w:rsidRPr="002720CF" w:rsidRDefault="00092725" w:rsidP="002720CF">
      <w:pPr>
        <w:spacing w:before="120" w:after="120" w:line="360" w:lineRule="auto"/>
        <w:jc w:val="both"/>
        <w:rPr>
          <w:rFonts w:ascii="Arial" w:hAnsi="Arial" w:cs="Arial"/>
          <w:b/>
          <w:sz w:val="24"/>
          <w:szCs w:val="24"/>
        </w:rPr>
      </w:pPr>
      <w:r w:rsidRPr="002720CF">
        <w:rPr>
          <w:rFonts w:ascii="Arial" w:hAnsi="Arial" w:cs="Arial"/>
          <w:b/>
          <w:sz w:val="24"/>
          <w:szCs w:val="24"/>
        </w:rPr>
        <w:t>PESTEL Analysis:</w:t>
      </w:r>
    </w:p>
    <w:p w14:paraId="0928D10A"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Political Factors:</w:t>
      </w:r>
      <w:r w:rsidRPr="002720CF">
        <w:rPr>
          <w:rFonts w:ascii="Arial" w:hAnsi="Arial" w:cs="Arial"/>
          <w:sz w:val="24"/>
          <w:szCs w:val="24"/>
        </w:rPr>
        <w:t xml:space="preserve">  The political climate can affect Hilton's capacity to retain personnel. Hilton finds it harder to hire and retain international workers due to Brexit's immigration </w:t>
      </w:r>
      <w:r w:rsidRPr="002720CF">
        <w:rPr>
          <w:rFonts w:ascii="Arial" w:hAnsi="Arial" w:cs="Arial"/>
          <w:sz w:val="24"/>
          <w:szCs w:val="24"/>
        </w:rPr>
        <w:lastRenderedPageBreak/>
        <w:t>policy changes (Kramar, 2017). Labour shortages have occurred, especially in immigrant-heavy areas. Hilton must adapt to these legislative changes while retaining talent.</w:t>
      </w:r>
    </w:p>
    <w:p w14:paraId="7DE82F9E"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Economic Factors:</w:t>
      </w:r>
      <w:r w:rsidRPr="002720CF">
        <w:rPr>
          <w:rFonts w:ascii="Arial" w:hAnsi="Arial" w:cs="Arial"/>
          <w:sz w:val="24"/>
          <w:szCs w:val="24"/>
        </w:rPr>
        <w:t xml:space="preserve"> Economic conditions significantly impact employee retention. Hilton laid off workers due to the COVID-19 pandemic. Job uncertainty drove many workers to seek other jobs (Adams-</w:t>
      </w:r>
      <w:proofErr w:type="spellStart"/>
      <w:r w:rsidRPr="002720CF">
        <w:rPr>
          <w:rFonts w:ascii="Arial" w:hAnsi="Arial" w:cs="Arial"/>
          <w:sz w:val="24"/>
          <w:szCs w:val="24"/>
        </w:rPr>
        <w:t>Prassl</w:t>
      </w:r>
      <w:proofErr w:type="spellEnd"/>
      <w:r w:rsidRPr="002720CF">
        <w:rPr>
          <w:rFonts w:ascii="Arial" w:hAnsi="Arial" w:cs="Arial"/>
          <w:sz w:val="24"/>
          <w:szCs w:val="24"/>
        </w:rPr>
        <w:t xml:space="preserve"> et al., 2020). Inflation also reduces employees' purchasing power, hurting job satisfaction and retention.</w:t>
      </w:r>
    </w:p>
    <w:p w14:paraId="4F77A913"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Social Factors:</w:t>
      </w:r>
      <w:r w:rsidRPr="002720CF">
        <w:rPr>
          <w:rFonts w:ascii="Arial" w:hAnsi="Arial" w:cs="Arial"/>
          <w:sz w:val="24"/>
          <w:szCs w:val="24"/>
        </w:rPr>
        <w:t xml:space="preserve"> Hilton also suffers societal issues. The global retirement tide and ageing workforce affect employee retention. Effective succession planning and training can fill knowledge gaps caused by retiring older workers (CIPD, 2018).</w:t>
      </w:r>
    </w:p>
    <w:p w14:paraId="3C9E0E4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Technological Factors:</w:t>
      </w:r>
      <w:r w:rsidRPr="002720CF">
        <w:rPr>
          <w:rFonts w:ascii="Arial" w:hAnsi="Arial" w:cs="Arial"/>
          <w:sz w:val="24"/>
          <w:szCs w:val="24"/>
        </w:rPr>
        <w:t xml:space="preserve"> Rapid hospitality technology development can affect employee retention. Hilton must train its staff in technology to satisfy guests (Kramar, 2017). Failure to adapt to technology might cause staff unhappiness and retention issues.</w:t>
      </w:r>
    </w:p>
    <w:p w14:paraId="169775FE"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Environmental Factors:</w:t>
      </w:r>
      <w:r w:rsidRPr="002720CF">
        <w:rPr>
          <w:rFonts w:ascii="Arial" w:hAnsi="Arial" w:cs="Arial"/>
          <w:sz w:val="24"/>
          <w:szCs w:val="24"/>
        </w:rPr>
        <w:t xml:space="preserve"> Employees are becoming more eco-conscious. Hilton's sustainability efforts can boost staff retention. Hilton employees that share its environmental principles may stay longer.</w:t>
      </w:r>
    </w:p>
    <w:p w14:paraId="4B9658D4"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Legal Factors:</w:t>
      </w:r>
      <w:r w:rsidRPr="002720CF">
        <w:rPr>
          <w:rFonts w:ascii="Arial" w:hAnsi="Arial" w:cs="Arial"/>
          <w:sz w:val="24"/>
          <w:szCs w:val="24"/>
        </w:rPr>
        <w:t xml:space="preserve"> Legal factors are crucial to employee retention. Labour laws and occupational safety standards must be followed (Kramar, 2017). If employees feel unsafe, non-compliance might lead to legal concerns and lower retention.</w:t>
      </w:r>
    </w:p>
    <w:p w14:paraId="61DAA8C3" w14:textId="77777777" w:rsidR="00092725" w:rsidRPr="002720CF" w:rsidRDefault="00092725" w:rsidP="002720CF">
      <w:pPr>
        <w:spacing w:before="120" w:after="120" w:line="360" w:lineRule="auto"/>
        <w:jc w:val="both"/>
        <w:rPr>
          <w:rFonts w:ascii="Arial" w:hAnsi="Arial" w:cs="Arial"/>
          <w:b/>
          <w:sz w:val="24"/>
          <w:szCs w:val="24"/>
        </w:rPr>
      </w:pPr>
      <w:r w:rsidRPr="002720CF">
        <w:rPr>
          <w:rFonts w:ascii="Arial" w:hAnsi="Arial" w:cs="Arial"/>
          <w:b/>
          <w:sz w:val="24"/>
          <w:szCs w:val="24"/>
        </w:rPr>
        <w:t>SWOT Analysis:</w:t>
      </w:r>
    </w:p>
    <w:p w14:paraId="1C892253"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Strengths:</w:t>
      </w:r>
      <w:r w:rsidRPr="002720CF">
        <w:rPr>
          <w:rFonts w:ascii="Arial" w:hAnsi="Arial" w:cs="Arial"/>
          <w:sz w:val="24"/>
          <w:szCs w:val="24"/>
        </w:rPr>
        <w:t xml:space="preserve"> Hilton has various strengths that can boost employee retention (Hilton Hotels, 2023). Potential and present employees like the company's brand, benefits, and career progression. Hilton's diversity and inclusion efforts create a friendlier workplace, which can boost employee retention.</w:t>
      </w:r>
    </w:p>
    <w:p w14:paraId="53F689B1"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Weaknesses:</w:t>
      </w:r>
      <w:r w:rsidRPr="002720CF">
        <w:rPr>
          <w:rFonts w:ascii="Arial" w:hAnsi="Arial" w:cs="Arial"/>
          <w:sz w:val="24"/>
          <w:szCs w:val="24"/>
        </w:rPr>
        <w:t xml:space="preserve"> Hilton has disadvantages that can affect retention (Hilton Hotels, 2023). Wage discrepancies and significant turnover are common in the competitive hospitality business. Employees may depart for better pay and benefits at competitors.</w:t>
      </w:r>
    </w:p>
    <w:p w14:paraId="340D2657"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Opportunities:</w:t>
      </w:r>
      <w:r w:rsidRPr="002720CF">
        <w:rPr>
          <w:rFonts w:ascii="Arial" w:hAnsi="Arial" w:cs="Arial"/>
          <w:sz w:val="24"/>
          <w:szCs w:val="24"/>
        </w:rPr>
        <w:t xml:space="preserve"> Hilton can improve staff retention using creative methods. Hilton offered remote work and flexible work arrangements during the COVID-19 epidemic </w:t>
      </w:r>
      <w:r w:rsidRPr="002720CF">
        <w:rPr>
          <w:rFonts w:ascii="Arial" w:hAnsi="Arial" w:cs="Arial"/>
          <w:sz w:val="24"/>
          <w:szCs w:val="24"/>
        </w:rPr>
        <w:lastRenderedPageBreak/>
        <w:t>to meet employees' shifting demands (Adams-</w:t>
      </w:r>
      <w:proofErr w:type="spellStart"/>
      <w:r w:rsidRPr="002720CF">
        <w:rPr>
          <w:rFonts w:ascii="Arial" w:hAnsi="Arial" w:cs="Arial"/>
          <w:sz w:val="24"/>
          <w:szCs w:val="24"/>
        </w:rPr>
        <w:t>Prassl</w:t>
      </w:r>
      <w:proofErr w:type="spellEnd"/>
      <w:r w:rsidRPr="002720CF">
        <w:rPr>
          <w:rFonts w:ascii="Arial" w:hAnsi="Arial" w:cs="Arial"/>
          <w:sz w:val="24"/>
          <w:szCs w:val="24"/>
        </w:rPr>
        <w:t xml:space="preserve"> et al., 2020). Hilton may distinguish out as an employer with such opportunities.</w:t>
      </w:r>
    </w:p>
    <w:p w14:paraId="7784A5A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b/>
          <w:sz w:val="24"/>
          <w:szCs w:val="24"/>
        </w:rPr>
        <w:t>Threats:</w:t>
      </w:r>
      <w:r w:rsidRPr="002720CF">
        <w:rPr>
          <w:rFonts w:ascii="Arial" w:hAnsi="Arial" w:cs="Arial"/>
          <w:sz w:val="24"/>
          <w:szCs w:val="24"/>
        </w:rPr>
        <w:t xml:space="preserve"> Hilton has several external concerns to staff retention. Brexit uncertainties and changing immigration rules pose a major concern. Many employees are job-insecure due to COVID-19's economic crisis, raising turnover risk. Employee satisfaction can drop as real pay fall due to inflation.</w:t>
      </w:r>
    </w:p>
    <w:p w14:paraId="36D4E864"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External factors like PESTEL and SWOT studies affect Hilton Hotel's personnel retention strategy. Hilton's capacity to retain employees is affected by Brexit, COVID-19, inflation, economic conditions, and the global retirement tidal.</w:t>
      </w:r>
    </w:p>
    <w:p w14:paraId="20E418A0" w14:textId="77777777" w:rsidR="00092725" w:rsidRPr="002720CF" w:rsidRDefault="00092725" w:rsidP="002720CF">
      <w:pPr>
        <w:spacing w:before="120" w:after="120" w:line="360" w:lineRule="auto"/>
        <w:jc w:val="both"/>
        <w:rPr>
          <w:rFonts w:ascii="Arial" w:hAnsi="Arial" w:cs="Arial"/>
          <w:b/>
          <w:sz w:val="24"/>
          <w:szCs w:val="24"/>
        </w:rPr>
      </w:pPr>
      <w:r w:rsidRPr="002720CF">
        <w:rPr>
          <w:rFonts w:ascii="Arial" w:hAnsi="Arial" w:cs="Arial"/>
          <w:b/>
          <w:sz w:val="24"/>
          <w:szCs w:val="24"/>
        </w:rPr>
        <w:t>Potential Solution</w:t>
      </w:r>
    </w:p>
    <w:p w14:paraId="699172DC"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Hilton Hotel has numerous options to improve employee retention and reduce external variables. To stay competitive, increase employee benefits and compensation. Direct competitor Marriott International offers a comprehensive rewards programme with health and wellness benefits, excellent compensation, and professional development (Huang and Chen, 2019). Hilton may emulate this to retain great talent. Flexibility and remote work are another option, as demonstrated at Accor, a worldwide hospitality corporation. Hilton can boost job happiness and retention by meeting employees' changing requirements. Hilton may also retain staff by investing in continual training and development programmes like InterContinental Hotels Group's IHG Academy, which offer long-term career chances and promote loyalty. Finally, Hilton should continuously monitor and respond to external developments including immigration regulations, economic situations, and industry trends (PwC, 2017). Hilton may tailor staff retention methods in a competitive sector by adapting to these difficulties.</w:t>
      </w:r>
      <w:r w:rsidRPr="002720CF">
        <w:rPr>
          <w:rFonts w:ascii="Arial" w:hAnsi="Arial" w:cs="Arial"/>
          <w:sz w:val="24"/>
          <w:szCs w:val="24"/>
        </w:rPr>
        <w:br w:type="page"/>
      </w:r>
    </w:p>
    <w:p w14:paraId="0BF05FBB" w14:textId="77777777" w:rsidR="00092725" w:rsidRPr="00817380" w:rsidRDefault="00092725" w:rsidP="002720CF">
      <w:pPr>
        <w:pStyle w:val="Heading1"/>
        <w:spacing w:before="120" w:after="120"/>
        <w:rPr>
          <w:rFonts w:ascii="Arial" w:hAnsi="Arial" w:cs="Arial"/>
          <w:sz w:val="28"/>
          <w:szCs w:val="28"/>
        </w:rPr>
      </w:pPr>
      <w:bookmarkStart w:id="3" w:name="_Toc150290174"/>
      <w:r w:rsidRPr="00817380">
        <w:rPr>
          <w:rFonts w:ascii="Arial" w:hAnsi="Arial" w:cs="Arial"/>
          <w:sz w:val="28"/>
          <w:szCs w:val="28"/>
        </w:rPr>
        <w:lastRenderedPageBreak/>
        <w:t>Evaluation and Conclusion</w:t>
      </w:r>
      <w:bookmarkEnd w:id="3"/>
    </w:p>
    <w:p w14:paraId="1F953B70" w14:textId="4B1BC2B3"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The study used PESTEL and SWOT analyses to examine how external factors affect Hilton Hotel employee recruitment and retention. The findings show that Hilton Hotel struggles to retain a trained and engaged workforce due to complicated external pressures. Brexit and other political considerations have changed immigration policies, </w:t>
      </w:r>
      <w:r w:rsidR="002720CF" w:rsidRPr="002720CF">
        <w:rPr>
          <w:rFonts w:ascii="Arial" w:hAnsi="Arial" w:cs="Arial"/>
          <w:sz w:val="24"/>
          <w:szCs w:val="24"/>
        </w:rPr>
        <w:t>caused</w:t>
      </w:r>
      <w:r w:rsidRPr="002720CF">
        <w:rPr>
          <w:rFonts w:ascii="Arial" w:hAnsi="Arial" w:cs="Arial"/>
          <w:sz w:val="24"/>
          <w:szCs w:val="24"/>
        </w:rPr>
        <w:t xml:space="preserve"> labour shortages and </w:t>
      </w:r>
      <w:r w:rsidR="00D74AB3" w:rsidRPr="002720CF">
        <w:rPr>
          <w:rFonts w:ascii="Arial" w:hAnsi="Arial" w:cs="Arial"/>
          <w:sz w:val="24"/>
          <w:szCs w:val="24"/>
        </w:rPr>
        <w:t>affected</w:t>
      </w:r>
      <w:r w:rsidRPr="002720CF">
        <w:rPr>
          <w:rFonts w:ascii="Arial" w:hAnsi="Arial" w:cs="Arial"/>
          <w:sz w:val="24"/>
          <w:szCs w:val="24"/>
        </w:rPr>
        <w:t xml:space="preserve"> employee retention. Inflation and the COVID-19 pandemic have increased job insecurity and employee dissatisfaction. The ageing workforce is retiring due to social causes, particularly the global retirement tide, generating knowledge gaps for Hilton. These findings emphasise the importance of knowing and addressing external variables that significantly impact hospitality staff retention.</w:t>
      </w:r>
    </w:p>
    <w:p w14:paraId="3B15FB80"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These findings have major significance for Hilton Hotel. Human resource strategy must adapt to external circumstances. Hilton must improve employee perks and compensation to compete with Marriott International. Flexible work arrangements and remote work choices like Accor's can boost employee happiness and retention. To keep a trained and motivated team and foster employee loyalty, invest in continual training and development programmes like InterContinental Hotels Group's IHG Academy. Hilton must adapt to external factors like immigration policies and economic conditions to build focused retention strategies in a dynamic and competitive market.</w:t>
      </w:r>
    </w:p>
    <w:p w14:paraId="555E1FBC"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Study findings and consequences suggest several recommendations. First, Hilton should increase its employee benefits and compensation packages to preserve its market leadership and attract new and current employees. This includes reviewing compensation structures, career pathways, and health and wellness benefits. Hilton should offer remote and flexible work choices to meet its employees' changing needs. Hotel worker retention, job satisfaction, and insecurity may improve with this change. Third, Hilton should invest on employee training and development to build loyalty. These programmes should emphasise current job skills and offer long-term career progression in the company. Finally, Hilton should monitor and respond to political and economic events. This proactive technique will allow the company to create tailored marketing to meet changing worker retention issues in the competitive hospitality industry.</w:t>
      </w:r>
      <w:r w:rsidRPr="002720CF">
        <w:rPr>
          <w:rFonts w:ascii="Arial" w:hAnsi="Arial" w:cs="Arial"/>
          <w:sz w:val="24"/>
          <w:szCs w:val="24"/>
        </w:rPr>
        <w:br w:type="page"/>
      </w:r>
    </w:p>
    <w:p w14:paraId="16F45F05" w14:textId="77777777" w:rsidR="00092725" w:rsidRPr="00817380" w:rsidRDefault="00092725" w:rsidP="002720CF">
      <w:pPr>
        <w:pStyle w:val="Heading1"/>
        <w:spacing w:before="120" w:after="120"/>
        <w:rPr>
          <w:rFonts w:ascii="Arial" w:hAnsi="Arial" w:cs="Arial"/>
          <w:sz w:val="28"/>
          <w:szCs w:val="28"/>
        </w:rPr>
      </w:pPr>
      <w:bookmarkStart w:id="4" w:name="_Toc150290175"/>
      <w:r w:rsidRPr="00817380">
        <w:rPr>
          <w:rFonts w:ascii="Arial" w:hAnsi="Arial" w:cs="Arial"/>
          <w:sz w:val="28"/>
          <w:szCs w:val="28"/>
        </w:rPr>
        <w:lastRenderedPageBreak/>
        <w:t>References</w:t>
      </w:r>
      <w:bookmarkEnd w:id="4"/>
    </w:p>
    <w:p w14:paraId="37EDEFA0"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Adams-</w:t>
      </w:r>
      <w:proofErr w:type="spellStart"/>
      <w:r w:rsidRPr="002720CF">
        <w:rPr>
          <w:rFonts w:ascii="Arial" w:hAnsi="Arial" w:cs="Arial"/>
          <w:sz w:val="24"/>
          <w:szCs w:val="24"/>
        </w:rPr>
        <w:t>Prassl</w:t>
      </w:r>
      <w:proofErr w:type="spellEnd"/>
      <w:r w:rsidRPr="002720CF">
        <w:rPr>
          <w:rFonts w:ascii="Arial" w:hAnsi="Arial" w:cs="Arial"/>
          <w:sz w:val="24"/>
          <w:szCs w:val="24"/>
        </w:rPr>
        <w:t>, A., Boneva, T., Golin, M., and Rauh, C. (2020). Inequality in the Impact of the Coronavirus Shock: Evidence from Real Time Surveys. Journal of Public Economics, 189, 104245.</w:t>
      </w:r>
    </w:p>
    <w:p w14:paraId="3E0E986E" w14:textId="77777777" w:rsidR="00092725" w:rsidRPr="002720CF" w:rsidRDefault="00092725" w:rsidP="002720CF">
      <w:pPr>
        <w:spacing w:before="120" w:after="120" w:line="360" w:lineRule="auto"/>
        <w:jc w:val="both"/>
        <w:rPr>
          <w:rFonts w:ascii="Arial" w:hAnsi="Arial" w:cs="Arial"/>
          <w:sz w:val="24"/>
          <w:szCs w:val="24"/>
        </w:rPr>
      </w:pPr>
      <w:proofErr w:type="spellStart"/>
      <w:r w:rsidRPr="002720CF">
        <w:rPr>
          <w:rFonts w:ascii="Arial" w:hAnsi="Arial" w:cs="Arial"/>
          <w:sz w:val="24"/>
          <w:szCs w:val="24"/>
        </w:rPr>
        <w:t>Altarawneh</w:t>
      </w:r>
      <w:proofErr w:type="spellEnd"/>
      <w:r w:rsidRPr="002720CF">
        <w:rPr>
          <w:rFonts w:ascii="Arial" w:hAnsi="Arial" w:cs="Arial"/>
          <w:sz w:val="24"/>
          <w:szCs w:val="24"/>
        </w:rPr>
        <w:t>, I., Al-Madi, F. N., and Bani-Khair, E. (2019). Effects of Compensation Package on Employee Retention. International Journal of Academic Research in Business and Social Sciences, 9(6), 929-946.</w:t>
      </w:r>
    </w:p>
    <w:p w14:paraId="50FA7C7E" w14:textId="77777777" w:rsidR="00092725" w:rsidRPr="002720CF" w:rsidRDefault="00092725" w:rsidP="002720CF">
      <w:pPr>
        <w:spacing w:after="240" w:line="360" w:lineRule="auto"/>
        <w:jc w:val="both"/>
        <w:rPr>
          <w:rFonts w:ascii="Arial" w:eastAsia="Times New Roman" w:hAnsi="Arial" w:cs="Arial"/>
          <w:kern w:val="0"/>
          <w:sz w:val="24"/>
          <w:szCs w:val="24"/>
        </w:rPr>
      </w:pPr>
      <w:r w:rsidRPr="002720CF">
        <w:rPr>
          <w:rFonts w:ascii="Arial" w:eastAsia="Times New Roman" w:hAnsi="Arial" w:cs="Arial"/>
          <w:kern w:val="0"/>
          <w:sz w:val="24"/>
          <w:szCs w:val="24"/>
        </w:rPr>
        <w:t xml:space="preserve">Bandyopadhyay, K. (2022). </w:t>
      </w:r>
      <w:r w:rsidRPr="002720CF">
        <w:rPr>
          <w:rFonts w:ascii="Arial" w:eastAsia="Times New Roman" w:hAnsi="Arial" w:cs="Arial"/>
          <w:i/>
          <w:iCs/>
          <w:kern w:val="0"/>
          <w:sz w:val="24"/>
          <w:szCs w:val="24"/>
        </w:rPr>
        <w:t>COVID-19 and the Soccer World</w:t>
      </w:r>
      <w:r w:rsidRPr="002720CF">
        <w:rPr>
          <w:rFonts w:ascii="Arial" w:eastAsia="Times New Roman" w:hAnsi="Arial" w:cs="Arial"/>
          <w:kern w:val="0"/>
          <w:sz w:val="24"/>
          <w:szCs w:val="24"/>
        </w:rPr>
        <w:t>. Taylor &amp; Francis.</w:t>
      </w:r>
    </w:p>
    <w:p w14:paraId="3486C105"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CIPD. (2018). Labour market outlook: Spring 2018. Chartered Institute of Personnel and Development. </w:t>
      </w:r>
      <w:hyperlink r:id="rId7" w:tgtFrame="_new" w:history="1">
        <w:r w:rsidRPr="002720CF">
          <w:rPr>
            <w:rStyle w:val="Hyperlink"/>
            <w:rFonts w:ascii="Arial" w:hAnsi="Arial" w:cs="Arial"/>
            <w:sz w:val="24"/>
            <w:szCs w:val="24"/>
          </w:rPr>
          <w:t>https://www.cipd.co.uk/Images/labour-market-outlook-spring-2018_tcm18-41139.pdf</w:t>
        </w:r>
      </w:hyperlink>
    </w:p>
    <w:p w14:paraId="30A7AF17" w14:textId="77777777" w:rsidR="00092725" w:rsidRPr="002720CF" w:rsidRDefault="00092725" w:rsidP="002720CF">
      <w:pPr>
        <w:spacing w:after="240" w:line="360" w:lineRule="auto"/>
        <w:jc w:val="both"/>
        <w:rPr>
          <w:rFonts w:ascii="Arial" w:eastAsia="Times New Roman" w:hAnsi="Arial" w:cs="Arial"/>
          <w:kern w:val="0"/>
          <w:sz w:val="24"/>
          <w:szCs w:val="24"/>
        </w:rPr>
      </w:pPr>
      <w:proofErr w:type="spellStart"/>
      <w:r w:rsidRPr="002720CF">
        <w:rPr>
          <w:rFonts w:ascii="Arial" w:eastAsia="Times New Roman" w:hAnsi="Arial" w:cs="Arial"/>
          <w:kern w:val="0"/>
          <w:sz w:val="24"/>
          <w:szCs w:val="24"/>
        </w:rPr>
        <w:t>Decenzo</w:t>
      </w:r>
      <w:proofErr w:type="spellEnd"/>
      <w:r w:rsidRPr="002720CF">
        <w:rPr>
          <w:rFonts w:ascii="Arial" w:eastAsia="Times New Roman" w:hAnsi="Arial" w:cs="Arial"/>
          <w:kern w:val="0"/>
          <w:sz w:val="24"/>
          <w:szCs w:val="24"/>
        </w:rPr>
        <w:t xml:space="preserve">, D., Robbins, S. and Verhulst, S.L. (2016). </w:t>
      </w:r>
      <w:r w:rsidRPr="002720CF">
        <w:rPr>
          <w:rFonts w:ascii="Arial" w:eastAsia="Times New Roman" w:hAnsi="Arial" w:cs="Arial"/>
          <w:i/>
          <w:iCs/>
          <w:kern w:val="0"/>
          <w:sz w:val="24"/>
          <w:szCs w:val="24"/>
        </w:rPr>
        <w:t>Fundamentals of Human Resource Management</w:t>
      </w:r>
      <w:r w:rsidRPr="002720CF">
        <w:rPr>
          <w:rFonts w:ascii="Arial" w:eastAsia="Times New Roman" w:hAnsi="Arial" w:cs="Arial"/>
          <w:kern w:val="0"/>
          <w:sz w:val="24"/>
          <w:szCs w:val="24"/>
        </w:rPr>
        <w:t>. John Wiley &amp; Sons.</w:t>
      </w:r>
    </w:p>
    <w:p w14:paraId="2BF4C9C4"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DeFilippis, E., and Impink, S. M. (2020). How Companies and Employees Can Navigate the Impact of the Coronavirus Together. Harvard Business Review. </w:t>
      </w:r>
      <w:hyperlink r:id="rId8" w:tgtFrame="_new" w:history="1">
        <w:r w:rsidRPr="002720CF">
          <w:rPr>
            <w:rStyle w:val="Hyperlink"/>
            <w:rFonts w:ascii="Arial" w:hAnsi="Arial" w:cs="Arial"/>
            <w:sz w:val="24"/>
            <w:szCs w:val="24"/>
          </w:rPr>
          <w:t>https://hbr.org/2020/03/how-companies-and-employees-can-navigate-the-impact-of-the-coronavirus-together</w:t>
        </w:r>
      </w:hyperlink>
    </w:p>
    <w:p w14:paraId="68ED37D2" w14:textId="29E56110" w:rsidR="00092725" w:rsidRPr="002720CF" w:rsidRDefault="00092725" w:rsidP="002720CF">
      <w:pPr>
        <w:spacing w:after="240" w:line="360" w:lineRule="auto"/>
        <w:jc w:val="both"/>
        <w:rPr>
          <w:rFonts w:ascii="Arial" w:eastAsia="Times New Roman" w:hAnsi="Arial" w:cs="Arial"/>
          <w:kern w:val="0"/>
          <w:sz w:val="24"/>
          <w:szCs w:val="24"/>
        </w:rPr>
      </w:pPr>
      <w:r w:rsidRPr="002720CF">
        <w:rPr>
          <w:rFonts w:ascii="Arial" w:eastAsia="Times New Roman" w:hAnsi="Arial" w:cs="Arial"/>
          <w:kern w:val="0"/>
          <w:sz w:val="24"/>
          <w:szCs w:val="24"/>
        </w:rPr>
        <w:t xml:space="preserve">Finkelman, A. (2020). </w:t>
      </w:r>
      <w:r w:rsidRPr="002720CF">
        <w:rPr>
          <w:rFonts w:ascii="Arial" w:eastAsia="Times New Roman" w:hAnsi="Arial" w:cs="Arial"/>
          <w:i/>
          <w:iCs/>
          <w:kern w:val="0"/>
          <w:sz w:val="24"/>
          <w:szCs w:val="24"/>
        </w:rPr>
        <w:t xml:space="preserve">QUALITY </w:t>
      </w:r>
      <w:r w:rsidR="002720CF" w:rsidRPr="002720CF">
        <w:rPr>
          <w:rFonts w:ascii="Arial" w:eastAsia="Times New Roman" w:hAnsi="Arial" w:cs="Arial"/>
          <w:i/>
          <w:iCs/>
          <w:kern w:val="0"/>
          <w:sz w:val="24"/>
          <w:szCs w:val="24"/>
        </w:rPr>
        <w:t>IMPROVEMENT:</w:t>
      </w:r>
      <w:r w:rsidRPr="002720CF">
        <w:rPr>
          <w:rFonts w:ascii="Arial" w:eastAsia="Times New Roman" w:hAnsi="Arial" w:cs="Arial"/>
          <w:i/>
          <w:iCs/>
          <w:kern w:val="0"/>
          <w:sz w:val="24"/>
          <w:szCs w:val="24"/>
        </w:rPr>
        <w:t xml:space="preserve"> a guide for integration in nursing.</w:t>
      </w:r>
      <w:r w:rsidRPr="002720CF">
        <w:rPr>
          <w:rFonts w:ascii="Arial" w:eastAsia="Times New Roman" w:hAnsi="Arial" w:cs="Arial"/>
          <w:kern w:val="0"/>
          <w:sz w:val="24"/>
          <w:szCs w:val="24"/>
        </w:rPr>
        <w:t xml:space="preserve"> S.L.: Jones &amp; Bartlett Learning.</w:t>
      </w:r>
    </w:p>
    <w:p w14:paraId="6F836866"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Franke, G. R., and Richey, R. G. (2019). The New Marketing Myopia. Business Horizons, 62(2), 247-257.</w:t>
      </w:r>
    </w:p>
    <w:p w14:paraId="1F490D96" w14:textId="77777777" w:rsidR="00092725" w:rsidRPr="002720CF" w:rsidRDefault="00092725" w:rsidP="002720CF">
      <w:pPr>
        <w:spacing w:after="240" w:line="360" w:lineRule="auto"/>
        <w:jc w:val="both"/>
        <w:rPr>
          <w:rFonts w:ascii="Arial" w:eastAsia="Times New Roman" w:hAnsi="Arial" w:cs="Arial"/>
          <w:kern w:val="0"/>
          <w:sz w:val="24"/>
          <w:szCs w:val="24"/>
        </w:rPr>
      </w:pPr>
      <w:r w:rsidRPr="002720CF">
        <w:rPr>
          <w:rFonts w:ascii="Arial" w:eastAsia="Times New Roman" w:hAnsi="Arial" w:cs="Arial"/>
          <w:kern w:val="0"/>
          <w:sz w:val="24"/>
          <w:szCs w:val="24"/>
        </w:rPr>
        <w:t xml:space="preserve">Gerstein, M., Grandits, J., Printing, C. and Roaring Brook Press (2022). </w:t>
      </w:r>
      <w:r w:rsidRPr="002720CF">
        <w:rPr>
          <w:rFonts w:ascii="Arial" w:eastAsia="Times New Roman" w:hAnsi="Arial" w:cs="Arial"/>
          <w:i/>
          <w:iCs/>
          <w:kern w:val="0"/>
          <w:sz w:val="24"/>
          <w:szCs w:val="24"/>
        </w:rPr>
        <w:t>A book</w:t>
      </w:r>
      <w:r w:rsidRPr="002720CF">
        <w:rPr>
          <w:rFonts w:ascii="Arial" w:eastAsia="Times New Roman" w:hAnsi="Arial" w:cs="Arial"/>
          <w:kern w:val="0"/>
          <w:sz w:val="24"/>
          <w:szCs w:val="24"/>
        </w:rPr>
        <w:t>. New York: Roaring Brook.</w:t>
      </w:r>
    </w:p>
    <w:p w14:paraId="509B0922"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Grant, A. M., and Parker, S. K. (2019). 7 Design Principles for Building a High-Performance Organization. Harvard Business Review, 97(1), 92-101.</w:t>
      </w:r>
    </w:p>
    <w:p w14:paraId="66BA4ECA"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Hilton Hotels. (2023). About Us. Hilton Hotels. </w:t>
      </w:r>
      <w:hyperlink r:id="rId9" w:history="1">
        <w:r w:rsidRPr="002720CF">
          <w:rPr>
            <w:rStyle w:val="Hyperlink"/>
            <w:rFonts w:ascii="Arial" w:hAnsi="Arial" w:cs="Arial"/>
            <w:sz w:val="24"/>
            <w:szCs w:val="24"/>
          </w:rPr>
          <w:t>https://www.hilton.com/about-us</w:t>
        </w:r>
      </w:hyperlink>
    </w:p>
    <w:p w14:paraId="146D9BBD"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Huang, J. S., and Chen, C. Y. (2019). The Relationships among Leadership Styles, Organizational Commitment, and Employee Retention in the Hotel Industry. Journal of Human Resources in Hospitality and Tourism, 18(2), 155-180.</w:t>
      </w:r>
    </w:p>
    <w:p w14:paraId="4BFC5AE8"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lastRenderedPageBreak/>
        <w:t>Kaur, A., and Sharma, M. (2018). Employee Retention: A Review of Literature. Global Journal for Research Analysis, 7(2), 263-264.</w:t>
      </w:r>
    </w:p>
    <w:p w14:paraId="2B38476E"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Kramar, R. (2017). Beyond Brexit: A HR perspective on the future of work. Asia Pacific Journal of Human Resources, 55(2), 130-139.</w:t>
      </w:r>
    </w:p>
    <w:p w14:paraId="291915F0"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Mishra, S., and Sall, J. (2020). COVID-19 and Worker Displacement: The Impact of State </w:t>
      </w:r>
      <w:proofErr w:type="spellStart"/>
      <w:r w:rsidRPr="002720CF">
        <w:rPr>
          <w:rFonts w:ascii="Arial" w:hAnsi="Arial" w:cs="Arial"/>
          <w:sz w:val="24"/>
          <w:szCs w:val="24"/>
        </w:rPr>
        <w:t>Reopenings</w:t>
      </w:r>
      <w:proofErr w:type="spellEnd"/>
      <w:r w:rsidRPr="002720CF">
        <w:rPr>
          <w:rFonts w:ascii="Arial" w:hAnsi="Arial" w:cs="Arial"/>
          <w:sz w:val="24"/>
          <w:szCs w:val="24"/>
        </w:rPr>
        <w:t xml:space="preserve">. IZA Discussion Paper No. 13599. </w:t>
      </w:r>
      <w:hyperlink r:id="rId10" w:tgtFrame="_new" w:history="1">
        <w:r w:rsidRPr="002720CF">
          <w:rPr>
            <w:rStyle w:val="Hyperlink"/>
            <w:rFonts w:ascii="Arial" w:hAnsi="Arial" w:cs="Arial"/>
            <w:sz w:val="24"/>
            <w:szCs w:val="24"/>
          </w:rPr>
          <w:t>https://ssrn.com/abstract=3618415</w:t>
        </w:r>
      </w:hyperlink>
    </w:p>
    <w:p w14:paraId="426B5CE6" w14:textId="77777777" w:rsidR="00092725" w:rsidRPr="002720CF" w:rsidRDefault="00092725" w:rsidP="002720CF">
      <w:pPr>
        <w:spacing w:before="120" w:after="120" w:line="360" w:lineRule="auto"/>
        <w:jc w:val="both"/>
        <w:rPr>
          <w:rFonts w:ascii="Arial" w:hAnsi="Arial" w:cs="Arial"/>
          <w:sz w:val="24"/>
          <w:szCs w:val="24"/>
        </w:rPr>
      </w:pPr>
      <w:r w:rsidRPr="002720CF">
        <w:rPr>
          <w:rFonts w:ascii="Arial" w:hAnsi="Arial" w:cs="Arial"/>
          <w:sz w:val="24"/>
          <w:szCs w:val="24"/>
        </w:rPr>
        <w:t xml:space="preserve">PwC. (2017). Millennials at work: Reshaping the workplace. PricewaterhouseCoopers. </w:t>
      </w:r>
      <w:hyperlink r:id="rId11" w:tgtFrame="_new" w:history="1">
        <w:r w:rsidRPr="002720CF">
          <w:rPr>
            <w:rStyle w:val="Hyperlink"/>
            <w:rFonts w:ascii="Arial" w:hAnsi="Arial" w:cs="Arial"/>
            <w:sz w:val="24"/>
            <w:szCs w:val="24"/>
          </w:rPr>
          <w:t>https://www.pwc.com/gx/en/services/people-organisation/publications/assets/pwc-nextgen.pdf</w:t>
        </w:r>
      </w:hyperlink>
    </w:p>
    <w:p w14:paraId="2BD7ACB0" w14:textId="77777777" w:rsidR="00092725" w:rsidRPr="002720CF" w:rsidRDefault="00092725" w:rsidP="002720CF">
      <w:pPr>
        <w:spacing w:after="240" w:line="360" w:lineRule="auto"/>
        <w:jc w:val="both"/>
        <w:rPr>
          <w:rFonts w:ascii="Arial" w:eastAsia="Times New Roman" w:hAnsi="Arial" w:cs="Arial"/>
          <w:kern w:val="0"/>
          <w:sz w:val="24"/>
          <w:szCs w:val="24"/>
        </w:rPr>
      </w:pPr>
      <w:r w:rsidRPr="002720CF">
        <w:rPr>
          <w:rFonts w:ascii="Arial" w:eastAsia="Times New Roman" w:hAnsi="Arial" w:cs="Arial"/>
          <w:kern w:val="0"/>
          <w:sz w:val="24"/>
          <w:szCs w:val="24"/>
        </w:rPr>
        <w:t xml:space="preserve">Samaras, C. and Willis, H.H. (2013). </w:t>
      </w:r>
      <w:r w:rsidRPr="002720CF">
        <w:rPr>
          <w:rFonts w:ascii="Arial" w:eastAsia="Times New Roman" w:hAnsi="Arial" w:cs="Arial"/>
          <w:i/>
          <w:iCs/>
          <w:kern w:val="0"/>
          <w:sz w:val="24"/>
          <w:szCs w:val="24"/>
        </w:rPr>
        <w:t xml:space="preserve">Capabilities-Based Planning for Energy Security at Department of </w:t>
      </w:r>
      <w:proofErr w:type="spellStart"/>
      <w:r w:rsidRPr="002720CF">
        <w:rPr>
          <w:rFonts w:ascii="Arial" w:eastAsia="Times New Roman" w:hAnsi="Arial" w:cs="Arial"/>
          <w:i/>
          <w:iCs/>
          <w:kern w:val="0"/>
          <w:sz w:val="24"/>
          <w:szCs w:val="24"/>
        </w:rPr>
        <w:t>Defense</w:t>
      </w:r>
      <w:proofErr w:type="spellEnd"/>
      <w:r w:rsidRPr="002720CF">
        <w:rPr>
          <w:rFonts w:ascii="Arial" w:eastAsia="Times New Roman" w:hAnsi="Arial" w:cs="Arial"/>
          <w:i/>
          <w:iCs/>
          <w:kern w:val="0"/>
          <w:sz w:val="24"/>
          <w:szCs w:val="24"/>
        </w:rPr>
        <w:t xml:space="preserve"> Installations</w:t>
      </w:r>
      <w:r w:rsidRPr="002720CF">
        <w:rPr>
          <w:rFonts w:ascii="Arial" w:eastAsia="Times New Roman" w:hAnsi="Arial" w:cs="Arial"/>
          <w:kern w:val="0"/>
          <w:sz w:val="24"/>
          <w:szCs w:val="24"/>
        </w:rPr>
        <w:t>. Rand Corporation.</w:t>
      </w:r>
    </w:p>
    <w:p w14:paraId="0C089A35" w14:textId="77777777" w:rsidR="00092725" w:rsidRPr="002720CF" w:rsidRDefault="00092725" w:rsidP="002720CF">
      <w:pPr>
        <w:spacing w:after="240" w:line="360" w:lineRule="auto"/>
        <w:jc w:val="both"/>
        <w:rPr>
          <w:rFonts w:ascii="Arial" w:eastAsia="Times New Roman" w:hAnsi="Arial" w:cs="Arial"/>
          <w:kern w:val="0"/>
          <w:sz w:val="24"/>
          <w:szCs w:val="24"/>
        </w:rPr>
      </w:pPr>
      <w:r w:rsidRPr="002720CF">
        <w:rPr>
          <w:rFonts w:ascii="Arial" w:eastAsia="Times New Roman" w:hAnsi="Arial" w:cs="Arial"/>
          <w:kern w:val="0"/>
          <w:sz w:val="24"/>
          <w:szCs w:val="24"/>
        </w:rPr>
        <w:t xml:space="preserve">Snezana Živkovic, Bojan Krstić and </w:t>
      </w:r>
      <w:proofErr w:type="spellStart"/>
      <w:r w:rsidRPr="002720CF">
        <w:rPr>
          <w:rFonts w:ascii="Arial" w:eastAsia="Times New Roman" w:hAnsi="Arial" w:cs="Arial"/>
          <w:kern w:val="0"/>
          <w:sz w:val="24"/>
          <w:szCs w:val="24"/>
        </w:rPr>
        <w:t>Radenovic</w:t>
      </w:r>
      <w:proofErr w:type="spellEnd"/>
      <w:r w:rsidRPr="002720CF">
        <w:rPr>
          <w:rFonts w:ascii="Arial" w:eastAsia="Times New Roman" w:hAnsi="Arial" w:cs="Arial"/>
          <w:kern w:val="0"/>
          <w:sz w:val="24"/>
          <w:szCs w:val="24"/>
        </w:rPr>
        <w:t xml:space="preserve">, T. (2021). </w:t>
      </w:r>
      <w:r w:rsidRPr="002720CF">
        <w:rPr>
          <w:rFonts w:ascii="Arial" w:eastAsia="Times New Roman" w:hAnsi="Arial" w:cs="Arial"/>
          <w:i/>
          <w:iCs/>
          <w:kern w:val="0"/>
          <w:sz w:val="24"/>
          <w:szCs w:val="24"/>
        </w:rPr>
        <w:t>Key dimensions of occupational safety and health protection management</w:t>
      </w:r>
      <w:r w:rsidRPr="002720CF">
        <w:rPr>
          <w:rFonts w:ascii="Arial" w:eastAsia="Times New Roman" w:hAnsi="Arial" w:cs="Arial"/>
          <w:kern w:val="0"/>
          <w:sz w:val="24"/>
          <w:szCs w:val="24"/>
        </w:rPr>
        <w:t>. Hershey, Pa: Business Science Reference.</w:t>
      </w:r>
    </w:p>
    <w:p w14:paraId="4110948F" w14:textId="45AE4512" w:rsidR="00092725" w:rsidRPr="002720CF" w:rsidRDefault="00092725" w:rsidP="002720CF">
      <w:pPr>
        <w:spacing w:before="120" w:after="120" w:line="360" w:lineRule="auto"/>
        <w:jc w:val="both"/>
        <w:rPr>
          <w:rFonts w:ascii="Arial" w:hAnsi="Arial" w:cs="Arial"/>
          <w:sz w:val="24"/>
          <w:szCs w:val="24"/>
        </w:rPr>
      </w:pPr>
      <w:proofErr w:type="spellStart"/>
      <w:r w:rsidRPr="002720CF">
        <w:rPr>
          <w:rFonts w:ascii="Arial" w:hAnsi="Arial" w:cs="Arial"/>
          <w:sz w:val="24"/>
          <w:szCs w:val="24"/>
        </w:rPr>
        <w:t>Upathambhakul</w:t>
      </w:r>
      <w:proofErr w:type="spellEnd"/>
      <w:r w:rsidRPr="002720CF">
        <w:rPr>
          <w:rFonts w:ascii="Arial" w:hAnsi="Arial" w:cs="Arial"/>
          <w:sz w:val="24"/>
          <w:szCs w:val="24"/>
        </w:rPr>
        <w:t xml:space="preserve">, K., and </w:t>
      </w:r>
      <w:proofErr w:type="spellStart"/>
      <w:r w:rsidRPr="002720CF">
        <w:rPr>
          <w:rFonts w:ascii="Arial" w:hAnsi="Arial" w:cs="Arial"/>
          <w:sz w:val="24"/>
          <w:szCs w:val="24"/>
        </w:rPr>
        <w:t>Saithanoo</w:t>
      </w:r>
      <w:proofErr w:type="spellEnd"/>
      <w:r w:rsidRPr="002720CF">
        <w:rPr>
          <w:rFonts w:ascii="Arial" w:hAnsi="Arial" w:cs="Arial"/>
          <w:sz w:val="24"/>
          <w:szCs w:val="24"/>
        </w:rPr>
        <w:t xml:space="preserve">, S. (2016). Effects of Employee Engagement, Organizational Support, and Job Characteristics on Job Performance. Procedia-Social and </w:t>
      </w:r>
      <w:r w:rsidR="002720CF" w:rsidRPr="002720CF">
        <w:rPr>
          <w:rFonts w:ascii="Arial" w:hAnsi="Arial" w:cs="Arial"/>
          <w:sz w:val="24"/>
          <w:szCs w:val="24"/>
        </w:rPr>
        <w:t>Behavioural</w:t>
      </w:r>
      <w:r w:rsidRPr="002720CF">
        <w:rPr>
          <w:rFonts w:ascii="Arial" w:hAnsi="Arial" w:cs="Arial"/>
          <w:sz w:val="24"/>
          <w:szCs w:val="24"/>
        </w:rPr>
        <w:t xml:space="preserve"> Sciences, 229, 289-297.</w:t>
      </w:r>
    </w:p>
    <w:p w14:paraId="341FF95B" w14:textId="77777777" w:rsidR="00092725" w:rsidRPr="002720CF" w:rsidRDefault="00092725" w:rsidP="002720CF">
      <w:pPr>
        <w:spacing w:before="120" w:after="120" w:line="360" w:lineRule="auto"/>
        <w:jc w:val="both"/>
        <w:rPr>
          <w:rFonts w:ascii="Arial" w:hAnsi="Arial" w:cs="Arial"/>
          <w:sz w:val="24"/>
          <w:szCs w:val="24"/>
        </w:rPr>
      </w:pPr>
    </w:p>
    <w:p w14:paraId="49ADF5DE" w14:textId="77777777" w:rsidR="00092725" w:rsidRPr="002720CF" w:rsidRDefault="00092725" w:rsidP="002720CF">
      <w:pPr>
        <w:spacing w:before="120" w:after="120" w:line="360" w:lineRule="auto"/>
        <w:jc w:val="both"/>
        <w:rPr>
          <w:rFonts w:ascii="Arial" w:hAnsi="Arial" w:cs="Arial"/>
          <w:sz w:val="24"/>
          <w:szCs w:val="24"/>
        </w:rPr>
      </w:pPr>
    </w:p>
    <w:p w14:paraId="6221C573" w14:textId="77777777" w:rsidR="00092725" w:rsidRPr="002720CF" w:rsidRDefault="00092725" w:rsidP="002720CF">
      <w:pPr>
        <w:spacing w:line="360" w:lineRule="auto"/>
        <w:jc w:val="both"/>
        <w:rPr>
          <w:rFonts w:ascii="Arial" w:hAnsi="Arial" w:cs="Arial"/>
          <w:sz w:val="24"/>
          <w:szCs w:val="24"/>
        </w:rPr>
      </w:pPr>
    </w:p>
    <w:sectPr w:rsidR="00092725" w:rsidRPr="002720CF" w:rsidSect="00092725">
      <w:footerReference w:type="default" r:id="rId12"/>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E7998" w14:textId="77777777" w:rsidR="00575B74" w:rsidRDefault="00575B74" w:rsidP="00092725">
      <w:pPr>
        <w:spacing w:after="0" w:line="240" w:lineRule="auto"/>
      </w:pPr>
      <w:r>
        <w:separator/>
      </w:r>
    </w:p>
  </w:endnote>
  <w:endnote w:type="continuationSeparator" w:id="0">
    <w:p w14:paraId="6251B596" w14:textId="77777777" w:rsidR="00575B74" w:rsidRDefault="00575B74" w:rsidP="0009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101768"/>
      <w:docPartObj>
        <w:docPartGallery w:val="Page Numbers (Bottom of Page)"/>
        <w:docPartUnique/>
      </w:docPartObj>
    </w:sdtPr>
    <w:sdtEndPr>
      <w:rPr>
        <w:noProof/>
      </w:rPr>
    </w:sdtEndPr>
    <w:sdtContent>
      <w:p w14:paraId="4965850C" w14:textId="6AA0B4D1" w:rsidR="00092725" w:rsidRDefault="000927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2A7B0" w14:textId="77777777" w:rsidR="00092725" w:rsidRDefault="00092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5A611" w14:textId="77777777" w:rsidR="00575B74" w:rsidRDefault="00575B74" w:rsidP="00092725">
      <w:pPr>
        <w:spacing w:after="0" w:line="240" w:lineRule="auto"/>
      </w:pPr>
      <w:r>
        <w:separator/>
      </w:r>
    </w:p>
  </w:footnote>
  <w:footnote w:type="continuationSeparator" w:id="0">
    <w:p w14:paraId="35109301" w14:textId="77777777" w:rsidR="00575B74" w:rsidRDefault="00575B74" w:rsidP="000927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8DC"/>
    <w:rsid w:val="00092725"/>
    <w:rsid w:val="000C5BFC"/>
    <w:rsid w:val="002720CF"/>
    <w:rsid w:val="003A2E1C"/>
    <w:rsid w:val="003F0D83"/>
    <w:rsid w:val="00575B74"/>
    <w:rsid w:val="00817380"/>
    <w:rsid w:val="00920B36"/>
    <w:rsid w:val="00AD38DC"/>
    <w:rsid w:val="00CF6B5E"/>
    <w:rsid w:val="00D74AB3"/>
    <w:rsid w:val="00F8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64B61"/>
  <w15:chartTrackingRefBased/>
  <w15:docId w15:val="{7071BC9E-6DF4-4340-B6A2-8AE075E43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725"/>
  </w:style>
  <w:style w:type="paragraph" w:styleId="Heading1">
    <w:name w:val="heading 1"/>
    <w:basedOn w:val="Normal"/>
    <w:next w:val="Normal"/>
    <w:link w:val="Heading1Char"/>
    <w:uiPriority w:val="9"/>
    <w:qFormat/>
    <w:rsid w:val="00092725"/>
    <w:pPr>
      <w:keepNext/>
      <w:keepLines/>
      <w:spacing w:before="240" w:after="0" w:line="360" w:lineRule="auto"/>
      <w:jc w:val="both"/>
      <w:outlineLvl w:val="0"/>
    </w:pPr>
    <w:rPr>
      <w:rFonts w:ascii="Times New Roman" w:eastAsia="SimSun" w:hAnsi="Times New Roman" w:cs="Vrinda"/>
      <w:b/>
      <w:color w:val="2F5496"/>
      <w:sz w:val="32"/>
      <w:szCs w:val="40"/>
      <w:lang w:val="en-US" w:bidi="bn-BD"/>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725"/>
    <w:rPr>
      <w:rFonts w:ascii="Times New Roman" w:eastAsia="SimSun" w:hAnsi="Times New Roman" w:cs="Vrinda"/>
      <w:b/>
      <w:color w:val="2F5496"/>
      <w:sz w:val="32"/>
      <w:szCs w:val="40"/>
      <w:lang w:val="en-US" w:bidi="bn-BD"/>
      <w14:ligatures w14:val="none"/>
    </w:rPr>
  </w:style>
  <w:style w:type="paragraph" w:styleId="TOCHeading">
    <w:name w:val="TOC Heading"/>
    <w:basedOn w:val="Heading1"/>
    <w:next w:val="Normal"/>
    <w:uiPriority w:val="39"/>
    <w:qFormat/>
    <w:rsid w:val="00092725"/>
    <w:pPr>
      <w:spacing w:line="259" w:lineRule="auto"/>
      <w:jc w:val="left"/>
      <w:outlineLvl w:val="9"/>
    </w:pPr>
    <w:rPr>
      <w:rFonts w:ascii="Calibri Light" w:hAnsi="Calibri Light"/>
      <w:b w:val="0"/>
      <w:kern w:val="0"/>
      <w:szCs w:val="32"/>
      <w:lang w:bidi="ar-SA"/>
    </w:rPr>
  </w:style>
  <w:style w:type="paragraph" w:styleId="TOC1">
    <w:name w:val="toc 1"/>
    <w:basedOn w:val="Normal"/>
    <w:next w:val="Normal"/>
    <w:uiPriority w:val="39"/>
    <w:qFormat/>
    <w:rsid w:val="00092725"/>
    <w:pPr>
      <w:spacing w:after="100" w:line="360" w:lineRule="auto"/>
      <w:jc w:val="both"/>
    </w:pPr>
    <w:rPr>
      <w:rFonts w:ascii="Times New Roman" w:eastAsia="Calibri" w:hAnsi="Times New Roman" w:cs="Vrinda"/>
      <w:sz w:val="24"/>
      <w:szCs w:val="28"/>
      <w:lang w:val="en-US" w:bidi="bn-BD"/>
      <w14:ligatures w14:val="none"/>
    </w:rPr>
  </w:style>
  <w:style w:type="character" w:styleId="Hyperlink">
    <w:name w:val="Hyperlink"/>
    <w:basedOn w:val="DefaultParagraphFont"/>
    <w:uiPriority w:val="99"/>
    <w:rsid w:val="00092725"/>
    <w:rPr>
      <w:color w:val="0563C1"/>
      <w:u w:val="single"/>
    </w:rPr>
  </w:style>
  <w:style w:type="paragraph" w:styleId="Header">
    <w:name w:val="header"/>
    <w:basedOn w:val="Normal"/>
    <w:link w:val="HeaderChar"/>
    <w:uiPriority w:val="99"/>
    <w:unhideWhenUsed/>
    <w:rsid w:val="0009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725"/>
  </w:style>
  <w:style w:type="paragraph" w:styleId="Footer">
    <w:name w:val="footer"/>
    <w:basedOn w:val="Normal"/>
    <w:link w:val="FooterChar"/>
    <w:uiPriority w:val="99"/>
    <w:unhideWhenUsed/>
    <w:rsid w:val="0009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3/how-companies-and-employees-can-navigate-the-impact-of-the-coronavirus-togeth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ipd.co.uk/Images/labour-market-outlook-spring-2018_tcm18-41139.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pwc.com/gx/en/services/people-organisation/publications/assets/pwc-nextgen.pdf" TargetMode="External"/><Relationship Id="rId5" Type="http://schemas.openxmlformats.org/officeDocument/2006/relationships/endnotes" Target="endnotes.xml"/><Relationship Id="rId10" Type="http://schemas.openxmlformats.org/officeDocument/2006/relationships/hyperlink" Target="https://ssrn.com/abstract=3618415" TargetMode="External"/><Relationship Id="rId4" Type="http://schemas.openxmlformats.org/officeDocument/2006/relationships/footnotes" Target="footnotes.xml"/><Relationship Id="rId9" Type="http://schemas.openxmlformats.org/officeDocument/2006/relationships/hyperlink" Target="https://www.hilton.com/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1711</TotalTime>
  <Pages>12</Pages>
  <Words>3045</Words>
  <Characters>17358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Bathen</dc:creator>
  <cp:keywords/>
  <dc:description/>
  <cp:lastModifiedBy>Mohammed Bathen</cp:lastModifiedBy>
  <cp:revision>5</cp:revision>
  <dcterms:created xsi:type="dcterms:W3CDTF">2023-10-19T11:21:00Z</dcterms:created>
  <dcterms:modified xsi:type="dcterms:W3CDTF">2023-11-11T22:22:00Z</dcterms:modified>
</cp:coreProperties>
</file>