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intelligence2.xml" ContentType="application/vnd.ms-office.intelligence2+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14="http://schemas.microsoft.com/office/word/2010/wordml" xmlns:wp14="http://schemas.microsoft.com/office/word/2010/wordprocessingDrawing" xmlns:w="http://schemas.openxmlformats.org/wordprocessingml/2006/main" xmlns:r="http://schemas.openxmlformats.org/officeDocument/2006/relationships" xmlns:mc="http://schemas.openxmlformats.org/markup-compatibility/2006" mc:Ignorable="w14 wp14">
  <w:body>
    <w:p w:rsidR="18DFF66E" w:rsidP="18DFF66E" w:rsidRDefault="18DFF66E" w14:paraId="657950D2" w14:textId="5A59F647">
      <w:pPr>
        <w:spacing w:before="0" w:beforeAutospacing="off" w:after="0" w:afterAutospacing="off" w:line="240" w:lineRule="auto"/>
        <w:ind w:firstLine="0"/>
        <w:jc w:val="center"/>
        <w:rPr>
          <w:rFonts w:ascii="Arial" w:hAnsi="Arial" w:eastAsia="Arial" w:cs="Arial"/>
          <w:b w:val="1"/>
          <w:bCs w:val="1"/>
          <w:color w:val="000000"/>
          <w:sz w:val="44"/>
          <w:szCs w:val="44"/>
          <w:lang w:val="en-US"/>
        </w:rPr>
      </w:pPr>
    </w:p>
    <w:p w:rsidR="18DFF66E" w:rsidP="18DFF66E" w:rsidRDefault="18DFF66E" w14:paraId="4CBD9634" w14:textId="69E4D62E">
      <w:pPr>
        <w:spacing w:before="0" w:beforeAutospacing="off" w:after="0" w:afterAutospacing="off" w:line="240" w:lineRule="auto"/>
        <w:ind w:firstLine="0"/>
        <w:jc w:val="center"/>
        <w:rPr>
          <w:rFonts w:ascii="Arial" w:hAnsi="Arial" w:eastAsia="Arial" w:cs="Arial"/>
          <w:b w:val="1"/>
          <w:bCs w:val="1"/>
          <w:color w:val="000000"/>
          <w:sz w:val="44"/>
          <w:szCs w:val="44"/>
          <w:lang w:val="en-US"/>
        </w:rPr>
      </w:pPr>
    </w:p>
    <w:p w:rsidR="65F86939" w:rsidP="18DFF66E" w:rsidRDefault="65F86939" w14:paraId="42D12D3E" w14:textId="583728B9">
      <w:pPr>
        <w:spacing w:before="0" w:beforeAutospacing="off" w:after="0" w:afterAutospacing="off" w:line="240" w:lineRule="auto"/>
        <w:ind w:firstLine="0"/>
        <w:jc w:val="center"/>
        <w:rPr>
          <w:rFonts w:ascii="Arial" w:hAnsi="Arial" w:eastAsia="Arial" w:cs="Arial"/>
          <w:b w:val="1"/>
          <w:bCs w:val="1"/>
          <w:color w:val="000000"/>
          <w:sz w:val="48"/>
          <w:szCs w:val="48"/>
          <w:lang w:val="en-US"/>
        </w:rPr>
      </w:pPr>
      <w:r w:rsidRPr="18DFF66E" w:rsidR="65F86939">
        <w:rPr>
          <w:rFonts w:ascii="Arial" w:hAnsi="Arial" w:eastAsia="Arial" w:cs="Arial"/>
          <w:b w:val="1"/>
          <w:bCs w:val="1"/>
          <w:color w:val="000000"/>
          <w:sz w:val="44"/>
          <w:szCs w:val="44"/>
          <w:lang w:val="en-US"/>
        </w:rPr>
        <w:t xml:space="preserve">LCLM 5005 </w:t>
      </w:r>
    </w:p>
    <w:p w:rsidR="65F86939" w:rsidP="18DFF66E" w:rsidRDefault="65F86939" w14:paraId="6C24A45E" w14:textId="15207450">
      <w:pPr>
        <w:spacing w:before="0" w:beforeAutospacing="off" w:after="0" w:afterAutospacing="off" w:line="240" w:lineRule="auto"/>
        <w:ind w:firstLine="0"/>
        <w:jc w:val="center"/>
        <w:rPr>
          <w:rFonts w:ascii="Arial" w:hAnsi="Arial" w:eastAsia="Arial" w:cs="Arial"/>
          <w:b w:val="1"/>
          <w:bCs w:val="1"/>
          <w:color w:val="000000"/>
          <w:sz w:val="44"/>
          <w:szCs w:val="44"/>
          <w:lang w:val="en-US"/>
        </w:rPr>
      </w:pPr>
      <w:r w:rsidRPr="18DFF66E" w:rsidR="65F86939">
        <w:rPr>
          <w:rFonts w:ascii="Arial" w:hAnsi="Arial" w:eastAsia="Arial" w:cs="Arial"/>
          <w:b w:val="1"/>
          <w:bCs w:val="1"/>
          <w:color w:val="000000"/>
          <w:sz w:val="44"/>
          <w:szCs w:val="44"/>
          <w:lang w:val="en-US"/>
        </w:rPr>
        <w:t>Organizational Culture</w:t>
      </w:r>
    </w:p>
    <w:p w:rsidR="18DFF66E" w:rsidP="18DFF66E" w:rsidRDefault="18DFF66E" w14:paraId="4A0E5693" w14:textId="2BA842E1">
      <w:pPr>
        <w:spacing w:before="0" w:beforeAutospacing="off" w:after="0" w:afterAutospacing="off" w:line="240" w:lineRule="auto"/>
        <w:ind w:firstLine="0"/>
        <w:jc w:val="center"/>
        <w:rPr>
          <w:rFonts w:ascii="Arial" w:hAnsi="Arial" w:eastAsia="Arial" w:cs="Arial"/>
          <w:b w:val="1"/>
          <w:bCs w:val="1"/>
          <w:color w:val="000000"/>
          <w:sz w:val="44"/>
          <w:szCs w:val="44"/>
          <w:lang w:val="en-US"/>
        </w:rPr>
      </w:pPr>
    </w:p>
    <w:p w:rsidR="18DFF66E" w:rsidP="18DFF66E" w:rsidRDefault="18DFF66E" w14:paraId="5BDBA66B" w14:textId="5EBB86E7">
      <w:pPr>
        <w:spacing w:before="0" w:beforeAutospacing="off" w:after="0" w:afterAutospacing="off" w:line="240" w:lineRule="auto"/>
        <w:ind w:firstLine="0"/>
        <w:jc w:val="center"/>
        <w:rPr>
          <w:rFonts w:ascii="Arial" w:hAnsi="Arial" w:eastAsia="Arial" w:cs="Arial"/>
          <w:b w:val="1"/>
          <w:bCs w:val="1"/>
          <w:color w:val="000000"/>
          <w:sz w:val="44"/>
          <w:szCs w:val="44"/>
          <w:lang w:val="en-US"/>
        </w:rPr>
      </w:pPr>
    </w:p>
    <w:p w:rsidR="18DFF66E" w:rsidP="18DFF66E" w:rsidRDefault="18DFF66E" w14:paraId="4214A4A4" w14:textId="78972F34">
      <w:pPr>
        <w:spacing w:before="0" w:beforeAutospacing="off" w:after="0" w:afterAutospacing="off" w:line="240" w:lineRule="auto"/>
        <w:ind w:firstLine="0"/>
        <w:jc w:val="center"/>
        <w:rPr>
          <w:rFonts w:ascii="Arial" w:hAnsi="Arial" w:eastAsia="Arial" w:cs="Arial"/>
          <w:b w:val="1"/>
          <w:bCs w:val="1"/>
          <w:color w:val="000000"/>
          <w:sz w:val="44"/>
          <w:szCs w:val="44"/>
          <w:lang w:val="en-US"/>
        </w:rPr>
      </w:pPr>
    </w:p>
    <w:p xmlns:wp14="http://schemas.microsoft.com/office/word/2010/wordml" w:rsidP="18DFF66E" w14:paraId="62E7B158" wp14:textId="681FDA7B">
      <w:pPr>
        <w:spacing w:before="0" w:beforeAutospacing="off" w:after="0" w:afterAutospacing="off" w:line="240" w:lineRule="auto"/>
        <w:ind w:start="0" w:firstLine="0"/>
        <w:jc w:val="center"/>
      </w:pPr>
      <w:r w:rsidRPr="18DFF66E" w:rsidR="512C8EC4">
        <w:rPr>
          <w:rFonts w:ascii="Arial" w:hAnsi="Arial" w:eastAsia="Arial" w:cs="Arial"/>
          <w:b w:val="1"/>
          <w:bCs w:val="1"/>
          <w:color w:val="000000"/>
          <w:sz w:val="52"/>
          <w:szCs w:val="52"/>
          <w:lang w:val="en-US"/>
        </w:rPr>
        <w:t>Organizational Culture Analysis Report</w:t>
      </w:r>
      <w:r w:rsidRPr="18DFF66E" w:rsidR="1CE5C684">
        <w:rPr>
          <w:rFonts w:ascii="Arial" w:hAnsi="Arial" w:eastAsia="Arial" w:cs="Arial"/>
          <w:b w:val="1"/>
          <w:bCs w:val="1"/>
          <w:color w:val="000000"/>
          <w:sz w:val="52"/>
          <w:szCs w:val="52"/>
          <w:lang w:val="en-US"/>
        </w:rPr>
        <w:t xml:space="preserve"> on </w:t>
      </w:r>
    </w:p>
    <w:p xmlns:wp14="http://schemas.microsoft.com/office/word/2010/wordml" w:rsidP="18DFF66E" w14:paraId="75CE7E32" wp14:textId="052DBB04">
      <w:pPr>
        <w:spacing w:before="0" w:beforeAutospacing="off" w:after="0" w:afterAutospacing="off" w:line="240" w:lineRule="auto"/>
        <w:ind w:start="0" w:firstLine="0"/>
        <w:jc w:val="center"/>
        <w:rPr>
          <w:rFonts w:ascii="Arial" w:hAnsi="Arial" w:eastAsia="Arial" w:cs="Arial"/>
          <w:b w:val="1"/>
          <w:bCs w:val="1"/>
          <w:color w:val="000000"/>
          <w:sz w:val="52"/>
          <w:szCs w:val="52"/>
          <w:lang w:val="en-US"/>
        </w:rPr>
      </w:pPr>
    </w:p>
    <w:p xmlns:wp14="http://schemas.microsoft.com/office/word/2010/wordml" w:rsidP="18DFF66E" w14:paraId="5AB5CA8A" wp14:textId="0ADA5115">
      <w:pPr>
        <w:spacing w:before="0" w:beforeAutospacing="off" w:after="0" w:afterAutospacing="off" w:line="240" w:lineRule="auto"/>
        <w:ind w:start="0" w:firstLine="0"/>
        <w:jc w:val="center"/>
      </w:pPr>
      <w:r w:rsidRPr="18DFF66E" w:rsidR="512C8EC4">
        <w:rPr>
          <w:rFonts w:ascii="Arial" w:hAnsi="Arial" w:eastAsia="Arial" w:cs="Arial"/>
          <w:b w:val="1"/>
          <w:bCs w:val="1"/>
          <w:color w:val="000000"/>
          <w:sz w:val="64"/>
          <w:szCs w:val="64"/>
          <w:lang w:val="en-US"/>
        </w:rPr>
        <w:t xml:space="preserve">Toyota Motor Corporation </w:t>
      </w:r>
    </w:p>
    <w:p w:rsidR="18DFF66E" w:rsidP="18DFF66E" w:rsidRDefault="18DFF66E" w14:paraId="6128FD6F" w14:textId="25894C2C">
      <w:pPr>
        <w:spacing w:before="0" w:beforeAutospacing="off" w:after="0" w:afterAutospacing="off" w:line="240" w:lineRule="auto"/>
        <w:ind w:firstLine="0"/>
        <w:jc w:val="center"/>
        <w:rPr>
          <w:rFonts w:ascii="Arial" w:hAnsi="Arial" w:eastAsia="Arial" w:cs="Arial"/>
          <w:b w:val="1"/>
          <w:bCs w:val="1"/>
          <w:color w:val="000000"/>
          <w:sz w:val="64"/>
          <w:szCs w:val="64"/>
          <w:lang w:val="en-US"/>
        </w:rPr>
      </w:pPr>
    </w:p>
    <w:p xmlns:wp14="http://schemas.microsoft.com/office/word/2010/wordml" w:rsidP="18DFF66E" w14:paraId="15FC18F6" wp14:textId="68582771">
      <w:pPr>
        <w:spacing w:before="120" w:after="120" w:line="336" w:lineRule="auto"/>
        <w:ind w:start="0" w:firstLine="0"/>
        <w:jc w:val="start"/>
        <w:rPr>
          <w:rFonts w:ascii="Arial" w:hAnsi="Arial" w:eastAsia="Arial" w:cs="Arial"/>
          <w:b w:val="1"/>
          <w:bCs w:val="1"/>
          <w:color w:val="000000"/>
          <w:sz w:val="32"/>
          <w:szCs w:val="32"/>
        </w:rPr>
      </w:pPr>
      <w:r w:rsidRPr="18DFF66E" w:rsidR="18DFF66E">
        <w:rPr>
          <w:rFonts w:ascii="Arial" w:hAnsi="Arial" w:eastAsia="Arial" w:cs="Arial"/>
          <w:b w:val="1"/>
          <w:bCs w:val="1"/>
          <w:color w:val="000000"/>
          <w:sz w:val="32"/>
          <w:szCs w:val="32"/>
        </w:rPr>
        <w:t xml:space="preserve"> </w:t>
      </w:r>
    </w:p>
    <w:p xmlns:wp14="http://schemas.microsoft.com/office/word/2010/wordml" w:rsidP="18DFF66E" w14:paraId="5824D063" wp14:textId="4CC3F032">
      <w:pPr>
        <w:spacing w:before="0" w:beforeAutospacing="off" w:after="0" w:afterAutospacing="off" w:line="336" w:lineRule="auto"/>
        <w:ind w:start="0" w:firstLine="0"/>
        <w:jc w:val="center"/>
        <w:rPr>
          <w:rFonts w:ascii="Arial" w:hAnsi="Arial" w:eastAsia="Arial" w:cs="Arial"/>
          <w:b w:val="1"/>
          <w:bCs w:val="1"/>
          <w:color w:val="000000"/>
          <w:sz w:val="36"/>
          <w:szCs w:val="36"/>
          <w:lang w:val="en-GB"/>
        </w:rPr>
      </w:pPr>
      <w:r w:rsidRPr="18DFF66E" w:rsidR="63DF52F0">
        <w:rPr>
          <w:rFonts w:ascii="Arial" w:hAnsi="Arial" w:eastAsia="Arial" w:cs="Arial"/>
          <w:b w:val="1"/>
          <w:bCs w:val="1"/>
          <w:color w:val="000000"/>
          <w:sz w:val="32"/>
          <w:szCs w:val="32"/>
          <w:lang w:val="en-GB"/>
        </w:rPr>
        <w:t xml:space="preserve">Chukwuma Olumide </w:t>
      </w:r>
      <w:bookmarkStart w:name="_Int_bq6p6fwV" w:id="673192509"/>
      <w:r w:rsidRPr="18DFF66E" w:rsidR="63DF52F0">
        <w:rPr>
          <w:rFonts w:ascii="Arial" w:hAnsi="Arial" w:eastAsia="Arial" w:cs="Arial"/>
          <w:b w:val="1"/>
          <w:bCs w:val="1"/>
          <w:color w:val="000000"/>
          <w:sz w:val="32"/>
          <w:szCs w:val="32"/>
          <w:lang w:val="en-GB"/>
        </w:rPr>
        <w:t>Nwana</w:t>
      </w:r>
      <w:bookmarkEnd w:id="673192509"/>
    </w:p>
    <w:p w:rsidR="2FC2BF56" w:rsidP="18DFF66E" w:rsidRDefault="2FC2BF56" w14:paraId="76DC1086" w14:textId="25432862">
      <w:pPr>
        <w:spacing w:before="0" w:beforeAutospacing="off" w:after="0" w:afterAutospacing="off" w:line="336" w:lineRule="auto"/>
        <w:ind w:firstLine="0"/>
        <w:jc w:val="center"/>
        <w:rPr>
          <w:rFonts w:ascii="Arial" w:hAnsi="Arial" w:eastAsia="Arial" w:cs="Arial"/>
          <w:b w:val="1"/>
          <w:bCs w:val="1"/>
          <w:color w:val="000000"/>
          <w:sz w:val="32"/>
          <w:szCs w:val="32"/>
          <w:lang w:val="en-GB"/>
        </w:rPr>
      </w:pPr>
      <w:r w:rsidRPr="18DFF66E" w:rsidR="2FC2BF56">
        <w:rPr>
          <w:rFonts w:ascii="Arial" w:hAnsi="Arial" w:eastAsia="Arial" w:cs="Arial"/>
          <w:b w:val="1"/>
          <w:bCs w:val="1"/>
          <w:color w:val="000000"/>
          <w:sz w:val="32"/>
          <w:szCs w:val="32"/>
          <w:lang w:val="en-GB"/>
        </w:rPr>
        <w:t>2418162</w:t>
      </w:r>
    </w:p>
    <w:p w:rsidR="18DFF66E" w:rsidP="18DFF66E" w:rsidRDefault="18DFF66E" w14:paraId="0B4C5218" w14:textId="240851E3">
      <w:pPr>
        <w:spacing w:before="120" w:after="120" w:line="336" w:lineRule="auto"/>
        <w:ind w:firstLine="0"/>
        <w:jc w:val="center"/>
        <w:rPr>
          <w:rFonts w:ascii="Arial" w:hAnsi="Arial" w:eastAsia="Arial" w:cs="Arial"/>
          <w:color w:val="000000"/>
          <w:sz w:val="32"/>
          <w:szCs w:val="32"/>
          <w:lang w:val="en-GB"/>
        </w:rPr>
      </w:pPr>
    </w:p>
    <w:p w:rsidR="18DFF66E" w:rsidP="18DFF66E" w:rsidRDefault="18DFF66E" w14:paraId="6C67E5B0" w14:textId="36754271">
      <w:pPr>
        <w:spacing w:before="120" w:after="120" w:line="336" w:lineRule="auto"/>
        <w:ind w:firstLine="0"/>
        <w:jc w:val="center"/>
        <w:rPr>
          <w:rFonts w:ascii="Arial" w:hAnsi="Arial" w:eastAsia="Arial" w:cs="Arial"/>
          <w:color w:val="000000"/>
          <w:sz w:val="32"/>
          <w:szCs w:val="32"/>
          <w:lang w:val="en-GB"/>
        </w:rPr>
      </w:pPr>
    </w:p>
    <w:p w:rsidR="6EB925C5" w:rsidP="18DFF66E" w:rsidRDefault="6EB925C5" w14:paraId="25BC382C" w14:textId="683B6AB6">
      <w:pPr>
        <w:spacing w:before="0" w:beforeAutospacing="off" w:after="0" w:afterAutospacing="off" w:line="336" w:lineRule="auto"/>
        <w:ind w:firstLine="0"/>
        <w:jc w:val="center"/>
        <w:rPr>
          <w:rFonts w:ascii="Arial" w:hAnsi="Arial" w:eastAsia="Arial" w:cs="Arial"/>
          <w:b w:val="1"/>
          <w:bCs w:val="1"/>
          <w:i w:val="0"/>
          <w:iCs w:val="0"/>
          <w:caps w:val="0"/>
          <w:smallCaps w:val="0"/>
          <w:noProof w:val="0"/>
          <w:color w:val="000000"/>
          <w:sz w:val="32"/>
          <w:szCs w:val="32"/>
          <w:lang w:val="en-GB"/>
        </w:rPr>
      </w:pPr>
      <w:r w:rsidRPr="18DFF66E" w:rsidR="6EB925C5">
        <w:rPr>
          <w:rFonts w:ascii="Arial" w:hAnsi="Arial" w:eastAsia="Arial" w:cs="Arial"/>
          <w:b w:val="1"/>
          <w:bCs w:val="1"/>
          <w:i w:val="0"/>
          <w:iCs w:val="0"/>
          <w:caps w:val="0"/>
          <w:smallCaps w:val="0"/>
          <w:noProof w:val="0"/>
          <w:color w:val="000000"/>
          <w:sz w:val="32"/>
          <w:szCs w:val="32"/>
          <w:lang w:val="en-US"/>
        </w:rPr>
        <w:t>BA (Hons) Leadership and Management Skills for the Workplace</w:t>
      </w:r>
    </w:p>
    <w:p w:rsidR="6EB925C5" w:rsidP="18DFF66E" w:rsidRDefault="6EB925C5" w14:paraId="2AB6E1AA" w14:textId="1ADAA423">
      <w:pPr>
        <w:spacing w:before="0" w:beforeAutospacing="off" w:after="0" w:afterAutospacing="off" w:line="336" w:lineRule="auto"/>
        <w:ind w:firstLine="0"/>
        <w:jc w:val="center"/>
        <w:rPr>
          <w:rFonts w:ascii="Arial" w:hAnsi="Arial" w:eastAsia="Arial" w:cs="Arial"/>
          <w:b w:val="1"/>
          <w:bCs w:val="1"/>
          <w:i w:val="0"/>
          <w:iCs w:val="0"/>
          <w:caps w:val="0"/>
          <w:smallCaps w:val="0"/>
          <w:noProof w:val="0"/>
          <w:color w:val="000000"/>
          <w:sz w:val="32"/>
          <w:szCs w:val="32"/>
          <w:lang w:val="en-GB"/>
        </w:rPr>
      </w:pPr>
      <w:r w:rsidRPr="18DFF66E" w:rsidR="6EB925C5">
        <w:rPr>
          <w:rFonts w:ascii="Arial" w:hAnsi="Arial" w:eastAsia="Arial" w:cs="Arial"/>
          <w:b w:val="1"/>
          <w:bCs w:val="1"/>
          <w:i w:val="0"/>
          <w:iCs w:val="0"/>
          <w:caps w:val="0"/>
          <w:smallCaps w:val="0"/>
          <w:noProof w:val="0"/>
          <w:color w:val="000000"/>
          <w:sz w:val="32"/>
          <w:szCs w:val="32"/>
          <w:lang w:val="en-GB"/>
        </w:rPr>
        <w:t>University: University of Wales Trinity Saint David</w:t>
      </w:r>
    </w:p>
    <w:p w:rsidR="18DFF66E" w:rsidP="18DFF66E" w:rsidRDefault="18DFF66E" w14:paraId="3F32FE2D" w14:textId="1B0FA892">
      <w:pPr>
        <w:spacing w:before="120" w:after="120" w:line="336" w:lineRule="auto"/>
        <w:ind w:firstLine="0"/>
        <w:jc w:val="center"/>
        <w:rPr>
          <w:rFonts w:ascii="Arial" w:hAnsi="Arial" w:eastAsia="Arial" w:cs="Arial"/>
          <w:color w:val="000000"/>
          <w:sz w:val="32"/>
          <w:szCs w:val="32"/>
          <w:lang w:val="en-GB"/>
        </w:rPr>
      </w:pPr>
    </w:p>
    <w:p w:rsidR="18DFF66E" w:rsidP="18DFF66E" w:rsidRDefault="18DFF66E" w14:paraId="5742E3E4" w14:textId="455E8EFB">
      <w:pPr>
        <w:spacing w:before="120" w:after="120" w:line="336" w:lineRule="auto"/>
        <w:ind w:firstLine="0"/>
        <w:rPr>
          <w:rFonts w:ascii="Arial" w:hAnsi="Arial" w:eastAsia="Arial" w:cs="Arial"/>
          <w:color w:val="000000"/>
          <w:sz w:val="24"/>
          <w:szCs w:val="24"/>
        </w:rPr>
      </w:pPr>
    </w:p>
    <w:p xmlns:wp14="http://schemas.microsoft.com/office/word/2010/wordml" w:rsidP="18DFF66E" w14:paraId="055688BF" wp14:textId="77777777">
      <w:pPr>
        <w:spacing w:before="120" w:after="120" w:line="336"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p>
    <w:p xmlns:wp14="http://schemas.microsoft.com/office/word/2010/wordml" w:rsidP="18DFF66E" w14:paraId="5DAB6C7B" wp14:textId="0728AD5E">
      <w:pPr>
        <w:spacing w:before="120" w:after="120" w:line="336" w:lineRule="auto"/>
        <w:ind w:firstLine="0"/>
        <w:rPr>
          <w:rFonts w:ascii="Arial" w:hAnsi="Arial" w:eastAsia="Arial" w:cs="Arial"/>
        </w:rPr>
      </w:pPr>
      <w:r w:rsidRPr="18DFF66E" w:rsidR="18DFF66E">
        <w:rPr>
          <w:rFonts w:ascii="Arial" w:hAnsi="Arial" w:eastAsia="Arial" w:cs="Arial"/>
          <w:color w:val="000000"/>
          <w:sz w:val="24"/>
          <w:szCs w:val="24"/>
        </w:rPr>
        <w:t xml:space="preserve"> </w:t>
      </w:r>
      <w:r w:rsidRPr="18DFF66E">
        <w:rPr>
          <w:rFonts w:ascii="Arial" w:hAnsi="Arial" w:eastAsia="Arial" w:cs="Arial"/>
        </w:rPr>
        <w:br w:type="page"/>
      </w:r>
    </w:p>
    <w:p xmlns:wp14="http://schemas.microsoft.com/office/word/2010/wordml" w:rsidP="18DFF66E" w14:paraId="14371F28" wp14:textId="77777777">
      <w:pPr>
        <w:spacing w:before="120" w:after="120" w:line="336"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 xml:space="preserve"> </w:t>
      </w:r>
    </w:p>
    <w:p xmlns:wp14="http://schemas.microsoft.com/office/word/2010/wordml" w:rsidP="18DFF66E" w14:paraId="46B90FB6" wp14:textId="77777777">
      <w:pPr>
        <w:spacing w:before="120" w:after="120" w:line="336"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 xml:space="preserve">Table of Contents </w:t>
      </w:r>
    </w:p>
    <w:p xmlns:wp14="http://schemas.microsoft.com/office/word/2010/wordml" w:rsidP="18DFF66E" w14:paraId="148FEEEA"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Introduction</w:t>
      </w:r>
      <w:r w:rsidRPr="18DFF66E" w:rsidR="18DFF66E">
        <w:rPr>
          <w:rFonts w:ascii="Arial" w:hAnsi="Arial" w:eastAsia="Arial" w:cs="Arial"/>
          <w:color w:val="000000"/>
          <w:sz w:val="24"/>
          <w:szCs w:val="24"/>
        </w:rPr>
        <w:t xml:space="preserve"> </w:t>
      </w:r>
    </w:p>
    <w:p xmlns:wp14="http://schemas.microsoft.com/office/word/2010/wordml" w:rsidP="18DFF66E" w14:paraId="7378F522"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Literature Review / Theoretical Framework</w:t>
      </w:r>
      <w:r w:rsidRPr="18DFF66E" w:rsidR="18DFF66E">
        <w:rPr>
          <w:rFonts w:ascii="Arial" w:hAnsi="Arial" w:eastAsia="Arial" w:cs="Arial"/>
          <w:color w:val="000000"/>
          <w:sz w:val="24"/>
          <w:szCs w:val="24"/>
        </w:rPr>
        <w:t xml:space="preserve"> </w:t>
      </w:r>
    </w:p>
    <w:p xmlns:wp14="http://schemas.microsoft.com/office/word/2010/wordml" w:rsidP="18DFF66E" w14:paraId="62E0ADD9" wp14:textId="77777777">
      <w:pPr>
        <w:numPr>
          <w:ilvl w:val="1"/>
          <w:numId w:val="2"/>
        </w:numPr>
        <w:spacing w:before="0" w:after="0" w:line="336" w:lineRule="auto"/>
        <w:jc w:val="start"/>
        <w:rPr>
          <w:rFonts w:ascii="Arial" w:hAnsi="Arial" w:eastAsia="Arial" w:cs="Arial"/>
          <w:color w:val="000000"/>
          <w:sz w:val="24"/>
          <w:szCs w:val="24"/>
          <w:lang w:val="en-US"/>
        </w:rPr>
      </w:pPr>
      <w:r w:rsidRPr="18DFF66E" w:rsidR="18DFF66E">
        <w:rPr>
          <w:rFonts w:ascii="Arial" w:hAnsi="Arial" w:eastAsia="Arial" w:cs="Arial"/>
          <w:color w:val="000000"/>
          <w:sz w:val="24"/>
          <w:szCs w:val="24"/>
          <w:lang w:val="en-US"/>
        </w:rPr>
        <w:t>Schein’s three-level model of organisational culture</w:t>
      </w:r>
      <w:r w:rsidRPr="18DFF66E" w:rsidR="18DFF66E">
        <w:rPr>
          <w:rFonts w:ascii="Arial" w:hAnsi="Arial" w:eastAsia="Arial" w:cs="Arial"/>
          <w:color w:val="000000"/>
          <w:sz w:val="24"/>
          <w:szCs w:val="24"/>
          <w:lang w:val="en-US"/>
        </w:rPr>
        <w:t xml:space="preserve"> </w:t>
      </w:r>
    </w:p>
    <w:p xmlns:wp14="http://schemas.microsoft.com/office/word/2010/wordml" w:rsidP="18DFF66E" w14:paraId="19AC3CF2"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Hofstede’s cultural dimensions</w:t>
      </w:r>
      <w:r w:rsidRPr="18DFF66E" w:rsidR="18DFF66E">
        <w:rPr>
          <w:rFonts w:ascii="Arial" w:hAnsi="Arial" w:eastAsia="Arial" w:cs="Arial"/>
          <w:color w:val="000000"/>
          <w:sz w:val="24"/>
          <w:szCs w:val="24"/>
        </w:rPr>
        <w:t xml:space="preserve"> </w:t>
      </w:r>
    </w:p>
    <w:p xmlns:wp14="http://schemas.microsoft.com/office/word/2010/wordml" w:rsidP="18DFF66E" w14:paraId="7DCBD69E"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Handy’s four cultural types</w:t>
      </w:r>
      <w:r w:rsidRPr="18DFF66E" w:rsidR="18DFF66E">
        <w:rPr>
          <w:rFonts w:ascii="Arial" w:hAnsi="Arial" w:eastAsia="Arial" w:cs="Arial"/>
          <w:color w:val="000000"/>
          <w:sz w:val="24"/>
          <w:szCs w:val="24"/>
        </w:rPr>
        <w:t xml:space="preserve"> </w:t>
      </w:r>
    </w:p>
    <w:p xmlns:wp14="http://schemas.microsoft.com/office/word/2010/wordml" w:rsidP="18DFF66E" w14:paraId="6F488A72"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Johnson and Scholes’ Cultural Web</w:t>
      </w:r>
      <w:r w:rsidRPr="18DFF66E" w:rsidR="18DFF66E">
        <w:rPr>
          <w:rFonts w:ascii="Arial" w:hAnsi="Arial" w:eastAsia="Arial" w:cs="Arial"/>
          <w:color w:val="000000"/>
          <w:sz w:val="24"/>
          <w:szCs w:val="24"/>
        </w:rPr>
        <w:t xml:space="preserve"> </w:t>
      </w:r>
    </w:p>
    <w:p xmlns:wp14="http://schemas.microsoft.com/office/word/2010/wordml" w:rsidP="18DFF66E" w14:paraId="50569AC3"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Deal and Kennedy’s cultural typology</w:t>
      </w:r>
      <w:r w:rsidRPr="18DFF66E" w:rsidR="18DFF66E">
        <w:rPr>
          <w:rFonts w:ascii="Arial" w:hAnsi="Arial" w:eastAsia="Arial" w:cs="Arial"/>
          <w:color w:val="000000"/>
          <w:sz w:val="24"/>
          <w:szCs w:val="24"/>
        </w:rPr>
        <w:t xml:space="preserve"> </w:t>
      </w:r>
    </w:p>
    <w:p xmlns:wp14="http://schemas.microsoft.com/office/word/2010/wordml" w:rsidP="18DFF66E" w14:paraId="28463644" wp14:textId="77777777">
      <w:pPr>
        <w:numPr>
          <w:ilvl w:val="0"/>
          <w:numId w:val="2"/>
        </w:numPr>
        <w:spacing w:before="0" w:after="0" w:line="336" w:lineRule="auto"/>
        <w:jc w:val="start"/>
        <w:rPr>
          <w:rFonts w:ascii="Arial" w:hAnsi="Arial" w:eastAsia="Arial" w:cs="Arial"/>
          <w:color w:val="000000"/>
          <w:sz w:val="24"/>
          <w:szCs w:val="24"/>
          <w:lang w:val="en-US"/>
        </w:rPr>
      </w:pPr>
      <w:r w:rsidRPr="18DFF66E" w:rsidR="18DFF66E">
        <w:rPr>
          <w:rFonts w:ascii="Arial" w:hAnsi="Arial" w:eastAsia="Arial" w:cs="Arial"/>
          <w:color w:val="000000"/>
          <w:sz w:val="24"/>
          <w:szCs w:val="24"/>
          <w:lang w:val="en-US"/>
        </w:rPr>
        <w:t>Analysis of Toyota’s Organisational Culture</w:t>
      </w:r>
      <w:r w:rsidRPr="18DFF66E" w:rsidR="18DFF66E">
        <w:rPr>
          <w:rFonts w:ascii="Arial" w:hAnsi="Arial" w:eastAsia="Arial" w:cs="Arial"/>
          <w:color w:val="000000"/>
          <w:sz w:val="24"/>
          <w:szCs w:val="24"/>
          <w:lang w:val="en-US"/>
        </w:rPr>
        <w:t xml:space="preserve"> </w:t>
      </w:r>
    </w:p>
    <w:p xmlns:wp14="http://schemas.microsoft.com/office/word/2010/wordml" w:rsidP="18DFF66E" w14:paraId="0AEBD9A4"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Impact of Culture on Structure and Decision-Making</w:t>
      </w:r>
      <w:r w:rsidRPr="18DFF66E" w:rsidR="18DFF66E">
        <w:rPr>
          <w:rFonts w:ascii="Arial" w:hAnsi="Arial" w:eastAsia="Arial" w:cs="Arial"/>
          <w:color w:val="000000"/>
          <w:sz w:val="24"/>
          <w:szCs w:val="24"/>
        </w:rPr>
        <w:t xml:space="preserve"> </w:t>
      </w:r>
    </w:p>
    <w:p xmlns:wp14="http://schemas.microsoft.com/office/word/2010/wordml" w:rsidP="18DFF66E" w14:paraId="15FE6FF6"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Culture and External Environment Adaptation</w:t>
      </w:r>
      <w:r w:rsidRPr="18DFF66E" w:rsidR="18DFF66E">
        <w:rPr>
          <w:rFonts w:ascii="Arial" w:hAnsi="Arial" w:eastAsia="Arial" w:cs="Arial"/>
          <w:color w:val="000000"/>
          <w:sz w:val="24"/>
          <w:szCs w:val="24"/>
        </w:rPr>
        <w:t xml:space="preserve"> </w:t>
      </w:r>
    </w:p>
    <w:p xmlns:wp14="http://schemas.microsoft.com/office/word/2010/wordml" w:rsidP="18DFF66E" w14:paraId="6174E5DA"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Technological factors</w:t>
      </w:r>
      <w:r w:rsidRPr="18DFF66E" w:rsidR="18DFF66E">
        <w:rPr>
          <w:rFonts w:ascii="Arial" w:hAnsi="Arial" w:eastAsia="Arial" w:cs="Arial"/>
          <w:color w:val="000000"/>
          <w:sz w:val="24"/>
          <w:szCs w:val="24"/>
        </w:rPr>
        <w:t xml:space="preserve"> </w:t>
      </w:r>
    </w:p>
    <w:p xmlns:wp14="http://schemas.microsoft.com/office/word/2010/wordml" w:rsidP="18DFF66E" w14:paraId="70973B39"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Environmental factors</w:t>
      </w:r>
      <w:r w:rsidRPr="18DFF66E" w:rsidR="18DFF66E">
        <w:rPr>
          <w:rFonts w:ascii="Arial" w:hAnsi="Arial" w:eastAsia="Arial" w:cs="Arial"/>
          <w:color w:val="000000"/>
          <w:sz w:val="24"/>
          <w:szCs w:val="24"/>
        </w:rPr>
        <w:t xml:space="preserve"> </w:t>
      </w:r>
    </w:p>
    <w:p xmlns:wp14="http://schemas.microsoft.com/office/word/2010/wordml" w:rsidP="18DFF66E" w14:paraId="42A7D061" wp14:textId="77777777">
      <w:pPr>
        <w:numPr>
          <w:ilvl w:val="1"/>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Economic factors</w:t>
      </w:r>
      <w:r w:rsidRPr="18DFF66E" w:rsidR="18DFF66E">
        <w:rPr>
          <w:rFonts w:ascii="Arial" w:hAnsi="Arial" w:eastAsia="Arial" w:cs="Arial"/>
          <w:color w:val="000000"/>
          <w:sz w:val="24"/>
          <w:szCs w:val="24"/>
        </w:rPr>
        <w:t xml:space="preserve"> </w:t>
      </w:r>
    </w:p>
    <w:p xmlns:wp14="http://schemas.microsoft.com/office/word/2010/wordml" w:rsidP="18DFF66E" w14:paraId="68764FEC" wp14:textId="77777777">
      <w:pPr>
        <w:numPr>
          <w:ilvl w:val="0"/>
          <w:numId w:val="2"/>
        </w:numPr>
        <w:spacing w:before="0" w:after="0" w:line="336" w:lineRule="auto"/>
        <w:jc w:val="start"/>
        <w:rPr>
          <w:rFonts w:ascii="Arial" w:hAnsi="Arial" w:eastAsia="Arial" w:cs="Arial"/>
          <w:color w:val="000000"/>
          <w:sz w:val="24"/>
          <w:szCs w:val="24"/>
          <w:lang w:val="en-US"/>
        </w:rPr>
      </w:pPr>
      <w:r w:rsidRPr="18DFF66E" w:rsidR="18DFF66E">
        <w:rPr>
          <w:rFonts w:ascii="Arial" w:hAnsi="Arial" w:eastAsia="Arial" w:cs="Arial"/>
          <w:color w:val="000000"/>
          <w:sz w:val="24"/>
          <w:szCs w:val="24"/>
          <w:lang w:val="en-US"/>
        </w:rPr>
        <w:t>Culture as Barrier or Enabler + Impact on Organisational Performance</w:t>
      </w:r>
      <w:r w:rsidRPr="18DFF66E" w:rsidR="18DFF66E">
        <w:rPr>
          <w:rFonts w:ascii="Arial" w:hAnsi="Arial" w:eastAsia="Arial" w:cs="Arial"/>
          <w:color w:val="000000"/>
          <w:sz w:val="24"/>
          <w:szCs w:val="24"/>
          <w:lang w:val="en-US"/>
        </w:rPr>
        <w:t xml:space="preserve"> </w:t>
      </w:r>
    </w:p>
    <w:p xmlns:wp14="http://schemas.microsoft.com/office/word/2010/wordml" w:rsidP="18DFF66E" w14:paraId="1B152253"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Recommendations</w:t>
      </w:r>
      <w:r w:rsidRPr="18DFF66E" w:rsidR="18DFF66E">
        <w:rPr>
          <w:rFonts w:ascii="Arial" w:hAnsi="Arial" w:eastAsia="Arial" w:cs="Arial"/>
          <w:color w:val="000000"/>
          <w:sz w:val="24"/>
          <w:szCs w:val="24"/>
        </w:rPr>
        <w:t xml:space="preserve"> </w:t>
      </w:r>
    </w:p>
    <w:p xmlns:wp14="http://schemas.microsoft.com/office/word/2010/wordml" w:rsidP="18DFF66E" w14:paraId="6C2C294B"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Conclusion</w:t>
      </w:r>
      <w:r w:rsidRPr="18DFF66E" w:rsidR="18DFF66E">
        <w:rPr>
          <w:rFonts w:ascii="Arial" w:hAnsi="Arial" w:eastAsia="Arial" w:cs="Arial"/>
          <w:color w:val="000000"/>
          <w:sz w:val="24"/>
          <w:szCs w:val="24"/>
        </w:rPr>
        <w:t xml:space="preserve"> </w:t>
      </w:r>
    </w:p>
    <w:p xmlns:wp14="http://schemas.microsoft.com/office/word/2010/wordml" w:rsidP="18DFF66E" w14:paraId="2FACDF28" wp14:textId="77777777">
      <w:pPr>
        <w:numPr>
          <w:ilvl w:val="0"/>
          <w:numId w:val="2"/>
        </w:numPr>
        <w:spacing w:before="0" w:after="0" w:line="336" w:lineRule="auto"/>
        <w:jc w:val="start"/>
        <w:rPr>
          <w:rFonts w:ascii="Arial" w:hAnsi="Arial" w:eastAsia="Arial" w:cs="Arial"/>
          <w:color w:val="000000"/>
          <w:sz w:val="24"/>
          <w:szCs w:val="24"/>
        </w:rPr>
      </w:pPr>
      <w:r w:rsidRPr="18DFF66E" w:rsidR="18DFF66E">
        <w:rPr>
          <w:rFonts w:ascii="Arial" w:hAnsi="Arial" w:eastAsia="Arial" w:cs="Arial"/>
          <w:color w:val="000000"/>
          <w:sz w:val="24"/>
          <w:szCs w:val="24"/>
        </w:rPr>
        <w:t>References</w:t>
      </w:r>
      <w:r w:rsidRPr="18DFF66E" w:rsidR="18DFF66E">
        <w:rPr>
          <w:rFonts w:ascii="Arial" w:hAnsi="Arial" w:eastAsia="Arial" w:cs="Arial"/>
          <w:color w:val="000000"/>
          <w:sz w:val="24"/>
          <w:szCs w:val="24"/>
        </w:rPr>
        <w:t xml:space="preserve"> </w:t>
      </w:r>
    </w:p>
    <w:p xmlns:wp14="http://schemas.microsoft.com/office/word/2010/wordml" w:rsidP="18DFF66E" w14:paraId="02EB378F" wp14:textId="77777777">
      <w:pPr>
        <w:spacing w:before="120" w:after="120"/>
        <w:rPr>
          <w:rFonts w:ascii="Arial" w:hAnsi="Arial" w:eastAsia="Arial" w:cs="Arial"/>
        </w:rPr>
      </w:pPr>
      <w:r w:rsidRPr="18DFF66E">
        <w:rPr>
          <w:rFonts w:ascii="Arial" w:hAnsi="Arial" w:eastAsia="Arial" w:cs="Arial"/>
        </w:rPr>
        <w:br w:type="page"/>
      </w:r>
    </w:p>
    <w:p xmlns:wp14="http://schemas.microsoft.com/office/word/2010/wordml" w:rsidP="18DFF66E" w14:paraId="5DB8D9F4" wp14:textId="77777777">
      <w:pPr>
        <w:spacing w:before="120" w:after="120" w:line="360" w:lineRule="auto"/>
        <w:ind w:start="0" w:firstLine="0"/>
        <w:jc w:val="start"/>
        <w:rPr>
          <w:rFonts w:ascii="Arial" w:hAnsi="Arial" w:eastAsia="Arial" w:cs="Arial"/>
          <w:b w:val="1"/>
          <w:bCs w:val="1"/>
          <w:color w:val="000000"/>
          <w:sz w:val="24"/>
          <w:szCs w:val="24"/>
          <w:lang w:val="en-US"/>
        </w:rPr>
      </w:pPr>
      <w:r w:rsidRPr="18DFF66E" w:rsidR="18DFF66E">
        <w:rPr>
          <w:rFonts w:ascii="Arial" w:hAnsi="Arial" w:eastAsia="Arial" w:cs="Arial"/>
          <w:b w:val="1"/>
          <w:bCs w:val="1"/>
          <w:color w:val="000000"/>
          <w:sz w:val="24"/>
          <w:szCs w:val="24"/>
          <w:lang w:val="en-US"/>
        </w:rPr>
        <w:t>Organisational Culture Analysis Report: Toyota Motor Corporation</w:t>
      </w:r>
      <w:r w:rsidRPr="18DFF66E" w:rsidR="18DFF66E">
        <w:rPr>
          <w:rFonts w:ascii="Arial" w:hAnsi="Arial" w:eastAsia="Arial" w:cs="Arial"/>
          <w:b w:val="1"/>
          <w:bCs w:val="1"/>
          <w:color w:val="000000"/>
          <w:sz w:val="24"/>
          <w:szCs w:val="24"/>
          <w:lang w:val="en-US"/>
        </w:rPr>
        <w:t xml:space="preserve"> </w:t>
      </w:r>
    </w:p>
    <w:p xmlns:wp14="http://schemas.microsoft.com/office/word/2010/wordml" w:rsidP="18DFF66E" w14:paraId="55DFAAEC" wp14:textId="1D102B82">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1. Introduction</w:t>
      </w:r>
      <w:r w:rsidRPr="18DFF66E" w:rsidR="18DFF66E">
        <w:rPr>
          <w:rFonts w:ascii="Arial" w:hAnsi="Arial" w:eastAsia="Arial" w:cs="Arial"/>
          <w:b w:val="1"/>
          <w:bCs w:val="1"/>
          <w:color w:val="000000"/>
          <w:sz w:val="24"/>
          <w:szCs w:val="24"/>
        </w:rPr>
        <w:t xml:space="preserve"> </w:t>
      </w:r>
    </w:p>
    <w:p xmlns:wp14="http://schemas.microsoft.com/office/word/2010/wordml" w:rsidP="18DFF66E" w14:paraId="67478F8B" wp14:textId="4F08A6D4">
      <w:pPr>
        <w:spacing w:before="120" w:after="120" w:line="360" w:lineRule="auto"/>
        <w:ind w:start="0" w:firstLine="0"/>
        <w:jc w:val="start"/>
        <w:rPr>
          <w:rFonts w:ascii="Arial" w:hAnsi="Arial" w:eastAsia="Arial" w:cs="Arial"/>
          <w:color w:val="000000"/>
          <w:sz w:val="24"/>
          <w:szCs w:val="24"/>
          <w:lang w:val="en-US"/>
        </w:rPr>
      </w:pPr>
      <w:r w:rsidRPr="18DFF66E" w:rsidR="7AA31657">
        <w:rPr>
          <w:rFonts w:ascii="Arial" w:hAnsi="Arial" w:eastAsia="Arial" w:cs="Arial"/>
          <w:color w:val="000000"/>
          <w:sz w:val="24"/>
          <w:szCs w:val="24"/>
          <w:lang w:val="en-US"/>
        </w:rPr>
        <w:t>Organizational</w:t>
      </w:r>
      <w:r w:rsidRPr="18DFF66E" w:rsidR="18DFF66E">
        <w:rPr>
          <w:rFonts w:ascii="Arial" w:hAnsi="Arial" w:eastAsia="Arial" w:cs="Arial"/>
          <w:color w:val="000000"/>
          <w:sz w:val="24"/>
          <w:szCs w:val="24"/>
          <w:lang w:val="en-US"/>
        </w:rPr>
        <w:t xml:space="preserve"> culture matters because it shapes what people see as “normal</w:t>
      </w:r>
      <w:r w:rsidRPr="18DFF66E" w:rsidR="18DFF66E">
        <w:rPr>
          <w:rFonts w:ascii="Arial" w:hAnsi="Arial" w:eastAsia="Arial" w:cs="Arial"/>
          <w:color w:val="000000"/>
          <w:sz w:val="24"/>
          <w:szCs w:val="24"/>
          <w:lang w:val="en-US"/>
        </w:rPr>
        <w:t>”,</w:t>
      </w:r>
      <w:r w:rsidRPr="18DFF66E" w:rsidR="18DFF66E">
        <w:rPr>
          <w:rFonts w:ascii="Arial" w:hAnsi="Arial" w:eastAsia="Arial" w:cs="Arial"/>
          <w:color w:val="000000"/>
          <w:sz w:val="24"/>
          <w:szCs w:val="24"/>
          <w:lang w:val="en-US"/>
        </w:rPr>
        <w:t xml:space="preserve"> how they define </w:t>
      </w:r>
      <w:r w:rsidRPr="18DFF66E" w:rsidR="18DFF66E">
        <w:rPr>
          <w:rFonts w:ascii="Arial" w:hAnsi="Arial" w:eastAsia="Arial" w:cs="Arial"/>
          <w:color w:val="000000"/>
          <w:sz w:val="24"/>
          <w:szCs w:val="24"/>
          <w:lang w:val="en-US"/>
        </w:rPr>
        <w:t>good performance</w:t>
      </w:r>
      <w:r w:rsidRPr="18DFF66E" w:rsidR="18DFF66E">
        <w:rPr>
          <w:rFonts w:ascii="Arial" w:hAnsi="Arial" w:eastAsia="Arial" w:cs="Arial"/>
          <w:color w:val="000000"/>
          <w:sz w:val="24"/>
          <w:szCs w:val="24"/>
          <w:lang w:val="en-US"/>
        </w:rPr>
        <w:t xml:space="preserve">, and how they make decisions under pressure. For Schein (2010), culture is not only what an </w:t>
      </w:r>
      <w:r w:rsidRPr="18DFF66E" w:rsidR="18DFF66E">
        <w:rPr>
          <w:rFonts w:ascii="Arial" w:hAnsi="Arial" w:eastAsia="Arial" w:cs="Arial"/>
          <w:color w:val="000000"/>
          <w:sz w:val="24"/>
          <w:szCs w:val="24"/>
          <w:lang w:val="en-US"/>
        </w:rPr>
        <w:t>organisation</w:t>
      </w:r>
      <w:r w:rsidRPr="18DFF66E" w:rsidR="18DFF66E">
        <w:rPr>
          <w:rFonts w:ascii="Arial" w:hAnsi="Arial" w:eastAsia="Arial" w:cs="Arial"/>
          <w:color w:val="000000"/>
          <w:sz w:val="24"/>
          <w:szCs w:val="24"/>
          <w:lang w:val="en-US"/>
        </w:rPr>
        <w:t xml:space="preserve"> says it values; it is also a pattern of shared assumptions that new members learn as the “right” way to interpret problems and act, especially when trade-offs are real and time is limited. Culture therefore influences performance not simply through motivation, but through the practical rules people use to </w:t>
      </w:r>
      <w:r w:rsidRPr="18DFF66E" w:rsidR="18DFF66E">
        <w:rPr>
          <w:rFonts w:ascii="Arial" w:hAnsi="Arial" w:eastAsia="Arial" w:cs="Arial"/>
          <w:color w:val="000000"/>
          <w:sz w:val="24"/>
          <w:szCs w:val="24"/>
          <w:lang w:val="en-US"/>
        </w:rPr>
        <w:t>prioritise</w:t>
      </w:r>
      <w:r w:rsidRPr="18DFF66E" w:rsidR="18DFF66E">
        <w:rPr>
          <w:rFonts w:ascii="Arial" w:hAnsi="Arial" w:eastAsia="Arial" w:cs="Arial"/>
          <w:color w:val="000000"/>
          <w:sz w:val="24"/>
          <w:szCs w:val="24"/>
          <w:lang w:val="en-US"/>
        </w:rPr>
        <w:t xml:space="preserve"> quality, speed, </w:t>
      </w:r>
      <w:r w:rsidRPr="18DFF66E" w:rsidR="18DFF66E">
        <w:rPr>
          <w:rFonts w:ascii="Arial" w:hAnsi="Arial" w:eastAsia="Arial" w:cs="Arial"/>
          <w:color w:val="000000"/>
          <w:sz w:val="24"/>
          <w:szCs w:val="24"/>
          <w:lang w:val="en-US"/>
        </w:rPr>
        <w:t>cost</w:t>
      </w:r>
      <w:r w:rsidRPr="18DFF66E" w:rsidR="18DFF66E">
        <w:rPr>
          <w:rFonts w:ascii="Arial" w:hAnsi="Arial" w:eastAsia="Arial" w:cs="Arial"/>
          <w:color w:val="000000"/>
          <w:sz w:val="24"/>
          <w:szCs w:val="24"/>
          <w:lang w:val="en-US"/>
        </w:rPr>
        <w:t xml:space="preserve"> and learning, and through what is treated as acceptable risk. Toyota Motor Corporation is a strong case study because its culture is unusually explicit (the Toyota Way) and unusually </w:t>
      </w:r>
      <w:r w:rsidRPr="18DFF66E" w:rsidR="18DFF66E">
        <w:rPr>
          <w:rFonts w:ascii="Arial" w:hAnsi="Arial" w:eastAsia="Arial" w:cs="Arial"/>
          <w:color w:val="000000"/>
          <w:sz w:val="24"/>
          <w:szCs w:val="24"/>
          <w:lang w:val="en-US"/>
        </w:rPr>
        <w:t>operationalised</w:t>
      </w:r>
      <w:r w:rsidRPr="18DFF66E" w:rsidR="18DFF66E">
        <w:rPr>
          <w:rFonts w:ascii="Arial" w:hAnsi="Arial" w:eastAsia="Arial" w:cs="Arial"/>
          <w:color w:val="000000"/>
          <w:sz w:val="24"/>
          <w:szCs w:val="24"/>
          <w:lang w:val="en-US"/>
        </w:rPr>
        <w:t xml:space="preserve"> (the Toyota Production System, TPS): it is expressed in visible, repeatable routines that can be observed, compared across sites and linked to outcomes such as defect prevention, coordination and continuous improvement (Toyota Motor Corporation, n.d.-a; Toyota Motor Corporation, 2026). Toyota is also relevant because it has had to sustain this culture at </w:t>
      </w:r>
      <w:r w:rsidRPr="18DFF66E" w:rsidR="18DFF66E">
        <w:rPr>
          <w:rFonts w:ascii="Arial" w:hAnsi="Arial" w:eastAsia="Arial" w:cs="Arial"/>
          <w:color w:val="000000"/>
          <w:sz w:val="24"/>
          <w:szCs w:val="24"/>
          <w:lang w:val="en-US"/>
        </w:rPr>
        <w:t>global</w:t>
      </w:r>
      <w:r w:rsidRPr="18DFF66E" w:rsidR="18DFF66E">
        <w:rPr>
          <w:rFonts w:ascii="Arial" w:hAnsi="Arial" w:eastAsia="Arial" w:cs="Arial"/>
          <w:color w:val="000000"/>
          <w:sz w:val="24"/>
          <w:szCs w:val="24"/>
          <w:lang w:val="en-US"/>
        </w:rPr>
        <w:t xml:space="preserve"> scale across different markets and technologies, testing whether core assumptions </w:t>
      </w:r>
      <w:r w:rsidRPr="18DFF66E" w:rsidR="18DFF66E">
        <w:rPr>
          <w:rFonts w:ascii="Arial" w:hAnsi="Arial" w:eastAsia="Arial" w:cs="Arial"/>
          <w:color w:val="000000"/>
          <w:sz w:val="24"/>
          <w:szCs w:val="24"/>
          <w:lang w:val="en-US"/>
        </w:rPr>
        <w:t>remain</w:t>
      </w:r>
      <w:r w:rsidRPr="18DFF66E" w:rsidR="18DFF66E">
        <w:rPr>
          <w:rFonts w:ascii="Arial" w:hAnsi="Arial" w:eastAsia="Arial" w:cs="Arial"/>
          <w:color w:val="000000"/>
          <w:sz w:val="24"/>
          <w:szCs w:val="24"/>
          <w:lang w:val="en-US"/>
        </w:rPr>
        <w:t xml:space="preserve"> enabling or become restrictive as the environment changes (Schein, 2010).</w:t>
      </w:r>
      <w:r w:rsidRPr="18DFF66E" w:rsidR="18DFF66E">
        <w:rPr>
          <w:rFonts w:ascii="Arial" w:hAnsi="Arial" w:eastAsia="Arial" w:cs="Arial"/>
          <w:color w:val="000000"/>
          <w:sz w:val="24"/>
          <w:szCs w:val="24"/>
          <w:lang w:val="en-US"/>
        </w:rPr>
        <w:t xml:space="preserve"> </w:t>
      </w:r>
    </w:p>
    <w:p xmlns:wp14="http://schemas.microsoft.com/office/word/2010/wordml" w:rsidP="18DFF66E" w14:paraId="1CA58B6F" wp14:textId="6EF319FF">
      <w:pPr>
        <w:spacing w:before="120" w:after="120" w:line="360" w:lineRule="auto"/>
        <w:ind w:start="0" w:firstLine="0"/>
        <w:jc w:val="start"/>
        <w:rPr>
          <w:rFonts w:ascii="Arial" w:hAnsi="Arial" w:eastAsia="Arial" w:cs="Arial"/>
          <w:color w:val="000000"/>
          <w:sz w:val="24"/>
          <w:szCs w:val="24"/>
          <w:lang w:val="en-US"/>
        </w:rPr>
      </w:pPr>
      <w:r w:rsidRPr="18DFF66E" w:rsidR="18DFF66E">
        <w:rPr>
          <w:rFonts w:ascii="Arial" w:hAnsi="Arial" w:eastAsia="Arial" w:cs="Arial"/>
          <w:color w:val="000000"/>
          <w:sz w:val="24"/>
          <w:szCs w:val="24"/>
          <w:lang w:val="en-US"/>
        </w:rPr>
        <w:t>This report</w:t>
      </w:r>
      <w:r w:rsidRPr="18DFF66E" w:rsidR="7718E363">
        <w:rPr>
          <w:rFonts w:ascii="Arial" w:hAnsi="Arial" w:eastAsia="Arial" w:cs="Arial"/>
          <w:color w:val="000000"/>
          <w:sz w:val="24"/>
          <w:szCs w:val="24"/>
          <w:lang w:val="en-US"/>
        </w:rPr>
        <w:t xml:space="preserve"> will explore Toyota’s </w:t>
      </w:r>
      <w:r w:rsidRPr="18DFF66E" w:rsidR="7718E363">
        <w:rPr>
          <w:rFonts w:ascii="Arial" w:hAnsi="Arial" w:eastAsia="Arial" w:cs="Arial"/>
          <w:color w:val="000000"/>
          <w:sz w:val="24"/>
          <w:szCs w:val="24"/>
          <w:lang w:val="en-US"/>
        </w:rPr>
        <w:t>organisational</w:t>
      </w:r>
      <w:r w:rsidRPr="18DFF66E" w:rsidR="7718E363">
        <w:rPr>
          <w:rFonts w:ascii="Arial" w:hAnsi="Arial" w:eastAsia="Arial" w:cs="Arial"/>
          <w:color w:val="000000"/>
          <w:sz w:val="24"/>
          <w:szCs w:val="24"/>
          <w:lang w:val="en-US"/>
        </w:rPr>
        <w:t xml:space="preserve"> culture </w:t>
      </w:r>
      <w:r w:rsidRPr="18DFF66E" w:rsidR="18DFF66E">
        <w:rPr>
          <w:rFonts w:ascii="Arial" w:hAnsi="Arial" w:eastAsia="Arial" w:cs="Arial"/>
          <w:color w:val="000000"/>
          <w:sz w:val="24"/>
          <w:szCs w:val="24"/>
          <w:lang w:val="en-US"/>
        </w:rPr>
        <w:t>by (</w:t>
      </w:r>
      <w:r w:rsidRPr="18DFF66E" w:rsidR="18DFF66E">
        <w:rPr>
          <w:rFonts w:ascii="Arial" w:hAnsi="Arial" w:eastAsia="Arial" w:cs="Arial"/>
          <w:color w:val="000000"/>
          <w:sz w:val="24"/>
          <w:szCs w:val="24"/>
          <w:lang w:val="en-US"/>
        </w:rPr>
        <w:t>i</w:t>
      </w:r>
      <w:r w:rsidRPr="18DFF66E" w:rsidR="18DFF66E">
        <w:rPr>
          <w:rFonts w:ascii="Arial" w:hAnsi="Arial" w:eastAsia="Arial" w:cs="Arial"/>
          <w:color w:val="000000"/>
          <w:sz w:val="24"/>
          <w:szCs w:val="24"/>
          <w:lang w:val="en-US"/>
        </w:rPr>
        <w:t xml:space="preserve">) </w:t>
      </w:r>
      <w:r w:rsidRPr="18DFF66E" w:rsidR="18DFF66E">
        <w:rPr>
          <w:rFonts w:ascii="Arial" w:hAnsi="Arial" w:eastAsia="Arial" w:cs="Arial"/>
          <w:color w:val="000000"/>
          <w:sz w:val="24"/>
          <w:szCs w:val="24"/>
          <w:lang w:val="en-US"/>
        </w:rPr>
        <w:t>identifying</w:t>
      </w:r>
      <w:r w:rsidRPr="18DFF66E" w:rsidR="18DFF66E">
        <w:rPr>
          <w:rFonts w:ascii="Arial" w:hAnsi="Arial" w:eastAsia="Arial" w:cs="Arial"/>
          <w:color w:val="000000"/>
          <w:sz w:val="24"/>
          <w:szCs w:val="24"/>
          <w:lang w:val="en-US"/>
        </w:rPr>
        <w:t xml:space="preserve"> Toyota’s main cultural characteristics, (ii) critically evaluating how these characteristics influence </w:t>
      </w:r>
      <w:r w:rsidRPr="18DFF66E" w:rsidR="18DFF66E">
        <w:rPr>
          <w:rFonts w:ascii="Arial" w:hAnsi="Arial" w:eastAsia="Arial" w:cs="Arial"/>
          <w:color w:val="000000"/>
          <w:sz w:val="24"/>
          <w:szCs w:val="24"/>
          <w:lang w:val="en-US"/>
        </w:rPr>
        <w:t>organisational</w:t>
      </w:r>
      <w:r w:rsidRPr="18DFF66E" w:rsidR="18DFF66E">
        <w:rPr>
          <w:rFonts w:ascii="Arial" w:hAnsi="Arial" w:eastAsia="Arial" w:cs="Arial"/>
          <w:color w:val="000000"/>
          <w:sz w:val="24"/>
          <w:szCs w:val="24"/>
          <w:lang w:val="en-US"/>
        </w:rPr>
        <w:t xml:space="preserve"> structure and decision-making, and (iii) assessing how far the culture supports adaptation to technological, </w:t>
      </w:r>
      <w:r w:rsidRPr="18DFF66E" w:rsidR="18DFF66E">
        <w:rPr>
          <w:rFonts w:ascii="Arial" w:hAnsi="Arial" w:eastAsia="Arial" w:cs="Arial"/>
          <w:color w:val="000000"/>
          <w:sz w:val="24"/>
          <w:szCs w:val="24"/>
          <w:lang w:val="en-US"/>
        </w:rPr>
        <w:t>environmental</w:t>
      </w:r>
      <w:r w:rsidRPr="18DFF66E" w:rsidR="18DFF66E">
        <w:rPr>
          <w:rFonts w:ascii="Arial" w:hAnsi="Arial" w:eastAsia="Arial" w:cs="Arial"/>
          <w:color w:val="000000"/>
          <w:sz w:val="24"/>
          <w:szCs w:val="24"/>
          <w:lang w:val="en-US"/>
        </w:rPr>
        <w:t xml:space="preserve"> and economic pressures. The central argument is that Toyota’s “performance culture” is not simply lean production as a cost-cutting method; instead, Toyota embeds performance through an integrated set of routines: continuous improvement (kaizen), strong problem visibility and stop-the-line quality control (</w:t>
      </w:r>
      <w:r w:rsidRPr="18DFF66E" w:rsidR="18DFF66E">
        <w:rPr>
          <w:rFonts w:ascii="Arial" w:hAnsi="Arial" w:eastAsia="Arial" w:cs="Arial"/>
          <w:color w:val="000000"/>
          <w:sz w:val="24"/>
          <w:szCs w:val="24"/>
          <w:lang w:val="en-US"/>
        </w:rPr>
        <w:t>jidoka</w:t>
      </w:r>
      <w:r w:rsidRPr="18DFF66E" w:rsidR="18DFF66E">
        <w:rPr>
          <w:rFonts w:ascii="Arial" w:hAnsi="Arial" w:eastAsia="Arial" w:cs="Arial"/>
          <w:color w:val="000000"/>
          <w:sz w:val="24"/>
          <w:szCs w:val="24"/>
          <w:lang w:val="en-US"/>
        </w:rPr>
        <w:t xml:space="preserve">), just-in-time coordination, and employee participation framed as respect for people (Monden, 1977; Toyota Motor Corporation, 2026). These routines matter because they make priorities “real” in daily work: they </w:t>
      </w:r>
      <w:r w:rsidRPr="18DFF66E" w:rsidR="18DFF66E">
        <w:rPr>
          <w:rFonts w:ascii="Arial" w:hAnsi="Arial" w:eastAsia="Arial" w:cs="Arial"/>
          <w:color w:val="000000"/>
          <w:sz w:val="24"/>
          <w:szCs w:val="24"/>
          <w:lang w:val="en-US"/>
        </w:rPr>
        <w:t>standardise</w:t>
      </w:r>
      <w:r w:rsidRPr="18DFF66E" w:rsidR="18DFF66E">
        <w:rPr>
          <w:rFonts w:ascii="Arial" w:hAnsi="Arial" w:eastAsia="Arial" w:cs="Arial"/>
          <w:color w:val="000000"/>
          <w:sz w:val="24"/>
          <w:szCs w:val="24"/>
          <w:lang w:val="en-US"/>
        </w:rPr>
        <w:t xml:space="preserve"> what counts as a problem, who must respond, and how learning is captured and shared. In Schein’s terms, they function as cultural artefacts reinforced through training, escalation </w:t>
      </w:r>
      <w:r w:rsidRPr="18DFF66E" w:rsidR="18DFF66E">
        <w:rPr>
          <w:rFonts w:ascii="Arial" w:hAnsi="Arial" w:eastAsia="Arial" w:cs="Arial"/>
          <w:color w:val="000000"/>
          <w:sz w:val="24"/>
          <w:szCs w:val="24"/>
          <w:lang w:val="en-US"/>
        </w:rPr>
        <w:t>expectations</w:t>
      </w:r>
      <w:r w:rsidRPr="18DFF66E" w:rsidR="18DFF66E">
        <w:rPr>
          <w:rFonts w:ascii="Arial" w:hAnsi="Arial" w:eastAsia="Arial" w:cs="Arial"/>
          <w:color w:val="000000"/>
          <w:sz w:val="24"/>
          <w:szCs w:val="24"/>
          <w:lang w:val="en-US"/>
        </w:rPr>
        <w:t xml:space="preserve"> and control systems, so performance is achieved through disciplined learning rather than individual heroics (Schein, 2010).</w:t>
      </w:r>
      <w:r w:rsidRPr="18DFF66E" w:rsidR="18DFF66E">
        <w:rPr>
          <w:rFonts w:ascii="Arial" w:hAnsi="Arial" w:eastAsia="Arial" w:cs="Arial"/>
          <w:color w:val="000000"/>
          <w:sz w:val="24"/>
          <w:szCs w:val="24"/>
          <w:lang w:val="en-US"/>
        </w:rPr>
        <w:t xml:space="preserve"> </w:t>
      </w:r>
    </w:p>
    <w:p xmlns:wp14="http://schemas.microsoft.com/office/word/2010/wordml" w:rsidP="18DFF66E" w14:paraId="7898E83C" wp14:textId="75ECDD79">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The main analytical lens is Schein’s three-level model, linking visible practices to espoused values and underlying assumptions (Schein, 2010). Johnson and Scholes’ Cultural Web </w:t>
      </w:r>
      <w:r w:rsidRPr="18DFF66E" w:rsidR="18DFF66E">
        <w:rPr>
          <w:rFonts w:ascii="Arial" w:hAnsi="Arial" w:eastAsia="Arial" w:cs="Arial"/>
          <w:color w:val="000000"/>
          <w:sz w:val="24"/>
          <w:szCs w:val="24"/>
          <w:lang w:val="en-GB"/>
        </w:rPr>
        <w:t>is</w:t>
      </w:r>
      <w:r w:rsidRPr="18DFF66E" w:rsidR="18DFF66E">
        <w:rPr>
          <w:rFonts w:ascii="Arial" w:hAnsi="Arial" w:eastAsia="Arial" w:cs="Arial"/>
          <w:color w:val="000000"/>
          <w:sz w:val="24"/>
          <w:szCs w:val="24"/>
          <w:lang w:val="en-GB"/>
        </w:rPr>
        <w:t xml:space="preserve"> used as a second framework to examine how stories, routines, symbols, power relations, </w:t>
      </w:r>
      <w:r w:rsidRPr="18DFF66E" w:rsidR="18DFF66E">
        <w:rPr>
          <w:rFonts w:ascii="Arial" w:hAnsi="Arial" w:eastAsia="Arial" w:cs="Arial"/>
          <w:color w:val="000000"/>
          <w:sz w:val="24"/>
          <w:szCs w:val="24"/>
          <w:lang w:val="en-GB"/>
        </w:rPr>
        <w:t>structures</w:t>
      </w:r>
      <w:r w:rsidRPr="18DFF66E" w:rsidR="18DFF66E">
        <w:rPr>
          <w:rFonts w:ascii="Arial" w:hAnsi="Arial" w:eastAsia="Arial" w:cs="Arial"/>
          <w:color w:val="000000"/>
          <w:sz w:val="24"/>
          <w:szCs w:val="24"/>
          <w:lang w:val="en-GB"/>
        </w:rPr>
        <w:t xml:space="preserve"> and control systems sustain (and sometimes constrain) the Toyota Way in practice (Johnson and Scholes, 1992; Johnson and Scholes, 2002). Hofstede, </w:t>
      </w:r>
      <w:r w:rsidRPr="18DFF66E" w:rsidR="18DFF66E">
        <w:rPr>
          <w:rFonts w:ascii="Arial" w:hAnsi="Arial" w:eastAsia="Arial" w:cs="Arial"/>
          <w:color w:val="000000"/>
          <w:sz w:val="24"/>
          <w:szCs w:val="24"/>
          <w:lang w:val="en-GB"/>
        </w:rPr>
        <w:t>Hofstede</w:t>
      </w:r>
      <w:r w:rsidRPr="18DFF66E" w:rsidR="18DFF66E">
        <w:rPr>
          <w:rFonts w:ascii="Arial" w:hAnsi="Arial" w:eastAsia="Arial" w:cs="Arial"/>
          <w:color w:val="000000"/>
          <w:sz w:val="24"/>
          <w:szCs w:val="24"/>
          <w:lang w:val="en-GB"/>
        </w:rPr>
        <w:t xml:space="preserve"> and Minkov (2010) </w:t>
      </w:r>
      <w:r w:rsidRPr="18DFF66E" w:rsidR="18DFF66E">
        <w:rPr>
          <w:rFonts w:ascii="Arial" w:hAnsi="Arial" w:eastAsia="Arial" w:cs="Arial"/>
          <w:color w:val="000000"/>
          <w:sz w:val="24"/>
          <w:szCs w:val="24"/>
          <w:lang w:val="en-GB"/>
        </w:rPr>
        <w:t>is</w:t>
      </w:r>
      <w:r w:rsidRPr="18DFF66E" w:rsidR="18DFF66E">
        <w:rPr>
          <w:rFonts w:ascii="Arial" w:hAnsi="Arial" w:eastAsia="Arial" w:cs="Arial"/>
          <w:color w:val="000000"/>
          <w:sz w:val="24"/>
          <w:szCs w:val="24"/>
          <w:lang w:val="en-GB"/>
        </w:rPr>
        <w:t xml:space="preserve"> used only as brief context on Japanese national-culture influences and is not treated as a full explanation for Toyota’s organisational culture across global sites. </w:t>
      </w:r>
    </w:p>
    <w:p xmlns:wp14="http://schemas.microsoft.com/office/word/2010/wordml" w:rsidP="18DFF66E" w14:paraId="3AD00802"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2. Literature Review / Theoretical Framework</w:t>
      </w:r>
      <w:r w:rsidRPr="18DFF66E" w:rsidR="18DFF66E">
        <w:rPr>
          <w:rFonts w:ascii="Arial" w:hAnsi="Arial" w:eastAsia="Arial" w:cs="Arial"/>
          <w:b w:val="1"/>
          <w:bCs w:val="1"/>
          <w:color w:val="000000"/>
          <w:sz w:val="24"/>
          <w:szCs w:val="24"/>
        </w:rPr>
        <w:t xml:space="preserve"> </w:t>
      </w:r>
    </w:p>
    <w:p xmlns:wp14="http://schemas.microsoft.com/office/word/2010/wordml" w:rsidP="18DFF66E" w14:paraId="071CA559"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A strong cultural analysis needs concepts that distinguish what is visible from what is taken for granted, and that link culture to outcomes such as decision quality, coordination, adaptation and performance. This report therefore prioritises frameworks that (i) explain how culture is embedded and reproduced and (ii) can be supported with Toyota-specific evidence, rather than relying on general claims about “lean”.</w:t>
      </w:r>
      <w:r w:rsidRPr="18DFF66E" w:rsidR="18DFF66E">
        <w:rPr>
          <w:rFonts w:ascii="Arial" w:hAnsi="Arial" w:eastAsia="Arial" w:cs="Arial"/>
          <w:color w:val="000000"/>
          <w:sz w:val="24"/>
          <w:szCs w:val="24"/>
          <w:lang w:val="en-GB"/>
        </w:rPr>
        <w:t xml:space="preserve"> </w:t>
      </w:r>
    </w:p>
    <w:p xmlns:wp14="http://schemas.microsoft.com/office/word/2010/wordml" w:rsidP="18DFF66E" w14:paraId="5E4290A5"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First, Schein’s (2010) three-level model provides the main structure for analysis. </w:t>
      </w:r>
      <w:r w:rsidRPr="18DFF66E" w:rsidR="18DFF66E">
        <w:rPr>
          <w:rFonts w:ascii="Arial" w:hAnsi="Arial" w:eastAsia="Arial" w:cs="Arial"/>
          <w:b w:val="1"/>
          <w:bCs w:val="1"/>
          <w:color w:val="000000"/>
          <w:sz w:val="24"/>
          <w:szCs w:val="24"/>
          <w:lang w:val="en-GB"/>
        </w:rPr>
        <w:t>Artefacts</w:t>
      </w:r>
      <w:r w:rsidRPr="18DFF66E" w:rsidR="18DFF66E">
        <w:rPr>
          <w:rFonts w:ascii="Arial" w:hAnsi="Arial" w:eastAsia="Arial" w:cs="Arial"/>
          <w:color w:val="000000"/>
          <w:sz w:val="24"/>
          <w:szCs w:val="24"/>
          <w:lang w:val="en-GB"/>
        </w:rPr>
        <w:t xml:space="preserve"> include visible processes, language and routines, but they are often difficult to interpret in isolation. Schein argues that artefacts should be understood alongside </w:t>
      </w:r>
      <w:r w:rsidRPr="18DFF66E" w:rsidR="18DFF66E">
        <w:rPr>
          <w:rFonts w:ascii="Arial" w:hAnsi="Arial" w:eastAsia="Arial" w:cs="Arial"/>
          <w:b w:val="1"/>
          <w:bCs w:val="1"/>
          <w:color w:val="000000"/>
          <w:sz w:val="24"/>
          <w:szCs w:val="24"/>
          <w:lang w:val="en-GB"/>
        </w:rPr>
        <w:t>espoused values</w:t>
      </w:r>
      <w:r w:rsidRPr="18DFF66E" w:rsidR="18DFF66E">
        <w:rPr>
          <w:rFonts w:ascii="Arial" w:hAnsi="Arial" w:eastAsia="Arial" w:cs="Arial"/>
          <w:color w:val="000000"/>
          <w:sz w:val="24"/>
          <w:szCs w:val="24"/>
          <w:lang w:val="en-GB"/>
        </w:rPr>
        <w:t xml:space="preserve"> (stated goals, strategies and philosophies) and </w:t>
      </w:r>
      <w:r w:rsidRPr="18DFF66E" w:rsidR="18DFF66E">
        <w:rPr>
          <w:rFonts w:ascii="Arial" w:hAnsi="Arial" w:eastAsia="Arial" w:cs="Arial"/>
          <w:b w:val="1"/>
          <w:bCs w:val="1"/>
          <w:color w:val="000000"/>
          <w:sz w:val="24"/>
          <w:szCs w:val="24"/>
          <w:lang w:val="en-GB"/>
        </w:rPr>
        <w:t>underlying assumptions</w:t>
      </w:r>
      <w:r w:rsidRPr="18DFF66E" w:rsidR="18DFF66E">
        <w:rPr>
          <w:rFonts w:ascii="Arial" w:hAnsi="Arial" w:eastAsia="Arial" w:cs="Arial"/>
          <w:color w:val="000000"/>
          <w:sz w:val="24"/>
          <w:szCs w:val="24"/>
          <w:lang w:val="en-GB"/>
        </w:rPr>
        <w:t xml:space="preserve"> (deep, often unconscious beliefs about what is true and risky). The model is useful because it helps explain why practices persist even when the environment changes. Its main limitation is evidential: assumptions must be inferred carefully and checked against patterns in practice, rewards and sanctions (Schein, 2010). In this report, Toyota’s artefacts (e.g., andon, kanban, standard work and daily kaizen) are interpreted against Toyota’s pillars of Continuous Improvement and Respect for People (Toyota Motor Corporation, n.d.-a) and academic explanations of TPS as a just-in-time and quality-at-source system (Monden, 1977; Brooker and Hayward, 2023).</w:t>
      </w:r>
      <w:r w:rsidRPr="18DFF66E" w:rsidR="18DFF66E">
        <w:rPr>
          <w:rFonts w:ascii="Arial" w:hAnsi="Arial" w:eastAsia="Arial" w:cs="Arial"/>
          <w:color w:val="000000"/>
          <w:sz w:val="24"/>
          <w:szCs w:val="24"/>
          <w:lang w:val="en-GB"/>
        </w:rPr>
        <w:t xml:space="preserve"> </w:t>
      </w:r>
    </w:p>
    <w:p xmlns:wp14="http://schemas.microsoft.com/office/word/2010/wordml" w:rsidP="18DFF66E" w14:paraId="58319003"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Second, Johnson and Scholes’ Cultural Web treats culture as an interconnected set of elements that support a dominant “paradigm”. The elements include stories, rituals and routines, symbols, organisational structures, power structures and control systems (Johnson and Scholes, 1992; Johnson and Scholes, 2002). This matters for Toyota because cultural strength is not only about stated values; it also depends on whether routines (e.g., problem-solving, escalation and training) and controls (e.g., quality measures and visual management) consistently reinforce the Toyota Way across levels and locations. Used together, Schein and the Cultural Web provide a stronger explanation than either alone: Schein separates visible practice from deeper assumptions (avoiding “lean” language being taken at face value), while the Cultural Web shows the organisational mechanisms through which assumptions become normalised and protected over time (Schein, 2010; Johnson and Scholes, 2002). The Cultural Web also supports critique by identifying where a strong paradigm can become self-reinforcing and resistant to discontinuous change, especially when new technologies require different risk and feedback cycles (Johnson and Scholes, 2002).</w:t>
      </w:r>
      <w:r w:rsidRPr="18DFF66E" w:rsidR="18DFF66E">
        <w:rPr>
          <w:rFonts w:ascii="Arial" w:hAnsi="Arial" w:eastAsia="Arial" w:cs="Arial"/>
          <w:color w:val="000000"/>
          <w:sz w:val="24"/>
          <w:szCs w:val="24"/>
          <w:lang w:val="en-GB"/>
        </w:rPr>
        <w:t xml:space="preserve"> </w:t>
      </w:r>
    </w:p>
    <w:p xmlns:wp14="http://schemas.microsoft.com/office/word/2010/wordml" w:rsidP="18DFF66E" w14:paraId="5FF386EE"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Third, Toyota’s official descriptions of TPS and the Toyota Way are treated as primary organisational evidence, but not as neutral fact. These sources set out intended meanings—TPS as waste reduction through just-in-time, jidoka and daily kaizen, and the Toyota Way as Continuous Improvement and Respect for People (Toyota Motor Corporation, 2026; Toyota Motor Corporation, n.d.-a). The claims are then compared with peer-reviewed and publisher-hosted sources that explain how the system operates and why it can be both enabling (quality and learning) and constraining (rigidity and slower strategic shifts), depending on environmental turbulence (Monden, 1977; Jayamaha et al., 2014; Brooker and Hayward, 2023).</w:t>
      </w:r>
      <w:r w:rsidRPr="18DFF66E" w:rsidR="18DFF66E">
        <w:rPr>
          <w:rFonts w:ascii="Arial" w:hAnsi="Arial" w:eastAsia="Arial" w:cs="Arial"/>
          <w:color w:val="000000"/>
          <w:sz w:val="24"/>
          <w:szCs w:val="24"/>
          <w:lang w:val="en-GB"/>
        </w:rPr>
        <w:t xml:space="preserve"> </w:t>
      </w:r>
    </w:p>
    <w:p xmlns:wp14="http://schemas.microsoft.com/office/word/2010/wordml" w:rsidP="18DFF66E" w14:paraId="182DFEFF"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Finally, Hofstede, Hofstede and Minkov (2010) is used only to provide brief contextual insight into how certain cultural preferences (e.g., long-term orientation, uncertainty avoidance and collectivist coordination) may be socially reinforced in Japan. However, Toyota is a global organisation, and organisational cultures can differ from national averages. Hofstede therefore cannot fully explain Toyota’s routines, training systems and control architecture, or variation between sites. National culture is treated as context, not a substitute for organisational culture analysis (Hofstede, Hofstede and Minkov, 2010; Schein, 2010).</w:t>
      </w:r>
      <w:r w:rsidRPr="18DFF66E" w:rsidR="18DFF66E">
        <w:rPr>
          <w:rFonts w:ascii="Arial" w:hAnsi="Arial" w:eastAsia="Arial" w:cs="Arial"/>
          <w:color w:val="000000"/>
          <w:sz w:val="24"/>
          <w:szCs w:val="24"/>
          <w:lang w:val="en-GB"/>
        </w:rPr>
        <w:t xml:space="preserve"> </w:t>
      </w:r>
    </w:p>
    <w:p xmlns:wp14="http://schemas.microsoft.com/office/word/2010/wordml" w:rsidP="18DFF66E" w14:paraId="468594B1"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3. Analysis of Toyota’s Organisational Culture</w:t>
      </w:r>
      <w:r w:rsidRPr="18DFF66E" w:rsidR="18DFF66E">
        <w:rPr>
          <w:rFonts w:ascii="Arial" w:hAnsi="Arial" w:eastAsia="Arial" w:cs="Arial"/>
          <w:b w:val="1"/>
          <w:bCs w:val="1"/>
          <w:color w:val="000000"/>
          <w:sz w:val="24"/>
          <w:szCs w:val="24"/>
        </w:rPr>
        <w:t xml:space="preserve"> </w:t>
      </w:r>
    </w:p>
    <w:p xmlns:wp14="http://schemas.microsoft.com/office/word/2010/wordml" w:rsidP="18DFF66E" w14:paraId="596CC0F3"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Toyota presents its culture through the Toyota Way (Continuous Improvement; Respect for People) and operationalises it through TPS routines that support just-in-time flow, jidoka (built-in quality) and daily kaizen (Toyota Motor Corporation, n.d.-a; Toyota Motor Corporation, 2026). The key analytical question is whether these are simply “lean tools” or whether they reflect a coherent culture in Schein’s sense. Put differently, do these artefacts align with shared values and deeper assumptions about how performance is achieved (Schein, 2010)?</w:t>
      </w:r>
      <w:r w:rsidRPr="18DFF66E" w:rsidR="18DFF66E">
        <w:rPr>
          <w:rFonts w:ascii="Arial" w:hAnsi="Arial" w:eastAsia="Arial" w:cs="Arial"/>
          <w:color w:val="000000"/>
          <w:sz w:val="24"/>
          <w:szCs w:val="24"/>
          <w:lang w:val="en-GB"/>
        </w:rPr>
        <w:t xml:space="preserve"> </w:t>
      </w:r>
    </w:p>
    <w:p xmlns:wp14="http://schemas.microsoft.com/office/word/2010/wordml" w:rsidP="18DFF66E" w14:paraId="7738CBE9"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Using Schein’s (2010) model, Toyota’s </w:t>
      </w:r>
      <w:r w:rsidRPr="18DFF66E" w:rsidR="18DFF66E">
        <w:rPr>
          <w:rFonts w:ascii="Arial" w:hAnsi="Arial" w:eastAsia="Arial" w:cs="Arial"/>
          <w:b w:val="1"/>
          <w:bCs w:val="1"/>
          <w:color w:val="000000"/>
          <w:sz w:val="24"/>
          <w:szCs w:val="24"/>
          <w:lang w:val="en-GB"/>
        </w:rPr>
        <w:t>artefacts</w:t>
      </w:r>
      <w:r w:rsidRPr="18DFF66E" w:rsidR="18DFF66E">
        <w:rPr>
          <w:rFonts w:ascii="Arial" w:hAnsi="Arial" w:eastAsia="Arial" w:cs="Arial"/>
          <w:color w:val="000000"/>
          <w:sz w:val="24"/>
          <w:szCs w:val="24"/>
          <w:lang w:val="en-GB"/>
        </w:rPr>
        <w:t xml:space="preserve"> are highly standardised and visible. Examples include kanban signalling, visual management, standard work and stop-the-line systems that highlight abnormalities and compel action. Monden (1977) describes TPS and kanban as a practical expression of just-in-time and a “respect-for-human” system, suggesting that Toyota designs flow and employee participation as complementary rather than a trade-off. Toyota’s official TPS description likewise emphasises jidoka and just-in-time as core pillars supported by daily improvement routines (Toyota Motor Corporation, 2026). Together, these artefacts show that quality is not treated as a final inspection step; it is built into work through rapid detection, escalation and correction of problems.</w:t>
      </w:r>
      <w:r w:rsidRPr="18DFF66E" w:rsidR="18DFF66E">
        <w:rPr>
          <w:rFonts w:ascii="Arial" w:hAnsi="Arial" w:eastAsia="Arial" w:cs="Arial"/>
          <w:color w:val="000000"/>
          <w:sz w:val="24"/>
          <w:szCs w:val="24"/>
          <w:lang w:val="en-GB"/>
        </w:rPr>
        <w:t xml:space="preserve"> </w:t>
      </w:r>
    </w:p>
    <w:p xmlns:wp14="http://schemas.microsoft.com/office/word/2010/wordml" w:rsidP="18DFF66E" w14:paraId="1A9A57C4"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At the level of </w:t>
      </w:r>
      <w:r w:rsidRPr="18DFF66E" w:rsidR="18DFF66E">
        <w:rPr>
          <w:rFonts w:ascii="Arial" w:hAnsi="Arial" w:eastAsia="Arial" w:cs="Arial"/>
          <w:b w:val="1"/>
          <w:bCs w:val="1"/>
          <w:color w:val="000000"/>
          <w:sz w:val="24"/>
          <w:szCs w:val="24"/>
          <w:lang w:val="en-GB"/>
        </w:rPr>
        <w:t>espoused values</w:t>
      </w:r>
      <w:r w:rsidRPr="18DFF66E" w:rsidR="18DFF66E">
        <w:rPr>
          <w:rFonts w:ascii="Arial" w:hAnsi="Arial" w:eastAsia="Arial" w:cs="Arial"/>
          <w:color w:val="000000"/>
          <w:sz w:val="24"/>
          <w:szCs w:val="24"/>
          <w:lang w:val="en-GB"/>
        </w:rPr>
        <w:t>, “Respect for People” is central because it frames performance as a social system, not only a technical one. Respect is not limited to interpersonal behaviour; it also involves developing people and giving them responsibility to identify and solve problems (Toyota Motor Corporation, n.d.-a). Toyota operationalises “respect” through the design of work: employees are expected to follow standards so abnormalities become visible, and they are expected to surface issues and participate in improvement rather than work around problems to protect short-term output. This is how values become behavioural expectations rather than slogans. Evidence suggests these expectations are embedded in people development and problem-solving across Toyota sites, implying deliberate institutional design rather than informal tradition (Jayamaha et al., 2014). Continuous Improvement legitimises ongoing small-step change, but it is enacted through routine cycles (daily problem identification, escalation and structured learning) that make improvement part of normal work rather than a separate initiative (Toyota Motor Corporation, 2026). Supported by controls and training, this becomes a shared expectation rather than an optional programme (Brooker and Hayward, 2023).</w:t>
      </w:r>
      <w:r w:rsidRPr="18DFF66E" w:rsidR="18DFF66E">
        <w:rPr>
          <w:rFonts w:ascii="Arial" w:hAnsi="Arial" w:eastAsia="Arial" w:cs="Arial"/>
          <w:color w:val="000000"/>
          <w:sz w:val="24"/>
          <w:szCs w:val="24"/>
          <w:lang w:val="en-GB"/>
        </w:rPr>
        <w:t xml:space="preserve"> </w:t>
      </w:r>
    </w:p>
    <w:p xmlns:wp14="http://schemas.microsoft.com/office/word/2010/wordml" w:rsidP="18DFF66E" w14:paraId="7DF70F55"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The evaluative step is to infer Toyota’s </w:t>
      </w:r>
      <w:r w:rsidRPr="18DFF66E" w:rsidR="18DFF66E">
        <w:rPr>
          <w:rFonts w:ascii="Arial" w:hAnsi="Arial" w:eastAsia="Arial" w:cs="Arial"/>
          <w:b w:val="1"/>
          <w:bCs w:val="1"/>
          <w:color w:val="000000"/>
          <w:sz w:val="24"/>
          <w:szCs w:val="24"/>
          <w:lang w:val="en-GB"/>
        </w:rPr>
        <w:t>underlying assumptions</w:t>
      </w:r>
      <w:r w:rsidRPr="18DFF66E" w:rsidR="18DFF66E">
        <w:rPr>
          <w:rFonts w:ascii="Arial" w:hAnsi="Arial" w:eastAsia="Arial" w:cs="Arial"/>
          <w:color w:val="000000"/>
          <w:sz w:val="24"/>
          <w:szCs w:val="24"/>
          <w:lang w:val="en-GB"/>
        </w:rPr>
        <w:t xml:space="preserve">. First, Toyota appears to assume that performance comes from </w:t>
      </w:r>
      <w:r w:rsidRPr="18DFF66E" w:rsidR="18DFF66E">
        <w:rPr>
          <w:rFonts w:ascii="Arial" w:hAnsi="Arial" w:eastAsia="Arial" w:cs="Arial"/>
          <w:i w:val="1"/>
          <w:iCs w:val="1"/>
          <w:color w:val="000000"/>
          <w:sz w:val="24"/>
          <w:szCs w:val="24"/>
          <w:lang w:val="en-GB"/>
        </w:rPr>
        <w:t>learning within everyday work</w:t>
      </w:r>
      <w:r w:rsidRPr="18DFF66E" w:rsidR="18DFF66E">
        <w:rPr>
          <w:rFonts w:ascii="Arial" w:hAnsi="Arial" w:eastAsia="Arial" w:cs="Arial"/>
          <w:color w:val="000000"/>
          <w:sz w:val="24"/>
          <w:szCs w:val="24"/>
          <w:lang w:val="en-GB"/>
        </w:rPr>
        <w:t xml:space="preserve">: problems are expected, made visible and treated as opportunities to build capability rather than reasons for blame (Schein, 2010). Second, Toyota seems to assume that </w:t>
      </w:r>
      <w:r w:rsidRPr="18DFF66E" w:rsidR="18DFF66E">
        <w:rPr>
          <w:rFonts w:ascii="Arial" w:hAnsi="Arial" w:eastAsia="Arial" w:cs="Arial"/>
          <w:i w:val="1"/>
          <w:iCs w:val="1"/>
          <w:color w:val="000000"/>
          <w:sz w:val="24"/>
          <w:szCs w:val="24"/>
          <w:lang w:val="en-GB"/>
        </w:rPr>
        <w:t>standards support improvement</w:t>
      </w:r>
      <w:r w:rsidRPr="18DFF66E" w:rsidR="18DFF66E">
        <w:rPr>
          <w:rFonts w:ascii="Arial" w:hAnsi="Arial" w:eastAsia="Arial" w:cs="Arial"/>
          <w:color w:val="000000"/>
          <w:sz w:val="24"/>
          <w:szCs w:val="24"/>
          <w:lang w:val="en-GB"/>
        </w:rPr>
        <w:t>; without stable processes, abnormalities are harder to detect and learning becomes less reliable. Third, Toyota assumes that quality and efficiency can reinforce each other when defects and waste are identified early (Monden, 1977; Toyota Motor Corporation, 2026). These assumptions help explain Toyota’s long-standing strengths in reliability and cost control. However, they may also favour careful validation and controlled experimentation, which can be a disadvantage when speed and early market learning are critical (Schein, 2010).</w:t>
      </w:r>
      <w:r w:rsidRPr="18DFF66E" w:rsidR="18DFF66E">
        <w:rPr>
          <w:rFonts w:ascii="Arial" w:hAnsi="Arial" w:eastAsia="Arial" w:cs="Arial"/>
          <w:color w:val="000000"/>
          <w:sz w:val="24"/>
          <w:szCs w:val="24"/>
          <w:lang w:val="en-GB"/>
        </w:rPr>
        <w:t xml:space="preserve"> </w:t>
      </w:r>
    </w:p>
    <w:p xmlns:wp14="http://schemas.microsoft.com/office/word/2010/wordml" w14:paraId="2BF195CE" wp14:textId="77777777">
      <w:pPr>
        <w:spacing w:before="120" w:after="120" w:line="360" w:lineRule="auto"/>
        <w:ind w:start="0" w:firstLine="0"/>
        <w:jc w:val="start"/>
      </w:pPr>
      <w:r w:rsidRPr="18DFF66E" w:rsidR="18DFF66E">
        <w:rPr>
          <w:rFonts w:ascii="Arial" w:hAnsi="Arial" w:eastAsia="Arial" w:cs="Arial"/>
          <w:color w:val="000000"/>
          <w:sz w:val="24"/>
          <w:szCs w:val="24"/>
          <w:lang w:val="en-GB"/>
        </w:rPr>
        <w:t>Johnson and Scholes’ Cultural Web enables a more detailed critique of how Toyota’s paradigm is maintained and where it may limit change. It points to a paradigm of “disciplined learning for quality and flow”. Toyota’s routines and controls are designed to highlight deviations, trigger problem-solving and reinforce shared responsibility (Johnson and Scholes, 1992; Toyota Motor Corporation, 2026). The risk is not cultural weakness, but cultural lock-in: the same routines that support reliability may make it harder to legitimise rapid, uncertain experimentation in areas such as software, digital services and battery-electric platforms, where feedback cycles and partner ecosystems differ from manufacturing logic (Johnson and Scholes, 2002).</w:t>
      </w:r>
      <w:r w:rsidRPr="18DFF66E" w:rsidR="18DFF66E">
        <w:rPr>
          <w:rFonts w:ascii="Arial" w:hAnsi="Arial" w:eastAsia="Arial" w:cs="Arial"/>
          <w:color w:val="000000"/>
          <w:sz w:val="24"/>
          <w:szCs w:val="24"/>
          <w:lang w:val="en-GB"/>
        </w:rPr>
        <w:t xml:space="preserve"> </w:t>
      </w:r>
    </w:p>
    <w:p w:rsidR="18DFF66E" w:rsidP="18DFF66E" w:rsidRDefault="18DFF66E" w14:paraId="73A9311B" w14:textId="7AD3E065">
      <w:pPr>
        <w:spacing w:before="120" w:after="120" w:line="360" w:lineRule="auto"/>
        <w:ind w:firstLine="0"/>
        <w:rPr>
          <w:rFonts w:ascii="Arial" w:hAnsi="Arial" w:eastAsia="Arial" w:cs="Arial"/>
          <w:b w:val="1"/>
          <w:bCs w:val="1"/>
          <w:color w:val="000000"/>
          <w:sz w:val="24"/>
          <w:szCs w:val="24"/>
        </w:rPr>
      </w:pPr>
    </w:p>
    <w:p w:rsidR="18DFF66E" w:rsidP="18DFF66E" w:rsidRDefault="18DFF66E" w14:paraId="0E557EF8" w14:textId="129A5395">
      <w:pPr>
        <w:spacing w:before="120" w:after="120" w:line="360" w:lineRule="auto"/>
        <w:ind w:firstLine="0"/>
        <w:rPr>
          <w:rFonts w:ascii="Arial" w:hAnsi="Arial" w:eastAsia="Arial" w:cs="Arial"/>
          <w:b w:val="1"/>
          <w:bCs w:val="1"/>
          <w:color w:val="000000"/>
          <w:sz w:val="24"/>
          <w:szCs w:val="24"/>
        </w:rPr>
      </w:pPr>
    </w:p>
    <w:p w:rsidR="18DFF66E" w:rsidP="18DFF66E" w:rsidRDefault="18DFF66E" w14:paraId="3112FEA0" w14:textId="32A27033">
      <w:pPr>
        <w:spacing w:before="120" w:after="120" w:line="360" w:lineRule="auto"/>
        <w:ind w:firstLine="0"/>
        <w:rPr>
          <w:rFonts w:ascii="Arial" w:hAnsi="Arial" w:eastAsia="Arial" w:cs="Arial"/>
          <w:b w:val="1"/>
          <w:bCs w:val="1"/>
          <w:color w:val="000000"/>
          <w:sz w:val="24"/>
          <w:szCs w:val="24"/>
        </w:rPr>
      </w:pPr>
    </w:p>
    <w:p w:rsidR="18DFF66E" w:rsidP="18DFF66E" w:rsidRDefault="18DFF66E" w14:paraId="3CA11AC7" w14:textId="2D268BEE">
      <w:pPr>
        <w:spacing w:before="120" w:after="120" w:line="360" w:lineRule="auto"/>
        <w:ind w:firstLine="0"/>
        <w:rPr>
          <w:rFonts w:ascii="Arial" w:hAnsi="Arial" w:eastAsia="Arial" w:cs="Arial"/>
          <w:b w:val="1"/>
          <w:bCs w:val="1"/>
          <w:color w:val="000000"/>
          <w:sz w:val="24"/>
          <w:szCs w:val="24"/>
        </w:rPr>
      </w:pPr>
    </w:p>
    <w:p xmlns:wp14="http://schemas.microsoft.com/office/word/2010/wordml" w:rsidP="18DFF66E" w14:paraId="38181BDB"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Table 1: Cultural Web mapping (Toyota Way / TPS as culture-embedding mechanisms)</w:t>
      </w:r>
      <w:r w:rsidRPr="18DFF66E" w:rsidR="18DFF66E">
        <w:rPr>
          <w:rFonts w:ascii="Arial" w:hAnsi="Arial" w:eastAsia="Arial" w:cs="Arial"/>
          <w:b w:val="1"/>
          <w:bCs w:val="1"/>
          <w:color w:val="000000"/>
          <w:sz w:val="24"/>
          <w:szCs w:val="24"/>
        </w:rPr>
        <w:t xml:space="preserve"> </w:t>
      </w:r>
    </w:p>
    <w:tbl>
      <w:tblPr>
        <w:tblW w:w="9030" w:type="dxa"/>
        <w:tblBorders>
          <w:top w:val="single" w:color="DBDBDB" w:sz="6"/>
          <w:left w:val="single"/>
          <w:start w:val="single" w:color="dbdbdb" w:sz="6"/>
          <w:left w:val="single"/>
          <w:bottom w:val="single" w:color="DBDBDB" w:sz="6"/>
          <w:right w:val="single"/>
          <w:end w:val="single" w:color="dbdbdb" w:sz="6"/>
          <w:right w:val="single"/>
          <w:insideH w:val="single" w:color="DBDBDB" w:sz="6"/>
          <w:insideV w:val="single" w:color="DBDBDB" w:sz="6"/>
        </w:tblBorders>
      </w:tblPr>
      <w:tblGrid>
        <w:gridCol w:w="3010"/>
        <w:gridCol w:w="3010"/>
        <w:gridCol w:w="3010"/>
      </w:tblGrid>
      <w:tr xmlns:wp14="http://schemas.microsoft.com/office/word/2010/wordml" w:rsidTr="18DFF66E" w14:paraId="5817EA4F" wp14:textId="77777777">
        <w:trPr>
          <w:trHeight w:val="1296"/>
        </w:trPr>
        <w:tc>
          <w:tcPr>
            <w:tcW w:w="3010" w:type="dxa"/>
            <w:shd w:val="clear" w:color="auto" w:fill="F1F1F1"/>
            <w:tcMar>
              <w:top w:w="150"/>
              <w:start w:w="150"/>
              <w:bottom w:w="150"/>
              <w:end w:w="150"/>
            </w:tcMar>
          </w:tcPr>
          <w:p w:rsidP="18DFF66E" w14:paraId="5574BE61" wp14:textId="77777777">
            <w:pPr>
              <w:spacing w:before="120" w:after="120" w:line="360" w:lineRule="auto"/>
              <w:ind w:start="0" w:firstLine="0"/>
              <w:jc w:val="start"/>
              <w:rPr>
                <w:rFonts w:ascii="Arial" w:hAnsi="Arial" w:eastAsia="Arial" w:cs="Arial"/>
                <w:b w:val="1"/>
                <w:bCs w:val="1"/>
                <w:color w:val="000000"/>
                <w:sz w:val="20"/>
                <w:szCs w:val="20"/>
              </w:rPr>
            </w:pPr>
            <w:r w:rsidRPr="18DFF66E" w:rsidR="18DFF66E">
              <w:rPr>
                <w:rFonts w:ascii="Arial" w:hAnsi="Arial" w:eastAsia="Arial" w:cs="Arial"/>
                <w:b w:val="1"/>
                <w:bCs w:val="1"/>
                <w:color w:val="000000"/>
                <w:sz w:val="20"/>
                <w:szCs w:val="20"/>
              </w:rPr>
              <w:t>Cultural Web element</w:t>
            </w:r>
            <w:r w:rsidRPr="18DFF66E" w:rsidR="18DFF66E">
              <w:rPr>
                <w:rFonts w:ascii="Arial" w:hAnsi="Arial" w:eastAsia="Arial" w:cs="Arial"/>
                <w:b w:val="1"/>
                <w:bCs w:val="1"/>
                <w:color w:val="000000"/>
                <w:sz w:val="20"/>
                <w:szCs w:val="20"/>
              </w:rPr>
              <w:t xml:space="preserve"> </w:t>
            </w:r>
          </w:p>
        </w:tc>
        <w:tc>
          <w:tcPr>
            <w:tcW w:w="3010" w:type="dxa"/>
            <w:shd w:val="clear" w:color="auto" w:fill="F1F1F1"/>
            <w:tcMar>
              <w:top w:w="150"/>
              <w:start w:w="150"/>
              <w:bottom w:w="150"/>
              <w:end w:w="150"/>
            </w:tcMar>
          </w:tcPr>
          <w:p w:rsidP="18DFF66E" w14:paraId="2458CD2A" wp14:textId="77777777">
            <w:pPr>
              <w:spacing w:before="120" w:after="120" w:line="360" w:lineRule="auto"/>
              <w:ind w:start="0" w:firstLine="0"/>
              <w:jc w:val="start"/>
              <w:rPr>
                <w:rFonts w:ascii="Arial" w:hAnsi="Arial" w:eastAsia="Arial" w:cs="Arial"/>
                <w:b w:val="1"/>
                <w:bCs w:val="1"/>
                <w:color w:val="000000"/>
                <w:sz w:val="20"/>
                <w:szCs w:val="20"/>
              </w:rPr>
            </w:pPr>
            <w:r w:rsidRPr="18DFF66E" w:rsidR="18DFF66E">
              <w:rPr>
                <w:rFonts w:ascii="Arial" w:hAnsi="Arial" w:eastAsia="Arial" w:cs="Arial"/>
                <w:b w:val="1"/>
                <w:bCs w:val="1"/>
                <w:color w:val="000000"/>
                <w:sz w:val="20"/>
                <w:szCs w:val="20"/>
              </w:rPr>
              <w:t>Toyota-specific evidence (illustrative)</w:t>
            </w:r>
            <w:r w:rsidRPr="18DFF66E" w:rsidR="18DFF66E">
              <w:rPr>
                <w:rFonts w:ascii="Arial" w:hAnsi="Arial" w:eastAsia="Arial" w:cs="Arial"/>
                <w:b w:val="1"/>
                <w:bCs w:val="1"/>
                <w:color w:val="000000"/>
                <w:sz w:val="20"/>
                <w:szCs w:val="20"/>
              </w:rPr>
              <w:t xml:space="preserve"> </w:t>
            </w:r>
          </w:p>
        </w:tc>
        <w:tc>
          <w:tcPr>
            <w:tcW w:w="3010" w:type="dxa"/>
            <w:shd w:val="clear" w:color="auto" w:fill="F1F1F1"/>
            <w:tcMar>
              <w:top w:w="150"/>
              <w:start w:w="150"/>
              <w:bottom w:w="150"/>
              <w:end w:w="150"/>
            </w:tcMar>
          </w:tcPr>
          <w:p w:rsidP="18DFF66E" w14:paraId="437E7876" wp14:textId="77777777">
            <w:pPr>
              <w:spacing w:before="120" w:after="120" w:line="360" w:lineRule="auto"/>
              <w:ind w:start="0" w:firstLine="0"/>
              <w:jc w:val="start"/>
              <w:rPr>
                <w:rFonts w:ascii="Arial" w:hAnsi="Arial" w:eastAsia="Arial" w:cs="Arial"/>
                <w:b w:val="1"/>
                <w:bCs w:val="1"/>
                <w:color w:val="000000"/>
                <w:sz w:val="20"/>
                <w:szCs w:val="20"/>
              </w:rPr>
            </w:pPr>
            <w:r w:rsidRPr="18DFF66E" w:rsidR="18DFF66E">
              <w:rPr>
                <w:rFonts w:ascii="Arial" w:hAnsi="Arial" w:eastAsia="Arial" w:cs="Arial"/>
                <w:b w:val="1"/>
                <w:bCs w:val="1"/>
                <w:color w:val="000000"/>
                <w:sz w:val="20"/>
                <w:szCs w:val="20"/>
              </w:rPr>
              <w:t>Critical interpretation (culture effect)</w:t>
            </w:r>
            <w:r w:rsidRPr="18DFF66E" w:rsidR="18DFF66E">
              <w:rPr>
                <w:rFonts w:ascii="Arial" w:hAnsi="Arial" w:eastAsia="Arial" w:cs="Arial"/>
                <w:b w:val="1"/>
                <w:bCs w:val="1"/>
                <w:color w:val="000000"/>
                <w:sz w:val="20"/>
                <w:szCs w:val="20"/>
              </w:rPr>
              <w:t xml:space="preserve"> </w:t>
            </w:r>
          </w:p>
        </w:tc>
      </w:tr>
      <w:tr xmlns:wp14="http://schemas.microsoft.com/office/word/2010/wordml" w:rsidTr="18DFF66E" w14:paraId="26A15801" wp14:textId="77777777">
        <w:trPr>
          <w:trHeight w:val="1296"/>
        </w:trPr>
        <w:tc>
          <w:tcPr>
            <w:tcW w:w="3010" w:type="dxa"/>
            <w:tcMar>
              <w:top w:w="150"/>
              <w:start w:w="150"/>
              <w:bottom w:w="150"/>
              <w:end w:w="150"/>
            </w:tcMar>
          </w:tcPr>
          <w:p w:rsidP="18DFF66E" w14:paraId="4D1134EC"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Stories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59A13665"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Foundational narratives around Ohno, quality-at-source and kaizen “wins” (TPS/Toyota Way)</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38B23F72"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Legitimises disciplined problem-solving as the “right” route to performance; may reduce the perceived value of rapid trial-and-error in new domains (Brooker and Hayward, 2023; Schein, 2010)</w:t>
            </w:r>
            <w:r w:rsidRPr="18DFF66E" w:rsidR="18DFF66E">
              <w:rPr>
                <w:rFonts w:ascii="Arial" w:hAnsi="Arial" w:eastAsia="Arial" w:cs="Arial"/>
                <w:color w:val="000000"/>
                <w:sz w:val="20"/>
                <w:szCs w:val="20"/>
              </w:rPr>
              <w:t xml:space="preserve"> </w:t>
            </w:r>
          </w:p>
        </w:tc>
      </w:tr>
      <w:tr xmlns:wp14="http://schemas.microsoft.com/office/word/2010/wordml" w:rsidTr="18DFF66E" w14:paraId="13E87215" wp14:textId="77777777">
        <w:trPr>
          <w:trHeight w:val="1296"/>
        </w:trPr>
        <w:tc>
          <w:tcPr>
            <w:tcW w:w="3010" w:type="dxa"/>
            <w:tcMar>
              <w:top w:w="150"/>
              <w:start w:w="150"/>
              <w:bottom w:w="150"/>
              <w:end w:w="150"/>
            </w:tcMar>
          </w:tcPr>
          <w:p w:rsidP="18DFF66E" w14:paraId="1D227720"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Rituals &amp; routines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1D57C1A7" wp14:textId="77777777">
            <w:pPr>
              <w:spacing w:before="120" w:after="120" w:line="360" w:lineRule="auto"/>
              <w:ind w:start="0" w:firstLine="0"/>
              <w:jc w:val="start"/>
              <w:rPr>
                <w:rFonts w:ascii="Arial" w:hAnsi="Arial" w:eastAsia="Arial" w:cs="Arial"/>
                <w:color w:val="000000"/>
                <w:sz w:val="20"/>
                <w:szCs w:val="20"/>
                <w:lang w:val="en-GB"/>
              </w:rPr>
            </w:pPr>
            <w:r w:rsidRPr="18DFF66E" w:rsidR="18DFF66E">
              <w:rPr>
                <w:rFonts w:ascii="Arial" w:hAnsi="Arial" w:eastAsia="Arial" w:cs="Arial"/>
                <w:color w:val="000000"/>
                <w:sz w:val="20"/>
                <w:szCs w:val="20"/>
                <w:lang w:val="en-GB"/>
              </w:rPr>
              <w:t>Daily kaizen, visual checks, structured problem-solving, escalation/andon practices</w:t>
            </w:r>
            <w:r w:rsidRPr="18DFF66E" w:rsidR="18DFF66E">
              <w:rPr>
                <w:rFonts w:ascii="Arial" w:hAnsi="Arial" w:eastAsia="Arial" w:cs="Arial"/>
                <w:color w:val="000000"/>
                <w:sz w:val="20"/>
                <w:szCs w:val="20"/>
                <w:lang w:val="en-GB"/>
              </w:rPr>
              <w:t xml:space="preserve"> </w:t>
            </w:r>
          </w:p>
        </w:tc>
        <w:tc>
          <w:tcPr>
            <w:tcW w:w="3010" w:type="dxa"/>
            <w:tcMar>
              <w:top w:w="150"/>
              <w:start w:w="150"/>
              <w:bottom w:w="150"/>
              <w:end w:w="150"/>
            </w:tcMar>
          </w:tcPr>
          <w:p w:rsidP="18DFF66E" w14:paraId="1268C1BE"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Builds strong problem visibility and learning; can also slow decisions when time-to-market is strategically important (Toyota Motor Corporation, 2026; Johnson and Scholes, 2002)</w:t>
            </w:r>
            <w:r w:rsidRPr="18DFF66E" w:rsidR="18DFF66E">
              <w:rPr>
                <w:rFonts w:ascii="Arial" w:hAnsi="Arial" w:eastAsia="Arial" w:cs="Arial"/>
                <w:color w:val="000000"/>
                <w:sz w:val="20"/>
                <w:szCs w:val="20"/>
              </w:rPr>
              <w:t xml:space="preserve"> </w:t>
            </w:r>
          </w:p>
        </w:tc>
      </w:tr>
      <w:tr xmlns:wp14="http://schemas.microsoft.com/office/word/2010/wordml" w:rsidTr="18DFF66E" w14:paraId="6EA699AE" wp14:textId="77777777">
        <w:trPr>
          <w:trHeight w:val="1296"/>
        </w:trPr>
        <w:tc>
          <w:tcPr>
            <w:tcW w:w="3010" w:type="dxa"/>
            <w:tcMar>
              <w:top w:w="150"/>
              <w:start w:w="150"/>
              <w:bottom w:w="150"/>
              <w:end w:w="150"/>
            </w:tcMar>
          </w:tcPr>
          <w:p w:rsidP="18DFF66E" w14:paraId="2FC13CFE"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Symbols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73CAF497"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Visual management, standard work, kanban signals, “stop the line” as a norm</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39DFBE95"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Makes “abnormality” easy and acceptable to surface; also signals low tolerance for undocumented variation (Monden, 1977; Schein, 2010)</w:t>
            </w:r>
            <w:r w:rsidRPr="18DFF66E" w:rsidR="18DFF66E">
              <w:rPr>
                <w:rFonts w:ascii="Arial" w:hAnsi="Arial" w:eastAsia="Arial" w:cs="Arial"/>
                <w:color w:val="000000"/>
                <w:sz w:val="20"/>
                <w:szCs w:val="20"/>
              </w:rPr>
              <w:t xml:space="preserve"> </w:t>
            </w:r>
          </w:p>
        </w:tc>
      </w:tr>
      <w:tr xmlns:wp14="http://schemas.microsoft.com/office/word/2010/wordml" w:rsidTr="18DFF66E" w14:paraId="119C0D93" wp14:textId="77777777">
        <w:trPr>
          <w:trHeight w:val="1296"/>
        </w:trPr>
        <w:tc>
          <w:tcPr>
            <w:tcW w:w="3010" w:type="dxa"/>
            <w:tcMar>
              <w:top w:w="150"/>
              <w:start w:w="150"/>
              <w:bottom w:w="150"/>
              <w:end w:w="150"/>
            </w:tcMar>
          </w:tcPr>
          <w:p w:rsidP="18DFF66E" w14:paraId="20C43E3A"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Control systems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44460B43"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Quality metrics, standardisation, takt/flow discipline, continuous improvement tracking</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229249BE"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Reinforces performance as measurable and improvable; may over-weight internal process indicators unless balanced with external signals (Johnson and Scholes, 2002)</w:t>
            </w:r>
            <w:r w:rsidRPr="18DFF66E" w:rsidR="18DFF66E">
              <w:rPr>
                <w:rFonts w:ascii="Arial" w:hAnsi="Arial" w:eastAsia="Arial" w:cs="Arial"/>
                <w:color w:val="000000"/>
                <w:sz w:val="20"/>
                <w:szCs w:val="20"/>
              </w:rPr>
              <w:t xml:space="preserve"> </w:t>
            </w:r>
          </w:p>
        </w:tc>
      </w:tr>
      <w:tr xmlns:wp14="http://schemas.microsoft.com/office/word/2010/wordml" w:rsidTr="18DFF66E" w14:paraId="7D7295D5" wp14:textId="77777777">
        <w:trPr>
          <w:trHeight w:val="1296"/>
        </w:trPr>
        <w:tc>
          <w:tcPr>
            <w:tcW w:w="3010" w:type="dxa"/>
            <w:tcMar>
              <w:top w:w="150"/>
              <w:start w:w="150"/>
              <w:bottom w:w="150"/>
              <w:end w:w="150"/>
            </w:tcMar>
          </w:tcPr>
          <w:p w:rsidP="18DFF66E" w14:paraId="62156768"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Organisational structures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2A6467A4"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Training and routines that connect frontline work to problem-solving and escalation</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06543B8F"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Supports learning across levels; can lead to slower strategic escalation for non-standard issues that require senior attention (Schein, 2010)</w:t>
            </w:r>
            <w:r w:rsidRPr="18DFF66E" w:rsidR="18DFF66E">
              <w:rPr>
                <w:rFonts w:ascii="Arial" w:hAnsi="Arial" w:eastAsia="Arial" w:cs="Arial"/>
                <w:color w:val="000000"/>
                <w:sz w:val="20"/>
                <w:szCs w:val="20"/>
              </w:rPr>
              <w:t xml:space="preserve"> </w:t>
            </w:r>
          </w:p>
        </w:tc>
      </w:tr>
      <w:tr xmlns:wp14="http://schemas.microsoft.com/office/word/2010/wordml" w:rsidTr="18DFF66E" w14:paraId="73ADF872" wp14:textId="77777777">
        <w:trPr>
          <w:trHeight w:val="1296"/>
        </w:trPr>
        <w:tc>
          <w:tcPr>
            <w:tcW w:w="3010" w:type="dxa"/>
            <w:tcMar>
              <w:top w:w="150"/>
              <w:start w:w="150"/>
              <w:bottom w:w="150"/>
              <w:end w:w="150"/>
            </w:tcMar>
          </w:tcPr>
          <w:p w:rsidP="18DFF66E" w14:paraId="273E5B40"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Power structures</w:t>
            </w:r>
            <w:r w:rsidRPr="18DFF66E" w:rsidR="18DFF66E">
              <w:rPr>
                <w:rFonts w:ascii="Arial" w:hAnsi="Arial" w:eastAsia="Arial" w:cs="Arial"/>
                <w:color w:val="000000"/>
                <w:sz w:val="20"/>
                <w:szCs w:val="20"/>
              </w:rPr>
              <w:t xml:space="preserve"> </w:t>
            </w:r>
          </w:p>
        </w:tc>
        <w:tc>
          <w:tcPr>
            <w:tcW w:w="3010" w:type="dxa"/>
            <w:tcMar>
              <w:top w:w="150"/>
              <w:start w:w="150"/>
              <w:bottom w:w="150"/>
              <w:end w:w="150"/>
            </w:tcMar>
          </w:tcPr>
          <w:p w:rsidP="18DFF66E" w14:paraId="7489F036" wp14:textId="77777777">
            <w:pPr>
              <w:spacing w:before="120" w:after="120" w:line="360" w:lineRule="auto"/>
              <w:ind w:start="0" w:firstLine="0"/>
              <w:jc w:val="start"/>
              <w:rPr>
                <w:rFonts w:ascii="Arial" w:hAnsi="Arial" w:eastAsia="Arial" w:cs="Arial"/>
                <w:color w:val="000000"/>
                <w:sz w:val="20"/>
                <w:szCs w:val="20"/>
                <w:lang w:val="en-GB"/>
              </w:rPr>
            </w:pPr>
            <w:r w:rsidRPr="18DFF66E" w:rsidR="18DFF66E">
              <w:rPr>
                <w:rFonts w:ascii="Arial" w:hAnsi="Arial" w:eastAsia="Arial" w:cs="Arial"/>
                <w:color w:val="000000"/>
                <w:sz w:val="20"/>
                <w:szCs w:val="20"/>
                <w:lang w:val="en-GB"/>
              </w:rPr>
              <w:t>Authority linked to technical competence, gemba knowledge and adherence to TPS logic</w:t>
            </w:r>
            <w:r w:rsidRPr="18DFF66E" w:rsidR="18DFF66E">
              <w:rPr>
                <w:rFonts w:ascii="Arial" w:hAnsi="Arial" w:eastAsia="Arial" w:cs="Arial"/>
                <w:color w:val="000000"/>
                <w:sz w:val="20"/>
                <w:szCs w:val="20"/>
                <w:lang w:val="en-GB"/>
              </w:rPr>
              <w:t xml:space="preserve"> </w:t>
            </w:r>
          </w:p>
        </w:tc>
        <w:tc>
          <w:tcPr>
            <w:tcW w:w="3010" w:type="dxa"/>
            <w:tcMar>
              <w:top w:w="150"/>
              <w:start w:w="150"/>
              <w:bottom w:w="150"/>
              <w:end w:w="150"/>
            </w:tcMar>
          </w:tcPr>
          <w:p w:rsidP="18DFF66E" w14:paraId="4F68C284" wp14:textId="77777777">
            <w:pPr>
              <w:spacing w:before="120" w:after="120" w:line="360" w:lineRule="auto"/>
              <w:ind w:start="0" w:firstLine="0"/>
              <w:jc w:val="start"/>
              <w:rPr>
                <w:rFonts w:ascii="Arial" w:hAnsi="Arial" w:eastAsia="Arial" w:cs="Arial"/>
                <w:color w:val="000000"/>
                <w:sz w:val="20"/>
                <w:szCs w:val="20"/>
              </w:rPr>
            </w:pPr>
            <w:r w:rsidRPr="18DFF66E" w:rsidR="18DFF66E">
              <w:rPr>
                <w:rFonts w:ascii="Arial" w:hAnsi="Arial" w:eastAsia="Arial" w:cs="Arial"/>
                <w:color w:val="000000"/>
                <w:sz w:val="20"/>
                <w:szCs w:val="20"/>
              </w:rPr>
              <w:t>Supports evidence-based decisions; may reduce dissent if “TPS-consistent” thinking becomes the main test of legitimacy (Johnson and Scholes, 1992)</w:t>
            </w:r>
            <w:r w:rsidRPr="18DFF66E" w:rsidR="18DFF66E">
              <w:rPr>
                <w:rFonts w:ascii="Arial" w:hAnsi="Arial" w:eastAsia="Arial" w:cs="Arial"/>
                <w:color w:val="000000"/>
                <w:sz w:val="20"/>
                <w:szCs w:val="20"/>
              </w:rPr>
              <w:t xml:space="preserve"> </w:t>
            </w:r>
          </w:p>
        </w:tc>
      </w:tr>
    </w:tbl>
    <w:p xmlns:wp14="http://schemas.microsoft.com/office/word/2010/wordml" w:rsidP="18DFF66E" w14:paraId="3D9DC1D2"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4. Impact of Culture on Structure and Decision-Making</w:t>
      </w:r>
      <w:r w:rsidRPr="18DFF66E" w:rsidR="18DFF66E">
        <w:rPr>
          <w:rFonts w:ascii="Arial" w:hAnsi="Arial" w:eastAsia="Arial" w:cs="Arial"/>
          <w:b w:val="1"/>
          <w:bCs w:val="1"/>
          <w:color w:val="000000"/>
          <w:sz w:val="24"/>
          <w:szCs w:val="24"/>
        </w:rPr>
        <w:t xml:space="preserve"> </w:t>
      </w:r>
    </w:p>
    <w:p xmlns:wp14="http://schemas.microsoft.com/office/word/2010/wordml" w:rsidP="18DFF66E" w14:paraId="00B89774"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Toyota’s structure and decision practices can be read as outputs of its culture rather than neutral design choices. If Toyota assumes that performance comes from making problems visible and solving them systematically, its design will favour stable processes, clear escalation routes and close feedback between frontline abnormalities and management response (Schein, 2010; Toyota Motor Corporation, 2026). This helps explain Toyota’s emphasis on standard work and disciplined coordination. Structure protects process stability so that deviations can be surfaced, discussed and learned from, rather than becoming the new normal.</w:t>
      </w:r>
      <w:r w:rsidRPr="18DFF66E" w:rsidR="18DFF66E">
        <w:rPr>
          <w:rFonts w:ascii="Arial" w:hAnsi="Arial" w:eastAsia="Arial" w:cs="Arial"/>
          <w:color w:val="000000"/>
          <w:sz w:val="24"/>
          <w:szCs w:val="24"/>
          <w:lang w:val="en-GB"/>
        </w:rPr>
        <w:t xml:space="preserve"> </w:t>
      </w:r>
    </w:p>
    <w:p xmlns:wp14="http://schemas.microsoft.com/office/word/2010/wordml" w:rsidP="18DFF66E" w14:paraId="06A3355C"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Toyota’s “Respect for People” principle also complicates simple views of hierarchy. The expectation that employees participate in improvement and can stop production when quality is at risk suggests </w:t>
      </w:r>
      <w:r w:rsidRPr="18DFF66E" w:rsidR="18DFF66E">
        <w:rPr>
          <w:rFonts w:ascii="Arial" w:hAnsi="Arial" w:eastAsia="Arial" w:cs="Arial"/>
          <w:i w:val="1"/>
          <w:iCs w:val="1"/>
          <w:color w:val="000000"/>
          <w:sz w:val="24"/>
          <w:szCs w:val="24"/>
          <w:lang w:val="en-GB"/>
        </w:rPr>
        <w:t>distributed responsibility within controlled boundaries</w:t>
      </w:r>
      <w:r w:rsidRPr="18DFF66E" w:rsidR="18DFF66E">
        <w:rPr>
          <w:rFonts w:ascii="Arial" w:hAnsi="Arial" w:eastAsia="Arial" w:cs="Arial"/>
          <w:color w:val="000000"/>
          <w:sz w:val="24"/>
          <w:szCs w:val="24"/>
          <w:lang w:val="en-GB"/>
        </w:rPr>
        <w:t xml:space="preserve"> (Monden, 1977; Toyota Motor Corporation, n.d.-a). In Schein’s terms, the artefact (stop-the-line) signals an assumption that quality is everyone’s responsibility. It also implies that short-term output losses are acceptable where they prevent long-term defects and reputational harm (Schein, 2010).</w:t>
      </w:r>
      <w:r w:rsidRPr="18DFF66E" w:rsidR="18DFF66E">
        <w:rPr>
          <w:rFonts w:ascii="Arial" w:hAnsi="Arial" w:eastAsia="Arial" w:cs="Arial"/>
          <w:color w:val="000000"/>
          <w:sz w:val="24"/>
          <w:szCs w:val="24"/>
          <w:lang w:val="en-GB"/>
        </w:rPr>
        <w:t xml:space="preserve"> </w:t>
      </w:r>
    </w:p>
    <w:p xmlns:wp14="http://schemas.microsoft.com/office/word/2010/wordml" w:rsidP="18DFF66E" w14:paraId="45960B96"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Decision-making is therefore culturally shaped. Toyota’s structured problem-solving routines imply that “good” decisions are grounded in observed facts (gemba logic) and causal reasoning, not only senior status or intuition (Schein, 2010). The Cultural Web adds an important qualification: if routines and controls reward careful diagnosis and internal alignment, decision speed may fall in new and ambiguous situations where cause-and-effect relationships are unclear (Johnson and Scholes, 2002). This is not simply bureaucracy; it reflects a culture that treats rigour as systematic learning cycles.</w:t>
      </w:r>
      <w:r w:rsidRPr="18DFF66E" w:rsidR="18DFF66E">
        <w:rPr>
          <w:rFonts w:ascii="Arial" w:hAnsi="Arial" w:eastAsia="Arial" w:cs="Arial"/>
          <w:color w:val="000000"/>
          <w:sz w:val="24"/>
          <w:szCs w:val="24"/>
          <w:lang w:val="en-GB"/>
        </w:rPr>
        <w:t xml:space="preserve"> </w:t>
      </w:r>
    </w:p>
    <w:p xmlns:wp14="http://schemas.microsoft.com/office/word/2010/wordml" w:rsidP="18DFF66E" w14:paraId="475EFB8A"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A key implication is that Toyota’s culture creates a high baseline for operational decisions, particularly in quality and safety. However, it may limit rapid strategic pivots when the environment rewards fast experimentation, external partnering and software-speed iteration. In Cultural Web terms, if power and legitimacy depend on TPS-consistent reasoning, managers may be less willing to support approaches that resemble controlled “waste” (e.g., parallel prototyping or rapid feature releases), even when these are strategically appropriate (Johnson and Scholes, 1992; Johnson and Scholes, 2002). Overall, Toyota’s culture enables strong operational governance, but Toyota must actively manage the trade-off between disciplined learning and decision speed under uncertainty.</w:t>
      </w:r>
      <w:r w:rsidRPr="18DFF66E" w:rsidR="18DFF66E">
        <w:rPr>
          <w:rFonts w:ascii="Arial" w:hAnsi="Arial" w:eastAsia="Arial" w:cs="Arial"/>
          <w:color w:val="000000"/>
          <w:sz w:val="24"/>
          <w:szCs w:val="24"/>
          <w:lang w:val="en-GB"/>
        </w:rPr>
        <w:t xml:space="preserve"> </w:t>
      </w:r>
    </w:p>
    <w:p xmlns:wp14="http://schemas.microsoft.com/office/word/2010/wordml" w:rsidP="18DFF66E" w14:paraId="522DA987"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5. Culture and External Environment Adaptation</w:t>
      </w:r>
      <w:r w:rsidRPr="18DFF66E" w:rsidR="18DFF66E">
        <w:rPr>
          <w:rFonts w:ascii="Arial" w:hAnsi="Arial" w:eastAsia="Arial" w:cs="Arial"/>
          <w:b w:val="1"/>
          <w:bCs w:val="1"/>
          <w:color w:val="000000"/>
          <w:sz w:val="24"/>
          <w:szCs w:val="24"/>
        </w:rPr>
        <w:t xml:space="preserve"> </w:t>
      </w:r>
    </w:p>
    <w:p xmlns:wp14="http://schemas.microsoft.com/office/word/2010/wordml" w:rsidP="18DFF66E" w14:paraId="4FA23288"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To assess Toyota’s culture in context, this section evaluates adaptation under three external pressure clusters: technological, environmental and economic. The key question is how Toyota’s culture shapes </w:t>
      </w:r>
      <w:r w:rsidRPr="18DFF66E" w:rsidR="18DFF66E">
        <w:rPr>
          <w:rFonts w:ascii="Arial" w:hAnsi="Arial" w:eastAsia="Arial" w:cs="Arial"/>
          <w:i w:val="1"/>
          <w:iCs w:val="1"/>
          <w:color w:val="000000"/>
          <w:sz w:val="24"/>
          <w:szCs w:val="24"/>
          <w:lang w:val="en-GB"/>
        </w:rPr>
        <w:t>the pace, form and risk profile</w:t>
      </w:r>
      <w:r w:rsidRPr="18DFF66E" w:rsidR="18DFF66E">
        <w:rPr>
          <w:rFonts w:ascii="Arial" w:hAnsi="Arial" w:eastAsia="Arial" w:cs="Arial"/>
          <w:color w:val="000000"/>
          <w:sz w:val="24"/>
          <w:szCs w:val="24"/>
          <w:lang w:val="en-GB"/>
        </w:rPr>
        <w:t xml:space="preserve"> of adaptation, rather than whether Toyota adapts at all (Schein, 2010).</w:t>
      </w:r>
      <w:r w:rsidRPr="18DFF66E" w:rsidR="18DFF66E">
        <w:rPr>
          <w:rFonts w:ascii="Arial" w:hAnsi="Arial" w:eastAsia="Arial" w:cs="Arial"/>
          <w:color w:val="000000"/>
          <w:sz w:val="24"/>
          <w:szCs w:val="24"/>
          <w:lang w:val="en-GB"/>
        </w:rPr>
        <w:t xml:space="preserve"> </w:t>
      </w:r>
    </w:p>
    <w:p xmlns:wp14="http://schemas.microsoft.com/office/word/2010/wordml" w:rsidP="18DFF66E" w14:paraId="0B2853F0"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Technological pressures</w:t>
      </w:r>
      <w:r w:rsidRPr="18DFF66E" w:rsidR="18DFF66E">
        <w:rPr>
          <w:rFonts w:ascii="Arial" w:hAnsi="Arial" w:eastAsia="Arial" w:cs="Arial"/>
          <w:color w:val="000000"/>
          <w:sz w:val="24"/>
          <w:szCs w:val="24"/>
          <w:lang w:val="en-GB"/>
        </w:rPr>
        <w:t xml:space="preserve"> include battery-electric vehicles, software-defined products and digital services. Toyota’s culture is advantageous when technology risks can be reduced through strong problem visibility and quality-at-source; jidoka supports early defect detection and containment (Toyota Motor Corporation, 2026). However, the same preference for stability and standardisation can slow learning when uncertainty is primarily about users and markets rather than process variation, as is common in software and platform transitions (Johnson and Scholes, 2002). In software-led work, learning often occurs through shorter cycles—releasing early versions, observing real use and iterating quickly—and it is more externally driven because it depends on customer data, partner ecosystems and real-world feedback, not only internal process control. Toyota’s routine-based learning can still help, but it may need to run faster and give external signals clearer status in decision-making. Recent research argues that Toyota’s routine-based learning can support resilience, but Toyota may need stronger dynamic capabilities to avoid strategic delay (Khan and Pervin, 2024; Kobayashi, 2024). The implication is that improvement routines must generate fast external feedback, not only internal process optimisation, if Toyota is to compete on software-speed cycles.</w:t>
      </w:r>
      <w:r w:rsidRPr="18DFF66E" w:rsidR="18DFF66E">
        <w:rPr>
          <w:rFonts w:ascii="Arial" w:hAnsi="Arial" w:eastAsia="Arial" w:cs="Arial"/>
          <w:color w:val="000000"/>
          <w:sz w:val="24"/>
          <w:szCs w:val="24"/>
          <w:lang w:val="en-GB"/>
        </w:rPr>
        <w:t xml:space="preserve"> </w:t>
      </w:r>
    </w:p>
    <w:p xmlns:wp14="http://schemas.microsoft.com/office/word/2010/wordml" w:rsidP="18DFF66E" w14:paraId="48F7F920"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Environmental pressures</w:t>
      </w:r>
      <w:r w:rsidRPr="18DFF66E" w:rsidR="18DFF66E">
        <w:rPr>
          <w:rFonts w:ascii="Arial" w:hAnsi="Arial" w:eastAsia="Arial" w:cs="Arial"/>
          <w:color w:val="000000"/>
          <w:sz w:val="24"/>
          <w:szCs w:val="24"/>
          <w:lang w:val="en-GB"/>
        </w:rPr>
        <w:t xml:space="preserve"> include decarbonisation, tighter regulation and greater stakeholder scrutiny of lifecycle impacts. Toyota’s long-term philosophy and system-based waste elimination can support credible environmental improvement because emissions and material losses can be treated as “waste” to be measured and reduced through kaizen (Toyota Motor Corporation, 2026). Evidence on sustainability, branding and innovation also suggests that cultural strength can translate into stakeholder outcomes (Simão and Lisboa, 2017). However, the evaluation is conditional: decarbonisation may require discontinuous shifts in product mix, supplier ecosystems and capital allocation. If the dominant paradigm favours incremental change, Toyota may respond too slowly to rapid policy shifts or competitor acceleration, even while delivering strong operational eco-efficiency (Schein, 2010; Johnson and Scholes, 2002).</w:t>
      </w:r>
      <w:r w:rsidRPr="18DFF66E" w:rsidR="18DFF66E">
        <w:rPr>
          <w:rFonts w:ascii="Arial" w:hAnsi="Arial" w:eastAsia="Arial" w:cs="Arial"/>
          <w:color w:val="000000"/>
          <w:sz w:val="24"/>
          <w:szCs w:val="24"/>
          <w:lang w:val="en-GB"/>
        </w:rPr>
        <w:t xml:space="preserve"> </w:t>
      </w:r>
    </w:p>
    <w:p xmlns:wp14="http://schemas.microsoft.com/office/word/2010/wordml" w:rsidP="18DFF66E" w14:paraId="72A5A39D"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Economic pressures</w:t>
      </w:r>
      <w:r w:rsidRPr="18DFF66E" w:rsidR="18DFF66E">
        <w:rPr>
          <w:rFonts w:ascii="Arial" w:hAnsi="Arial" w:eastAsia="Arial" w:cs="Arial"/>
          <w:color w:val="000000"/>
          <w:sz w:val="24"/>
          <w:szCs w:val="24"/>
          <w:lang w:val="en-GB"/>
        </w:rPr>
        <w:t xml:space="preserve"> include global competition, supply chain volatility and cost inflation. Here, TPS aligns strongly with external demands: just-in-time, disciplined problem-solving and continuous improvement support resilience and cost control. The codified Toyota Way also supports consistent execution across sites (Monden, 1977; Jayamaha et al., 2014). Research suggests Toyota practices can be adapted to local contexts without abandoning core principles, supporting global responsiveness (Vanichchinchai, 2023). The main risk is strategic: if efficiency becomes the dominant test of legitimacy, Toyota may over-invest in exploiting existing capabilities and under-invest in exploring new ones (Johnson and Scholes, 2002; Kobayashi, 2024).</w:t>
      </w:r>
      <w:r w:rsidRPr="18DFF66E" w:rsidR="18DFF66E">
        <w:rPr>
          <w:rFonts w:ascii="Arial" w:hAnsi="Arial" w:eastAsia="Arial" w:cs="Arial"/>
          <w:color w:val="000000"/>
          <w:sz w:val="24"/>
          <w:szCs w:val="24"/>
          <w:lang w:val="en-GB"/>
        </w:rPr>
        <w:t xml:space="preserve"> </w:t>
      </w:r>
    </w:p>
    <w:p xmlns:wp14="http://schemas.microsoft.com/office/word/2010/wordml" w:rsidP="18DFF66E" w14:paraId="1E5C83E2"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Overall, Toyota’s culture supports adaptation most strongly when external challenges can be translated into measurable problems and addressed through iterative improvement. It is less reliable when adaptation requires rapid, discontinuous shifts, new partner ecosystems and a higher tolerance of early-stage failure. The issue is not that Toyota avoids learning, but that its dominant learning style is designed to reduce variation and prevent defects. This fits manufacturing contexts where cause-and-effect is clearer and performance depends on repeatability. Under software and electrification transitions, standards may need to change faster, and advantage can come from exploring uncertain options before the “right” answer is known. In these cases, the Cultural Web’s routines, controls and power structures may unintentionally reinforce the existing paradigm, making it harder to legitimise faster, higher-variance experimentation even when it is strategically appropriate (Schein, 2010; Johnson and Scholes, 2002).</w:t>
      </w:r>
      <w:r w:rsidRPr="18DFF66E" w:rsidR="18DFF66E">
        <w:rPr>
          <w:rFonts w:ascii="Arial" w:hAnsi="Arial" w:eastAsia="Arial" w:cs="Arial"/>
          <w:color w:val="000000"/>
          <w:sz w:val="24"/>
          <w:szCs w:val="24"/>
          <w:lang w:val="en-GB"/>
        </w:rPr>
        <w:t xml:space="preserve"> </w:t>
      </w:r>
    </w:p>
    <w:p xmlns:wp14="http://schemas.microsoft.com/office/word/2010/wordml" w:rsidP="18DFF66E" w14:paraId="2263BB8D"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6. Culture as Barrier or Enabler + Impact on Organisational Performance</w:t>
      </w:r>
      <w:r w:rsidRPr="18DFF66E" w:rsidR="18DFF66E">
        <w:rPr>
          <w:rFonts w:ascii="Arial" w:hAnsi="Arial" w:eastAsia="Arial" w:cs="Arial"/>
          <w:b w:val="1"/>
          <w:bCs w:val="1"/>
          <w:color w:val="000000"/>
          <w:sz w:val="24"/>
          <w:szCs w:val="24"/>
        </w:rPr>
        <w:t xml:space="preserve"> </w:t>
      </w:r>
    </w:p>
    <w:p xmlns:wp14="http://schemas.microsoft.com/office/word/2010/wordml" w:rsidP="18DFF66E" w14:paraId="49C13F9B"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Toyota’s culture primarily enables performance because it translates values into routines that coordinate behaviour at scale. However, Schein (2010) notes that shared assumptions can become misaligned with a changing environment. For Toyota, the same strengths can become barriers when performance depends on rapid experimentation, external sensing and uncertain learning rather than disciplined internal control. This creates a practical tension: operational stability is essential for safety, quality and cost, but it also shapes what kinds of variation Toyota is willing to tolerate in order to learn. In software and BEV transitions, Toyota may need to treat some forms of “waste” (e.g., parallel exploration and early prototypes) as legitimate learning investments rather than inefficiency, while still using jidoka-style risk containment to protect customers and the brand (Johnson and Scholes, 2002; Toyota Motor Corporation, 2026). The judgement is therefore conditional: Toyota’s culture is high-performing and mainly an enabler, but it requires deliberate rebalancing under technological disruption (Khan and Pervin, 2024; Kobayashi, 2024).</w:t>
      </w:r>
      <w:r w:rsidRPr="18DFF66E" w:rsidR="18DFF66E">
        <w:rPr>
          <w:rFonts w:ascii="Arial" w:hAnsi="Arial" w:eastAsia="Arial" w:cs="Arial"/>
          <w:color w:val="000000"/>
          <w:sz w:val="24"/>
          <w:szCs w:val="24"/>
          <w:lang w:val="en-GB"/>
        </w:rPr>
        <w:t xml:space="preserve"> </w:t>
      </w:r>
    </w:p>
    <w:p xmlns:wp14="http://schemas.microsoft.com/office/word/2010/wordml" w:rsidP="18DFF66E" w14:paraId="44C7CF33"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As an enabler, Toyota’s cultural system produces a clear performance logic. TPS treats performance as waste reduction while also building in quality through jidoka and stabilising flow through just-in-time (Toyota Motor Corporation, 2026). Monden (1977) is important because it frames kanban and just-in-time as socio-technical design rather than logistics alone; participation and respect-for-human are part of the system’s rationale. In Schein’s terms, alignment across artefacts (andon, standard work, visual management), espoused values (continuous improvement and respect) and assumptions (learning through visible problems; prevention over correction) helps explain Toyota’s long-term operational discipline and reliability (Schein, 2010; Toyota Motor Corporation, n.d.-a). Large-sample evidence also links Toyota Way practices to performance across facilities, suggesting the culture is not merely rhetorical (Jayamaha et al., 2014).</w:t>
      </w:r>
      <w:r w:rsidRPr="18DFF66E" w:rsidR="18DFF66E">
        <w:rPr>
          <w:rFonts w:ascii="Arial" w:hAnsi="Arial" w:eastAsia="Arial" w:cs="Arial"/>
          <w:color w:val="000000"/>
          <w:sz w:val="24"/>
          <w:szCs w:val="24"/>
          <w:lang w:val="en-GB"/>
        </w:rPr>
        <w:t xml:space="preserve"> </w:t>
      </w:r>
    </w:p>
    <w:p xmlns:wp14="http://schemas.microsoft.com/office/word/2010/wordml" w:rsidP="18DFF66E" w14:paraId="241DAAAA"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Barriers emerge when controls and legitimacy tests narrow the organisation’s options. The Cultural Web highlights a risk of paradigm protection: stories and symbols celebrate disciplined, internally validated improvement, and power can concentrate among those who argue in TPS-consistent ways (Johnson and Scholes, 1992; Johnson and Scholes, 2002). In fast-moving technology contexts, this can lead to slower escalation, reluctance to run parallel high-variance experiments or delayed acceptance of external partner logic. Deal and Kennedy’s (1982) typology is included only as context: when risks are high and feedback is slow, cultures may reinforce caution. This is consistent with the drag effects discussed here, but it adds less diagnostic value than Schein and the Cultural Web and is not used further.</w:t>
      </w:r>
      <w:r w:rsidRPr="18DFF66E" w:rsidR="18DFF66E">
        <w:rPr>
          <w:rFonts w:ascii="Arial" w:hAnsi="Arial" w:eastAsia="Arial" w:cs="Arial"/>
          <w:color w:val="000000"/>
          <w:sz w:val="24"/>
          <w:szCs w:val="24"/>
          <w:lang w:val="en-GB"/>
        </w:rPr>
        <w:t xml:space="preserve"> </w:t>
      </w:r>
    </w:p>
    <w:p xmlns:wp14="http://schemas.microsoft.com/office/word/2010/wordml" w:rsidP="18DFF66E" w14:paraId="4BAAEE23"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To clarify performance implications, Toyota can also be discussed through McKinsey’s Organisational Health Index (OHI), which links “health outcomes” (e.g., direction, innovation and learning, coordination) to long-run performance (McKinsey &amp; Company, 2017). The mapping below is illustrative and is used to support evaluation rather than to report measured scores.</w:t>
      </w:r>
      <w:r w:rsidRPr="18DFF66E" w:rsidR="18DFF66E">
        <w:rPr>
          <w:rFonts w:ascii="Arial" w:hAnsi="Arial" w:eastAsia="Arial" w:cs="Arial"/>
          <w:color w:val="000000"/>
          <w:sz w:val="24"/>
          <w:szCs w:val="24"/>
        </w:rPr>
        <w:t xml:space="preserve"> </w:t>
      </w:r>
    </w:p>
    <w:p xmlns:wp14="http://schemas.microsoft.com/office/word/2010/wordml" w:rsidP="18DFF66E" w14:paraId="0BEFA5E1"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Table 2: Organisational Health Index (illustrative mapping to Toyota’s culture)</w:t>
      </w:r>
      <w:r w:rsidRPr="18DFF66E" w:rsidR="18DFF66E">
        <w:rPr>
          <w:rFonts w:ascii="Arial" w:hAnsi="Arial" w:eastAsia="Arial" w:cs="Arial"/>
          <w:b w:val="1"/>
          <w:bCs w:val="1"/>
          <w:color w:val="000000"/>
          <w:sz w:val="24"/>
          <w:szCs w:val="24"/>
        </w:rPr>
        <w:t xml:space="preserve"> </w:t>
      </w:r>
    </w:p>
    <w:tbl>
      <w:tblPr>
        <w:tblW w:w="9030" w:type="dxa"/>
        <w:tblBorders>
          <w:top w:val="single" w:color="dbdbdb" w:sz="6"/>
          <w:start w:val="single" w:color="dbdbdb" w:sz="6"/>
          <w:left w:val="single"/>
          <w:bottom w:val="single" w:color="dbdbdb" w:sz="6"/>
          <w:end w:val="single" w:color="dbdbdb" w:sz="6"/>
          <w:right w:val="single"/>
          <w:insideH w:val="single" w:color="dbdbdb" w:sz="6"/>
          <w:insideV w:val="single" w:color="dbdbdb" w:sz="6"/>
        </w:tblBorders>
      </w:tblPr>
      <w:tblGrid>
        <w:gridCol w:w="2528"/>
        <w:gridCol w:w="2528"/>
        <w:gridCol w:w="3973"/>
      </w:tblGrid>
      <w:tr xmlns:wp14="http://schemas.microsoft.com/office/word/2010/wordml" w:rsidTr="18DFF66E" w14:paraId="3C042237" wp14:textId="77777777">
        <w:tc>
          <w:tcPr>
            <w:tcW w:w="2528" w:type="dxa"/>
            <w:shd w:val="clear" w:color="auto" w:fill="F1F1F1"/>
            <w:tcMar>
              <w:top w:w="150"/>
              <w:start w:w="150"/>
              <w:bottom w:w="150"/>
              <w:end w:w="150"/>
            </w:tcMar>
          </w:tcPr>
          <w:p w:rsidP="18DFF66E" w14:paraId="2C49625E"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Outcome area</w:t>
            </w:r>
            <w:r w:rsidRPr="18DFF66E" w:rsidR="18DFF66E">
              <w:rPr>
                <w:rFonts w:ascii="Arial" w:hAnsi="Arial" w:eastAsia="Arial" w:cs="Arial"/>
                <w:b w:val="1"/>
                <w:bCs w:val="1"/>
                <w:color w:val="000000"/>
                <w:sz w:val="24"/>
                <w:szCs w:val="24"/>
              </w:rPr>
              <w:t xml:space="preserve"> </w:t>
            </w:r>
          </w:p>
        </w:tc>
        <w:tc>
          <w:tcPr>
            <w:tcW w:w="2528" w:type="dxa"/>
            <w:shd w:val="clear" w:color="auto" w:fill="F1F1F1"/>
            <w:tcMar>
              <w:top w:w="150"/>
              <w:start w:w="150"/>
              <w:bottom w:w="150"/>
              <w:end w:w="150"/>
            </w:tcMar>
          </w:tcPr>
          <w:p w:rsidP="18DFF66E" w14:paraId="1A9F1E48"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Expected strength</w:t>
            </w:r>
            <w:r w:rsidRPr="18DFF66E" w:rsidR="18DFF66E">
              <w:rPr>
                <w:rFonts w:ascii="Arial" w:hAnsi="Arial" w:eastAsia="Arial" w:cs="Arial"/>
                <w:b w:val="1"/>
                <w:bCs w:val="1"/>
                <w:color w:val="000000"/>
                <w:sz w:val="24"/>
                <w:szCs w:val="24"/>
              </w:rPr>
              <w:t xml:space="preserve"> </w:t>
            </w:r>
          </w:p>
        </w:tc>
        <w:tc>
          <w:tcPr>
            <w:tcW w:w="3973" w:type="dxa"/>
            <w:shd w:val="clear" w:color="auto" w:fill="F1F1F1"/>
            <w:tcMar>
              <w:top w:w="150"/>
              <w:start w:w="150"/>
              <w:bottom w:w="150"/>
              <w:end w:w="150"/>
            </w:tcMar>
          </w:tcPr>
          <w:p w:rsidP="18DFF66E" w14:paraId="788F5AE8"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Culture-based rationale (linked to Schein/TPS/Cultural Web)</w:t>
            </w:r>
            <w:r w:rsidRPr="18DFF66E" w:rsidR="18DFF66E">
              <w:rPr>
                <w:rFonts w:ascii="Arial" w:hAnsi="Arial" w:eastAsia="Arial" w:cs="Arial"/>
                <w:b w:val="1"/>
                <w:bCs w:val="1"/>
                <w:color w:val="000000"/>
                <w:sz w:val="24"/>
                <w:szCs w:val="24"/>
              </w:rPr>
              <w:t xml:space="preserve"> </w:t>
            </w:r>
          </w:p>
        </w:tc>
      </w:tr>
      <w:tr xmlns:wp14="http://schemas.microsoft.com/office/word/2010/wordml" w:rsidTr="18DFF66E" w14:paraId="713CA97E" wp14:textId="77777777">
        <w:tc>
          <w:tcPr>
            <w:tcW w:w="2528" w:type="dxa"/>
            <w:tcMar>
              <w:top w:w="150"/>
              <w:start w:w="150"/>
              <w:bottom w:w="150"/>
              <w:end w:w="150"/>
            </w:tcMar>
          </w:tcPr>
          <w:p w:rsidP="18DFF66E" w14:paraId="24FC15FF"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Direction</w:t>
            </w:r>
            <w:r w:rsidRPr="18DFF66E" w:rsidR="18DFF66E">
              <w:rPr>
                <w:rFonts w:ascii="Arial" w:hAnsi="Arial" w:eastAsia="Arial" w:cs="Arial"/>
                <w:color w:val="000000"/>
                <w:sz w:val="24"/>
                <w:szCs w:val="24"/>
              </w:rPr>
              <w:t xml:space="preserve"> </w:t>
            </w:r>
          </w:p>
        </w:tc>
        <w:tc>
          <w:tcPr>
            <w:tcW w:w="2528" w:type="dxa"/>
            <w:tcMar>
              <w:top w:w="150"/>
              <w:start w:w="150"/>
              <w:bottom w:w="150"/>
              <w:end w:w="150"/>
            </w:tcMar>
          </w:tcPr>
          <w:p w:rsidP="18DFF66E" w14:paraId="45EDD392"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Very strong</w:t>
            </w:r>
            <w:r w:rsidRPr="18DFF66E" w:rsidR="18DFF66E">
              <w:rPr>
                <w:rFonts w:ascii="Arial" w:hAnsi="Arial" w:eastAsia="Arial" w:cs="Arial"/>
                <w:color w:val="000000"/>
                <w:sz w:val="24"/>
                <w:szCs w:val="24"/>
                <w:lang w:val="en-GB"/>
              </w:rPr>
              <w:t xml:space="preserve"> </w:t>
            </w:r>
          </w:p>
        </w:tc>
        <w:tc>
          <w:tcPr>
            <w:tcW w:w="3973" w:type="dxa"/>
            <w:tcMar>
              <w:top w:w="150"/>
              <w:start w:w="150"/>
              <w:bottom w:w="150"/>
              <w:end w:w="150"/>
            </w:tcMar>
          </w:tcPr>
          <w:p w:rsidP="18DFF66E" w14:paraId="72EB50F8"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Clear espoused pillars and a stable performance paradigm reinforced by stories, symbols and controls (Toyota Motor Corporation, n.d.-a; Johnson and Scholes, 2002)</w:t>
            </w:r>
            <w:r w:rsidRPr="18DFF66E" w:rsidR="18DFF66E">
              <w:rPr>
                <w:rFonts w:ascii="Arial" w:hAnsi="Arial" w:eastAsia="Arial" w:cs="Arial"/>
                <w:color w:val="000000"/>
                <w:sz w:val="24"/>
                <w:szCs w:val="24"/>
                <w:lang w:val="en-GB"/>
              </w:rPr>
              <w:t xml:space="preserve"> </w:t>
            </w:r>
          </w:p>
        </w:tc>
      </w:tr>
      <w:tr xmlns:wp14="http://schemas.microsoft.com/office/word/2010/wordml" w:rsidTr="18DFF66E" w14:paraId="7316B5EB" wp14:textId="77777777">
        <w:tc>
          <w:tcPr>
            <w:tcW w:w="2528" w:type="dxa"/>
            <w:tcMar>
              <w:top w:w="150"/>
              <w:start w:w="150"/>
              <w:bottom w:w="150"/>
              <w:end w:w="150"/>
            </w:tcMar>
          </w:tcPr>
          <w:p w:rsidP="18DFF66E" w14:paraId="3F2F3915"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Coordination and control</w:t>
            </w:r>
            <w:r w:rsidRPr="18DFF66E" w:rsidR="18DFF66E">
              <w:rPr>
                <w:rFonts w:ascii="Arial" w:hAnsi="Arial" w:eastAsia="Arial" w:cs="Arial"/>
                <w:color w:val="000000"/>
                <w:sz w:val="24"/>
                <w:szCs w:val="24"/>
              </w:rPr>
              <w:t xml:space="preserve"> </w:t>
            </w:r>
          </w:p>
        </w:tc>
        <w:tc>
          <w:tcPr>
            <w:tcW w:w="2528" w:type="dxa"/>
            <w:tcMar>
              <w:top w:w="150"/>
              <w:start w:w="150"/>
              <w:bottom w:w="150"/>
              <w:end w:w="150"/>
            </w:tcMar>
          </w:tcPr>
          <w:p w:rsidP="18DFF66E" w14:paraId="6AB2E60E"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Strong</w:t>
            </w:r>
            <w:r w:rsidRPr="18DFF66E" w:rsidR="18DFF66E">
              <w:rPr>
                <w:rFonts w:ascii="Arial" w:hAnsi="Arial" w:eastAsia="Arial" w:cs="Arial"/>
                <w:color w:val="000000"/>
                <w:sz w:val="24"/>
                <w:szCs w:val="24"/>
              </w:rPr>
              <w:t xml:space="preserve"> </w:t>
            </w:r>
          </w:p>
        </w:tc>
        <w:tc>
          <w:tcPr>
            <w:tcW w:w="3973" w:type="dxa"/>
            <w:tcMar>
              <w:top w:w="150"/>
              <w:start w:w="150"/>
              <w:bottom w:w="150"/>
              <w:end w:w="150"/>
            </w:tcMar>
          </w:tcPr>
          <w:p w:rsidP="18DFF66E" w14:paraId="5DC8013F"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TPS routines, standard work and visual control systems support consistent coordination across levels (Toyota Motor Corporation, 2026)</w:t>
            </w:r>
            <w:r w:rsidRPr="18DFF66E" w:rsidR="18DFF66E">
              <w:rPr>
                <w:rFonts w:ascii="Arial" w:hAnsi="Arial" w:eastAsia="Arial" w:cs="Arial"/>
                <w:color w:val="000000"/>
                <w:sz w:val="24"/>
                <w:szCs w:val="24"/>
              </w:rPr>
              <w:t xml:space="preserve"> </w:t>
            </w:r>
          </w:p>
        </w:tc>
      </w:tr>
      <w:tr xmlns:wp14="http://schemas.microsoft.com/office/word/2010/wordml" w:rsidTr="18DFF66E" w14:paraId="3413762E" wp14:textId="77777777">
        <w:tc>
          <w:tcPr>
            <w:tcW w:w="2528" w:type="dxa"/>
            <w:tcMar>
              <w:top w:w="150"/>
              <w:start w:w="150"/>
              <w:bottom w:w="150"/>
              <w:end w:w="150"/>
            </w:tcMar>
          </w:tcPr>
          <w:p w:rsidP="18DFF66E" w14:paraId="40F1A6C5"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Innovation and learning</w:t>
            </w:r>
            <w:r w:rsidRPr="18DFF66E" w:rsidR="18DFF66E">
              <w:rPr>
                <w:rFonts w:ascii="Arial" w:hAnsi="Arial" w:eastAsia="Arial" w:cs="Arial"/>
                <w:color w:val="000000"/>
                <w:sz w:val="24"/>
                <w:szCs w:val="24"/>
              </w:rPr>
              <w:t xml:space="preserve"> </w:t>
            </w:r>
          </w:p>
        </w:tc>
        <w:tc>
          <w:tcPr>
            <w:tcW w:w="2528" w:type="dxa"/>
            <w:tcMar>
              <w:top w:w="150"/>
              <w:start w:w="150"/>
              <w:bottom w:w="150"/>
              <w:end w:w="150"/>
            </w:tcMar>
          </w:tcPr>
          <w:p w:rsidP="18DFF66E" w14:paraId="7009A94B"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Strong (incremental)</w:t>
            </w:r>
            <w:r w:rsidRPr="18DFF66E" w:rsidR="18DFF66E">
              <w:rPr>
                <w:rFonts w:ascii="Arial" w:hAnsi="Arial" w:eastAsia="Arial" w:cs="Arial"/>
                <w:color w:val="000000"/>
                <w:sz w:val="24"/>
                <w:szCs w:val="24"/>
              </w:rPr>
              <w:t xml:space="preserve"> </w:t>
            </w:r>
          </w:p>
        </w:tc>
        <w:tc>
          <w:tcPr>
            <w:tcW w:w="3973" w:type="dxa"/>
            <w:tcMar>
              <w:top w:w="150"/>
              <w:start w:w="150"/>
              <w:bottom w:w="150"/>
              <w:end w:w="150"/>
            </w:tcMar>
          </w:tcPr>
          <w:p w:rsidP="18DFF66E" w14:paraId="45CEEAA5"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Kaizen embeds learning through problem visibility; may be weaker for radical experimentation in new technology domains (Schein, 2010; Johnson and Scholes, 2002)</w:t>
            </w:r>
            <w:r w:rsidRPr="18DFF66E" w:rsidR="18DFF66E">
              <w:rPr>
                <w:rFonts w:ascii="Arial" w:hAnsi="Arial" w:eastAsia="Arial" w:cs="Arial"/>
                <w:color w:val="000000"/>
                <w:sz w:val="24"/>
                <w:szCs w:val="24"/>
                <w:lang w:val="en-GB"/>
              </w:rPr>
              <w:t xml:space="preserve"> </w:t>
            </w:r>
          </w:p>
        </w:tc>
      </w:tr>
      <w:tr xmlns:wp14="http://schemas.microsoft.com/office/word/2010/wordml" w:rsidTr="18DFF66E" w14:paraId="13722947" wp14:textId="77777777">
        <w:tc>
          <w:tcPr>
            <w:tcW w:w="2528" w:type="dxa"/>
            <w:tcMar>
              <w:top w:w="150"/>
              <w:start w:w="150"/>
              <w:bottom w:w="150"/>
              <w:end w:w="150"/>
            </w:tcMar>
          </w:tcPr>
          <w:p w:rsidP="18DFF66E" w14:paraId="4754448D"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Accountability</w:t>
            </w:r>
            <w:r w:rsidRPr="18DFF66E" w:rsidR="18DFF66E">
              <w:rPr>
                <w:rFonts w:ascii="Arial" w:hAnsi="Arial" w:eastAsia="Arial" w:cs="Arial"/>
                <w:color w:val="000000"/>
                <w:sz w:val="24"/>
                <w:szCs w:val="24"/>
              </w:rPr>
              <w:t xml:space="preserve"> </w:t>
            </w:r>
          </w:p>
        </w:tc>
        <w:tc>
          <w:tcPr>
            <w:tcW w:w="2528" w:type="dxa"/>
            <w:tcMar>
              <w:top w:w="150"/>
              <w:start w:w="150"/>
              <w:bottom w:w="150"/>
              <w:end w:w="150"/>
            </w:tcMar>
          </w:tcPr>
          <w:p w:rsidP="18DFF66E" w14:paraId="195F49C9"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Mixed</w:t>
            </w:r>
            <w:r w:rsidRPr="18DFF66E" w:rsidR="18DFF66E">
              <w:rPr>
                <w:rFonts w:ascii="Arial" w:hAnsi="Arial" w:eastAsia="Arial" w:cs="Arial"/>
                <w:color w:val="000000"/>
                <w:sz w:val="24"/>
                <w:szCs w:val="24"/>
              </w:rPr>
              <w:t xml:space="preserve"> </w:t>
            </w:r>
          </w:p>
        </w:tc>
        <w:tc>
          <w:tcPr>
            <w:tcW w:w="3973" w:type="dxa"/>
            <w:tcMar>
              <w:top w:w="150"/>
              <w:start w:w="150"/>
              <w:bottom w:w="150"/>
              <w:end w:w="150"/>
            </w:tcMar>
          </w:tcPr>
          <w:p w:rsidP="18DFF66E" w14:paraId="1A0D8F95"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Shared responsibility is strong for quality; consensus and escalation norms may reduce individual ownership for rapid strategic decisions (Schein, 2010)</w:t>
            </w:r>
            <w:r w:rsidRPr="18DFF66E" w:rsidR="18DFF66E">
              <w:rPr>
                <w:rFonts w:ascii="Arial" w:hAnsi="Arial" w:eastAsia="Arial" w:cs="Arial"/>
                <w:color w:val="000000"/>
                <w:sz w:val="24"/>
                <w:szCs w:val="24"/>
              </w:rPr>
              <w:t xml:space="preserve"> </w:t>
            </w:r>
          </w:p>
        </w:tc>
      </w:tr>
      <w:tr xmlns:wp14="http://schemas.microsoft.com/office/word/2010/wordml" w:rsidTr="18DFF66E" w14:paraId="57D56C8C" wp14:textId="77777777">
        <w:tc>
          <w:tcPr>
            <w:tcW w:w="2528" w:type="dxa"/>
            <w:tcMar>
              <w:top w:w="150"/>
              <w:start w:w="150"/>
              <w:bottom w:w="150"/>
              <w:end w:w="150"/>
            </w:tcMar>
          </w:tcPr>
          <w:p w:rsidP="18DFF66E" w14:paraId="15205767"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External orientation</w:t>
            </w:r>
            <w:r w:rsidRPr="18DFF66E" w:rsidR="18DFF66E">
              <w:rPr>
                <w:rFonts w:ascii="Arial" w:hAnsi="Arial" w:eastAsia="Arial" w:cs="Arial"/>
                <w:color w:val="000000"/>
                <w:sz w:val="24"/>
                <w:szCs w:val="24"/>
              </w:rPr>
              <w:t xml:space="preserve"> </w:t>
            </w:r>
          </w:p>
        </w:tc>
        <w:tc>
          <w:tcPr>
            <w:tcW w:w="2528" w:type="dxa"/>
            <w:tcMar>
              <w:top w:w="150"/>
              <w:start w:w="150"/>
              <w:bottom w:w="150"/>
              <w:end w:w="150"/>
            </w:tcMar>
          </w:tcPr>
          <w:p w:rsidP="18DFF66E" w14:paraId="29A612A7"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Area for improvement</w:t>
            </w:r>
            <w:r w:rsidRPr="18DFF66E" w:rsidR="18DFF66E">
              <w:rPr>
                <w:rFonts w:ascii="Arial" w:hAnsi="Arial" w:eastAsia="Arial" w:cs="Arial"/>
                <w:color w:val="000000"/>
                <w:sz w:val="24"/>
                <w:szCs w:val="24"/>
              </w:rPr>
              <w:t xml:space="preserve"> </w:t>
            </w:r>
          </w:p>
        </w:tc>
        <w:tc>
          <w:tcPr>
            <w:tcW w:w="3973" w:type="dxa"/>
            <w:tcMar>
              <w:top w:w="150"/>
              <w:start w:w="150"/>
              <w:bottom w:w="150"/>
              <w:end w:w="150"/>
            </w:tcMar>
          </w:tcPr>
          <w:p w:rsidP="18DFF66E" w14:paraId="702E5ECC"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Paradigm and controls can prioritise internal process signals; requires deliberate ways to weight external market and technology signals (Johnson and Scholes, 2002; Khan and Pervin, 2024)</w:t>
            </w:r>
            <w:r w:rsidRPr="18DFF66E" w:rsidR="18DFF66E">
              <w:rPr>
                <w:rFonts w:ascii="Arial" w:hAnsi="Arial" w:eastAsia="Arial" w:cs="Arial"/>
                <w:color w:val="000000"/>
                <w:sz w:val="24"/>
                <w:szCs w:val="24"/>
              </w:rPr>
              <w:t xml:space="preserve"> </w:t>
            </w:r>
          </w:p>
        </w:tc>
      </w:tr>
    </w:tbl>
    <w:p xmlns:wp14="http://schemas.microsoft.com/office/word/2010/wordml" w:rsidP="18DFF66E" w14:paraId="1F8AE093"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7. Recommendations</w:t>
      </w:r>
      <w:r w:rsidRPr="18DFF66E" w:rsidR="18DFF66E">
        <w:rPr>
          <w:rFonts w:ascii="Arial" w:hAnsi="Arial" w:eastAsia="Arial" w:cs="Arial"/>
          <w:b w:val="1"/>
          <w:bCs w:val="1"/>
          <w:color w:val="000000"/>
          <w:sz w:val="24"/>
          <w:szCs w:val="24"/>
        </w:rPr>
        <w:t xml:space="preserve"> </w:t>
      </w:r>
    </w:p>
    <w:p xmlns:wp14="http://schemas.microsoft.com/office/word/2010/wordml" w:rsidP="18DFF66E" w14:paraId="18EC31B3"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These recommendations protect Toyota’s core cultural strengths (quality-at-source, disciplined learning, respect and participation) while addressing the main constraints identified in the analysis: slower decision speed under uncertainty and weaker external orientation in disruptive technology settings. Each recommendation targets both Schein-level assumptions and Cultural Web levers (routines, controls, power and symbols), increasing the likelihood that change becomes culturally legitimate and sustained rather than treated as a one-off exception (Schein, 2010; Johnson and Scholes, 2002).</w:t>
      </w:r>
      <w:r w:rsidRPr="18DFF66E" w:rsidR="18DFF66E">
        <w:rPr>
          <w:rFonts w:ascii="Arial" w:hAnsi="Arial" w:eastAsia="Arial" w:cs="Arial"/>
          <w:color w:val="000000"/>
          <w:sz w:val="24"/>
          <w:szCs w:val="24"/>
          <w:lang w:val="en-GB"/>
        </w:rPr>
        <w:t xml:space="preserve"> </w:t>
      </w:r>
    </w:p>
    <w:p xmlns:wp14="http://schemas.microsoft.com/office/word/2010/wordml" w:rsidP="18DFF66E" w14:paraId="2F7134FE"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1) Create “two-speed” learning loops: protect TPS for core operations while building fast experimentation pathways for software and BEV domains.</w:t>
      </w:r>
      <w:r w:rsidRPr="18DFF66E" w:rsidR="18DFF66E">
        <w:rPr>
          <w:rFonts w:ascii="Arial" w:hAnsi="Arial" w:eastAsia="Arial" w:cs="Arial"/>
          <w:color w:val="000000"/>
          <w:sz w:val="24"/>
          <w:szCs w:val="24"/>
          <w:lang w:val="en-GB"/>
        </w:rPr>
        <w:t xml:space="preserve"> Toyota should distinguish areas where stability is essential (safety-critical manufacturing) from areas where rapid market and technical learning is essential (software features, digital services and platform architectures). In practice, this means ring-fencing cross-functional product teams with shorter decision cycles, rapid prototyping and explicit tolerance for early-stage failure, while keeping quality gates aligned to jidoka principles (Toyota Motor Corporation, 2026). The cultural goal is to challenge the assumption that rigour always requires slow cycles. Instead, rigour should be defined as </w:t>
      </w:r>
      <w:r w:rsidRPr="18DFF66E" w:rsidR="18DFF66E">
        <w:rPr>
          <w:rFonts w:ascii="Arial" w:hAnsi="Arial" w:eastAsia="Arial" w:cs="Arial"/>
          <w:i w:val="1"/>
          <w:iCs w:val="1"/>
          <w:color w:val="000000"/>
          <w:sz w:val="24"/>
          <w:szCs w:val="24"/>
          <w:lang w:val="en-GB"/>
        </w:rPr>
        <w:t>fast learning with clear risk containment</w:t>
      </w:r>
      <w:r w:rsidRPr="18DFF66E" w:rsidR="18DFF66E">
        <w:rPr>
          <w:rFonts w:ascii="Arial" w:hAnsi="Arial" w:eastAsia="Arial" w:cs="Arial"/>
          <w:color w:val="000000"/>
          <w:sz w:val="24"/>
          <w:szCs w:val="24"/>
          <w:lang w:val="en-GB"/>
        </w:rPr>
        <w:t xml:space="preserve"> (Schein, 2010). This responds directly to arguments that Toyota must strengthen dynamic capabilities while using its routine-based learning strengths (Khan and Pervin, 2024; Kobayashi, 2024).</w:t>
      </w:r>
      <w:r w:rsidRPr="18DFF66E" w:rsidR="18DFF66E">
        <w:rPr>
          <w:rFonts w:ascii="Arial" w:hAnsi="Arial" w:eastAsia="Arial" w:cs="Arial"/>
          <w:color w:val="000000"/>
          <w:sz w:val="24"/>
          <w:szCs w:val="24"/>
          <w:lang w:val="en-GB"/>
        </w:rPr>
        <w:t xml:space="preserve"> </w:t>
      </w:r>
    </w:p>
    <w:p xmlns:wp14="http://schemas.microsoft.com/office/word/2010/wordml" w:rsidP="18DFF66E" w14:paraId="5BC375BE"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2) Rebalance the Cultural Web to increase external orientation: redesign metrics, rituals and leadership attention to give external signals equal status.</w:t>
      </w:r>
      <w:r w:rsidRPr="18DFF66E" w:rsidR="18DFF66E">
        <w:rPr>
          <w:rFonts w:ascii="Arial" w:hAnsi="Arial" w:eastAsia="Arial" w:cs="Arial"/>
          <w:color w:val="000000"/>
          <w:sz w:val="24"/>
          <w:szCs w:val="24"/>
          <w:lang w:val="en-GB"/>
        </w:rPr>
        <w:t xml:space="preserve"> Toyota should adjust control systems so that external indicators (customer usage data, field reliability for software, regulatory trends, competitor benchmarks) carry comparable weight to internal process measures in senior discussions. Cultural Web theory suggests that what leaders repeatedly measure and talk about becomes a symbol of what “counts” (Johnson and Scholes, 1992; Johnson and Scholes, 2002). This preserves TPS discipline while reducing the risk that process excellence substitutes for market learning. Where national-culture influences may encourage harmony and risk avoidance, planned external-sensing routines can counterbalance these tendencies without undermining teamwork and respect (Hofstede, Hofstede and Minkov, 2010).</w:t>
      </w:r>
      <w:r w:rsidRPr="18DFF66E" w:rsidR="18DFF66E">
        <w:rPr>
          <w:rFonts w:ascii="Arial" w:hAnsi="Arial" w:eastAsia="Arial" w:cs="Arial"/>
          <w:color w:val="000000"/>
          <w:sz w:val="24"/>
          <w:szCs w:val="24"/>
          <w:lang w:val="en-GB"/>
        </w:rPr>
        <w:t xml:space="preserve"> </w:t>
      </w:r>
    </w:p>
    <w:p xmlns:wp14="http://schemas.microsoft.com/office/word/2010/wordml" w:rsidP="18DFF66E" w14:paraId="5CCF1F1B"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b w:val="1"/>
          <w:bCs w:val="1"/>
          <w:color w:val="000000"/>
          <w:sz w:val="24"/>
          <w:szCs w:val="24"/>
          <w:lang w:val="en-GB"/>
        </w:rPr>
        <w:t>3) Clarify decision rights for high-uncertainty and crisis conditions while protecting learning after containment.</w:t>
      </w:r>
      <w:r w:rsidRPr="18DFF66E" w:rsidR="18DFF66E">
        <w:rPr>
          <w:rFonts w:ascii="Arial" w:hAnsi="Arial" w:eastAsia="Arial" w:cs="Arial"/>
          <w:color w:val="000000"/>
          <w:sz w:val="24"/>
          <w:szCs w:val="24"/>
          <w:lang w:val="en-GB"/>
        </w:rPr>
        <w:t xml:space="preserve"> Toyota should formalise time-bound decision rights for situations where delay is costly (e.g., safety incidents, regulatory deadlines, platform shifts). The aim is not to remove diagnosis, but to separate immediate containment decisions from longer-cycle root-cause learning. This follows Schein’s logic: assumptions about time and risk must fit the context, or a previously effective culture becomes maladaptive (Schein, 2010). Embedding this approach in governance routines (pre-agreed escalation paths, rapid response teams and post-event learning reviews) makes the change structural rather than dependent on individual heroics.</w:t>
      </w:r>
      <w:r w:rsidRPr="18DFF66E" w:rsidR="18DFF66E">
        <w:rPr>
          <w:rFonts w:ascii="Arial" w:hAnsi="Arial" w:eastAsia="Arial" w:cs="Arial"/>
          <w:color w:val="000000"/>
          <w:sz w:val="24"/>
          <w:szCs w:val="24"/>
          <w:lang w:val="en-GB"/>
        </w:rPr>
        <w:t xml:space="preserve"> </w:t>
      </w:r>
    </w:p>
    <w:p xmlns:wp14="http://schemas.microsoft.com/office/word/2010/wordml" w:rsidP="18DFF66E" w14:paraId="1D46A6B6"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Taken together, these recommendations support cultural ambidexterity: sustaining TPS strengths as an operational culture while expanding Toyota’s capacity for fast, externally oriented learning when conditions require it (Toyota Motor Corporation, 2026; Johnson and Scholes, 2002).</w:t>
      </w:r>
      <w:r w:rsidRPr="18DFF66E" w:rsidR="18DFF66E">
        <w:rPr>
          <w:rFonts w:ascii="Arial" w:hAnsi="Arial" w:eastAsia="Arial" w:cs="Arial"/>
          <w:color w:val="000000"/>
          <w:sz w:val="24"/>
          <w:szCs w:val="24"/>
        </w:rPr>
        <w:t xml:space="preserve"> </w:t>
      </w:r>
    </w:p>
    <w:p xmlns:wp14="http://schemas.microsoft.com/office/word/2010/wordml" w:rsidP="18DFF66E" w14:paraId="5F49A27A"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8. Conclusion</w:t>
      </w:r>
      <w:r w:rsidRPr="18DFF66E" w:rsidR="18DFF66E">
        <w:rPr>
          <w:rFonts w:ascii="Arial" w:hAnsi="Arial" w:eastAsia="Arial" w:cs="Arial"/>
          <w:b w:val="1"/>
          <w:bCs w:val="1"/>
          <w:color w:val="000000"/>
          <w:sz w:val="24"/>
          <w:szCs w:val="24"/>
        </w:rPr>
        <w:t xml:space="preserve"> </w:t>
      </w:r>
    </w:p>
    <w:p xmlns:wp14="http://schemas.microsoft.com/office/word/2010/wordml" w:rsidP="18DFF66E" w14:paraId="46C238AB"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This report analysed Toyota’s organisational culture using Schein’s three-level model as the main framework, supported by Johnson and Scholes’ Cultural Web and Toyota-specific evidence on the Toyota Way and TPS. The analysis supports the central claim that Toyota’s performance culture is not simply “lean production” as a set of efficiency tools; it is embedded through routines that institutionalise continuous improvement, problem visibility, quality-at-source control (jidoka), just-in-time coordination and employee participation framed as respect for people (Monden, 1977; Toyota Motor Corporation, 2026; Toyota Motor Corporation, n.d.-a).</w:t>
      </w:r>
      <w:r w:rsidRPr="18DFF66E" w:rsidR="18DFF66E">
        <w:rPr>
          <w:rFonts w:ascii="Arial" w:hAnsi="Arial" w:eastAsia="Arial" w:cs="Arial"/>
          <w:color w:val="000000"/>
          <w:sz w:val="24"/>
          <w:szCs w:val="24"/>
          <w:lang w:val="en-GB"/>
        </w:rPr>
        <w:t xml:space="preserve"> </w:t>
      </w:r>
    </w:p>
    <w:p xmlns:wp14="http://schemas.microsoft.com/office/word/2010/wordml" w:rsidP="18DFF66E" w14:paraId="7014E99F"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Across the required tasks, the report has critically evaluated how culture shapes Toyota’s structure and decision-making: standardisation, escalation pathways and gemba-based problem-solving support high-quality operational decisions, while consensus and internal validation can reduce speed under uncertainty (Schein, 2010; Johnson and Scholes, 2002). Schein’s model explains how TPS artefacts are reinforced by espoused values and underlying assumptions, while the Cultural Web shows how stories, routines, symbols, power and control systems reproduce a disciplined learning paradigm. Hofstede provides contextual insight into how long-term orientation and uncertainty avoidance may be socially reinforced in Toyota’s home setting, but it does not substitute for organisational-level analysis across global sites (Hofstede, Hofstede and Minkov, 2010).</w:t>
      </w:r>
      <w:r w:rsidRPr="18DFF66E" w:rsidR="18DFF66E">
        <w:rPr>
          <w:rFonts w:ascii="Arial" w:hAnsi="Arial" w:eastAsia="Arial" w:cs="Arial"/>
          <w:color w:val="000000"/>
          <w:sz w:val="24"/>
          <w:szCs w:val="24"/>
          <w:lang w:val="en-GB"/>
        </w:rPr>
        <w:t xml:space="preserve"> </w:t>
      </w:r>
    </w:p>
    <w:p xmlns:wp14="http://schemas.microsoft.com/office/word/2010/wordml" w:rsidP="18DFF66E" w14:paraId="107F57C3"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Overall, Toyota’s culture is judged to be a durable </w:t>
      </w:r>
      <w:r w:rsidRPr="18DFF66E" w:rsidR="18DFF66E">
        <w:rPr>
          <w:rFonts w:ascii="Arial" w:hAnsi="Arial" w:eastAsia="Arial" w:cs="Arial"/>
          <w:i w:val="1"/>
          <w:iCs w:val="1"/>
          <w:color w:val="000000"/>
          <w:sz w:val="24"/>
          <w:szCs w:val="24"/>
          <w:lang w:val="en-GB"/>
        </w:rPr>
        <w:t>enabler</w:t>
      </w:r>
      <w:r w:rsidRPr="18DFF66E" w:rsidR="18DFF66E">
        <w:rPr>
          <w:rFonts w:ascii="Arial" w:hAnsi="Arial" w:eastAsia="Arial" w:cs="Arial"/>
          <w:color w:val="000000"/>
          <w:sz w:val="24"/>
          <w:szCs w:val="24"/>
          <w:lang w:val="en-GB"/>
        </w:rPr>
        <w:t xml:space="preserve"> of quality, coordinated execution and incremental innovation, supporting performance and resilience under economic and operational pressure. Its key limitation is context-dependence under high uncertainty, particularly in software-led and platform-driven transitions and in parts of the technological and environmental agenda that require faster, discontinuous change. The recommendations therefore focus on targeted cultural rebalancing—two-speed learning loops, stronger external-orientation mechanisms and clearer decision rights—to protect TPS strengths while improving rapid adaptation in a volatile environment (Schein, 2010; Johnson and Scholes, 2002).</w:t>
      </w:r>
      <w:r w:rsidRPr="18DFF66E" w:rsidR="18DFF66E">
        <w:rPr>
          <w:rFonts w:ascii="Arial" w:hAnsi="Arial" w:eastAsia="Arial" w:cs="Arial"/>
          <w:color w:val="000000"/>
          <w:sz w:val="24"/>
          <w:szCs w:val="24"/>
          <w:lang w:val="en-GB"/>
        </w:rPr>
        <w:t xml:space="preserve"> </w:t>
      </w:r>
    </w:p>
    <w:p xmlns:wp14="http://schemas.microsoft.com/office/word/2010/wordml" w:rsidP="18DFF66E" w14:paraId="603E0396" wp14:textId="77777777">
      <w:pPr>
        <w:spacing w:before="120" w:after="120" w:line="360" w:lineRule="auto"/>
        <w:ind w:start="0" w:firstLine="0"/>
        <w:jc w:val="start"/>
        <w:rPr>
          <w:rFonts w:ascii="Arial" w:hAnsi="Arial" w:eastAsia="Arial" w:cs="Arial"/>
          <w:b w:val="1"/>
          <w:bCs w:val="1"/>
          <w:color w:val="000000"/>
          <w:sz w:val="24"/>
          <w:szCs w:val="24"/>
        </w:rPr>
      </w:pPr>
      <w:r w:rsidRPr="18DFF66E" w:rsidR="18DFF66E">
        <w:rPr>
          <w:rFonts w:ascii="Arial" w:hAnsi="Arial" w:eastAsia="Arial" w:cs="Arial"/>
          <w:b w:val="1"/>
          <w:bCs w:val="1"/>
          <w:color w:val="000000"/>
          <w:sz w:val="24"/>
          <w:szCs w:val="24"/>
        </w:rPr>
        <w:t>9. References</w:t>
      </w:r>
      <w:r w:rsidRPr="18DFF66E" w:rsidR="18DFF66E">
        <w:rPr>
          <w:rFonts w:ascii="Arial" w:hAnsi="Arial" w:eastAsia="Arial" w:cs="Arial"/>
          <w:b w:val="1"/>
          <w:bCs w:val="1"/>
          <w:color w:val="000000"/>
          <w:sz w:val="24"/>
          <w:szCs w:val="24"/>
        </w:rPr>
        <w:t xml:space="preserve"> </w:t>
      </w:r>
    </w:p>
    <w:p xmlns:wp14="http://schemas.microsoft.com/office/word/2010/wordml" w:rsidP="18DFF66E" w14:paraId="583A9099"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Brooker, P. and Hayward, M. (2023) ‘Toyota: Ohno’s Toyota Production System’, in </w:t>
      </w:r>
      <w:r w:rsidRPr="18DFF66E" w:rsidR="18DFF66E">
        <w:rPr>
          <w:rFonts w:ascii="Arial" w:hAnsi="Arial" w:eastAsia="Arial" w:cs="Arial"/>
          <w:i w:val="1"/>
          <w:iCs w:val="1"/>
          <w:color w:val="000000"/>
          <w:sz w:val="24"/>
          <w:szCs w:val="24"/>
          <w:lang w:val="en-GB"/>
        </w:rPr>
        <w:t>Rational Leadership: Developing and Redeveloping Corporations</w:t>
      </w:r>
      <w:r w:rsidRPr="18DFF66E" w:rsidR="18DFF66E">
        <w:rPr>
          <w:rFonts w:ascii="Arial" w:hAnsi="Arial" w:eastAsia="Arial" w:cs="Arial"/>
          <w:color w:val="000000"/>
          <w:sz w:val="24"/>
          <w:szCs w:val="24"/>
          <w:lang w:val="en-GB"/>
        </w:rPr>
        <w:t xml:space="preserve">. Oxford: Oxford University Press. Available at: </w:t>
      </w:r>
      <w:hyperlink r:id="R81aa302002b94a8b">
        <w:r w:rsidRPr="18DFF66E" w:rsidR="18DFF66E">
          <w:rPr>
            <w:rFonts w:ascii="Arial" w:hAnsi="Arial" w:eastAsia="Arial" w:cs="Arial"/>
            <w:color w:val="000000"/>
            <w:sz w:val="24"/>
            <w:szCs w:val="24"/>
            <w:lang w:val="en-GB"/>
          </w:rPr>
          <w:t>https://doi.org/10.1093/oso/9780198894643.003.0003</w:t>
        </w:r>
      </w:hyperlink>
      <w:r w:rsidRPr="18DFF66E" w:rsidR="18DFF66E">
        <w:rPr>
          <w:rFonts w:ascii="Arial" w:hAnsi="Arial" w:eastAsia="Arial" w:cs="Arial"/>
          <w:color w:val="000000"/>
          <w:sz w:val="24"/>
          <w:szCs w:val="24"/>
          <w:lang w:val="en-GB"/>
        </w:rPr>
        <w:t xml:space="preserve"> (Accessed: 6 July 2026).</w:t>
      </w:r>
      <w:r w:rsidRPr="18DFF66E" w:rsidR="18DFF66E">
        <w:rPr>
          <w:rFonts w:ascii="Arial" w:hAnsi="Arial" w:eastAsia="Arial" w:cs="Arial"/>
          <w:color w:val="000000"/>
          <w:sz w:val="24"/>
          <w:szCs w:val="24"/>
          <w:lang w:val="en-GB"/>
        </w:rPr>
        <w:t xml:space="preserve"> </w:t>
      </w:r>
    </w:p>
    <w:p xmlns:wp14="http://schemas.microsoft.com/office/word/2010/wordml" w:rsidP="18DFF66E" w14:paraId="0F3C0F45"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4FA7CE2B"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Jayamaha, N.P., Wagner, J.P., Grigg, N.P., Campbell-Allen, N.M. and Harvie, W. (2014) ‘Testing a theoretical model underlying the Toyota Way: An empirical study involving a large global sample of Toyota facilities’, </w:t>
      </w:r>
      <w:r w:rsidRPr="18DFF66E" w:rsidR="18DFF66E">
        <w:rPr>
          <w:rFonts w:ascii="Arial" w:hAnsi="Arial" w:eastAsia="Arial" w:cs="Arial"/>
          <w:i w:val="1"/>
          <w:iCs w:val="1"/>
          <w:color w:val="000000"/>
          <w:sz w:val="24"/>
          <w:szCs w:val="24"/>
          <w:lang w:val="en-GB"/>
        </w:rPr>
        <w:t>International Journal of Production Research</w:t>
      </w:r>
      <w:r w:rsidRPr="18DFF66E" w:rsidR="18DFF66E">
        <w:rPr>
          <w:rFonts w:ascii="Arial" w:hAnsi="Arial" w:eastAsia="Arial" w:cs="Arial"/>
          <w:color w:val="000000"/>
          <w:sz w:val="24"/>
          <w:szCs w:val="24"/>
          <w:lang w:val="en-GB"/>
        </w:rPr>
        <w:t xml:space="preserve">, 52(14), pp. 4332–4350. Available at: </w:t>
      </w:r>
      <w:hyperlink r:id="R589ff955730e41d1">
        <w:r w:rsidRPr="18DFF66E" w:rsidR="18DFF66E">
          <w:rPr>
            <w:rFonts w:ascii="Arial" w:hAnsi="Arial" w:eastAsia="Arial" w:cs="Arial"/>
            <w:color w:val="000000"/>
            <w:sz w:val="24"/>
            <w:szCs w:val="24"/>
            <w:lang w:val="en-GB"/>
          </w:rPr>
          <w:t>https://doi.org/10.1080/00207543.2014.883467</w:t>
        </w:r>
      </w:hyperlink>
      <w:r w:rsidRPr="18DFF66E" w:rsidR="18DFF66E">
        <w:rPr>
          <w:rFonts w:ascii="Arial" w:hAnsi="Arial" w:eastAsia="Arial" w:cs="Arial"/>
          <w:color w:val="000000"/>
          <w:sz w:val="24"/>
          <w:szCs w:val="24"/>
          <w:lang w:val="en-GB"/>
        </w:rPr>
        <w:t xml:space="preserve"> (Accessed: 14 July 2026).</w:t>
      </w:r>
      <w:r w:rsidRPr="18DFF66E" w:rsidR="18DFF66E">
        <w:rPr>
          <w:rFonts w:ascii="Arial" w:hAnsi="Arial" w:eastAsia="Arial" w:cs="Arial"/>
          <w:color w:val="000000"/>
          <w:sz w:val="24"/>
          <w:szCs w:val="24"/>
          <w:lang w:val="en-GB"/>
        </w:rPr>
        <w:t xml:space="preserve"> </w:t>
      </w:r>
    </w:p>
    <w:p xmlns:wp14="http://schemas.microsoft.com/office/word/2010/wordml" w:rsidP="18DFF66E" w14:paraId="3819C52A"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0F38B009"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Johnson, G. and Scholes, K. (1992) ‘The Cultural Web’, discussed in Leadership Centre. Available at: </w:t>
      </w:r>
      <w:hyperlink r:id="Rc9021527a56d4ee8">
        <w:r w:rsidRPr="18DFF66E" w:rsidR="18DFF66E">
          <w:rPr>
            <w:rFonts w:ascii="Arial" w:hAnsi="Arial" w:eastAsia="Arial" w:cs="Arial"/>
            <w:color w:val="000000"/>
            <w:sz w:val="24"/>
            <w:szCs w:val="24"/>
            <w:lang w:val="en-GB"/>
          </w:rPr>
          <w:t>https://www.leadershipcentre.org.uk/artofchangemaking/theory/cultural-web/</w:t>
        </w:r>
      </w:hyperlink>
      <w:r w:rsidRPr="18DFF66E" w:rsidR="18DFF66E">
        <w:rPr>
          <w:rFonts w:ascii="Arial" w:hAnsi="Arial" w:eastAsia="Arial" w:cs="Arial"/>
          <w:color w:val="000000"/>
          <w:sz w:val="24"/>
          <w:szCs w:val="24"/>
          <w:lang w:val="en-GB"/>
        </w:rPr>
        <w:t xml:space="preserve"> (Accessed: 21 July 2026).</w:t>
      </w:r>
      <w:r w:rsidRPr="18DFF66E" w:rsidR="18DFF66E">
        <w:rPr>
          <w:rFonts w:ascii="Arial" w:hAnsi="Arial" w:eastAsia="Arial" w:cs="Arial"/>
          <w:color w:val="000000"/>
          <w:sz w:val="24"/>
          <w:szCs w:val="24"/>
          <w:lang w:val="en-GB"/>
        </w:rPr>
        <w:t xml:space="preserve"> </w:t>
      </w:r>
    </w:p>
    <w:p xmlns:wp14="http://schemas.microsoft.com/office/word/2010/wordml" w:rsidP="18DFF66E" w14:paraId="3BB235CD"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67A9252A"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Khan, M.R. and Pervin, M.T. (2024) ‘Technology disruption and its application in organisational management theories: A case study on Toyota Motor Corporation’, </w:t>
      </w:r>
      <w:r w:rsidRPr="18DFF66E" w:rsidR="18DFF66E">
        <w:rPr>
          <w:rFonts w:ascii="Arial" w:hAnsi="Arial" w:eastAsia="Arial" w:cs="Arial"/>
          <w:i w:val="1"/>
          <w:iCs w:val="1"/>
          <w:color w:val="000000"/>
          <w:sz w:val="24"/>
          <w:szCs w:val="24"/>
        </w:rPr>
        <w:t>International Journal of Services and Operations Management</w:t>
      </w:r>
      <w:r w:rsidRPr="18DFF66E" w:rsidR="18DFF66E">
        <w:rPr>
          <w:rFonts w:ascii="Arial" w:hAnsi="Arial" w:eastAsia="Arial" w:cs="Arial"/>
          <w:color w:val="000000"/>
          <w:sz w:val="24"/>
          <w:szCs w:val="24"/>
        </w:rPr>
        <w:t xml:space="preserve">, 49(2), pp. 198–220. Available at: </w:t>
      </w:r>
      <w:hyperlink r:id="Rac1d83e8eb024359">
        <w:r w:rsidRPr="18DFF66E" w:rsidR="18DFF66E">
          <w:rPr>
            <w:rFonts w:ascii="Arial" w:hAnsi="Arial" w:eastAsia="Arial" w:cs="Arial"/>
            <w:color w:val="000000"/>
            <w:sz w:val="24"/>
            <w:szCs w:val="24"/>
          </w:rPr>
          <w:t>https://ideas.repec.org/a/ids/ijsoma/v49y2024i2p198-220.html</w:t>
        </w:r>
      </w:hyperlink>
      <w:r w:rsidRPr="18DFF66E" w:rsidR="18DFF66E">
        <w:rPr>
          <w:rFonts w:ascii="Arial" w:hAnsi="Arial" w:eastAsia="Arial" w:cs="Arial"/>
          <w:color w:val="000000"/>
          <w:sz w:val="24"/>
          <w:szCs w:val="24"/>
        </w:rPr>
        <w:t xml:space="preserve"> (Accessed: 13 July 2026).</w:t>
      </w:r>
      <w:r w:rsidRPr="18DFF66E" w:rsidR="18DFF66E">
        <w:rPr>
          <w:rFonts w:ascii="Arial" w:hAnsi="Arial" w:eastAsia="Arial" w:cs="Arial"/>
          <w:color w:val="000000"/>
          <w:sz w:val="24"/>
          <w:szCs w:val="24"/>
        </w:rPr>
        <w:t xml:space="preserve"> </w:t>
      </w:r>
    </w:p>
    <w:p xmlns:wp14="http://schemas.microsoft.com/office/word/2010/wordml" w:rsidP="18DFF66E" w14:paraId="6FF40AB8"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7B5B4FF6"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Kobayashi, H. (2024) ‘Re-evaluation of Toyota’s strategy for BEV based on the theories of dynamic managerial capabilities and ordinary capabilities’, </w:t>
      </w:r>
      <w:r w:rsidRPr="18DFF66E" w:rsidR="18DFF66E">
        <w:rPr>
          <w:rFonts w:ascii="Arial" w:hAnsi="Arial" w:eastAsia="Arial" w:cs="Arial"/>
          <w:i w:val="1"/>
          <w:iCs w:val="1"/>
          <w:color w:val="000000"/>
          <w:sz w:val="24"/>
          <w:szCs w:val="24"/>
        </w:rPr>
        <w:t>Journal of Strategic Management Studies</w:t>
      </w:r>
      <w:r w:rsidRPr="18DFF66E" w:rsidR="18DFF66E">
        <w:rPr>
          <w:rFonts w:ascii="Arial" w:hAnsi="Arial" w:eastAsia="Arial" w:cs="Arial"/>
          <w:color w:val="000000"/>
          <w:sz w:val="24"/>
          <w:szCs w:val="24"/>
        </w:rPr>
        <w:t xml:space="preserve">, 16(1), pp. 35–50. Available at: </w:t>
      </w:r>
      <w:hyperlink r:id="Rb86db3dba8cd4b30">
        <w:r w:rsidRPr="18DFF66E" w:rsidR="18DFF66E">
          <w:rPr>
            <w:rFonts w:ascii="Arial" w:hAnsi="Arial" w:eastAsia="Arial" w:cs="Arial"/>
            <w:color w:val="000000"/>
            <w:sz w:val="24"/>
            <w:szCs w:val="24"/>
          </w:rPr>
          <w:t>https://doi.org/10.24760/iasme.16.1_35</w:t>
        </w:r>
      </w:hyperlink>
      <w:r w:rsidRPr="18DFF66E" w:rsidR="18DFF66E">
        <w:rPr>
          <w:rFonts w:ascii="Arial" w:hAnsi="Arial" w:eastAsia="Arial" w:cs="Arial"/>
          <w:color w:val="000000"/>
          <w:sz w:val="24"/>
          <w:szCs w:val="24"/>
        </w:rPr>
        <w:t xml:space="preserve"> (Accessed: 14 July 2026).</w:t>
      </w:r>
      <w:r w:rsidRPr="18DFF66E" w:rsidR="18DFF66E">
        <w:rPr>
          <w:rFonts w:ascii="Arial" w:hAnsi="Arial" w:eastAsia="Arial" w:cs="Arial"/>
          <w:color w:val="000000"/>
          <w:sz w:val="24"/>
          <w:szCs w:val="24"/>
        </w:rPr>
        <w:t xml:space="preserve"> </w:t>
      </w:r>
    </w:p>
    <w:p xmlns:wp14="http://schemas.microsoft.com/office/word/2010/wordml" w:rsidP="18DFF66E" w14:paraId="3A65D21E"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63C3DDAF"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McKinsey &amp; Company (2017) ‘Organizational health: A fast track to performance improvement’, </w:t>
      </w:r>
      <w:r w:rsidRPr="18DFF66E" w:rsidR="18DFF66E">
        <w:rPr>
          <w:rFonts w:ascii="Arial" w:hAnsi="Arial" w:eastAsia="Arial" w:cs="Arial"/>
          <w:i w:val="1"/>
          <w:iCs w:val="1"/>
          <w:color w:val="000000"/>
          <w:sz w:val="24"/>
          <w:szCs w:val="24"/>
        </w:rPr>
        <w:t>McKinsey Quarterly</w:t>
      </w:r>
      <w:r w:rsidRPr="18DFF66E" w:rsidR="18DFF66E">
        <w:rPr>
          <w:rFonts w:ascii="Arial" w:hAnsi="Arial" w:eastAsia="Arial" w:cs="Arial"/>
          <w:color w:val="000000"/>
          <w:sz w:val="24"/>
          <w:szCs w:val="24"/>
        </w:rPr>
        <w:t xml:space="preserve">, 7 September. Available at: </w:t>
      </w:r>
      <w:hyperlink r:id="R78af6f4425ed4c34">
        <w:r w:rsidRPr="18DFF66E" w:rsidR="18DFF66E">
          <w:rPr>
            <w:rFonts w:ascii="Arial" w:hAnsi="Arial" w:eastAsia="Arial" w:cs="Arial"/>
            <w:color w:val="000000"/>
            <w:sz w:val="24"/>
            <w:szCs w:val="24"/>
          </w:rPr>
          <w:t>https://www.mckinsey.com/capabilities/people-and-organizational-performance/our-insights/organizational-health-a-fast-track-to-performance-improvement</w:t>
        </w:r>
      </w:hyperlink>
      <w:r w:rsidRPr="18DFF66E" w:rsidR="18DFF66E">
        <w:rPr>
          <w:rFonts w:ascii="Arial" w:hAnsi="Arial" w:eastAsia="Arial" w:cs="Arial"/>
          <w:color w:val="000000"/>
          <w:sz w:val="24"/>
          <w:szCs w:val="24"/>
        </w:rPr>
        <w:t xml:space="preserve"> (Accessed: 10 August 2026).</w:t>
      </w:r>
      <w:r w:rsidRPr="18DFF66E" w:rsidR="18DFF66E">
        <w:rPr>
          <w:rFonts w:ascii="Arial" w:hAnsi="Arial" w:eastAsia="Arial" w:cs="Arial"/>
          <w:color w:val="000000"/>
          <w:sz w:val="24"/>
          <w:szCs w:val="24"/>
        </w:rPr>
        <w:t xml:space="preserve"> </w:t>
      </w:r>
    </w:p>
    <w:p xmlns:wp14="http://schemas.microsoft.com/office/word/2010/wordml" w:rsidP="18DFF66E" w14:paraId="4EC8ED24"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47A5DE5E"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Monden, Y. (1977) ‘Toyota production system and Kanban system: Materialization of just-in-time and respect-for-human system’, </w:t>
      </w:r>
      <w:r w:rsidRPr="18DFF66E" w:rsidR="18DFF66E">
        <w:rPr>
          <w:rFonts w:ascii="Arial" w:hAnsi="Arial" w:eastAsia="Arial" w:cs="Arial"/>
          <w:i w:val="1"/>
          <w:iCs w:val="1"/>
          <w:color w:val="000000"/>
          <w:sz w:val="24"/>
          <w:szCs w:val="24"/>
        </w:rPr>
        <w:t>International Journal of Production Research</w:t>
      </w:r>
      <w:r w:rsidRPr="18DFF66E" w:rsidR="18DFF66E">
        <w:rPr>
          <w:rFonts w:ascii="Arial" w:hAnsi="Arial" w:eastAsia="Arial" w:cs="Arial"/>
          <w:color w:val="000000"/>
          <w:sz w:val="24"/>
          <w:szCs w:val="24"/>
        </w:rPr>
        <w:t xml:space="preserve">, 15(6), pp. 553–564. Available at: </w:t>
      </w:r>
      <w:hyperlink r:id="Reac803b5b4c74f78">
        <w:r w:rsidRPr="18DFF66E" w:rsidR="18DFF66E">
          <w:rPr>
            <w:rFonts w:ascii="Arial" w:hAnsi="Arial" w:eastAsia="Arial" w:cs="Arial"/>
            <w:color w:val="000000"/>
            <w:sz w:val="24"/>
            <w:szCs w:val="24"/>
          </w:rPr>
          <w:t>https://doi.org/10.1080/00207547708943149</w:t>
        </w:r>
      </w:hyperlink>
      <w:r w:rsidRPr="18DFF66E" w:rsidR="18DFF66E">
        <w:rPr>
          <w:rFonts w:ascii="Arial" w:hAnsi="Arial" w:eastAsia="Arial" w:cs="Arial"/>
          <w:color w:val="000000"/>
          <w:sz w:val="24"/>
          <w:szCs w:val="24"/>
        </w:rPr>
        <w:t xml:space="preserve"> (Accessed: 6 July 2026).</w:t>
      </w:r>
      <w:r w:rsidRPr="18DFF66E" w:rsidR="18DFF66E">
        <w:rPr>
          <w:rFonts w:ascii="Arial" w:hAnsi="Arial" w:eastAsia="Arial" w:cs="Arial"/>
          <w:color w:val="000000"/>
          <w:sz w:val="24"/>
          <w:szCs w:val="24"/>
        </w:rPr>
        <w:t xml:space="preserve"> </w:t>
      </w:r>
    </w:p>
    <w:p xmlns:wp14="http://schemas.microsoft.com/office/word/2010/wordml" w:rsidP="18DFF66E" w14:paraId="3C5FC6F7"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7FFEDCB9"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Simão, L. and Lisboa, A. (2017) ‘Green marketing and green brand: The Toyota case’, </w:t>
      </w:r>
      <w:r w:rsidRPr="18DFF66E" w:rsidR="18DFF66E">
        <w:rPr>
          <w:rFonts w:ascii="Arial" w:hAnsi="Arial" w:eastAsia="Arial" w:cs="Arial"/>
          <w:i w:val="1"/>
          <w:iCs w:val="1"/>
          <w:color w:val="000000"/>
          <w:sz w:val="24"/>
          <w:szCs w:val="24"/>
        </w:rPr>
        <w:t>Procedia Manufacturing</w:t>
      </w:r>
      <w:r w:rsidRPr="18DFF66E" w:rsidR="18DFF66E">
        <w:rPr>
          <w:rFonts w:ascii="Arial" w:hAnsi="Arial" w:eastAsia="Arial" w:cs="Arial"/>
          <w:color w:val="000000"/>
          <w:sz w:val="24"/>
          <w:szCs w:val="24"/>
        </w:rPr>
        <w:t xml:space="preserve">, 12, pp. 183–194. Available at: </w:t>
      </w:r>
      <w:hyperlink r:id="Rd08b1138ffea4297">
        <w:r w:rsidRPr="18DFF66E" w:rsidR="18DFF66E">
          <w:rPr>
            <w:rFonts w:ascii="Arial" w:hAnsi="Arial" w:eastAsia="Arial" w:cs="Arial"/>
            <w:color w:val="000000"/>
            <w:sz w:val="24"/>
            <w:szCs w:val="24"/>
          </w:rPr>
          <w:t>https://doi.org/10.1016/j.promfg.2017.08.023</w:t>
        </w:r>
      </w:hyperlink>
      <w:r w:rsidRPr="18DFF66E" w:rsidR="18DFF66E">
        <w:rPr>
          <w:rFonts w:ascii="Arial" w:hAnsi="Arial" w:eastAsia="Arial" w:cs="Arial"/>
          <w:color w:val="000000"/>
          <w:sz w:val="24"/>
          <w:szCs w:val="24"/>
        </w:rPr>
        <w:t xml:space="preserve"> (Accessed: 8 August 2026).</w:t>
      </w:r>
      <w:r w:rsidRPr="18DFF66E" w:rsidR="18DFF66E">
        <w:rPr>
          <w:rFonts w:ascii="Arial" w:hAnsi="Arial" w:eastAsia="Arial" w:cs="Arial"/>
          <w:color w:val="000000"/>
          <w:sz w:val="24"/>
          <w:szCs w:val="24"/>
        </w:rPr>
        <w:t xml:space="preserve"> </w:t>
      </w:r>
    </w:p>
    <w:p xmlns:wp14="http://schemas.microsoft.com/office/word/2010/wordml" w:rsidP="18DFF66E" w14:paraId="2CE6F5CF"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7FF22C69"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Toyota Motor Corporation (n.d.-a) </w:t>
      </w:r>
      <w:r w:rsidRPr="18DFF66E" w:rsidR="18DFF66E">
        <w:rPr>
          <w:rFonts w:ascii="Arial" w:hAnsi="Arial" w:eastAsia="Arial" w:cs="Arial"/>
          <w:i w:val="1"/>
          <w:iCs w:val="1"/>
          <w:color w:val="000000"/>
          <w:sz w:val="24"/>
          <w:szCs w:val="24"/>
        </w:rPr>
        <w:t>Toyota Way 2001</w:t>
      </w:r>
      <w:r w:rsidRPr="18DFF66E" w:rsidR="18DFF66E">
        <w:rPr>
          <w:rFonts w:ascii="Arial" w:hAnsi="Arial" w:eastAsia="Arial" w:cs="Arial"/>
          <w:color w:val="000000"/>
          <w:sz w:val="24"/>
          <w:szCs w:val="24"/>
        </w:rPr>
        <w:t xml:space="preserve">. Available at: </w:t>
      </w:r>
      <w:hyperlink r:id="Rbdab8297de384632">
        <w:r w:rsidRPr="18DFF66E" w:rsidR="18DFF66E">
          <w:rPr>
            <w:rFonts w:ascii="Arial" w:hAnsi="Arial" w:eastAsia="Arial" w:cs="Arial"/>
            <w:color w:val="000000"/>
            <w:sz w:val="24"/>
            <w:szCs w:val="24"/>
          </w:rPr>
          <w:t>https://www.toyota-global.com/company/history_of_toyota/75years/data/conditions/philosophy/toyotaway2001.html</w:t>
        </w:r>
      </w:hyperlink>
      <w:r w:rsidRPr="18DFF66E" w:rsidR="18DFF66E">
        <w:rPr>
          <w:rFonts w:ascii="Arial" w:hAnsi="Arial" w:eastAsia="Arial" w:cs="Arial"/>
          <w:color w:val="000000"/>
          <w:sz w:val="24"/>
          <w:szCs w:val="24"/>
        </w:rPr>
        <w:t xml:space="preserve"> (Accessed: 8 August 2026).</w:t>
      </w:r>
      <w:r w:rsidRPr="18DFF66E" w:rsidR="18DFF66E">
        <w:rPr>
          <w:rFonts w:ascii="Arial" w:hAnsi="Arial" w:eastAsia="Arial" w:cs="Arial"/>
          <w:color w:val="000000"/>
          <w:sz w:val="24"/>
          <w:szCs w:val="24"/>
        </w:rPr>
        <w:t xml:space="preserve"> </w:t>
      </w:r>
    </w:p>
    <w:p xmlns:wp14="http://schemas.microsoft.com/office/word/2010/wordml" w:rsidP="18DFF66E" w14:paraId="4F57F401"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5D487D0D"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Toyota Motor Corporation (2024) </w:t>
      </w:r>
      <w:r w:rsidRPr="18DFF66E" w:rsidR="18DFF66E">
        <w:rPr>
          <w:rFonts w:ascii="Arial" w:hAnsi="Arial" w:eastAsia="Arial" w:cs="Arial"/>
          <w:i w:val="1"/>
          <w:iCs w:val="1"/>
          <w:color w:val="000000"/>
          <w:sz w:val="24"/>
          <w:szCs w:val="24"/>
        </w:rPr>
        <w:t>Integrated Report 2024</w:t>
      </w:r>
      <w:r w:rsidRPr="18DFF66E" w:rsidR="18DFF66E">
        <w:rPr>
          <w:rFonts w:ascii="Arial" w:hAnsi="Arial" w:eastAsia="Arial" w:cs="Arial"/>
          <w:color w:val="000000"/>
          <w:sz w:val="24"/>
          <w:szCs w:val="24"/>
        </w:rPr>
        <w:t xml:space="preserve">. Available at: </w:t>
      </w:r>
      <w:hyperlink r:id="R8f20209f2ba74e6b">
        <w:r w:rsidRPr="18DFF66E" w:rsidR="18DFF66E">
          <w:rPr>
            <w:rFonts w:ascii="Arial" w:hAnsi="Arial" w:eastAsia="Arial" w:cs="Arial"/>
            <w:color w:val="000000"/>
            <w:sz w:val="24"/>
            <w:szCs w:val="24"/>
          </w:rPr>
          <w:t>https://global.toyota/pages/global_toyota/ir/library/annual/2024_001_integrated_en.pdf</w:t>
        </w:r>
      </w:hyperlink>
      <w:r w:rsidRPr="18DFF66E" w:rsidR="18DFF66E">
        <w:rPr>
          <w:rFonts w:ascii="Arial" w:hAnsi="Arial" w:eastAsia="Arial" w:cs="Arial"/>
          <w:color w:val="000000"/>
          <w:sz w:val="24"/>
          <w:szCs w:val="24"/>
        </w:rPr>
        <w:t xml:space="preserve"> (Accessed: 8 August 2026).</w:t>
      </w:r>
      <w:r w:rsidRPr="18DFF66E" w:rsidR="18DFF66E">
        <w:rPr>
          <w:rFonts w:ascii="Arial" w:hAnsi="Arial" w:eastAsia="Arial" w:cs="Arial"/>
          <w:color w:val="000000"/>
          <w:sz w:val="24"/>
          <w:szCs w:val="24"/>
        </w:rPr>
        <w:t xml:space="preserve"> </w:t>
      </w:r>
    </w:p>
    <w:p xmlns:wp14="http://schemas.microsoft.com/office/word/2010/wordml" w:rsidP="18DFF66E" w14:paraId="449F9FD0"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2AB0EB84"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Toyota Motor Corporation (2026) </w:t>
      </w:r>
      <w:r w:rsidRPr="18DFF66E" w:rsidR="18DFF66E">
        <w:rPr>
          <w:rFonts w:ascii="Arial" w:hAnsi="Arial" w:eastAsia="Arial" w:cs="Arial"/>
          <w:i w:val="1"/>
          <w:iCs w:val="1"/>
          <w:color w:val="000000"/>
          <w:sz w:val="24"/>
          <w:szCs w:val="24"/>
        </w:rPr>
        <w:t>Toyota Production System</w:t>
      </w:r>
      <w:r w:rsidRPr="18DFF66E" w:rsidR="18DFF66E">
        <w:rPr>
          <w:rFonts w:ascii="Arial" w:hAnsi="Arial" w:eastAsia="Arial" w:cs="Arial"/>
          <w:color w:val="000000"/>
          <w:sz w:val="24"/>
          <w:szCs w:val="24"/>
        </w:rPr>
        <w:t xml:space="preserve">. Available at: </w:t>
      </w:r>
      <w:hyperlink r:id="R0cc42b7e56ae46db">
        <w:r w:rsidRPr="18DFF66E" w:rsidR="18DFF66E">
          <w:rPr>
            <w:rFonts w:ascii="Arial" w:hAnsi="Arial" w:eastAsia="Arial" w:cs="Arial"/>
            <w:color w:val="000000"/>
            <w:sz w:val="24"/>
            <w:szCs w:val="24"/>
          </w:rPr>
          <w:t>https://global.toyota/en/company/vision-and-philosophy/production-system/</w:t>
        </w:r>
      </w:hyperlink>
      <w:r w:rsidRPr="18DFF66E" w:rsidR="18DFF66E">
        <w:rPr>
          <w:rFonts w:ascii="Arial" w:hAnsi="Arial" w:eastAsia="Arial" w:cs="Arial"/>
          <w:color w:val="000000"/>
          <w:sz w:val="24"/>
          <w:szCs w:val="24"/>
        </w:rPr>
        <w:t xml:space="preserve"> (Accessed: 11 July 2026).</w:t>
      </w:r>
      <w:r w:rsidRPr="18DFF66E" w:rsidR="18DFF66E">
        <w:rPr>
          <w:rFonts w:ascii="Arial" w:hAnsi="Arial" w:eastAsia="Arial" w:cs="Arial"/>
          <w:color w:val="000000"/>
          <w:sz w:val="24"/>
          <w:szCs w:val="24"/>
        </w:rPr>
        <w:t xml:space="preserve"> </w:t>
      </w:r>
    </w:p>
    <w:p xmlns:wp14="http://schemas.microsoft.com/office/word/2010/wordml" w:rsidP="18DFF66E" w14:paraId="7AA47B3A" wp14:textId="77777777">
      <w:pPr>
        <w:spacing w:before="120" w:after="120" w:line="360" w:lineRule="auto"/>
        <w:ind w:start="0" w:firstLine="0"/>
        <w:jc w:val="start"/>
        <w:rPr>
          <w:rFonts w:ascii="Arial" w:hAnsi="Arial" w:eastAsia="Arial" w:cs="Arial"/>
          <w:color w:val="000000"/>
          <w:sz w:val="24"/>
          <w:szCs w:val="24"/>
        </w:rPr>
      </w:pPr>
      <w:r w:rsidRPr="18DFF66E" w:rsidR="18DFF66E">
        <w:rPr>
          <w:rFonts w:ascii="Arial" w:hAnsi="Arial" w:eastAsia="Arial" w:cs="Arial"/>
          <w:color w:val="000000"/>
          <w:sz w:val="24"/>
          <w:szCs w:val="24"/>
        </w:rPr>
        <w:t xml:space="preserve"> </w:t>
      </w:r>
      <w:r w:rsidRPr="18DFF66E" w:rsidR="18DFF66E">
        <w:rPr>
          <w:rFonts w:ascii="Arial" w:hAnsi="Arial" w:eastAsia="Arial" w:cs="Arial"/>
          <w:color w:val="000000"/>
          <w:sz w:val="24"/>
          <w:szCs w:val="24"/>
        </w:rPr>
        <w:t xml:space="preserve"> </w:t>
      </w:r>
    </w:p>
    <w:p xmlns:wp14="http://schemas.microsoft.com/office/word/2010/wordml" w:rsidP="18DFF66E" w14:paraId="54E26290" wp14:textId="77777777">
      <w:pPr>
        <w:spacing w:before="120" w:after="120" w:line="360" w:lineRule="auto"/>
        <w:ind w:start="0" w:firstLine="0"/>
        <w:jc w:val="start"/>
        <w:rPr>
          <w:rFonts w:ascii="Arial" w:hAnsi="Arial" w:eastAsia="Arial" w:cs="Arial"/>
          <w:color w:val="000000"/>
          <w:sz w:val="24"/>
          <w:szCs w:val="24"/>
          <w:lang w:val="en-GB"/>
        </w:rPr>
      </w:pPr>
      <w:r w:rsidRPr="18DFF66E" w:rsidR="18DFF66E">
        <w:rPr>
          <w:rFonts w:ascii="Arial" w:hAnsi="Arial" w:eastAsia="Arial" w:cs="Arial"/>
          <w:color w:val="000000"/>
          <w:sz w:val="24"/>
          <w:szCs w:val="24"/>
          <w:lang w:val="en-GB"/>
        </w:rPr>
        <w:t xml:space="preserve">Vanichchinchai, A. (2023) ‘Contextual factors on Toyota Way and agile manufacturing: An empirical investigation’, </w:t>
      </w:r>
      <w:r w:rsidRPr="18DFF66E" w:rsidR="18DFF66E">
        <w:rPr>
          <w:rFonts w:ascii="Arial" w:hAnsi="Arial" w:eastAsia="Arial" w:cs="Arial"/>
          <w:i w:val="1"/>
          <w:iCs w:val="1"/>
          <w:color w:val="000000"/>
          <w:sz w:val="24"/>
          <w:szCs w:val="24"/>
          <w:lang w:val="en-GB"/>
        </w:rPr>
        <w:t>Operations Management Research</w:t>
      </w:r>
      <w:r w:rsidRPr="18DFF66E" w:rsidR="18DFF66E">
        <w:rPr>
          <w:rFonts w:ascii="Arial" w:hAnsi="Arial" w:eastAsia="Arial" w:cs="Arial"/>
          <w:color w:val="000000"/>
          <w:sz w:val="24"/>
          <w:szCs w:val="24"/>
          <w:lang w:val="en-GB"/>
        </w:rPr>
        <w:t xml:space="preserve">, 16(3), pp. 1290–1301. Available at: </w:t>
      </w:r>
      <w:hyperlink r:id="R6f95eaf754f448aa">
        <w:r w:rsidRPr="18DFF66E" w:rsidR="18DFF66E">
          <w:rPr>
            <w:rFonts w:ascii="Arial" w:hAnsi="Arial" w:eastAsia="Arial" w:cs="Arial"/>
            <w:color w:val="000000"/>
            <w:sz w:val="24"/>
            <w:szCs w:val="24"/>
            <w:lang w:val="en-GB"/>
          </w:rPr>
          <w:t>https://doi.org/10.1007/s12063-023-00352-5</w:t>
        </w:r>
      </w:hyperlink>
      <w:r w:rsidRPr="18DFF66E" w:rsidR="18DFF66E">
        <w:rPr>
          <w:rFonts w:ascii="Arial" w:hAnsi="Arial" w:eastAsia="Arial" w:cs="Arial"/>
          <w:color w:val="000000"/>
          <w:sz w:val="24"/>
          <w:szCs w:val="24"/>
          <w:lang w:val="en-GB"/>
        </w:rPr>
        <w:t xml:space="preserve"> (Accessed: 11 July 2026).</w:t>
      </w:r>
      <w:r w:rsidRPr="18DFF66E" w:rsidR="18DFF66E">
        <w:rPr>
          <w:rFonts w:ascii="Arial" w:hAnsi="Arial" w:eastAsia="Arial" w:cs="Arial"/>
          <w:color w:val="000000"/>
          <w:sz w:val="24"/>
          <w:szCs w:val="24"/>
          <w:lang w:val="en-GB"/>
        </w:rPr>
        <w:t xml:space="preserve"> </w:t>
      </w:r>
    </w:p>
    <w:p xmlns:wp14="http://schemas.microsoft.com/office/word/2010/wordml" w:rsidP="18DFF66E" w14:paraId="014FF6BF" wp14:textId="77777777">
      <w:pPr>
        <w:spacing w:before="120" w:after="120" w:line="360" w:lineRule="auto"/>
        <w:ind w:start="0" w:firstLine="0"/>
        <w:jc w:val="start"/>
        <w:rPr>
          <w:rFonts w:ascii="Arial" w:hAnsi="Arial" w:eastAsia="Arial" w:cs="Arial"/>
          <w:b w:val="1"/>
          <w:bCs w:val="1"/>
          <w:color w:val="000000"/>
          <w:sz w:val="64"/>
          <w:szCs w:val="64"/>
        </w:rPr>
      </w:pPr>
      <w:r w:rsidRPr="18DFF66E" w:rsidR="18DFF66E">
        <w:rPr>
          <w:rFonts w:ascii="Arial" w:hAnsi="Arial" w:eastAsia="Arial" w:cs="Arial"/>
          <w:b w:val="1"/>
          <w:bCs w:val="1"/>
          <w:color w:val="000000"/>
          <w:sz w:val="64"/>
          <w:szCs w:val="64"/>
        </w:rPr>
        <w:t xml:space="preserve"> </w:t>
      </w:r>
    </w:p>
    <w:sectPr>
      <w:pgSz w:w="11910" w:h="16845" w:orient="portrait"/>
      <w:pgMar w:top="1440" w:right="1440" w:bottom="1440" w:left="1440"/>
      <w:cols w:num="1"/>
    </w:sectPr>
  </w:body>
</w:document>
</file>

<file path=word/fontTable.xml><?xml version="1.0" encoding="utf-8"?>
<w:fonts xmlns:w="http://schemas.openxmlformats.org/wordprocessingml/2006/main" xmlns:r="http://schemas.openxmlformats.org/officeDocument/2006/relationships">
  <w:font w:name="Arimo Italics">
    <w:panose1 w:val="020B0604020202090204"/>
    <w:charset w:characterSet="1"/>
    <w:embedItalic r:id="rId1"/>
  </w:font>
  <w:font w:name="Arimo Bold">
    <w:panose1 w:val="020B0704020202020204"/>
    <w:charset w:characterSet="1"/>
    <w:embedBold r:id="rId2"/>
  </w:font>
  <w:font w:name="Arimo">
    <w:panose1 w:val="020B0604020202020204"/>
    <w:charset w:characterSet="1"/>
    <w:embedRegular r:id="rId3"/>
  </w:font>
  <w:font w:name="Arimo Bold Italics">
    <w:panose1 w:val="020B0704020202090204"/>
    <w:charset w:characterSet="1"/>
    <w:embedBoldItalic r:id="rId4"/>
  </w:font>
  <w:font w:name="Canva Sans Italics">
    <w:panose1 w:val="020B0503030501040103"/>
    <w:charset w:characterSet="1"/>
    <w:embedItalic r:id="rId5"/>
  </w:font>
  <w:font w:name="Canva Sans Bold">
    <w:panose1 w:val="020B0803030501040103"/>
    <w:charset w:characterSet="1"/>
    <w:embedBold r:id="rId6"/>
  </w:font>
  <w:font w:name="Canva Sans">
    <w:panose1 w:val="020B0503030501040103"/>
    <w:charset w:characterSet="1"/>
    <w:embedRegular r:id="rId7"/>
  </w:font>
</w:fonts>
</file>

<file path=word/intelligence2.xml><?xml version="1.0" encoding="utf-8"?>
<int2:intelligence xmlns:int2="http://schemas.microsoft.com/office/intelligence/2020/intelligence">
  <int2:observations>
    <int2:bookmark int2:bookmarkName="_Int_bq6p6fwV" int2:invalidationBookmarkName="" int2:hashCode="omjvieHyDh1KNw" int2:id="fMjPru0e">
      <int2:state int2:type="spell" int2:value="Rejected"/>
    </int2:bookmark>
  </int2:observations>
  <int2:intelligenceSettings/>
</int2:intelligence>
</file>

<file path=word/numbering.xml><?xml version="1.0" encoding="utf-8"?>
<w:numbering xmlns:w="http://schemas.openxmlformats.org/wordprocessingml/2006/main">
  <w:abstractNum w:abstractNumId="1">
    <w:nsid w:val="38a827f5"/>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abstractNum w:abstractNumId="2">
    <w:nsid w:val="6619491f"/>
    <w:multiLevelType w:val="hybridMultilevel"/>
    <w:lvl w:ilvl="0">
      <w:start w:val="1"/>
      <w:numFmt w:val="decimal"/>
      <w:lvlText w:val="%1."/>
      <w:lvlJc w:val="left"/>
      <w:pPr>
        <w:ind w:left="400" w:hanging="360"/>
      </w:pPr>
    </w:lvl>
    <w:lvl w:ilvl="1">
      <w:start w:val="1"/>
      <w:numFmt w:val="lowerLetter"/>
      <w:lvlText w:val="%2."/>
      <w:lvlJc w:val="left"/>
      <w:pPr>
        <w:ind w:left="800" w:hanging="360"/>
      </w:pPr>
    </w:lvl>
    <w:lvl w:ilvl="2">
      <w:start w:val="1"/>
      <w:numFmt w:val="lowerRoman"/>
      <w:lvlText w:val="%3."/>
      <w:lvlJc w:val="right"/>
      <w:pPr>
        <w:ind w:left="1200" w:hanging="180"/>
      </w:pPr>
    </w:lvl>
    <w:lvl w:ilvl="3">
      <w:start w:val="1"/>
      <w:numFmt w:val="decimal"/>
      <w:lvlText w:val="%4."/>
      <w:lvlJc w:val="left"/>
      <w:pPr>
        <w:ind w:left="1600" w:hanging="360"/>
      </w:pPr>
    </w:lvl>
    <w:lvl w:ilvl="4">
      <w:start w:val="1"/>
      <w:numFmt w:val="lowerLetter"/>
      <w:lvlText w:val="%5."/>
      <w:lvlJc w:val="left"/>
      <w:pPr>
        <w:ind w:left="2000" w:hanging="360"/>
      </w:pPr>
    </w:lvl>
    <w:lvl w:ilvl="5">
      <w:start w:val="1"/>
      <w:numFmt w:val="lowerRoman"/>
      <w:lvlText w:val="%6."/>
      <w:lvlJc w:val="right"/>
      <w:pPr>
        <w:ind w:left="2400" w:hanging="180"/>
      </w:pPr>
    </w:lvl>
    <w:lvl w:ilvl="6">
      <w:start w:val="1"/>
      <w:numFmt w:val="decimal"/>
      <w:lvlText w:val="%7."/>
      <w:lvlJc w:val="left"/>
      <w:pPr>
        <w:ind w:left="2800" w:hanging="360"/>
      </w:pPr>
    </w:lvl>
    <w:lvl w:ilvl="7">
      <w:start w:val="1"/>
      <w:numFmt w:val="lowerLetter"/>
      <w:lvlText w:val="%8."/>
      <w:lvlJc w:val="left"/>
      <w:pPr>
        <w:ind w:left="3200" w:hanging="360"/>
      </w:pPr>
    </w:lvl>
  </w:abstractNum>
  <w:num w:numId="1">
    <w:abstractNumId w:val="1"/>
  </w:num>
  <w:num w:numId="2">
    <w:abstractNumId w:val="2"/>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embedTrueTypeFonts/>
  <w:proofState w:spelling="clean" w:grammar="dirty"/>
  <w:trackRevisions w:val="false"/>
  <w:defaultTabStop w:val="720"/>
  <w:doNotShadeFormData/>
  <w:compat>
    <w:compatSetting w:name="compatibilityMode" w:uri="http://schemas.microsoft.com/office/word" w:val="15"/>
  </w:compat>
  <w14:docId w14:val="744EA9AF"/>
  <w15:docId w15:val="{94988924-E367-4FEF-BA8A-BB58F7D82598}"/>
  <w:rsids>
    <w:rsidRoot w:val="059F122E"/>
    <w:rsid w:val="059F122E"/>
    <w:rsid w:val="090C6683"/>
    <w:rsid w:val="13CE369C"/>
    <w:rsid w:val="1479720F"/>
    <w:rsid w:val="158CFB72"/>
    <w:rsid w:val="158CFB72"/>
    <w:rsid w:val="17F93FF0"/>
    <w:rsid w:val="18DFF66E"/>
    <w:rsid w:val="1C862A84"/>
    <w:rsid w:val="1CB937E7"/>
    <w:rsid w:val="1CE5C684"/>
    <w:rsid w:val="2384C344"/>
    <w:rsid w:val="241A994F"/>
    <w:rsid w:val="278E80C5"/>
    <w:rsid w:val="27DDEEC8"/>
    <w:rsid w:val="2B1CC351"/>
    <w:rsid w:val="2B3CA75B"/>
    <w:rsid w:val="2B3CA75B"/>
    <w:rsid w:val="2FC2BF56"/>
    <w:rsid w:val="328897CA"/>
    <w:rsid w:val="38BA4ED1"/>
    <w:rsid w:val="38BA4ED1"/>
    <w:rsid w:val="3DC46350"/>
    <w:rsid w:val="45B6D92E"/>
    <w:rsid w:val="470E6E79"/>
    <w:rsid w:val="47E67F34"/>
    <w:rsid w:val="4B8A153C"/>
    <w:rsid w:val="512C8EC4"/>
    <w:rsid w:val="53FB05FD"/>
    <w:rsid w:val="53FB05FD"/>
    <w:rsid w:val="56D44889"/>
    <w:rsid w:val="56D44889"/>
    <w:rsid w:val="5A5BAD97"/>
    <w:rsid w:val="5A5BAD97"/>
    <w:rsid w:val="5CD7F345"/>
    <w:rsid w:val="5F7BD0FF"/>
    <w:rsid w:val="5F7BD0FF"/>
    <w:rsid w:val="63DF52F0"/>
    <w:rsid w:val="65F86939"/>
    <w:rsid w:val="6D4B5D6B"/>
    <w:rsid w:val="6EB925C5"/>
    <w:rsid w:val="7215E2F2"/>
    <w:rsid w:val="75182AC1"/>
    <w:rsid w:val="7718E363"/>
    <w:rsid w:val="7AA31657"/>
    <w:rsid w:val="7B2895EE"/>
    <w:rsid w:val="7D1BFDAF"/>
  </w:rsids>
</w: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numbering" Target="numbering.xml" Id="rId3" /><Relationship Type="http://schemas.openxmlformats.org/officeDocument/2006/relationships/hyperlink" Target="https://doi.org/10.1093/oso/9780198894643.003.0003" TargetMode="External" Id="R81aa302002b94a8b" /><Relationship Type="http://schemas.openxmlformats.org/officeDocument/2006/relationships/hyperlink" Target="https://doi.org/10.1080/00207543.2014.883467" TargetMode="External" Id="R589ff955730e41d1" /><Relationship Type="http://schemas.openxmlformats.org/officeDocument/2006/relationships/hyperlink" Target="https://www.leadershipcentre.org.uk/artofchangemaking/theory/cultural-web/" TargetMode="External" Id="Rc9021527a56d4ee8" /><Relationship Type="http://schemas.openxmlformats.org/officeDocument/2006/relationships/hyperlink" Target="https://ideas.repec.org/a/ids/ijsoma/v49y2024i2p198-220.html" TargetMode="External" Id="Rac1d83e8eb024359" /><Relationship Type="http://schemas.openxmlformats.org/officeDocument/2006/relationships/hyperlink" Target="https://doi.org/10.24760/iasme.16.1_35" TargetMode="External" Id="Rb86db3dba8cd4b30" /><Relationship Type="http://schemas.openxmlformats.org/officeDocument/2006/relationships/hyperlink" Target="https://www.mckinsey.com/capabilities/people-and-organizational-performance/our-insights/organizational-health-a-fast-track-to-performance-improvement" TargetMode="External" Id="R78af6f4425ed4c34" /><Relationship Type="http://schemas.openxmlformats.org/officeDocument/2006/relationships/hyperlink" Target="https://doi.org/10.1080/00207547708943149" TargetMode="External" Id="Reac803b5b4c74f78" /><Relationship Type="http://schemas.openxmlformats.org/officeDocument/2006/relationships/hyperlink" Target="https://doi.org/10.1016/j.promfg.2017.08.023" TargetMode="External" Id="Rd08b1138ffea4297" /><Relationship Type="http://schemas.openxmlformats.org/officeDocument/2006/relationships/hyperlink" Target="https://www.toyota-global.com/company/history_of_toyota/75years/data/conditions/philosophy/toyotaway2001.html" TargetMode="External" Id="Rbdab8297de384632" /><Relationship Type="http://schemas.openxmlformats.org/officeDocument/2006/relationships/hyperlink" Target="https://global.toyota/pages/global_toyota/ir/library/annual/2024_001_integrated_en.pdf" TargetMode="External" Id="R8f20209f2ba74e6b" /><Relationship Type="http://schemas.openxmlformats.org/officeDocument/2006/relationships/hyperlink" Target="https://global.toyota/en/company/vision-and-philosophy/production-system/" TargetMode="External" Id="R0cc42b7e56ae46db" /><Relationship Type="http://schemas.openxmlformats.org/officeDocument/2006/relationships/hyperlink" Target="https://doi.org/10.1007/s12063-023-00352-5" TargetMode="External" Id="R6f95eaf754f448aa" /><Relationship Type="http://schemas.microsoft.com/office/2020/10/relationships/intelligence" Target="intelligence2.xml" Id="R44739f9bf4e34e04" /></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5" Target="fonts/font5.odttf" Type="http://schemas.openxmlformats.org/officeDocument/2006/relationships/font"/><Relationship Id="rId6" Target="fonts/font6.odttf" Type="http://schemas.openxmlformats.org/officeDocument/2006/relationships/font"/><Relationship Id="rId7" Target="fonts/font7.odttf" Type="http://schemas.openxmlformats.org/officeDocument/2006/relationships/font"/></Relationships>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2026-08-12T07:24:43.0000000Z</dcterms:created>
  <dc:creator>Apache POI</dc:creator>
  <dc:title>LCLM5005 - Assessment Brief C1 - Updated-David-Feb2026.pdf</dc:title>
  <lastModifiedBy>Chukwuma Olumide Nwana (2418162)</lastModifiedBy>
  <dcterms:modified xsi:type="dcterms:W3CDTF">2026-08-12T08:22:13.1474365Z</dcterms:modified>
</coreProperties>
</file>