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5F3537" w14:textId="2B898246" w:rsidR="00074402" w:rsidRPr="00074402" w:rsidRDefault="00944AE2" w:rsidP="003E4ECF">
      <w:pPr>
        <w:spacing w:line="360" w:lineRule="auto"/>
        <w:rPr>
          <w:rFonts w:ascii="Arial" w:hAnsi="Arial" w:cs="Arial"/>
          <w:szCs w:val="24"/>
        </w:rPr>
      </w:pPr>
      <w:r>
        <w:rPr>
          <w:noProof/>
        </w:rPr>
        <w:drawing>
          <wp:anchor distT="0" distB="0" distL="114300" distR="114300" simplePos="0" relativeHeight="251658240" behindDoc="1" locked="0" layoutInCell="1" allowOverlap="1" wp14:anchorId="367AF060" wp14:editId="120C022F">
            <wp:simplePos x="0" y="0"/>
            <wp:positionH relativeFrom="column">
              <wp:posOffset>-47625</wp:posOffset>
            </wp:positionH>
            <wp:positionV relativeFrom="paragraph">
              <wp:posOffset>9525</wp:posOffset>
            </wp:positionV>
            <wp:extent cx="2880836" cy="1095375"/>
            <wp:effectExtent l="0" t="0" r="0" b="0"/>
            <wp:wrapNone/>
            <wp:docPr id="49" name="Picture 48" descr="A close-up of a logo&#10;&#10;Description automatically generated">
              <a:extLst xmlns:a="http://schemas.openxmlformats.org/drawingml/2006/main">
                <a:ext uri="{FF2B5EF4-FFF2-40B4-BE49-F238E27FC236}">
                  <a16:creationId xmlns:a16="http://schemas.microsoft.com/office/drawing/2014/main" id="{478B168D-63D7-11FA-1B13-765A775837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8" descr="A close-up of a logo&#10;&#10;Description automatically generated">
                      <a:extLst>
                        <a:ext uri="{FF2B5EF4-FFF2-40B4-BE49-F238E27FC236}">
                          <a16:creationId xmlns:a16="http://schemas.microsoft.com/office/drawing/2014/main" id="{478B168D-63D7-11FA-1B13-765A7758373D}"/>
                        </a:ext>
                      </a:extLst>
                    </pic:cNvPr>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2884182" cy="1096647"/>
                    </a:xfrm>
                    <a:prstGeom prst="rect">
                      <a:avLst/>
                    </a:prstGeom>
                  </pic:spPr>
                </pic:pic>
              </a:graphicData>
            </a:graphic>
            <wp14:sizeRelH relativeFrom="margin">
              <wp14:pctWidth>0</wp14:pctWidth>
            </wp14:sizeRelH>
            <wp14:sizeRelV relativeFrom="margin">
              <wp14:pctHeight>0</wp14:pctHeight>
            </wp14:sizeRelV>
          </wp:anchor>
        </w:drawing>
      </w:r>
    </w:p>
    <w:p w14:paraId="5D864E3F" w14:textId="2DB59E60" w:rsidR="00074402" w:rsidRPr="00074402" w:rsidRDefault="00074402" w:rsidP="003E4ECF">
      <w:pPr>
        <w:spacing w:line="360" w:lineRule="auto"/>
        <w:rPr>
          <w:rFonts w:ascii="Arial" w:hAnsi="Arial" w:cs="Arial"/>
          <w:szCs w:val="24"/>
        </w:rPr>
      </w:pPr>
    </w:p>
    <w:p w14:paraId="2B915A63" w14:textId="77777777" w:rsidR="00E410BC" w:rsidRDefault="00E410BC" w:rsidP="003E4ECF">
      <w:pPr>
        <w:tabs>
          <w:tab w:val="left" w:pos="6540"/>
        </w:tabs>
        <w:spacing w:line="360" w:lineRule="auto"/>
        <w:rPr>
          <w:rFonts w:ascii="Arial" w:hAnsi="Arial" w:cs="Arial"/>
          <w:b/>
          <w:bCs/>
          <w:sz w:val="28"/>
          <w:szCs w:val="28"/>
        </w:rPr>
      </w:pPr>
      <w:bookmarkStart w:id="0" w:name="_Hlk162523233"/>
    </w:p>
    <w:p w14:paraId="47FAC7AC" w14:textId="77777777" w:rsidR="00944AE2" w:rsidRDefault="00944AE2" w:rsidP="003E4ECF">
      <w:pPr>
        <w:tabs>
          <w:tab w:val="left" w:pos="6540"/>
        </w:tabs>
        <w:spacing w:line="360" w:lineRule="auto"/>
        <w:rPr>
          <w:rFonts w:ascii="Arial" w:hAnsi="Arial" w:cs="Arial"/>
          <w:b/>
          <w:bCs/>
          <w:sz w:val="28"/>
          <w:szCs w:val="28"/>
        </w:rPr>
      </w:pPr>
    </w:p>
    <w:p w14:paraId="1AC031CC" w14:textId="77777777" w:rsidR="00944AE2" w:rsidRDefault="00944AE2" w:rsidP="003E4ECF">
      <w:pPr>
        <w:tabs>
          <w:tab w:val="left" w:pos="6540"/>
        </w:tabs>
        <w:spacing w:line="360" w:lineRule="auto"/>
        <w:rPr>
          <w:rFonts w:ascii="Arial" w:hAnsi="Arial" w:cs="Arial"/>
          <w:b/>
          <w:bCs/>
          <w:sz w:val="28"/>
          <w:szCs w:val="28"/>
        </w:rPr>
      </w:pPr>
    </w:p>
    <w:p w14:paraId="59805DEC" w14:textId="77777777" w:rsidR="00944AE2" w:rsidRDefault="00944AE2" w:rsidP="003E4ECF">
      <w:pPr>
        <w:tabs>
          <w:tab w:val="left" w:pos="6540"/>
        </w:tabs>
        <w:spacing w:line="360" w:lineRule="auto"/>
        <w:rPr>
          <w:rFonts w:ascii="Arial" w:hAnsi="Arial" w:cs="Arial"/>
          <w:b/>
          <w:bCs/>
          <w:sz w:val="28"/>
          <w:szCs w:val="28"/>
        </w:rPr>
      </w:pPr>
    </w:p>
    <w:p w14:paraId="13C0FC5E" w14:textId="77777777" w:rsidR="00944AE2" w:rsidRDefault="00944AE2" w:rsidP="003E4ECF">
      <w:pPr>
        <w:tabs>
          <w:tab w:val="left" w:pos="6540"/>
        </w:tabs>
        <w:spacing w:line="360" w:lineRule="auto"/>
        <w:rPr>
          <w:rFonts w:ascii="Arial" w:hAnsi="Arial" w:cs="Arial"/>
          <w:b/>
          <w:bCs/>
          <w:sz w:val="28"/>
          <w:szCs w:val="28"/>
        </w:rPr>
      </w:pPr>
    </w:p>
    <w:p w14:paraId="0A48766D" w14:textId="2CA01135" w:rsidR="00074402" w:rsidRPr="00944AE2" w:rsidRDefault="00074402" w:rsidP="003E4ECF">
      <w:pPr>
        <w:tabs>
          <w:tab w:val="left" w:pos="6540"/>
        </w:tabs>
        <w:spacing w:line="360" w:lineRule="auto"/>
        <w:rPr>
          <w:rFonts w:ascii="Arial" w:hAnsi="Arial" w:cs="Arial"/>
          <w:sz w:val="28"/>
          <w:szCs w:val="28"/>
        </w:rPr>
      </w:pPr>
      <w:r w:rsidRPr="00944AE2">
        <w:rPr>
          <w:rFonts w:ascii="Arial" w:hAnsi="Arial" w:cs="Arial"/>
          <w:b/>
          <w:bCs/>
          <w:sz w:val="28"/>
          <w:szCs w:val="28"/>
        </w:rPr>
        <w:t>Student name</w:t>
      </w:r>
      <w:r w:rsidRPr="00944AE2">
        <w:rPr>
          <w:rFonts w:ascii="Arial" w:hAnsi="Arial" w:cs="Arial"/>
          <w:sz w:val="28"/>
          <w:szCs w:val="28"/>
        </w:rPr>
        <w:t>:</w:t>
      </w:r>
      <w:r w:rsidR="005D2D09" w:rsidRPr="00944AE2">
        <w:rPr>
          <w:rFonts w:ascii="Arial" w:hAnsi="Arial" w:cs="Arial"/>
          <w:sz w:val="28"/>
          <w:szCs w:val="28"/>
        </w:rPr>
        <w:t xml:space="preserve"> Flor de Maria Galindo Manuel de Killick</w:t>
      </w:r>
    </w:p>
    <w:p w14:paraId="39AA4413" w14:textId="331755EA" w:rsidR="00074402" w:rsidRPr="00944AE2" w:rsidRDefault="00074402" w:rsidP="003E4ECF">
      <w:pPr>
        <w:tabs>
          <w:tab w:val="left" w:pos="6540"/>
        </w:tabs>
        <w:spacing w:line="360" w:lineRule="auto"/>
        <w:rPr>
          <w:rFonts w:ascii="Arial" w:hAnsi="Arial" w:cs="Arial"/>
          <w:sz w:val="28"/>
          <w:szCs w:val="28"/>
        </w:rPr>
      </w:pPr>
      <w:r w:rsidRPr="00944AE2">
        <w:rPr>
          <w:rFonts w:ascii="Arial" w:hAnsi="Arial" w:cs="Arial"/>
          <w:b/>
          <w:bCs/>
          <w:sz w:val="28"/>
          <w:szCs w:val="28"/>
        </w:rPr>
        <w:t>Student ID</w:t>
      </w:r>
      <w:r w:rsidR="005D2D09" w:rsidRPr="00944AE2">
        <w:rPr>
          <w:rFonts w:ascii="Arial" w:hAnsi="Arial" w:cs="Arial"/>
          <w:sz w:val="28"/>
          <w:szCs w:val="28"/>
        </w:rPr>
        <w:t>: 2124309</w:t>
      </w:r>
    </w:p>
    <w:p w14:paraId="5E81F6AD" w14:textId="77777777" w:rsidR="00074402" w:rsidRPr="00944AE2" w:rsidRDefault="00074402" w:rsidP="003E4ECF">
      <w:pPr>
        <w:tabs>
          <w:tab w:val="left" w:pos="6540"/>
        </w:tabs>
        <w:spacing w:line="360" w:lineRule="auto"/>
        <w:rPr>
          <w:rFonts w:ascii="Arial" w:hAnsi="Arial" w:cs="Arial"/>
          <w:sz w:val="28"/>
          <w:szCs w:val="28"/>
        </w:rPr>
      </w:pPr>
    </w:p>
    <w:p w14:paraId="76B6655A" w14:textId="44F1678F" w:rsidR="00074402" w:rsidRPr="00944AE2" w:rsidRDefault="00074402" w:rsidP="003E4ECF">
      <w:pPr>
        <w:tabs>
          <w:tab w:val="left" w:pos="6540"/>
        </w:tabs>
        <w:spacing w:line="360" w:lineRule="auto"/>
        <w:rPr>
          <w:rFonts w:ascii="Arial" w:hAnsi="Arial" w:cs="Arial"/>
          <w:sz w:val="28"/>
          <w:szCs w:val="28"/>
        </w:rPr>
      </w:pPr>
      <w:r w:rsidRPr="00944AE2">
        <w:rPr>
          <w:rFonts w:ascii="Arial" w:hAnsi="Arial" w:cs="Arial"/>
          <w:b/>
          <w:bCs/>
          <w:sz w:val="28"/>
          <w:szCs w:val="28"/>
        </w:rPr>
        <w:t>Module name</w:t>
      </w:r>
      <w:r w:rsidRPr="00944AE2">
        <w:rPr>
          <w:rFonts w:ascii="Arial" w:hAnsi="Arial" w:cs="Arial"/>
          <w:sz w:val="28"/>
          <w:szCs w:val="28"/>
        </w:rPr>
        <w:t xml:space="preserve">: </w:t>
      </w:r>
      <w:r w:rsidR="005D2D09" w:rsidRPr="00944AE2">
        <w:rPr>
          <w:rFonts w:ascii="Arial" w:hAnsi="Arial" w:cs="Arial"/>
          <w:sz w:val="28"/>
          <w:szCs w:val="28"/>
        </w:rPr>
        <w:t>Living with Care: The Older Person</w:t>
      </w:r>
    </w:p>
    <w:p w14:paraId="4E5B279A" w14:textId="0EE0E96B" w:rsidR="00074402" w:rsidRPr="00944AE2" w:rsidRDefault="00074402" w:rsidP="003E4ECF">
      <w:pPr>
        <w:tabs>
          <w:tab w:val="left" w:pos="6540"/>
        </w:tabs>
        <w:spacing w:line="360" w:lineRule="auto"/>
        <w:rPr>
          <w:rFonts w:ascii="Arial" w:hAnsi="Arial" w:cs="Arial"/>
          <w:sz w:val="28"/>
          <w:szCs w:val="28"/>
        </w:rPr>
      </w:pPr>
      <w:r w:rsidRPr="00944AE2">
        <w:rPr>
          <w:rFonts w:ascii="Arial" w:hAnsi="Arial" w:cs="Arial"/>
          <w:b/>
          <w:bCs/>
          <w:sz w:val="28"/>
          <w:szCs w:val="28"/>
        </w:rPr>
        <w:t>Module code</w:t>
      </w:r>
      <w:r w:rsidRPr="00944AE2">
        <w:rPr>
          <w:rFonts w:ascii="Arial" w:hAnsi="Arial" w:cs="Arial"/>
          <w:sz w:val="28"/>
          <w:szCs w:val="28"/>
        </w:rPr>
        <w:t>:</w:t>
      </w:r>
      <w:r w:rsidR="005D2D09" w:rsidRPr="00944AE2">
        <w:rPr>
          <w:rFonts w:ascii="Arial" w:hAnsi="Arial" w:cs="Arial"/>
          <w:sz w:val="28"/>
          <w:szCs w:val="28"/>
        </w:rPr>
        <w:t xml:space="preserve"> BMHP6009</w:t>
      </w:r>
    </w:p>
    <w:p w14:paraId="1A0B2D2B" w14:textId="2465429B" w:rsidR="00074402" w:rsidRPr="00944AE2" w:rsidRDefault="00074402" w:rsidP="003E4ECF">
      <w:pPr>
        <w:tabs>
          <w:tab w:val="left" w:pos="6540"/>
        </w:tabs>
        <w:spacing w:line="360" w:lineRule="auto"/>
        <w:rPr>
          <w:rFonts w:ascii="Arial" w:hAnsi="Arial" w:cs="Arial"/>
          <w:sz w:val="28"/>
          <w:szCs w:val="28"/>
        </w:rPr>
      </w:pPr>
      <w:r w:rsidRPr="00944AE2">
        <w:rPr>
          <w:rFonts w:ascii="Arial" w:hAnsi="Arial" w:cs="Arial"/>
          <w:b/>
          <w:bCs/>
          <w:sz w:val="28"/>
          <w:szCs w:val="28"/>
        </w:rPr>
        <w:t>Lecturer name</w:t>
      </w:r>
      <w:r w:rsidRPr="00944AE2">
        <w:rPr>
          <w:rFonts w:ascii="Arial" w:hAnsi="Arial" w:cs="Arial"/>
          <w:sz w:val="28"/>
          <w:szCs w:val="28"/>
        </w:rPr>
        <w:t>:</w:t>
      </w:r>
      <w:r w:rsidR="005D2D09" w:rsidRPr="00944AE2">
        <w:rPr>
          <w:rFonts w:ascii="Arial" w:hAnsi="Arial" w:cs="Arial"/>
          <w:sz w:val="28"/>
          <w:szCs w:val="28"/>
        </w:rPr>
        <w:t xml:space="preserve"> Dr Laila Surani</w:t>
      </w:r>
    </w:p>
    <w:bookmarkEnd w:id="0"/>
    <w:p w14:paraId="39D08584" w14:textId="77777777" w:rsidR="00074402" w:rsidRPr="005D2D09" w:rsidRDefault="00074402" w:rsidP="003E4ECF">
      <w:pPr>
        <w:tabs>
          <w:tab w:val="left" w:pos="6540"/>
        </w:tabs>
        <w:spacing w:line="360" w:lineRule="auto"/>
        <w:rPr>
          <w:rFonts w:ascii="Arial" w:hAnsi="Arial" w:cs="Arial"/>
          <w:sz w:val="28"/>
          <w:szCs w:val="28"/>
        </w:rPr>
      </w:pPr>
    </w:p>
    <w:p w14:paraId="5B66D125" w14:textId="77777777" w:rsidR="00074402" w:rsidRDefault="00074402" w:rsidP="003E4ECF">
      <w:pPr>
        <w:tabs>
          <w:tab w:val="left" w:pos="6540"/>
        </w:tabs>
        <w:spacing w:line="360" w:lineRule="auto"/>
        <w:rPr>
          <w:rFonts w:ascii="Arial" w:hAnsi="Arial" w:cs="Arial"/>
          <w:sz w:val="28"/>
          <w:szCs w:val="28"/>
        </w:rPr>
      </w:pPr>
    </w:p>
    <w:p w14:paraId="5AE88297" w14:textId="24E6B718" w:rsidR="00B87E75" w:rsidRDefault="00B87E75" w:rsidP="003E4ECF">
      <w:pPr>
        <w:tabs>
          <w:tab w:val="left" w:pos="6540"/>
        </w:tabs>
        <w:spacing w:line="360" w:lineRule="auto"/>
        <w:rPr>
          <w:rFonts w:ascii="Arial" w:hAnsi="Arial" w:cs="Arial"/>
          <w:sz w:val="28"/>
          <w:szCs w:val="28"/>
        </w:rPr>
      </w:pPr>
    </w:p>
    <w:p w14:paraId="11131249" w14:textId="77777777" w:rsidR="004B1F19" w:rsidRDefault="004B1F19" w:rsidP="004B1F19">
      <w:pPr>
        <w:spacing w:line="360" w:lineRule="auto"/>
        <w:rPr>
          <w:rFonts w:ascii="Arial" w:hAnsi="Arial" w:cs="Arial"/>
          <w:sz w:val="28"/>
          <w:szCs w:val="28"/>
        </w:rPr>
      </w:pPr>
    </w:p>
    <w:p w14:paraId="6207413C" w14:textId="77777777" w:rsidR="004B1F19" w:rsidRDefault="004B1F19" w:rsidP="004B1F19">
      <w:pPr>
        <w:spacing w:line="360" w:lineRule="auto"/>
        <w:rPr>
          <w:rFonts w:ascii="Arial" w:hAnsi="Arial" w:cs="Arial"/>
          <w:sz w:val="28"/>
          <w:szCs w:val="28"/>
        </w:rPr>
      </w:pPr>
    </w:p>
    <w:p w14:paraId="03AD0BDF" w14:textId="77777777" w:rsidR="004B1F19" w:rsidRDefault="004B1F19" w:rsidP="004B1F19">
      <w:pPr>
        <w:spacing w:line="360" w:lineRule="auto"/>
        <w:rPr>
          <w:rFonts w:ascii="Arial" w:hAnsi="Arial" w:cs="Arial"/>
          <w:sz w:val="28"/>
          <w:szCs w:val="28"/>
        </w:rPr>
      </w:pPr>
    </w:p>
    <w:p w14:paraId="2B8D9EE1" w14:textId="77777777" w:rsidR="004B1F19" w:rsidRDefault="004B1F19" w:rsidP="004B1F19">
      <w:pPr>
        <w:spacing w:line="360" w:lineRule="auto"/>
        <w:rPr>
          <w:rFonts w:ascii="Arial" w:hAnsi="Arial" w:cs="Arial"/>
          <w:sz w:val="28"/>
          <w:szCs w:val="28"/>
        </w:rPr>
      </w:pPr>
    </w:p>
    <w:p w14:paraId="025A2942" w14:textId="77777777" w:rsidR="004B1F19" w:rsidRDefault="004B1F19" w:rsidP="004B1F19">
      <w:pPr>
        <w:spacing w:line="360" w:lineRule="auto"/>
        <w:rPr>
          <w:rFonts w:ascii="Arial" w:hAnsi="Arial" w:cs="Arial"/>
          <w:sz w:val="28"/>
          <w:szCs w:val="28"/>
        </w:rPr>
      </w:pPr>
    </w:p>
    <w:p w14:paraId="66F9446D" w14:textId="77777777" w:rsidR="00944AE2" w:rsidRDefault="00944AE2" w:rsidP="004B1F19">
      <w:pPr>
        <w:rPr>
          <w:rFonts w:ascii="Arial" w:hAnsi="Arial" w:cs="Arial"/>
          <w:sz w:val="28"/>
          <w:szCs w:val="28"/>
        </w:rPr>
      </w:pPr>
    </w:p>
    <w:p w14:paraId="13E00080" w14:textId="71BC7C4B" w:rsidR="00B87E75" w:rsidRPr="007A6C83" w:rsidRDefault="004B1F19" w:rsidP="004B1F19">
      <w:pPr>
        <w:rPr>
          <w:rFonts w:ascii="Arial Black" w:hAnsi="Arial Black" w:cs="Arial"/>
          <w:b/>
          <w:bCs/>
          <w:sz w:val="28"/>
          <w:szCs w:val="28"/>
        </w:rPr>
      </w:pPr>
      <w:r w:rsidRPr="007A6C83">
        <w:rPr>
          <w:rFonts w:ascii="Arial Black" w:hAnsi="Arial Black" w:cs="Arial"/>
          <w:b/>
          <w:bCs/>
        </w:rPr>
        <w:lastRenderedPageBreak/>
        <w:t>Table of contents</w:t>
      </w:r>
    </w:p>
    <w:p w14:paraId="2E79F7ED" w14:textId="182913C0" w:rsidR="00B87E75" w:rsidRPr="001D7C03" w:rsidRDefault="00B87E75" w:rsidP="001D7C03">
      <w:pPr>
        <w:rPr>
          <w:rFonts w:ascii="Arial" w:hAnsi="Arial" w:cs="Arial"/>
          <w:szCs w:val="24"/>
        </w:rPr>
      </w:pPr>
    </w:p>
    <w:p w14:paraId="7AE771D5" w14:textId="1C06E45A" w:rsidR="00B87E75" w:rsidRPr="001D7C03" w:rsidRDefault="00B87E75" w:rsidP="001D7C03">
      <w:pPr>
        <w:rPr>
          <w:rFonts w:ascii="Arial" w:hAnsi="Arial" w:cs="Arial"/>
          <w:szCs w:val="24"/>
        </w:rPr>
      </w:pPr>
    </w:p>
    <w:p w14:paraId="42B3B8D9" w14:textId="77777777" w:rsidR="004B1F19" w:rsidRDefault="004B1F19" w:rsidP="004B1F19">
      <w:pPr>
        <w:spacing w:line="360" w:lineRule="auto"/>
        <w:rPr>
          <w:rFonts w:ascii="Arial" w:hAnsi="Arial" w:cs="Arial"/>
          <w:sz w:val="28"/>
          <w:szCs w:val="28"/>
        </w:rPr>
      </w:pPr>
    </w:p>
    <w:p w14:paraId="0EB9BCF1" w14:textId="77777777" w:rsidR="004B1F19" w:rsidRDefault="004B1F19" w:rsidP="004B1F19">
      <w:pPr>
        <w:spacing w:line="360" w:lineRule="auto"/>
        <w:rPr>
          <w:rFonts w:ascii="Arial" w:hAnsi="Arial" w:cs="Arial"/>
          <w:sz w:val="28"/>
          <w:szCs w:val="28"/>
        </w:rPr>
      </w:pPr>
    </w:p>
    <w:p w14:paraId="2EACC480" w14:textId="77777777" w:rsidR="004B1F19" w:rsidRDefault="004B1F19" w:rsidP="004B1F19">
      <w:pPr>
        <w:spacing w:line="360" w:lineRule="auto"/>
        <w:rPr>
          <w:rFonts w:ascii="Arial" w:hAnsi="Arial" w:cs="Arial"/>
          <w:sz w:val="28"/>
          <w:szCs w:val="28"/>
        </w:rPr>
      </w:pPr>
    </w:p>
    <w:p w14:paraId="23BCD8FF" w14:textId="77777777" w:rsidR="004B1F19" w:rsidRDefault="004B1F19" w:rsidP="004B1F19">
      <w:pPr>
        <w:spacing w:line="360" w:lineRule="auto"/>
        <w:rPr>
          <w:rFonts w:ascii="Arial" w:hAnsi="Arial" w:cs="Arial"/>
          <w:sz w:val="28"/>
          <w:szCs w:val="28"/>
        </w:rPr>
      </w:pPr>
    </w:p>
    <w:p w14:paraId="32177586" w14:textId="77777777" w:rsidR="004B1F19" w:rsidRDefault="004B1F19" w:rsidP="004B1F19">
      <w:pPr>
        <w:spacing w:line="360" w:lineRule="auto"/>
        <w:rPr>
          <w:rFonts w:ascii="Arial" w:hAnsi="Arial" w:cs="Arial"/>
          <w:sz w:val="28"/>
          <w:szCs w:val="28"/>
        </w:rPr>
      </w:pPr>
    </w:p>
    <w:p w14:paraId="45AAE75D" w14:textId="77777777" w:rsidR="004B1F19" w:rsidRDefault="004B1F19" w:rsidP="004B1F19">
      <w:pPr>
        <w:spacing w:line="360" w:lineRule="auto"/>
        <w:rPr>
          <w:rFonts w:ascii="Arial" w:hAnsi="Arial" w:cs="Arial"/>
          <w:sz w:val="28"/>
          <w:szCs w:val="28"/>
        </w:rPr>
      </w:pPr>
    </w:p>
    <w:p w14:paraId="29476F14" w14:textId="77777777" w:rsidR="004B1F19" w:rsidRDefault="004B1F19" w:rsidP="004B1F19">
      <w:pPr>
        <w:spacing w:line="360" w:lineRule="auto"/>
        <w:rPr>
          <w:rFonts w:ascii="Arial" w:hAnsi="Arial" w:cs="Arial"/>
          <w:sz w:val="28"/>
          <w:szCs w:val="28"/>
        </w:rPr>
      </w:pPr>
    </w:p>
    <w:p w14:paraId="3FFB0606" w14:textId="77777777" w:rsidR="004B1F19" w:rsidRDefault="004B1F19" w:rsidP="004B1F19">
      <w:pPr>
        <w:spacing w:line="360" w:lineRule="auto"/>
        <w:rPr>
          <w:rFonts w:ascii="Arial" w:hAnsi="Arial" w:cs="Arial"/>
          <w:sz w:val="28"/>
          <w:szCs w:val="28"/>
        </w:rPr>
      </w:pPr>
    </w:p>
    <w:p w14:paraId="056ACC77" w14:textId="77777777" w:rsidR="004B1F19" w:rsidRDefault="004B1F19" w:rsidP="004B1F19">
      <w:pPr>
        <w:spacing w:line="360" w:lineRule="auto"/>
        <w:rPr>
          <w:rFonts w:ascii="Arial" w:hAnsi="Arial" w:cs="Arial"/>
          <w:sz w:val="28"/>
          <w:szCs w:val="28"/>
        </w:rPr>
      </w:pPr>
    </w:p>
    <w:p w14:paraId="483C4413" w14:textId="77777777" w:rsidR="004B1F19" w:rsidRDefault="004B1F19" w:rsidP="004B1F19">
      <w:pPr>
        <w:spacing w:line="360" w:lineRule="auto"/>
        <w:rPr>
          <w:rFonts w:ascii="Arial" w:hAnsi="Arial" w:cs="Arial"/>
          <w:sz w:val="28"/>
          <w:szCs w:val="28"/>
        </w:rPr>
      </w:pPr>
    </w:p>
    <w:p w14:paraId="38637AF3" w14:textId="77777777" w:rsidR="004B1F19" w:rsidRDefault="004B1F19" w:rsidP="004B1F19">
      <w:pPr>
        <w:spacing w:line="360" w:lineRule="auto"/>
        <w:rPr>
          <w:rFonts w:ascii="Arial" w:hAnsi="Arial" w:cs="Arial"/>
          <w:sz w:val="28"/>
          <w:szCs w:val="28"/>
        </w:rPr>
      </w:pPr>
    </w:p>
    <w:p w14:paraId="0AD9BBF3" w14:textId="77777777" w:rsidR="004B1F19" w:rsidRDefault="004B1F19" w:rsidP="004B1F19">
      <w:pPr>
        <w:spacing w:line="360" w:lineRule="auto"/>
        <w:rPr>
          <w:rFonts w:ascii="Arial" w:hAnsi="Arial" w:cs="Arial"/>
          <w:sz w:val="28"/>
          <w:szCs w:val="28"/>
        </w:rPr>
      </w:pPr>
    </w:p>
    <w:p w14:paraId="124EB763" w14:textId="77777777" w:rsidR="004B1F19" w:rsidRDefault="004B1F19" w:rsidP="004B1F19">
      <w:pPr>
        <w:spacing w:line="360" w:lineRule="auto"/>
        <w:rPr>
          <w:rFonts w:ascii="Arial" w:hAnsi="Arial" w:cs="Arial"/>
          <w:sz w:val="28"/>
          <w:szCs w:val="28"/>
        </w:rPr>
      </w:pPr>
    </w:p>
    <w:p w14:paraId="12BE994F" w14:textId="77777777" w:rsidR="004B1F19" w:rsidRDefault="004B1F19" w:rsidP="004B1F19">
      <w:pPr>
        <w:spacing w:line="360" w:lineRule="auto"/>
        <w:rPr>
          <w:rFonts w:ascii="Arial" w:hAnsi="Arial" w:cs="Arial"/>
          <w:sz w:val="28"/>
          <w:szCs w:val="28"/>
        </w:rPr>
      </w:pPr>
    </w:p>
    <w:p w14:paraId="2E56C489" w14:textId="77777777" w:rsidR="004B1F19" w:rsidRDefault="004B1F19" w:rsidP="004B1F19">
      <w:pPr>
        <w:spacing w:line="360" w:lineRule="auto"/>
        <w:rPr>
          <w:rFonts w:ascii="Arial" w:hAnsi="Arial" w:cs="Arial"/>
          <w:sz w:val="28"/>
          <w:szCs w:val="28"/>
        </w:rPr>
      </w:pPr>
    </w:p>
    <w:p w14:paraId="173F1631" w14:textId="77777777" w:rsidR="004B1F19" w:rsidRDefault="004B1F19" w:rsidP="004B1F19">
      <w:pPr>
        <w:spacing w:line="360" w:lineRule="auto"/>
        <w:rPr>
          <w:rFonts w:ascii="Arial" w:hAnsi="Arial" w:cs="Arial"/>
          <w:sz w:val="28"/>
          <w:szCs w:val="28"/>
        </w:rPr>
      </w:pPr>
    </w:p>
    <w:p w14:paraId="2ACD2330" w14:textId="77777777" w:rsidR="004B1F19" w:rsidRDefault="004B1F19" w:rsidP="004B1F19">
      <w:pPr>
        <w:spacing w:line="360" w:lineRule="auto"/>
        <w:rPr>
          <w:rFonts w:ascii="Arial" w:hAnsi="Arial" w:cs="Arial"/>
          <w:sz w:val="28"/>
          <w:szCs w:val="28"/>
        </w:rPr>
      </w:pPr>
    </w:p>
    <w:p w14:paraId="13E9467D" w14:textId="77777777" w:rsidR="004B1F19" w:rsidRDefault="004B1F19" w:rsidP="004B1F19">
      <w:pPr>
        <w:spacing w:line="360" w:lineRule="auto"/>
        <w:rPr>
          <w:rFonts w:ascii="Arial" w:hAnsi="Arial" w:cs="Arial"/>
          <w:sz w:val="28"/>
          <w:szCs w:val="28"/>
        </w:rPr>
      </w:pPr>
    </w:p>
    <w:p w14:paraId="366F91CC" w14:textId="77777777" w:rsidR="004B1F19" w:rsidRDefault="004B1F19" w:rsidP="004B1F19">
      <w:pPr>
        <w:spacing w:line="360" w:lineRule="auto"/>
        <w:rPr>
          <w:rFonts w:ascii="Arial" w:hAnsi="Arial" w:cs="Arial"/>
          <w:sz w:val="28"/>
          <w:szCs w:val="28"/>
        </w:rPr>
      </w:pPr>
    </w:p>
    <w:p w14:paraId="4CA66D54" w14:textId="77777777" w:rsidR="004B1F19" w:rsidRDefault="004B1F19" w:rsidP="004B1F19">
      <w:pPr>
        <w:spacing w:line="360" w:lineRule="auto"/>
        <w:rPr>
          <w:rFonts w:ascii="Arial" w:hAnsi="Arial" w:cs="Arial"/>
          <w:b/>
          <w:bCs/>
          <w:szCs w:val="24"/>
        </w:rPr>
      </w:pPr>
    </w:p>
    <w:p w14:paraId="0AD82F22" w14:textId="71CFD189" w:rsidR="004B1F19" w:rsidRPr="003F1516" w:rsidRDefault="004B1F19" w:rsidP="00E410BC">
      <w:pPr>
        <w:spacing w:line="360" w:lineRule="auto"/>
        <w:jc w:val="both"/>
        <w:rPr>
          <w:rFonts w:ascii="Arial Black" w:hAnsi="Arial Black" w:cs="Arial"/>
          <w:b/>
          <w:bCs/>
        </w:rPr>
      </w:pPr>
      <w:r w:rsidRPr="003F1516">
        <w:rPr>
          <w:rFonts w:ascii="Arial Black" w:hAnsi="Arial Black" w:cs="Arial"/>
          <w:b/>
          <w:bCs/>
        </w:rPr>
        <w:lastRenderedPageBreak/>
        <w:t xml:space="preserve">INTRODUCTION </w:t>
      </w:r>
    </w:p>
    <w:p w14:paraId="38643114" w14:textId="7462BC21" w:rsidR="00E1308C" w:rsidRPr="004B1F19" w:rsidRDefault="00D476B3" w:rsidP="00E410BC">
      <w:pPr>
        <w:spacing w:line="360" w:lineRule="auto"/>
        <w:jc w:val="both"/>
        <w:rPr>
          <w:rFonts w:ascii="Arial" w:hAnsi="Arial" w:cs="Arial"/>
          <w:sz w:val="28"/>
          <w:szCs w:val="28"/>
        </w:rPr>
      </w:pPr>
      <w:r w:rsidRPr="00D476B3">
        <w:rPr>
          <w:rFonts w:ascii="Arial" w:hAnsi="Arial" w:cs="Arial"/>
          <w:sz w:val="22"/>
        </w:rPr>
        <w:t>People in the UK are living longer lives than ever before. Currently, those who are 65 years old are considered senior citizens because they are in the initial stages of old age, and they can collect their state pension</w:t>
      </w:r>
      <w:r>
        <w:rPr>
          <w:rFonts w:ascii="Arial" w:hAnsi="Arial" w:cs="Arial"/>
          <w:sz w:val="22"/>
        </w:rPr>
        <w:t xml:space="preserve"> </w:t>
      </w:r>
      <w:r w:rsidRPr="00D476B3">
        <w:rPr>
          <w:rFonts w:ascii="Arial" w:hAnsi="Arial" w:cs="Arial"/>
          <w:sz w:val="22"/>
        </w:rPr>
        <w:t>(Coombs, Storey, and Giddings, 2019).</w:t>
      </w:r>
      <w:r w:rsidR="00852CB2">
        <w:rPr>
          <w:rFonts w:ascii="Arial" w:hAnsi="Arial" w:cs="Arial"/>
          <w:sz w:val="22"/>
        </w:rPr>
        <w:t xml:space="preserve"> </w:t>
      </w:r>
      <w:r w:rsidRPr="00D476B3">
        <w:rPr>
          <w:rFonts w:ascii="Arial" w:hAnsi="Arial" w:cs="Arial"/>
          <w:sz w:val="22"/>
        </w:rPr>
        <w:t>However, it is difficult to apply a precise definition because people age biologically at different rates. For example, someone aged 75 may be healthier than someone aged 60. Rather than simply getting older, "frailty" has a stronger impact and is more likely to require assistance and care (National Health Services, 2024). But men in England at the age of 65 can expect to live 8.9 more years in excellent health, and women another 9.8 years, which is just under half of their remaining life expectancy. However, these numbers have decreased in recent years (Methodist Homes, 2021).</w:t>
      </w:r>
    </w:p>
    <w:p w14:paraId="30F0960F" w14:textId="0677AE3E" w:rsidR="00B0271A" w:rsidRPr="00626468" w:rsidRDefault="00D476B3" w:rsidP="00E410BC">
      <w:pPr>
        <w:tabs>
          <w:tab w:val="left" w:pos="6540"/>
        </w:tabs>
        <w:spacing w:line="360" w:lineRule="auto"/>
        <w:jc w:val="both"/>
        <w:rPr>
          <w:rFonts w:ascii="Arial" w:hAnsi="Arial" w:cs="Arial"/>
          <w:sz w:val="22"/>
        </w:rPr>
      </w:pPr>
      <w:r w:rsidRPr="00D476B3">
        <w:rPr>
          <w:rFonts w:ascii="Arial" w:hAnsi="Arial" w:cs="Arial"/>
          <w:sz w:val="22"/>
        </w:rPr>
        <w:t>In contrast, Peru is experiencing an accelerated pace of population ageing, with an increase in the number of people aged 60 and over and a drop in younger age groups. Older adults in Peru are among the most disadvantaged population groups, as demonstrated by gaps in access to basic education, pensions, and health systems, limited participation in the labour market, and high demand for health services. health. In addition to long-term care, there are high rates of poverty and violence. This scenario is even more problematic for socially and historically marginalised minorities, such as older women, Indigenous communities, ethnic groups, and rural residents of the country (Quartucci, 2022).</w:t>
      </w:r>
    </w:p>
    <w:p w14:paraId="232F05E8" w14:textId="085F1B93" w:rsidR="00344151" w:rsidRPr="003F1516" w:rsidRDefault="00344151" w:rsidP="00E410BC">
      <w:pPr>
        <w:tabs>
          <w:tab w:val="left" w:pos="6540"/>
        </w:tabs>
        <w:spacing w:line="360" w:lineRule="auto"/>
        <w:jc w:val="both"/>
        <w:rPr>
          <w:rFonts w:ascii="Arial Black" w:hAnsi="Arial Black" w:cs="Arial"/>
          <w:b/>
          <w:bCs/>
          <w:szCs w:val="24"/>
        </w:rPr>
      </w:pPr>
      <w:r w:rsidRPr="003F1516">
        <w:rPr>
          <w:rFonts w:ascii="Arial Black" w:hAnsi="Arial Black" w:cs="Arial"/>
          <w:b/>
          <w:bCs/>
          <w:szCs w:val="24"/>
        </w:rPr>
        <w:t>DATA</w:t>
      </w:r>
    </w:p>
    <w:p w14:paraId="269B76AE" w14:textId="015B35E3" w:rsidR="00D476B3" w:rsidRPr="00D476B3" w:rsidRDefault="00D476B3" w:rsidP="00E410BC">
      <w:pPr>
        <w:tabs>
          <w:tab w:val="left" w:pos="6540"/>
        </w:tabs>
        <w:spacing w:line="360" w:lineRule="auto"/>
        <w:jc w:val="both"/>
        <w:rPr>
          <w:rFonts w:ascii="Arial" w:hAnsi="Arial" w:cs="Arial"/>
          <w:sz w:val="22"/>
        </w:rPr>
      </w:pPr>
      <w:r w:rsidRPr="00D476B3">
        <w:rPr>
          <w:rFonts w:ascii="Arial" w:hAnsi="Arial" w:cs="Arial"/>
          <w:sz w:val="22"/>
        </w:rPr>
        <w:t xml:space="preserve">According to the 2021 census data, England and Wales' population has been ageing since 2011. Adults aged 65 and older numbered 9.2 million in 2011, but increased to 11 million by 2021, bringing the proportion of adults aged 65 and older from 16.4% to 18.6%. And, in 2021, approximately 97.3% of residents aged 65 and older in England and Wales resided in private houses, with the remaining 2.7% living in community housing. However, the vast majority, almost 93.0%, resided in care homes. In 2021, the share of older people living in care homes will be 2.5%, down from 3.2% in 2011 (Storey, 2023). On the other hand, in 2021, the population aged 60 and up was approximately 15.5 million, accounting for 23% of the entire population of the United Kingdom. Furthermore, the number of people aged 80 and up is expanding to 3.2 million, with </w:t>
      </w:r>
      <w:r w:rsidR="00BA70E7" w:rsidRPr="00D476B3">
        <w:rPr>
          <w:rFonts w:ascii="Arial" w:hAnsi="Arial" w:cs="Arial"/>
          <w:sz w:val="22"/>
        </w:rPr>
        <w:t>600,000</w:t>
      </w:r>
      <w:r w:rsidRPr="00D476B3">
        <w:rPr>
          <w:rFonts w:ascii="Arial" w:hAnsi="Arial" w:cs="Arial"/>
          <w:sz w:val="22"/>
        </w:rPr>
        <w:t xml:space="preserve"> of those aged 90 or older. As a result, the most significant increases in population growth are predicted to occur among the elderly. More than 3 million people aged 85 and up are predicted to exist by 2041, more than double the current figure (Methodist Homes, 2021).</w:t>
      </w:r>
    </w:p>
    <w:p w14:paraId="1D8CB0F4" w14:textId="4ED6CD0E" w:rsidR="00D476B3" w:rsidRDefault="00D476B3" w:rsidP="00E410BC">
      <w:pPr>
        <w:tabs>
          <w:tab w:val="left" w:pos="6540"/>
        </w:tabs>
        <w:spacing w:line="360" w:lineRule="auto"/>
        <w:jc w:val="both"/>
        <w:rPr>
          <w:rFonts w:ascii="Arial" w:hAnsi="Arial" w:cs="Arial"/>
          <w:sz w:val="22"/>
        </w:rPr>
      </w:pPr>
      <w:r w:rsidRPr="00D476B3">
        <w:rPr>
          <w:rFonts w:ascii="Arial" w:hAnsi="Arial" w:cs="Arial"/>
          <w:sz w:val="22"/>
        </w:rPr>
        <w:lastRenderedPageBreak/>
        <w:t xml:space="preserve">Compared to other countries, for example, the National Institute of Statistics and Informatics of Peru </w:t>
      </w:r>
      <w:r w:rsidR="00BA70E7" w:rsidRPr="00D476B3">
        <w:rPr>
          <w:rFonts w:ascii="Arial" w:hAnsi="Arial" w:cs="Arial"/>
          <w:sz w:val="22"/>
        </w:rPr>
        <w:t>conducted</w:t>
      </w:r>
      <w:r w:rsidRPr="00D476B3">
        <w:rPr>
          <w:rFonts w:ascii="Arial" w:hAnsi="Arial" w:cs="Arial"/>
          <w:sz w:val="22"/>
        </w:rPr>
        <w:t xml:space="preserve"> a population census of older adults in 2020. They found that 47.8% of the 4 million were men and 52.2% were women, accounting for 12.7% of the national population, more than doubling its representation from 1950, when it was 6% (Quartucci, 2022). However, since 2010, Peru's population has increased to approximately 22.33 million people aged 15 to 64 until 2022. Furthermore, demographic data reveal that Peru's population is ageing, with the number of people over the age of 65 decreasing over the last year and expected to reach 2.86 million by 2022 (Statista Research Department, 2023). On the other hand, Peru's average life expectancy in 2024 is 77.1444 years. There has been a rise of 0.24% since 2023, when the average life expectancy was 76.9567 years from birth to death. The average life expectancy in Peru will rise to 88.0132 years by the year 2100. So, the total increase in life expectancy in Peru will be 14.09% above the existing benchmark. This favourable trend can be attributed to technological advancements, higher living standards, and increased access to healthcare (</w:t>
      </w:r>
      <w:r w:rsidR="003702EC" w:rsidRPr="00D476B3">
        <w:rPr>
          <w:rFonts w:ascii="Arial" w:hAnsi="Arial" w:cs="Arial"/>
          <w:sz w:val="22"/>
        </w:rPr>
        <w:t>database. earth</w:t>
      </w:r>
      <w:r w:rsidRPr="00D476B3">
        <w:rPr>
          <w:rFonts w:ascii="Arial" w:hAnsi="Arial" w:cs="Arial"/>
          <w:sz w:val="22"/>
        </w:rPr>
        <w:t>, 2024).</w:t>
      </w:r>
    </w:p>
    <w:p w14:paraId="0BB5DD6A" w14:textId="784543C7" w:rsidR="00344151" w:rsidRPr="003F1516" w:rsidRDefault="004B1F19" w:rsidP="00E410BC">
      <w:pPr>
        <w:tabs>
          <w:tab w:val="left" w:pos="6540"/>
        </w:tabs>
        <w:spacing w:line="360" w:lineRule="auto"/>
        <w:jc w:val="both"/>
        <w:rPr>
          <w:rFonts w:ascii="Arial Black" w:hAnsi="Arial Black" w:cs="Arial"/>
          <w:b/>
          <w:bCs/>
          <w:szCs w:val="24"/>
        </w:rPr>
      </w:pPr>
      <w:r w:rsidRPr="003F1516">
        <w:rPr>
          <w:rFonts w:ascii="Arial Black" w:hAnsi="Arial Black" w:cs="Arial"/>
          <w:b/>
          <w:bCs/>
          <w:szCs w:val="24"/>
        </w:rPr>
        <w:t>THEORY</w:t>
      </w:r>
    </w:p>
    <w:p w14:paraId="36F73E23" w14:textId="77777777" w:rsidR="00A80D9C" w:rsidRDefault="00BA70E7" w:rsidP="00E410BC">
      <w:pPr>
        <w:tabs>
          <w:tab w:val="left" w:pos="6540"/>
        </w:tabs>
        <w:spacing w:line="360" w:lineRule="auto"/>
        <w:jc w:val="both"/>
        <w:rPr>
          <w:rFonts w:ascii="Arial" w:hAnsi="Arial" w:cs="Arial"/>
          <w:sz w:val="22"/>
        </w:rPr>
      </w:pPr>
      <w:r w:rsidRPr="00BA70E7">
        <w:rPr>
          <w:rFonts w:ascii="Arial" w:hAnsi="Arial" w:cs="Arial"/>
          <w:sz w:val="22"/>
        </w:rPr>
        <w:t>Cacioppo's evolutionary theory of loneliness defines loneliness as something that addresses both individual differences and the effects of loneliness on people in general. The evolutionary theory of the loneliness-driven shift towards animal models and comparative analyses broadens the focus to periods before hominid evolution. The premise of our ETL is that an organism's perception of being socially isolated automatically indicates an environment in which the likelihood of encountering social behaviours classified as evolutionary fitness, such as mutual benefit or altruism, is low. As a result, the organism is more likely to exhibit selfish evolutionary fitness behaviours. This shift in the fitness consequences of behaviour is thought to be evolutionarily ancient, operating in humans in part through nonconscious processes. ETL addresses loneliness's adaptive functions, which promote short-term survival but, in the modern world, can have negative long-term effects</w:t>
      </w:r>
      <w:r>
        <w:rPr>
          <w:rFonts w:ascii="Arial" w:hAnsi="Arial" w:cs="Arial"/>
          <w:sz w:val="22"/>
        </w:rPr>
        <w:t xml:space="preserve"> </w:t>
      </w:r>
      <w:r w:rsidRPr="00BA70E7">
        <w:rPr>
          <w:rFonts w:ascii="Arial" w:hAnsi="Arial" w:cs="Arial"/>
          <w:sz w:val="22"/>
        </w:rPr>
        <w:t>(Cacioppo and Cacioppo, 2018).</w:t>
      </w:r>
      <w:r w:rsidR="00CA6001">
        <w:rPr>
          <w:rFonts w:ascii="Arial" w:hAnsi="Arial" w:cs="Arial"/>
          <w:sz w:val="22"/>
        </w:rPr>
        <w:t xml:space="preserve"> </w:t>
      </w:r>
    </w:p>
    <w:p w14:paraId="71AEF094" w14:textId="7546C4C2" w:rsidR="00B0271A" w:rsidRDefault="00CA6001" w:rsidP="00E410BC">
      <w:pPr>
        <w:tabs>
          <w:tab w:val="left" w:pos="6540"/>
        </w:tabs>
        <w:spacing w:line="360" w:lineRule="auto"/>
        <w:jc w:val="both"/>
        <w:rPr>
          <w:rFonts w:ascii="Arial" w:hAnsi="Arial" w:cs="Arial"/>
          <w:sz w:val="22"/>
        </w:rPr>
      </w:pPr>
      <w:r>
        <w:rPr>
          <w:rFonts w:ascii="Arial" w:hAnsi="Arial" w:cs="Arial"/>
          <w:sz w:val="22"/>
        </w:rPr>
        <w:t xml:space="preserve">However, </w:t>
      </w:r>
      <w:r w:rsidRPr="00CA6001">
        <w:rPr>
          <w:rFonts w:ascii="Arial" w:hAnsi="Arial" w:cs="Arial"/>
          <w:sz w:val="22"/>
        </w:rPr>
        <w:t>in 1973, Robert Weiss defined loneliness as perceived social isolation, describing it as a chronic, persistent sickness with no redeeming characteristics. Daily, it is natural that something as personally unpleasant as loneliness could be considered a plague on human existence. However, evolutionary time and evolutionary processes operate at such a different scale of organisation than what we encounter in everyday life that personal experience alone cannot explain the function of loneliness in human existence. Over the last decade, research has indicated a quite different understanding of loneliness than that of personal experience, one in which loneliness performs a range of adaptive tasks in various environments</w:t>
      </w:r>
      <w:r>
        <w:rPr>
          <w:rFonts w:ascii="Arial" w:hAnsi="Arial" w:cs="Arial"/>
          <w:sz w:val="22"/>
        </w:rPr>
        <w:t xml:space="preserve"> </w:t>
      </w:r>
      <w:r w:rsidRPr="00CA6001">
        <w:rPr>
          <w:rFonts w:ascii="Arial" w:hAnsi="Arial" w:cs="Arial"/>
          <w:sz w:val="22"/>
        </w:rPr>
        <w:t>(Cacioppo, Cacioppo and Boomsma, 2013).</w:t>
      </w:r>
    </w:p>
    <w:p w14:paraId="69BD98D0" w14:textId="46D98255" w:rsidR="00877B00" w:rsidRPr="003F1516" w:rsidRDefault="00877B00" w:rsidP="00877B00">
      <w:pPr>
        <w:tabs>
          <w:tab w:val="left" w:pos="6540"/>
        </w:tabs>
        <w:spacing w:line="360" w:lineRule="auto"/>
        <w:jc w:val="both"/>
        <w:rPr>
          <w:rFonts w:ascii="Arial Black" w:hAnsi="Arial Black" w:cs="Arial"/>
          <w:b/>
          <w:bCs/>
          <w:sz w:val="22"/>
        </w:rPr>
      </w:pPr>
      <w:r w:rsidRPr="003F1516">
        <w:rPr>
          <w:rFonts w:ascii="Arial Black" w:hAnsi="Arial Black" w:cs="Arial"/>
          <w:b/>
          <w:bCs/>
        </w:rPr>
        <w:lastRenderedPageBreak/>
        <w:t xml:space="preserve">THE IMPACT OF LONELINESS AND ISOLATION ON AN OLDER PERSON </w:t>
      </w:r>
      <w:r w:rsidR="00604DE7" w:rsidRPr="003F1516">
        <w:rPr>
          <w:rFonts w:ascii="Arial Black" w:hAnsi="Arial Black" w:cs="Arial"/>
          <w:b/>
          <w:bCs/>
        </w:rPr>
        <w:t>LIVING IN</w:t>
      </w:r>
      <w:r w:rsidRPr="003F1516">
        <w:rPr>
          <w:rFonts w:ascii="Arial Black" w:hAnsi="Arial Black" w:cs="Arial"/>
          <w:b/>
          <w:bCs/>
        </w:rPr>
        <w:t xml:space="preserve"> A CARE HOME</w:t>
      </w:r>
    </w:p>
    <w:p w14:paraId="6204FA2A" w14:textId="418B0CF4" w:rsidR="00486CB2" w:rsidRPr="00486CB2" w:rsidRDefault="00486CB2" w:rsidP="00486CB2">
      <w:pPr>
        <w:tabs>
          <w:tab w:val="left" w:pos="6540"/>
        </w:tabs>
        <w:spacing w:line="360" w:lineRule="auto"/>
        <w:jc w:val="both"/>
        <w:rPr>
          <w:rFonts w:ascii="Arial" w:hAnsi="Arial" w:cs="Arial"/>
          <w:sz w:val="22"/>
        </w:rPr>
      </w:pPr>
      <w:r w:rsidRPr="00486CB2">
        <w:rPr>
          <w:rFonts w:ascii="Arial" w:hAnsi="Arial" w:cs="Arial"/>
          <w:sz w:val="22"/>
        </w:rPr>
        <w:t>Nursing homes serve a vital role in preserving physical health, controlling medical disorders, and providing personal care (Gardiner, et al., 2020). However, a study from the University of Bedfordshire showed that 80% of older people felt lonely because their carers did not pay much attention to them, and they also felt bored because no one visited them. Additionally, they were previously active and independent but have become dependent on their carers for stimulation and activity, which can have a detrimental impact on mental acuity and emotional stability. There is compelling evidence that loneliness harms both physical and emotional health, making older people's sleep less peaceful. This could produce psychological issues for the individual, making them less comfortable in social situations and increasing their anxiety levels, potentially leading to depression. There has also been research into the link between loneliness and the development of dementia. It also causes hypertension, heart disease, obesity, reduced immune systems, anxiety, depression, cognitive decline, Alzheimer's disease, and even death in the elderly (Helping Hands Home Care, 2024).</w:t>
      </w:r>
    </w:p>
    <w:p w14:paraId="5D1DA7E6" w14:textId="19937B53" w:rsidR="00FC6C99" w:rsidRDefault="00486CB2" w:rsidP="00486CB2">
      <w:pPr>
        <w:tabs>
          <w:tab w:val="left" w:pos="6540"/>
        </w:tabs>
        <w:spacing w:line="360" w:lineRule="auto"/>
        <w:jc w:val="both"/>
        <w:rPr>
          <w:rFonts w:ascii="Arial" w:hAnsi="Arial" w:cs="Arial"/>
          <w:sz w:val="22"/>
        </w:rPr>
      </w:pPr>
      <w:r w:rsidRPr="00486CB2">
        <w:rPr>
          <w:rFonts w:ascii="Arial" w:hAnsi="Arial" w:cs="Arial"/>
          <w:sz w:val="22"/>
        </w:rPr>
        <w:t xml:space="preserve">Compared to Peru, older people tend to live with their children, and grandmothers take care of their grandchildren when their children </w:t>
      </w:r>
      <w:r w:rsidR="0011498D">
        <w:rPr>
          <w:rFonts w:ascii="Arial" w:hAnsi="Arial" w:cs="Arial"/>
          <w:sz w:val="22"/>
        </w:rPr>
        <w:t xml:space="preserve">go </w:t>
      </w:r>
      <w:r w:rsidRPr="00486CB2">
        <w:rPr>
          <w:rFonts w:ascii="Arial" w:hAnsi="Arial" w:cs="Arial"/>
          <w:sz w:val="22"/>
        </w:rPr>
        <w:t>to work. Latin people do not send their parents to nursing homes because they think it is not nice (Jussila, 2018). However, during COVID-19, according to a study, the daily routines of older adults were modified, causing them stress and fear because most worked as street vendors, carpenters, janitors, and cleaners. They isolated themselves at home due to quarantine rules. However, they defied adversity by doing activities at home that gave them a sense of normalcy and distracted them from stressful thoughts and events. The activities mentioned by the participants were listening to music, reading newspapers, watching television, dancing, and searching for funny videos or information on YouTube. In addition, they took care of their pets and domestic animals. Other elders said their faith through prayer helped them maintain hope and strength during the lockdown and avoid seeing sensational news in the media (Flores-Flores et al., 2023).</w:t>
      </w:r>
    </w:p>
    <w:p w14:paraId="3DD77574" w14:textId="77777777" w:rsidR="00E1308C" w:rsidRDefault="00E1308C" w:rsidP="00FC6C99">
      <w:pPr>
        <w:tabs>
          <w:tab w:val="left" w:pos="6540"/>
        </w:tabs>
        <w:spacing w:line="360" w:lineRule="auto"/>
        <w:jc w:val="both"/>
        <w:rPr>
          <w:rFonts w:ascii="Arial" w:hAnsi="Arial" w:cs="Arial"/>
          <w:sz w:val="22"/>
        </w:rPr>
      </w:pPr>
    </w:p>
    <w:p w14:paraId="5C9599B1" w14:textId="77777777" w:rsidR="00E1308C" w:rsidRDefault="00E1308C" w:rsidP="00B0271A">
      <w:pPr>
        <w:tabs>
          <w:tab w:val="left" w:pos="6540"/>
        </w:tabs>
        <w:spacing w:line="360" w:lineRule="auto"/>
        <w:rPr>
          <w:rFonts w:ascii="Arial" w:hAnsi="Arial" w:cs="Arial"/>
          <w:sz w:val="22"/>
        </w:rPr>
      </w:pPr>
    </w:p>
    <w:p w14:paraId="1B29D654" w14:textId="77777777" w:rsidR="00E1308C" w:rsidRDefault="00E1308C" w:rsidP="00B0271A">
      <w:pPr>
        <w:tabs>
          <w:tab w:val="left" w:pos="6540"/>
        </w:tabs>
        <w:spacing w:line="360" w:lineRule="auto"/>
        <w:rPr>
          <w:rFonts w:ascii="Arial" w:hAnsi="Arial" w:cs="Arial"/>
          <w:sz w:val="22"/>
        </w:rPr>
      </w:pPr>
    </w:p>
    <w:p w14:paraId="19B57768" w14:textId="77777777" w:rsidR="00E1308C" w:rsidRDefault="00E1308C" w:rsidP="00B0271A">
      <w:pPr>
        <w:tabs>
          <w:tab w:val="left" w:pos="6540"/>
        </w:tabs>
        <w:spacing w:line="360" w:lineRule="auto"/>
        <w:rPr>
          <w:rFonts w:ascii="Arial" w:hAnsi="Arial" w:cs="Arial"/>
          <w:sz w:val="22"/>
        </w:rPr>
      </w:pPr>
    </w:p>
    <w:p w14:paraId="1B7F8782" w14:textId="77777777" w:rsidR="00E1308C" w:rsidRDefault="00E1308C" w:rsidP="00B0271A">
      <w:pPr>
        <w:tabs>
          <w:tab w:val="left" w:pos="6540"/>
        </w:tabs>
        <w:spacing w:line="360" w:lineRule="auto"/>
        <w:rPr>
          <w:rFonts w:ascii="Arial" w:hAnsi="Arial" w:cs="Arial"/>
          <w:sz w:val="22"/>
        </w:rPr>
      </w:pPr>
    </w:p>
    <w:p w14:paraId="51B3C169" w14:textId="4D54CC6B" w:rsidR="00E1308C" w:rsidRPr="003F1516" w:rsidRDefault="00E12413" w:rsidP="00B0271A">
      <w:pPr>
        <w:tabs>
          <w:tab w:val="left" w:pos="6540"/>
        </w:tabs>
        <w:spacing w:line="360" w:lineRule="auto"/>
        <w:rPr>
          <w:rFonts w:ascii="Arial Black" w:hAnsi="Arial Black" w:cs="Arial"/>
          <w:b/>
          <w:bCs/>
          <w:szCs w:val="24"/>
        </w:rPr>
      </w:pPr>
      <w:r w:rsidRPr="003F1516">
        <w:rPr>
          <w:rFonts w:ascii="Arial Black" w:hAnsi="Arial Black" w:cs="Arial"/>
          <w:b/>
          <w:bCs/>
          <w:szCs w:val="24"/>
        </w:rPr>
        <w:lastRenderedPageBreak/>
        <w:t>LEGISLATIONS AND POLICIES TO REDUCE LONELINESS AND ISOLATION IN THE OLDER ADULT POPULATION</w:t>
      </w:r>
    </w:p>
    <w:p w14:paraId="36C7CAAF" w14:textId="07956F2A" w:rsidR="00E12413" w:rsidRPr="007A6C83" w:rsidRDefault="00E12413" w:rsidP="00E12413">
      <w:pPr>
        <w:tabs>
          <w:tab w:val="left" w:pos="6540"/>
        </w:tabs>
        <w:spacing w:line="360" w:lineRule="auto"/>
        <w:jc w:val="both"/>
        <w:rPr>
          <w:rFonts w:ascii="Arial Black" w:hAnsi="Arial Black" w:cs="Arial"/>
          <w:b/>
          <w:bCs/>
        </w:rPr>
      </w:pPr>
      <w:r w:rsidRPr="007A6C83">
        <w:rPr>
          <w:rFonts w:ascii="Arial Black" w:hAnsi="Arial Black" w:cs="Arial"/>
          <w:b/>
          <w:bCs/>
        </w:rPr>
        <w:t>LESGISLATIONS</w:t>
      </w:r>
    </w:p>
    <w:p w14:paraId="3E59D513" w14:textId="5478BBC1" w:rsidR="00E12413" w:rsidRPr="00E12413" w:rsidRDefault="00E12413" w:rsidP="00E12413">
      <w:pPr>
        <w:tabs>
          <w:tab w:val="left" w:pos="6540"/>
        </w:tabs>
        <w:spacing w:line="360" w:lineRule="auto"/>
        <w:jc w:val="both"/>
        <w:rPr>
          <w:rFonts w:ascii="Arial" w:hAnsi="Arial" w:cs="Arial"/>
          <w:sz w:val="20"/>
          <w:szCs w:val="20"/>
        </w:rPr>
      </w:pPr>
      <w:r w:rsidRPr="00E12413">
        <w:rPr>
          <w:rFonts w:ascii="Arial" w:hAnsi="Arial" w:cs="Arial"/>
          <w:sz w:val="22"/>
          <w:szCs w:val="20"/>
        </w:rPr>
        <w:t>The Care Act 2014 specifies how social care should be provided to adults in England, and local authorities must ensure that people receive support to prevent their care needs from being delayed. Likewise, provide them with information and advice so that they can make their own decisions about their care and support. Provide them with a range of appropriate, high-quality services while protecting adults by promoting their well-being and integrating care and support into health services (Care Quality Commission, 2022). In addition, the Mental Capacity Act 2005 aims to protect and empower people who may lack the mental capacity to make decisions about their care and treatment. For example, they can make decisions about everyday activities such as shopping, moving to a nursing home, or having major surgery. Simply put, a person may be unable to make some decisions and, at the same time, be able to make others. The law of capacity establishes that, unless proven otherwise, a person can make his or her own decisions (National Health Service, 2024). </w:t>
      </w:r>
    </w:p>
    <w:p w14:paraId="68515A17" w14:textId="4325F0E6" w:rsidR="004B1F19" w:rsidRPr="007A6C83" w:rsidRDefault="00E12413" w:rsidP="00B0271A">
      <w:pPr>
        <w:tabs>
          <w:tab w:val="left" w:pos="6540"/>
        </w:tabs>
        <w:spacing w:line="360" w:lineRule="auto"/>
        <w:rPr>
          <w:rFonts w:ascii="Arial Black" w:hAnsi="Arial Black" w:cs="Arial"/>
          <w:b/>
          <w:bCs/>
          <w:szCs w:val="24"/>
        </w:rPr>
      </w:pPr>
      <w:r w:rsidRPr="007A6C83">
        <w:rPr>
          <w:rFonts w:ascii="Arial Black" w:hAnsi="Arial Black" w:cs="Arial"/>
          <w:b/>
          <w:bCs/>
          <w:szCs w:val="24"/>
        </w:rPr>
        <w:t xml:space="preserve">POLICIES </w:t>
      </w:r>
    </w:p>
    <w:p w14:paraId="7B541668" w14:textId="7756F9E7" w:rsidR="004B1F19" w:rsidRPr="00450B78" w:rsidRDefault="006A5B2C" w:rsidP="006A5B2C">
      <w:pPr>
        <w:tabs>
          <w:tab w:val="left" w:pos="6540"/>
        </w:tabs>
        <w:spacing w:line="360" w:lineRule="auto"/>
        <w:jc w:val="both"/>
        <w:rPr>
          <w:rFonts w:ascii="Arial" w:hAnsi="Arial" w:cs="Arial"/>
          <w:sz w:val="22"/>
        </w:rPr>
      </w:pPr>
      <w:r w:rsidRPr="00450B78">
        <w:rPr>
          <w:rFonts w:ascii="Arial" w:hAnsi="Arial" w:cs="Arial"/>
          <w:sz w:val="22"/>
        </w:rPr>
        <w:t xml:space="preserve">First, a strategic approach to loneliness was adopted. In 2018, the UK government published the world's first government strategy to combat loneliness, 'A connected society: a strategy for tackling loneliness'. The strategy lays a solid foundation for action to tackle loneliness, and subsequent reviews have addressed some of the gaps in the original strategy, such as improving policy provision for children and young people. Also, community resources to combat loneliness have been developed. People, for example, look to their local communities for support when they are feeling lonely. </w:t>
      </w:r>
      <w:r w:rsidR="00450B78" w:rsidRPr="00450B78">
        <w:rPr>
          <w:rFonts w:ascii="Arial" w:hAnsi="Arial" w:cs="Arial"/>
          <w:sz w:val="22"/>
        </w:rPr>
        <w:t xml:space="preserve">Build a greener living environment that encourages social contact. For example, the Centre for Thriving Places recommends taking system-wide action to improve access to housing, transport, and green spaces to foster an "active and empowered community." </w:t>
      </w:r>
      <w:r w:rsidR="001D0EB0" w:rsidRPr="001D0EB0">
        <w:rPr>
          <w:rFonts w:ascii="Arial" w:hAnsi="Arial" w:cs="Arial"/>
          <w:sz w:val="22"/>
        </w:rPr>
        <w:t xml:space="preserve">Furthermore, provide interventions for children and youth in educational settings, as well as ensure that everyone has access to and the ability to use digital communication technology, while respecting non-digital communication preferences. </w:t>
      </w:r>
      <w:r w:rsidRPr="00450B78">
        <w:rPr>
          <w:rFonts w:ascii="Arial" w:hAnsi="Arial" w:cs="Arial"/>
          <w:sz w:val="22"/>
        </w:rPr>
        <w:t>(Mental Health Foundation, 2024).</w:t>
      </w:r>
    </w:p>
    <w:p w14:paraId="054C63DA" w14:textId="77777777" w:rsidR="004B1F19" w:rsidRPr="00450B78" w:rsidRDefault="004B1F19" w:rsidP="006A5B2C">
      <w:pPr>
        <w:tabs>
          <w:tab w:val="left" w:pos="6540"/>
        </w:tabs>
        <w:spacing w:line="360" w:lineRule="auto"/>
        <w:jc w:val="both"/>
        <w:rPr>
          <w:rFonts w:ascii="Arial" w:hAnsi="Arial" w:cs="Arial"/>
          <w:sz w:val="22"/>
        </w:rPr>
      </w:pPr>
    </w:p>
    <w:p w14:paraId="23868390" w14:textId="77777777" w:rsidR="004B1F19" w:rsidRDefault="004B1F19" w:rsidP="00B0271A">
      <w:pPr>
        <w:tabs>
          <w:tab w:val="left" w:pos="6540"/>
        </w:tabs>
        <w:spacing w:line="360" w:lineRule="auto"/>
        <w:rPr>
          <w:rFonts w:ascii="Arial" w:hAnsi="Arial" w:cs="Arial"/>
          <w:sz w:val="22"/>
        </w:rPr>
      </w:pPr>
    </w:p>
    <w:p w14:paraId="7DC499D1" w14:textId="77777777" w:rsidR="004B1F19" w:rsidRDefault="004B1F19" w:rsidP="00B0271A">
      <w:pPr>
        <w:tabs>
          <w:tab w:val="left" w:pos="6540"/>
        </w:tabs>
        <w:spacing w:line="360" w:lineRule="auto"/>
        <w:rPr>
          <w:rFonts w:ascii="Arial" w:hAnsi="Arial" w:cs="Arial"/>
          <w:sz w:val="22"/>
        </w:rPr>
      </w:pPr>
    </w:p>
    <w:p w14:paraId="4D49F1B0" w14:textId="1F18305E" w:rsidR="00E864E7" w:rsidRPr="003F1516" w:rsidRDefault="00984C65" w:rsidP="00E864E7">
      <w:pPr>
        <w:rPr>
          <w:rFonts w:ascii="Arial Black" w:hAnsi="Arial Black"/>
        </w:rPr>
      </w:pPr>
      <w:r w:rsidRPr="003F1516">
        <w:rPr>
          <w:rFonts w:ascii="Arial Black" w:hAnsi="Arial Black"/>
        </w:rPr>
        <w:lastRenderedPageBreak/>
        <w:t>PROVISION OF SERVICES FOR THE OLDER PERSON IN LINE CURRENT INITIATIVES AND POLICY</w:t>
      </w:r>
    </w:p>
    <w:p w14:paraId="057865F2" w14:textId="77EE3FC5" w:rsidR="00F15646" w:rsidRPr="00147770" w:rsidRDefault="00147770" w:rsidP="00D6532D">
      <w:pPr>
        <w:spacing w:line="360" w:lineRule="auto"/>
        <w:jc w:val="both"/>
        <w:rPr>
          <w:rFonts w:ascii="Arial" w:hAnsi="Arial" w:cs="Arial"/>
          <w:sz w:val="22"/>
          <w:szCs w:val="20"/>
        </w:rPr>
      </w:pPr>
      <w:r w:rsidRPr="00147770">
        <w:rPr>
          <w:rFonts w:ascii="Arial" w:hAnsi="Arial" w:cs="Arial"/>
          <w:sz w:val="22"/>
          <w:szCs w:val="20"/>
        </w:rPr>
        <w:t>Age UK provides life-enhancing services and critical support for older people. They help around the house with tasks such as shopping, laundry, cleaning, dinner preparation, and medication pickup. They also provide exercise and physical activity classes like dancing, tai chi, walking, Pilates, and yoga. Seniors can also get transport, computer training, and dementia support</w:t>
      </w:r>
      <w:r w:rsidR="00440AE8">
        <w:rPr>
          <w:rFonts w:ascii="Arial" w:hAnsi="Arial" w:cs="Arial"/>
          <w:sz w:val="22"/>
          <w:szCs w:val="20"/>
        </w:rPr>
        <w:t xml:space="preserve">. </w:t>
      </w:r>
      <w:r w:rsidRPr="00147770">
        <w:rPr>
          <w:rFonts w:ascii="Arial" w:hAnsi="Arial" w:cs="Arial"/>
          <w:sz w:val="22"/>
          <w:szCs w:val="20"/>
        </w:rPr>
        <w:t>Other offerings include arts and crafts, coffee mornings, a photography group, pub lunches, quizzes, tea dances, and the opportunity to make new friends. These social activities can help elders retain social connections and reduce feelings of loneliness</w:t>
      </w:r>
      <w:r w:rsidR="00440AE8">
        <w:rPr>
          <w:rFonts w:ascii="Arial" w:hAnsi="Arial" w:cs="Arial"/>
          <w:sz w:val="22"/>
          <w:szCs w:val="20"/>
        </w:rPr>
        <w:t xml:space="preserve"> </w:t>
      </w:r>
      <w:r w:rsidR="00440AE8" w:rsidRPr="00440AE8">
        <w:rPr>
          <w:rFonts w:ascii="Arial" w:hAnsi="Arial" w:cs="Arial"/>
          <w:sz w:val="22"/>
          <w:szCs w:val="20"/>
        </w:rPr>
        <w:t>(Age UK, 2024).</w:t>
      </w:r>
      <w:r w:rsidR="00440AE8">
        <w:rPr>
          <w:rFonts w:ascii="Arial" w:hAnsi="Arial" w:cs="Arial"/>
          <w:sz w:val="22"/>
          <w:szCs w:val="20"/>
        </w:rPr>
        <w:t xml:space="preserve"> </w:t>
      </w:r>
      <w:r w:rsidRPr="00147770">
        <w:rPr>
          <w:rFonts w:ascii="Arial" w:hAnsi="Arial" w:cs="Arial"/>
          <w:sz w:val="22"/>
          <w:szCs w:val="20"/>
        </w:rPr>
        <w:t>Furthermore, research has shown that engaging in social activities can help people stay alert in old age. Friends of the Elderly is another charity that helps the elderly. They serve 'Penny Dinners' to veterans of World War I. They also provide dementia care, residential, and creche services, as well as subsidies for elderly people who are struggling financially</w:t>
      </w:r>
      <w:r w:rsidR="00B9175F">
        <w:rPr>
          <w:rFonts w:ascii="Arial" w:hAnsi="Arial" w:cs="Arial"/>
          <w:sz w:val="22"/>
          <w:szCs w:val="20"/>
        </w:rPr>
        <w:t xml:space="preserve"> </w:t>
      </w:r>
      <w:r w:rsidR="00B9175F" w:rsidRPr="00B9175F">
        <w:rPr>
          <w:rFonts w:ascii="Arial" w:hAnsi="Arial" w:cs="Arial"/>
          <w:sz w:val="22"/>
          <w:szCs w:val="20"/>
        </w:rPr>
        <w:t xml:space="preserve">(Friends of the Elderly, 2024). </w:t>
      </w:r>
      <w:r w:rsidRPr="00147770">
        <w:rPr>
          <w:rFonts w:ascii="Arial" w:hAnsi="Arial" w:cs="Arial"/>
          <w:sz w:val="22"/>
          <w:szCs w:val="20"/>
        </w:rPr>
        <w:t>On the other hand, the independent group Age provides free online and telephone assistance to those who have trouble leaving their communities. The groups connect people over the age of 65 with supportive peers and organisations so that they can listen to and discuss problems that are important to them from the comfort of their own homes</w:t>
      </w:r>
      <w:r w:rsidR="00D6532D">
        <w:rPr>
          <w:rFonts w:ascii="Arial" w:hAnsi="Arial" w:cs="Arial"/>
          <w:sz w:val="22"/>
          <w:szCs w:val="20"/>
        </w:rPr>
        <w:t xml:space="preserve"> </w:t>
      </w:r>
      <w:r w:rsidR="00D6532D" w:rsidRPr="00D6532D">
        <w:rPr>
          <w:rFonts w:ascii="Arial" w:hAnsi="Arial" w:cs="Arial"/>
          <w:sz w:val="22"/>
          <w:szCs w:val="20"/>
        </w:rPr>
        <w:t>(Independent Age, 2024).</w:t>
      </w:r>
    </w:p>
    <w:p w14:paraId="2AE32C78" w14:textId="77777777" w:rsidR="00604DE7" w:rsidRDefault="00604DE7" w:rsidP="004B1F19">
      <w:pPr>
        <w:tabs>
          <w:tab w:val="left" w:pos="6540"/>
        </w:tabs>
        <w:spacing w:line="360" w:lineRule="auto"/>
        <w:jc w:val="both"/>
        <w:rPr>
          <w:rFonts w:ascii="Arial" w:hAnsi="Arial" w:cs="Arial"/>
          <w:b/>
          <w:bCs/>
        </w:rPr>
      </w:pPr>
    </w:p>
    <w:p w14:paraId="3E755BC4" w14:textId="77777777" w:rsidR="00604DE7" w:rsidRDefault="00604DE7" w:rsidP="004B1F19">
      <w:pPr>
        <w:tabs>
          <w:tab w:val="left" w:pos="6540"/>
        </w:tabs>
        <w:spacing w:line="360" w:lineRule="auto"/>
        <w:jc w:val="both"/>
        <w:rPr>
          <w:rFonts w:ascii="Arial" w:hAnsi="Arial" w:cs="Arial"/>
          <w:b/>
          <w:bCs/>
        </w:rPr>
      </w:pPr>
    </w:p>
    <w:p w14:paraId="527930CB" w14:textId="77777777" w:rsidR="00604DE7" w:rsidRDefault="00604DE7" w:rsidP="004B1F19">
      <w:pPr>
        <w:tabs>
          <w:tab w:val="left" w:pos="6540"/>
        </w:tabs>
        <w:spacing w:line="360" w:lineRule="auto"/>
        <w:jc w:val="both"/>
        <w:rPr>
          <w:rFonts w:ascii="Arial" w:hAnsi="Arial" w:cs="Arial"/>
          <w:b/>
          <w:bCs/>
        </w:rPr>
      </w:pPr>
    </w:p>
    <w:p w14:paraId="73564321" w14:textId="77777777" w:rsidR="00604DE7" w:rsidRDefault="00604DE7" w:rsidP="004B1F19">
      <w:pPr>
        <w:tabs>
          <w:tab w:val="left" w:pos="6540"/>
        </w:tabs>
        <w:spacing w:line="360" w:lineRule="auto"/>
        <w:jc w:val="both"/>
        <w:rPr>
          <w:rFonts w:ascii="Arial" w:hAnsi="Arial" w:cs="Arial"/>
          <w:b/>
          <w:bCs/>
        </w:rPr>
      </w:pPr>
    </w:p>
    <w:p w14:paraId="5626C994" w14:textId="77777777" w:rsidR="00604DE7" w:rsidRDefault="00604DE7" w:rsidP="004B1F19">
      <w:pPr>
        <w:tabs>
          <w:tab w:val="left" w:pos="6540"/>
        </w:tabs>
        <w:spacing w:line="360" w:lineRule="auto"/>
        <w:jc w:val="both"/>
        <w:rPr>
          <w:rFonts w:ascii="Arial" w:hAnsi="Arial" w:cs="Arial"/>
          <w:b/>
          <w:bCs/>
        </w:rPr>
      </w:pPr>
    </w:p>
    <w:p w14:paraId="68AEFD3F" w14:textId="77777777" w:rsidR="00604DE7" w:rsidRDefault="00604DE7" w:rsidP="004B1F19">
      <w:pPr>
        <w:tabs>
          <w:tab w:val="left" w:pos="6540"/>
        </w:tabs>
        <w:spacing w:line="360" w:lineRule="auto"/>
        <w:jc w:val="both"/>
        <w:rPr>
          <w:rFonts w:ascii="Arial" w:hAnsi="Arial" w:cs="Arial"/>
          <w:b/>
          <w:bCs/>
        </w:rPr>
      </w:pPr>
    </w:p>
    <w:p w14:paraId="66D59374" w14:textId="77777777" w:rsidR="00604DE7" w:rsidRDefault="00604DE7" w:rsidP="004B1F19">
      <w:pPr>
        <w:tabs>
          <w:tab w:val="left" w:pos="6540"/>
        </w:tabs>
        <w:spacing w:line="360" w:lineRule="auto"/>
        <w:jc w:val="both"/>
        <w:rPr>
          <w:rFonts w:ascii="Arial" w:hAnsi="Arial" w:cs="Arial"/>
          <w:b/>
          <w:bCs/>
        </w:rPr>
      </w:pPr>
    </w:p>
    <w:p w14:paraId="0FFB25BD" w14:textId="77777777" w:rsidR="00604DE7" w:rsidRDefault="00604DE7" w:rsidP="004B1F19">
      <w:pPr>
        <w:tabs>
          <w:tab w:val="left" w:pos="6540"/>
        </w:tabs>
        <w:spacing w:line="360" w:lineRule="auto"/>
        <w:jc w:val="both"/>
        <w:rPr>
          <w:rFonts w:ascii="Arial" w:hAnsi="Arial" w:cs="Arial"/>
          <w:b/>
          <w:bCs/>
        </w:rPr>
      </w:pPr>
    </w:p>
    <w:p w14:paraId="02929828" w14:textId="77777777" w:rsidR="00F15646" w:rsidRDefault="00F15646" w:rsidP="004B1F19">
      <w:pPr>
        <w:tabs>
          <w:tab w:val="left" w:pos="6540"/>
        </w:tabs>
        <w:spacing w:line="360" w:lineRule="auto"/>
        <w:jc w:val="both"/>
        <w:rPr>
          <w:rFonts w:ascii="Arial" w:hAnsi="Arial" w:cs="Arial"/>
          <w:b/>
          <w:bCs/>
        </w:rPr>
      </w:pPr>
    </w:p>
    <w:p w14:paraId="5E0566DE" w14:textId="77777777" w:rsidR="00F15646" w:rsidRDefault="00F15646" w:rsidP="004B1F19">
      <w:pPr>
        <w:tabs>
          <w:tab w:val="left" w:pos="6540"/>
        </w:tabs>
        <w:spacing w:line="360" w:lineRule="auto"/>
        <w:jc w:val="both"/>
        <w:rPr>
          <w:rFonts w:ascii="Arial" w:hAnsi="Arial" w:cs="Arial"/>
          <w:b/>
          <w:bCs/>
        </w:rPr>
      </w:pPr>
    </w:p>
    <w:p w14:paraId="3BA32BCC" w14:textId="77777777" w:rsidR="00F15646" w:rsidRDefault="00F15646" w:rsidP="004B1F19">
      <w:pPr>
        <w:tabs>
          <w:tab w:val="left" w:pos="6540"/>
        </w:tabs>
        <w:spacing w:line="360" w:lineRule="auto"/>
        <w:jc w:val="both"/>
        <w:rPr>
          <w:rFonts w:ascii="Arial" w:hAnsi="Arial" w:cs="Arial"/>
          <w:b/>
          <w:bCs/>
        </w:rPr>
      </w:pPr>
    </w:p>
    <w:p w14:paraId="4C1C2DC8" w14:textId="77777777" w:rsidR="00F15646" w:rsidRDefault="00F15646" w:rsidP="004B1F19">
      <w:pPr>
        <w:tabs>
          <w:tab w:val="left" w:pos="6540"/>
        </w:tabs>
        <w:spacing w:line="360" w:lineRule="auto"/>
        <w:jc w:val="both"/>
        <w:rPr>
          <w:rFonts w:ascii="Arial" w:hAnsi="Arial" w:cs="Arial"/>
          <w:b/>
          <w:bCs/>
        </w:rPr>
      </w:pPr>
    </w:p>
    <w:p w14:paraId="4C05C3E5" w14:textId="6B714EAB" w:rsidR="003F1516" w:rsidRPr="003F1516" w:rsidRDefault="003F1516" w:rsidP="00B0271A">
      <w:pPr>
        <w:tabs>
          <w:tab w:val="left" w:pos="6540"/>
        </w:tabs>
        <w:spacing w:line="360" w:lineRule="auto"/>
        <w:rPr>
          <w:rFonts w:ascii="Arial Black" w:hAnsi="Arial Black" w:cs="Arial"/>
          <w:b/>
          <w:bCs/>
          <w:szCs w:val="24"/>
        </w:rPr>
      </w:pPr>
      <w:r w:rsidRPr="003F1516">
        <w:rPr>
          <w:rFonts w:ascii="Arial Black" w:hAnsi="Arial Black" w:cs="Arial"/>
          <w:b/>
          <w:bCs/>
          <w:szCs w:val="24"/>
        </w:rPr>
        <w:lastRenderedPageBreak/>
        <w:t>CHANGES IN PROGRAMMES AIMED AT ADDRESSING THE PROBLEM OF LONELINESS AMONG THE ELDERLY</w:t>
      </w:r>
    </w:p>
    <w:p w14:paraId="26D5DB32" w14:textId="77777777" w:rsidR="00A80D9C" w:rsidRDefault="00DE423D" w:rsidP="003A4CD6">
      <w:pPr>
        <w:tabs>
          <w:tab w:val="left" w:pos="6540"/>
        </w:tabs>
        <w:spacing w:line="360" w:lineRule="auto"/>
        <w:jc w:val="both"/>
        <w:rPr>
          <w:rFonts w:ascii="Arial" w:hAnsi="Arial" w:cs="Arial"/>
          <w:sz w:val="22"/>
          <w:szCs w:val="20"/>
        </w:rPr>
      </w:pPr>
      <w:r w:rsidRPr="00DE423D">
        <w:rPr>
          <w:rFonts w:ascii="Arial" w:hAnsi="Arial" w:cs="Arial"/>
          <w:sz w:val="22"/>
          <w:szCs w:val="20"/>
        </w:rPr>
        <w:t>Age UK launched the Testing Promising Approaches to Reducing Loneliness programme in 2015 to improve the delivery of loneliness services. They recruited eight local representatives and focused on three approaches: First, by conversing with someone and responding to their needs, you can gain a better understanding of their loneliness. Second, identify and contact older people who feel lonely and are difficult to reach; empower local health and community services to recognise loneliness and its symptoms; and provide them with information about local loneliness services. Partners made effective use of the loneliness heat map to aid in targeting and identification. Third, offer comprehensive and personalised support to older people who feel isolated, including practical and emotional solutions that boost confidence and resilience</w:t>
      </w:r>
      <w:r>
        <w:rPr>
          <w:rFonts w:ascii="Arial" w:hAnsi="Arial" w:cs="Arial"/>
          <w:sz w:val="22"/>
          <w:szCs w:val="20"/>
        </w:rPr>
        <w:t xml:space="preserve"> </w:t>
      </w:r>
      <w:r w:rsidRPr="00DE423D">
        <w:rPr>
          <w:rFonts w:ascii="Arial" w:hAnsi="Arial" w:cs="Arial"/>
          <w:sz w:val="22"/>
          <w:szCs w:val="20"/>
        </w:rPr>
        <w:t>(Age UK, 2021).</w:t>
      </w:r>
      <w:r>
        <w:rPr>
          <w:rFonts w:ascii="Arial" w:hAnsi="Arial" w:cs="Arial"/>
          <w:sz w:val="22"/>
          <w:szCs w:val="20"/>
        </w:rPr>
        <w:t xml:space="preserve"> </w:t>
      </w:r>
    </w:p>
    <w:p w14:paraId="765A1DC0" w14:textId="77777777" w:rsidR="009D7F13" w:rsidRDefault="002D0AF2" w:rsidP="003A4CD6">
      <w:pPr>
        <w:tabs>
          <w:tab w:val="left" w:pos="6540"/>
        </w:tabs>
        <w:spacing w:line="360" w:lineRule="auto"/>
        <w:jc w:val="both"/>
        <w:rPr>
          <w:rFonts w:ascii="Arial" w:hAnsi="Arial" w:cs="Arial"/>
          <w:sz w:val="22"/>
          <w:szCs w:val="20"/>
        </w:rPr>
      </w:pPr>
      <w:r w:rsidRPr="002D0AF2">
        <w:rPr>
          <w:rFonts w:ascii="Arial" w:hAnsi="Arial" w:cs="Arial"/>
          <w:sz w:val="22"/>
          <w:szCs w:val="20"/>
        </w:rPr>
        <w:t>On the other hand, the Red Cross evaluated the government's October 2018 Loneliness Strategy for England, 'A connected society: tackling loneliness and social isolation'. To ensure that the government's commitment to addressing loneliness is met, the Red Cross recommends that all government departments renew their commitment to the cause. Furthermore, developing a loneliness test for policy, publishing action plans and sustained investments, and releasing the first annual report are critical steps towards addressing loneliness in society. The Red Cross recommends that government activities on loneliness follow the recommended measures and the Public Health Results Framework. Other principal factors that can be used to incorporate successful interventions into policies include identifying best practices and pilot learning. Across the country, the government should take equally important steps to combat loneliness by providing community space, support, and activities that facilitate connection, as well as ensuring that transport and housing policies support connection and social participation</w:t>
      </w:r>
      <w:r>
        <w:rPr>
          <w:rFonts w:ascii="Arial" w:hAnsi="Arial" w:cs="Arial"/>
          <w:sz w:val="22"/>
          <w:szCs w:val="20"/>
        </w:rPr>
        <w:t xml:space="preserve"> </w:t>
      </w:r>
      <w:r w:rsidRPr="002D0AF2">
        <w:rPr>
          <w:rFonts w:ascii="Arial" w:hAnsi="Arial" w:cs="Arial"/>
          <w:sz w:val="22"/>
          <w:szCs w:val="20"/>
        </w:rPr>
        <w:t>(British Red Cross, 2024).</w:t>
      </w:r>
      <w:r>
        <w:rPr>
          <w:rFonts w:ascii="Arial" w:hAnsi="Arial" w:cs="Arial"/>
          <w:sz w:val="22"/>
          <w:szCs w:val="20"/>
        </w:rPr>
        <w:t xml:space="preserve"> </w:t>
      </w:r>
    </w:p>
    <w:p w14:paraId="35EDAA56" w14:textId="10CBD293" w:rsidR="00DE423D" w:rsidRDefault="009D7F13" w:rsidP="003A4CD6">
      <w:pPr>
        <w:tabs>
          <w:tab w:val="left" w:pos="6540"/>
        </w:tabs>
        <w:spacing w:line="360" w:lineRule="auto"/>
        <w:jc w:val="both"/>
        <w:rPr>
          <w:rFonts w:ascii="Arial" w:hAnsi="Arial" w:cs="Arial"/>
          <w:sz w:val="22"/>
          <w:szCs w:val="20"/>
        </w:rPr>
      </w:pPr>
      <w:r w:rsidRPr="009D7F13">
        <w:rPr>
          <w:rFonts w:ascii="Arial" w:hAnsi="Arial" w:cs="Arial"/>
          <w:sz w:val="22"/>
          <w:szCs w:val="20"/>
        </w:rPr>
        <w:t>According to the World Health Organisation (2021), several interventions have been developed to help older individuals overcome social isolation and loneliness. Examples include social skills training, friendly community support groups, and cognitive-behavioural therapy. Improve access to transportation, information, and communication technologies. In addition, implement rules and regulations to prevent marginalisation and prejudice to improve social interactions. Furthermore, the United Nations Decade for Healthy Ageing (2021-2030) will address pressing policy and public health issues by developing guidance on how to implement and scale up effective interventions to reduce social isolation and loneliness, improve research and strengthen evidence of what works, and form a global coalition to raise the political priority of social isolation and loneliness among older people.</w:t>
      </w:r>
    </w:p>
    <w:p w14:paraId="10E79278" w14:textId="3E6D4831" w:rsidR="00B0271A" w:rsidRPr="00626468" w:rsidRDefault="00B0271A" w:rsidP="00B0271A">
      <w:pPr>
        <w:tabs>
          <w:tab w:val="left" w:pos="6540"/>
        </w:tabs>
        <w:spacing w:line="360" w:lineRule="auto"/>
        <w:rPr>
          <w:rFonts w:ascii="Arial" w:hAnsi="Arial" w:cs="Arial"/>
          <w:sz w:val="22"/>
        </w:rPr>
      </w:pPr>
      <w:r w:rsidRPr="007A6C83">
        <w:rPr>
          <w:rFonts w:ascii="Arial Black" w:hAnsi="Arial Black" w:cs="Arial"/>
          <w:b/>
          <w:bCs/>
        </w:rPr>
        <w:lastRenderedPageBreak/>
        <w:t>Use of technology for the provision of care provision to lonely older persons</w:t>
      </w:r>
      <w:r w:rsidR="004B1F19">
        <w:rPr>
          <w:rFonts w:ascii="Arial" w:hAnsi="Arial" w:cs="Arial"/>
          <w:b/>
          <w:bCs/>
        </w:rPr>
        <w:t xml:space="preserve"> </w:t>
      </w:r>
    </w:p>
    <w:p w14:paraId="0D75D4E4" w14:textId="77777777" w:rsidR="00227E51" w:rsidRDefault="00227E51" w:rsidP="00227E51">
      <w:pPr>
        <w:tabs>
          <w:tab w:val="left" w:pos="6540"/>
        </w:tabs>
        <w:spacing w:line="360" w:lineRule="auto"/>
        <w:jc w:val="both"/>
        <w:rPr>
          <w:rFonts w:ascii="Arial" w:hAnsi="Arial" w:cs="Arial"/>
          <w:sz w:val="22"/>
        </w:rPr>
      </w:pPr>
      <w:r w:rsidRPr="00227E51">
        <w:rPr>
          <w:rFonts w:ascii="Arial" w:hAnsi="Arial" w:cs="Arial"/>
          <w:sz w:val="22"/>
        </w:rPr>
        <w:t>The correct technologies can provide numerous benefits to seniors and their families. Some devices can help ease some of the loneliness that many seniors experience, particularly if they live alone. During the COVID-19 pandemic, they communicated with family and friends via video chat. They were also able to engage with members of the community, support organisations, and health specialists via video conversations. Smartphones and tablets can also be used to make critical phone calls, connect to the Internet, send emails, and participate in online conversations. So, technology can help alleviate some of the effects of loneliness. For example, they can interact with loved ones and online book clubs through video chats using apps like Zoom, WhatsApp, and Skype. Additionally, using smart assistants or speakers that can answer queries, play music on demand, and even call people can help alleviate symptoms of loneliness</w:t>
      </w:r>
      <w:r>
        <w:rPr>
          <w:rFonts w:ascii="Arial" w:hAnsi="Arial" w:cs="Arial"/>
          <w:sz w:val="22"/>
        </w:rPr>
        <w:t xml:space="preserve"> </w:t>
      </w:r>
      <w:r w:rsidRPr="00227E51">
        <w:rPr>
          <w:rFonts w:ascii="Arial" w:hAnsi="Arial" w:cs="Arial"/>
          <w:sz w:val="22"/>
        </w:rPr>
        <w:t>(Slaney, 2023).</w:t>
      </w:r>
      <w:r>
        <w:rPr>
          <w:rFonts w:ascii="Arial" w:hAnsi="Arial" w:cs="Arial"/>
          <w:sz w:val="22"/>
        </w:rPr>
        <w:t xml:space="preserve"> </w:t>
      </w:r>
    </w:p>
    <w:p w14:paraId="3D1D1D7E" w14:textId="3F9B245E" w:rsidR="00227E51" w:rsidRDefault="00227E51" w:rsidP="00227E51">
      <w:pPr>
        <w:tabs>
          <w:tab w:val="left" w:pos="6540"/>
        </w:tabs>
        <w:spacing w:line="360" w:lineRule="auto"/>
        <w:jc w:val="both"/>
        <w:rPr>
          <w:rFonts w:ascii="Arial" w:hAnsi="Arial" w:cs="Arial"/>
          <w:sz w:val="22"/>
        </w:rPr>
      </w:pPr>
      <w:r w:rsidRPr="00227E51">
        <w:rPr>
          <w:rFonts w:ascii="Arial" w:hAnsi="Arial" w:cs="Arial"/>
          <w:sz w:val="22"/>
        </w:rPr>
        <w:t>However, social networks and forums are among the most efficient ways for older people to stay in touch with family and friends. Whether it</w:t>
      </w:r>
      <w:r w:rsidR="00A80D9C">
        <w:rPr>
          <w:rFonts w:ascii="Arial" w:hAnsi="Arial" w:cs="Arial"/>
          <w:sz w:val="22"/>
        </w:rPr>
        <w:t xml:space="preserve"> i</w:t>
      </w:r>
      <w:r w:rsidRPr="00227E51">
        <w:rPr>
          <w:rFonts w:ascii="Arial" w:hAnsi="Arial" w:cs="Arial"/>
          <w:sz w:val="22"/>
        </w:rPr>
        <w:t>s Facebook, Twitter, or any other platform in between, people can easily communicate with one another and stay up to date on family news. In addition to regular social media platforms, users might join additional communities, such as groups and forums based on a specific interest, as well as forums and social networks for older adults</w:t>
      </w:r>
      <w:r>
        <w:rPr>
          <w:rFonts w:ascii="Arial" w:hAnsi="Arial" w:cs="Arial"/>
          <w:sz w:val="22"/>
        </w:rPr>
        <w:t xml:space="preserve"> </w:t>
      </w:r>
      <w:r w:rsidRPr="00227E51">
        <w:rPr>
          <w:rFonts w:ascii="Arial" w:hAnsi="Arial" w:cs="Arial"/>
          <w:sz w:val="22"/>
        </w:rPr>
        <w:t>(Helpline, 2021).</w:t>
      </w:r>
      <w:r>
        <w:rPr>
          <w:rFonts w:ascii="Arial" w:hAnsi="Arial" w:cs="Arial"/>
          <w:sz w:val="22"/>
        </w:rPr>
        <w:t xml:space="preserve"> </w:t>
      </w:r>
      <w:r w:rsidRPr="00227E51">
        <w:rPr>
          <w:rFonts w:ascii="Arial" w:hAnsi="Arial" w:cs="Arial"/>
          <w:sz w:val="22"/>
        </w:rPr>
        <w:t>Additionally, seniors' use of technology increases their self-esteem and makes them feel accomplished because they learn how to use a computer or other technological device</w:t>
      </w:r>
      <w:r>
        <w:rPr>
          <w:rFonts w:ascii="Arial" w:hAnsi="Arial" w:cs="Arial"/>
          <w:sz w:val="22"/>
        </w:rPr>
        <w:t xml:space="preserve"> </w:t>
      </w:r>
      <w:r w:rsidRPr="00227E51">
        <w:rPr>
          <w:rFonts w:ascii="Arial" w:hAnsi="Arial" w:cs="Arial"/>
          <w:sz w:val="22"/>
        </w:rPr>
        <w:t>(ALIGN HOME CARE, 2021).</w:t>
      </w:r>
    </w:p>
    <w:p w14:paraId="50688E55" w14:textId="77777777" w:rsidR="00227E51" w:rsidRDefault="00227E51" w:rsidP="00227E51">
      <w:pPr>
        <w:tabs>
          <w:tab w:val="left" w:pos="6540"/>
        </w:tabs>
        <w:spacing w:line="360" w:lineRule="auto"/>
        <w:jc w:val="both"/>
        <w:rPr>
          <w:rFonts w:ascii="Arial" w:hAnsi="Arial" w:cs="Arial"/>
          <w:sz w:val="22"/>
        </w:rPr>
      </w:pPr>
    </w:p>
    <w:p w14:paraId="1F9EBEB5" w14:textId="77777777" w:rsidR="00227E51" w:rsidRDefault="00227E51" w:rsidP="00227E51">
      <w:pPr>
        <w:tabs>
          <w:tab w:val="left" w:pos="6540"/>
        </w:tabs>
        <w:spacing w:line="360" w:lineRule="auto"/>
        <w:jc w:val="both"/>
        <w:rPr>
          <w:rFonts w:ascii="Arial" w:hAnsi="Arial" w:cs="Arial"/>
          <w:sz w:val="22"/>
        </w:rPr>
      </w:pPr>
    </w:p>
    <w:p w14:paraId="35C13EF8" w14:textId="77777777" w:rsidR="00777244" w:rsidRDefault="00777244" w:rsidP="00227E51">
      <w:pPr>
        <w:tabs>
          <w:tab w:val="left" w:pos="6540"/>
        </w:tabs>
        <w:spacing w:line="360" w:lineRule="auto"/>
        <w:jc w:val="both"/>
        <w:rPr>
          <w:rFonts w:ascii="Arial" w:hAnsi="Arial" w:cs="Arial"/>
          <w:sz w:val="22"/>
        </w:rPr>
      </w:pPr>
    </w:p>
    <w:p w14:paraId="0892BB6A" w14:textId="77777777" w:rsidR="00777244" w:rsidRDefault="00777244" w:rsidP="00227E51">
      <w:pPr>
        <w:tabs>
          <w:tab w:val="left" w:pos="6540"/>
        </w:tabs>
        <w:spacing w:line="360" w:lineRule="auto"/>
        <w:jc w:val="both"/>
        <w:rPr>
          <w:rFonts w:ascii="Arial" w:hAnsi="Arial" w:cs="Arial"/>
          <w:sz w:val="22"/>
        </w:rPr>
      </w:pPr>
    </w:p>
    <w:p w14:paraId="4A04660B" w14:textId="77777777" w:rsidR="00777244" w:rsidRDefault="00777244" w:rsidP="00227E51">
      <w:pPr>
        <w:tabs>
          <w:tab w:val="left" w:pos="6540"/>
        </w:tabs>
        <w:spacing w:line="360" w:lineRule="auto"/>
        <w:jc w:val="both"/>
        <w:rPr>
          <w:rFonts w:ascii="Arial" w:hAnsi="Arial" w:cs="Arial"/>
          <w:sz w:val="22"/>
        </w:rPr>
      </w:pPr>
    </w:p>
    <w:p w14:paraId="0BB9FA10" w14:textId="77777777" w:rsidR="00777244" w:rsidRDefault="00777244" w:rsidP="00227E51">
      <w:pPr>
        <w:tabs>
          <w:tab w:val="left" w:pos="6540"/>
        </w:tabs>
        <w:spacing w:line="360" w:lineRule="auto"/>
        <w:jc w:val="both"/>
        <w:rPr>
          <w:rFonts w:ascii="Arial" w:hAnsi="Arial" w:cs="Arial"/>
          <w:sz w:val="22"/>
        </w:rPr>
      </w:pPr>
    </w:p>
    <w:p w14:paraId="38FAA3DD" w14:textId="77777777" w:rsidR="00777244" w:rsidRDefault="00777244" w:rsidP="00227E51">
      <w:pPr>
        <w:tabs>
          <w:tab w:val="left" w:pos="6540"/>
        </w:tabs>
        <w:spacing w:line="360" w:lineRule="auto"/>
        <w:jc w:val="both"/>
        <w:rPr>
          <w:rFonts w:ascii="Arial" w:hAnsi="Arial" w:cs="Arial"/>
          <w:sz w:val="22"/>
        </w:rPr>
      </w:pPr>
    </w:p>
    <w:p w14:paraId="2DEFDBC0" w14:textId="77777777" w:rsidR="00777244" w:rsidRDefault="00777244" w:rsidP="00227E51">
      <w:pPr>
        <w:tabs>
          <w:tab w:val="left" w:pos="6540"/>
        </w:tabs>
        <w:spacing w:line="360" w:lineRule="auto"/>
        <w:jc w:val="both"/>
        <w:rPr>
          <w:rFonts w:ascii="Arial" w:hAnsi="Arial" w:cs="Arial"/>
          <w:sz w:val="22"/>
        </w:rPr>
      </w:pPr>
    </w:p>
    <w:p w14:paraId="3256FA1A" w14:textId="77777777" w:rsidR="00777244" w:rsidRDefault="00777244" w:rsidP="00227E51">
      <w:pPr>
        <w:tabs>
          <w:tab w:val="left" w:pos="6540"/>
        </w:tabs>
        <w:spacing w:line="360" w:lineRule="auto"/>
        <w:jc w:val="both"/>
        <w:rPr>
          <w:rFonts w:ascii="Arial" w:hAnsi="Arial" w:cs="Arial"/>
          <w:sz w:val="22"/>
        </w:rPr>
      </w:pPr>
    </w:p>
    <w:p w14:paraId="2B054180" w14:textId="77777777" w:rsidR="00777244" w:rsidRDefault="00777244" w:rsidP="00B0271A">
      <w:pPr>
        <w:tabs>
          <w:tab w:val="left" w:pos="6540"/>
        </w:tabs>
        <w:spacing w:line="360" w:lineRule="auto"/>
        <w:rPr>
          <w:rFonts w:ascii="Arial" w:hAnsi="Arial" w:cs="Arial"/>
          <w:sz w:val="22"/>
        </w:rPr>
      </w:pPr>
    </w:p>
    <w:p w14:paraId="75095F3D" w14:textId="77777777" w:rsidR="00A80D9C" w:rsidRDefault="004B1F19" w:rsidP="00E410BC">
      <w:pPr>
        <w:rPr>
          <w:rFonts w:ascii="Arial Black" w:hAnsi="Arial Black" w:cs="Arial"/>
          <w:b/>
          <w:bCs/>
        </w:rPr>
      </w:pPr>
      <w:r w:rsidRPr="007A6C83">
        <w:rPr>
          <w:rFonts w:ascii="Arial Black" w:hAnsi="Arial Black" w:cs="Arial"/>
          <w:b/>
          <w:bCs/>
        </w:rPr>
        <w:lastRenderedPageBreak/>
        <w:t>R</w:t>
      </w:r>
      <w:r w:rsidR="00A80D9C">
        <w:rPr>
          <w:rFonts w:ascii="Arial Black" w:hAnsi="Arial Black" w:cs="Arial"/>
          <w:b/>
          <w:bCs/>
        </w:rPr>
        <w:t>ECOMMENDATIONS</w:t>
      </w:r>
    </w:p>
    <w:p w14:paraId="0675231D" w14:textId="50D4AAF8" w:rsidR="00A831BB" w:rsidRPr="00715770" w:rsidRDefault="00715770" w:rsidP="00715770">
      <w:pPr>
        <w:tabs>
          <w:tab w:val="left" w:pos="6540"/>
        </w:tabs>
        <w:spacing w:line="360" w:lineRule="auto"/>
        <w:jc w:val="both"/>
        <w:rPr>
          <w:rFonts w:ascii="Arial" w:hAnsi="Arial" w:cs="Arial"/>
          <w:b/>
          <w:sz w:val="20"/>
          <w:szCs w:val="20"/>
        </w:rPr>
      </w:pPr>
      <w:r w:rsidRPr="00715770">
        <w:rPr>
          <w:rFonts w:ascii="Arial" w:hAnsi="Arial" w:cs="Arial"/>
          <w:sz w:val="22"/>
          <w:szCs w:val="20"/>
        </w:rPr>
        <w:t xml:space="preserve">Smile or start a conversation, for example, with the </w:t>
      </w:r>
      <w:r w:rsidRPr="00715770">
        <w:rPr>
          <w:rFonts w:ascii="Arial" w:hAnsi="Arial" w:cs="Arial"/>
          <w:sz w:val="22"/>
          <w:szCs w:val="20"/>
        </w:rPr>
        <w:t>salesperson</w:t>
      </w:r>
      <w:r w:rsidRPr="00715770">
        <w:rPr>
          <w:rFonts w:ascii="Arial" w:hAnsi="Arial" w:cs="Arial"/>
          <w:sz w:val="22"/>
          <w:szCs w:val="20"/>
        </w:rPr>
        <w:t xml:space="preserve"> in the store or the person next to you in the doctor's waiting room. If you are depressed, invite your family or friends to tea. Every Sunday, Re-engage hosts free parties. Also, stay in touch via the phone, such as by conversing with a friend or family member. You can also call The Silver Line, a hotline for older adults established by Esther Rantzen, at 0800 470 8090, or you can contact Independent Age at 0800 319 6789 or Age UK at 0800 678 1602. If your friends and family live far away, you can communicate with them using a personal computer, smartphone, or tablet. You can send emails and images to family and friends, have free video conversations using services like Skype, Zoom, FaceTime, or Viber, and make new "friends" online or reconnect with existing ones on social networking sites like Facebook, Instagram, or Twitter, as well as internet forums. Take part in community activities, including singing or walking groups, book clubs, bridge, bingo, quiz evenings, and church organisations. You can also keep a journal of your daily activities, such as going for a walk in the park or visiting a cafe, library, sports facility, movie theatre, or museum</w:t>
      </w:r>
      <w:r w:rsidR="005228FA">
        <w:rPr>
          <w:rFonts w:ascii="Arial" w:hAnsi="Arial" w:cs="Arial"/>
          <w:sz w:val="22"/>
          <w:szCs w:val="20"/>
        </w:rPr>
        <w:t xml:space="preserve"> </w:t>
      </w:r>
      <w:r w:rsidR="005228FA" w:rsidRPr="005228FA">
        <w:rPr>
          <w:rFonts w:ascii="Arial" w:hAnsi="Arial" w:cs="Arial"/>
          <w:sz w:val="22"/>
          <w:szCs w:val="20"/>
        </w:rPr>
        <w:t>(National Health Services, 2022).</w:t>
      </w:r>
      <w:r w:rsidR="005228FA">
        <w:rPr>
          <w:rFonts w:ascii="Arial" w:hAnsi="Arial" w:cs="Arial"/>
          <w:sz w:val="22"/>
          <w:szCs w:val="20"/>
        </w:rPr>
        <w:t xml:space="preserve"> </w:t>
      </w:r>
      <w:r w:rsidRPr="00715770">
        <w:rPr>
          <w:rFonts w:ascii="Arial" w:hAnsi="Arial" w:cs="Arial"/>
          <w:sz w:val="22"/>
          <w:szCs w:val="20"/>
        </w:rPr>
        <w:t>On the other side, the Age UK organisation suggests asking older people how they feel since having someone prepared to listen to them may be really comforting. Be tolerant when someone is lonely, especially if it is coupled with poor physical or mental health, as it may frustrate you or make you feel misunderstood by others. Encourage and support them by stating that they can feel better with the correct help.</w:t>
      </w:r>
    </w:p>
    <w:p w14:paraId="355D0451" w14:textId="77777777" w:rsidR="00304003" w:rsidRDefault="00304003" w:rsidP="009D052C">
      <w:pPr>
        <w:tabs>
          <w:tab w:val="left" w:pos="6540"/>
        </w:tabs>
        <w:spacing w:line="360" w:lineRule="auto"/>
        <w:rPr>
          <w:rFonts w:ascii="Arial" w:hAnsi="Arial" w:cs="Arial"/>
          <w:b/>
          <w:sz w:val="22"/>
        </w:rPr>
      </w:pPr>
    </w:p>
    <w:p w14:paraId="3322F880" w14:textId="77777777" w:rsidR="00304003" w:rsidRDefault="00304003" w:rsidP="009D052C">
      <w:pPr>
        <w:tabs>
          <w:tab w:val="left" w:pos="6540"/>
        </w:tabs>
        <w:spacing w:line="360" w:lineRule="auto"/>
        <w:rPr>
          <w:rFonts w:ascii="Arial" w:hAnsi="Arial" w:cs="Arial"/>
          <w:b/>
          <w:sz w:val="22"/>
        </w:rPr>
      </w:pPr>
    </w:p>
    <w:p w14:paraId="3753F173" w14:textId="77777777" w:rsidR="00304003" w:rsidRDefault="00304003" w:rsidP="009D052C">
      <w:pPr>
        <w:tabs>
          <w:tab w:val="left" w:pos="6540"/>
        </w:tabs>
        <w:spacing w:line="360" w:lineRule="auto"/>
        <w:rPr>
          <w:rFonts w:ascii="Arial" w:hAnsi="Arial" w:cs="Arial"/>
          <w:b/>
          <w:sz w:val="22"/>
        </w:rPr>
      </w:pPr>
    </w:p>
    <w:p w14:paraId="2402A4B6" w14:textId="77777777" w:rsidR="00304003" w:rsidRDefault="00304003" w:rsidP="009D052C">
      <w:pPr>
        <w:tabs>
          <w:tab w:val="left" w:pos="6540"/>
        </w:tabs>
        <w:spacing w:line="360" w:lineRule="auto"/>
        <w:rPr>
          <w:rFonts w:ascii="Arial" w:hAnsi="Arial" w:cs="Arial"/>
          <w:b/>
          <w:sz w:val="22"/>
        </w:rPr>
      </w:pPr>
    </w:p>
    <w:p w14:paraId="008BA671" w14:textId="77777777" w:rsidR="00304003" w:rsidRDefault="00304003" w:rsidP="009D052C">
      <w:pPr>
        <w:tabs>
          <w:tab w:val="left" w:pos="6540"/>
        </w:tabs>
        <w:spacing w:line="360" w:lineRule="auto"/>
        <w:rPr>
          <w:rFonts w:ascii="Arial" w:hAnsi="Arial" w:cs="Arial"/>
          <w:b/>
          <w:sz w:val="22"/>
        </w:rPr>
      </w:pPr>
    </w:p>
    <w:p w14:paraId="3B8903B3" w14:textId="77777777" w:rsidR="00304003" w:rsidRDefault="00304003" w:rsidP="009D052C">
      <w:pPr>
        <w:tabs>
          <w:tab w:val="left" w:pos="6540"/>
        </w:tabs>
        <w:spacing w:line="360" w:lineRule="auto"/>
        <w:rPr>
          <w:rFonts w:ascii="Arial" w:hAnsi="Arial" w:cs="Arial"/>
          <w:b/>
          <w:sz w:val="22"/>
        </w:rPr>
      </w:pPr>
    </w:p>
    <w:p w14:paraId="7F6CB778" w14:textId="77777777" w:rsidR="00304003" w:rsidRDefault="00304003" w:rsidP="009D052C">
      <w:pPr>
        <w:tabs>
          <w:tab w:val="left" w:pos="6540"/>
        </w:tabs>
        <w:spacing w:line="360" w:lineRule="auto"/>
        <w:rPr>
          <w:rFonts w:ascii="Arial" w:hAnsi="Arial" w:cs="Arial"/>
          <w:b/>
          <w:sz w:val="22"/>
        </w:rPr>
      </w:pPr>
    </w:p>
    <w:p w14:paraId="683EF52E" w14:textId="77777777" w:rsidR="00304003" w:rsidRDefault="00304003" w:rsidP="009D052C">
      <w:pPr>
        <w:tabs>
          <w:tab w:val="left" w:pos="6540"/>
        </w:tabs>
        <w:spacing w:line="360" w:lineRule="auto"/>
        <w:rPr>
          <w:rFonts w:ascii="Arial" w:hAnsi="Arial" w:cs="Arial"/>
          <w:b/>
          <w:sz w:val="22"/>
        </w:rPr>
      </w:pPr>
    </w:p>
    <w:p w14:paraId="02830B5A" w14:textId="77777777" w:rsidR="00304003" w:rsidRDefault="00304003" w:rsidP="009D052C">
      <w:pPr>
        <w:tabs>
          <w:tab w:val="left" w:pos="6540"/>
        </w:tabs>
        <w:spacing w:line="360" w:lineRule="auto"/>
        <w:rPr>
          <w:rFonts w:ascii="Arial" w:hAnsi="Arial" w:cs="Arial"/>
          <w:b/>
          <w:sz w:val="22"/>
        </w:rPr>
      </w:pPr>
    </w:p>
    <w:p w14:paraId="41B13411" w14:textId="77777777" w:rsidR="00304003" w:rsidRDefault="00304003" w:rsidP="009D052C">
      <w:pPr>
        <w:tabs>
          <w:tab w:val="left" w:pos="6540"/>
        </w:tabs>
        <w:spacing w:line="360" w:lineRule="auto"/>
        <w:rPr>
          <w:rFonts w:ascii="Arial" w:hAnsi="Arial" w:cs="Arial"/>
          <w:b/>
          <w:sz w:val="22"/>
        </w:rPr>
      </w:pPr>
    </w:p>
    <w:p w14:paraId="6C7D4B0E" w14:textId="77777777" w:rsidR="00304003" w:rsidRDefault="00304003" w:rsidP="009D052C">
      <w:pPr>
        <w:tabs>
          <w:tab w:val="left" w:pos="6540"/>
        </w:tabs>
        <w:spacing w:line="360" w:lineRule="auto"/>
        <w:rPr>
          <w:rFonts w:ascii="Arial" w:hAnsi="Arial" w:cs="Arial"/>
          <w:b/>
          <w:sz w:val="22"/>
        </w:rPr>
      </w:pPr>
    </w:p>
    <w:p w14:paraId="4CD5D0FF" w14:textId="77777777" w:rsidR="00304003" w:rsidRDefault="00304003" w:rsidP="009D052C">
      <w:pPr>
        <w:tabs>
          <w:tab w:val="left" w:pos="6540"/>
        </w:tabs>
        <w:spacing w:line="360" w:lineRule="auto"/>
        <w:rPr>
          <w:rFonts w:ascii="Arial" w:hAnsi="Arial" w:cs="Arial"/>
          <w:b/>
          <w:sz w:val="22"/>
        </w:rPr>
      </w:pPr>
    </w:p>
    <w:p w14:paraId="16FAF0EA" w14:textId="19952F38" w:rsidR="00B87E75" w:rsidRPr="004B1F19" w:rsidRDefault="00261613" w:rsidP="004B1F19">
      <w:pPr>
        <w:rPr>
          <w:rFonts w:ascii="Arial" w:hAnsi="Arial" w:cs="Arial"/>
          <w:b/>
          <w:bCs/>
        </w:rPr>
      </w:pPr>
      <w:r>
        <w:rPr>
          <w:rFonts w:ascii="Arial" w:hAnsi="Arial" w:cs="Arial"/>
          <w:b/>
          <w:bCs/>
        </w:rPr>
        <w:t>CONCLUSION</w:t>
      </w:r>
    </w:p>
    <w:p w14:paraId="6812580D" w14:textId="47452A39" w:rsidR="0090040D" w:rsidRPr="00626468" w:rsidRDefault="0090040D" w:rsidP="009D052C">
      <w:pPr>
        <w:tabs>
          <w:tab w:val="left" w:pos="6540"/>
        </w:tabs>
        <w:spacing w:line="360" w:lineRule="auto"/>
        <w:rPr>
          <w:rFonts w:ascii="Arial" w:hAnsi="Arial" w:cs="Arial"/>
          <w:sz w:val="22"/>
        </w:rPr>
      </w:pPr>
    </w:p>
    <w:p w14:paraId="4371A9C5" w14:textId="7A8AB4F8" w:rsidR="00F66E1B" w:rsidRPr="00626468" w:rsidRDefault="00F66E1B" w:rsidP="009D052C">
      <w:pPr>
        <w:tabs>
          <w:tab w:val="left" w:pos="6540"/>
        </w:tabs>
        <w:spacing w:line="360" w:lineRule="auto"/>
        <w:rPr>
          <w:rFonts w:ascii="Arial" w:hAnsi="Arial" w:cs="Arial"/>
          <w:sz w:val="22"/>
        </w:rPr>
      </w:pPr>
    </w:p>
    <w:p w14:paraId="364D7618" w14:textId="54B8550D" w:rsidR="00F66E1B" w:rsidRPr="00626468" w:rsidRDefault="00F66E1B" w:rsidP="009D052C">
      <w:pPr>
        <w:tabs>
          <w:tab w:val="left" w:pos="6540"/>
        </w:tabs>
        <w:spacing w:line="360" w:lineRule="auto"/>
        <w:rPr>
          <w:rFonts w:ascii="Arial" w:hAnsi="Arial" w:cs="Arial"/>
          <w:sz w:val="22"/>
        </w:rPr>
      </w:pPr>
    </w:p>
    <w:p w14:paraId="3EA3C7DD" w14:textId="2C373198" w:rsidR="00F66E1B" w:rsidRPr="00626468" w:rsidRDefault="00F66E1B" w:rsidP="009D052C">
      <w:pPr>
        <w:tabs>
          <w:tab w:val="left" w:pos="6540"/>
        </w:tabs>
        <w:spacing w:line="360" w:lineRule="auto"/>
        <w:rPr>
          <w:rFonts w:ascii="Arial" w:hAnsi="Arial" w:cs="Arial"/>
          <w:sz w:val="22"/>
        </w:rPr>
      </w:pPr>
    </w:p>
    <w:p w14:paraId="5C76528F" w14:textId="77777777" w:rsidR="00F66E1B" w:rsidRPr="00626468" w:rsidRDefault="00F66E1B" w:rsidP="009D052C">
      <w:pPr>
        <w:tabs>
          <w:tab w:val="left" w:pos="6540"/>
        </w:tabs>
        <w:spacing w:line="360" w:lineRule="auto"/>
        <w:rPr>
          <w:rFonts w:ascii="Arial" w:hAnsi="Arial" w:cs="Arial"/>
          <w:sz w:val="22"/>
        </w:rPr>
      </w:pPr>
    </w:p>
    <w:p w14:paraId="5F7F694E" w14:textId="77777777" w:rsidR="00B0271A" w:rsidRPr="00626468" w:rsidRDefault="00B0271A">
      <w:pPr>
        <w:rPr>
          <w:rFonts w:ascii="Arial" w:eastAsiaTheme="majorEastAsia" w:hAnsi="Arial" w:cstheme="majorBidi"/>
          <w:b/>
          <w:sz w:val="22"/>
        </w:rPr>
      </w:pPr>
      <w:r w:rsidRPr="00626468">
        <w:rPr>
          <w:sz w:val="22"/>
        </w:rPr>
        <w:br w:type="page"/>
      </w:r>
    </w:p>
    <w:p w14:paraId="33F8F0BD" w14:textId="21FF702E" w:rsidR="00B87E75" w:rsidRPr="004B1F19" w:rsidRDefault="00B87E75" w:rsidP="004B1F19">
      <w:pPr>
        <w:rPr>
          <w:rFonts w:ascii="Arial" w:hAnsi="Arial" w:cs="Arial"/>
          <w:b/>
          <w:bCs/>
        </w:rPr>
      </w:pPr>
      <w:r w:rsidRPr="004B1F19">
        <w:rPr>
          <w:rFonts w:ascii="Arial" w:hAnsi="Arial" w:cs="Arial"/>
          <w:b/>
          <w:bCs/>
        </w:rPr>
        <w:lastRenderedPageBreak/>
        <w:t>References</w:t>
      </w:r>
    </w:p>
    <w:p w14:paraId="6238DEFA" w14:textId="75416254" w:rsidR="00FC613C" w:rsidRDefault="00FC613C" w:rsidP="004C5AA7">
      <w:pPr>
        <w:rPr>
          <w:rFonts w:ascii="Arial" w:hAnsi="Arial" w:cs="Arial"/>
          <w:sz w:val="22"/>
          <w:szCs w:val="20"/>
        </w:rPr>
      </w:pPr>
      <w:r w:rsidRPr="00FC613C">
        <w:rPr>
          <w:rFonts w:ascii="Arial" w:hAnsi="Arial" w:cs="Arial"/>
          <w:sz w:val="22"/>
          <w:szCs w:val="20"/>
        </w:rPr>
        <w:t xml:space="preserve">Age UK (2024) </w:t>
      </w:r>
      <w:r w:rsidRPr="004671ED">
        <w:rPr>
          <w:rFonts w:ascii="Arial" w:hAnsi="Arial" w:cs="Arial"/>
          <w:i/>
          <w:iCs/>
          <w:sz w:val="22"/>
          <w:szCs w:val="20"/>
        </w:rPr>
        <w:t>Social activities</w:t>
      </w:r>
      <w:r w:rsidRPr="00FC613C">
        <w:rPr>
          <w:rFonts w:ascii="Arial" w:hAnsi="Arial" w:cs="Arial"/>
          <w:sz w:val="22"/>
          <w:szCs w:val="20"/>
        </w:rPr>
        <w:t>. Available at: https://www.ageuk.org.uk/services/in-your-area/social-activities/ (Accessed: 13 April 2024).</w:t>
      </w:r>
    </w:p>
    <w:p w14:paraId="55A6250C" w14:textId="77777777" w:rsidR="001E4404" w:rsidRDefault="001E4404" w:rsidP="001E4404">
      <w:pPr>
        <w:rPr>
          <w:rFonts w:ascii="Arial" w:hAnsi="Arial" w:cs="Arial"/>
          <w:sz w:val="22"/>
          <w:szCs w:val="20"/>
        </w:rPr>
      </w:pPr>
      <w:r w:rsidRPr="001E4404">
        <w:rPr>
          <w:rFonts w:ascii="Arial" w:hAnsi="Arial" w:cs="Arial"/>
          <w:sz w:val="22"/>
          <w:szCs w:val="20"/>
        </w:rPr>
        <w:t xml:space="preserve">Age UK (2021) </w:t>
      </w:r>
      <w:r w:rsidRPr="004671ED">
        <w:rPr>
          <w:rFonts w:ascii="Arial" w:hAnsi="Arial" w:cs="Arial"/>
          <w:i/>
          <w:iCs/>
          <w:sz w:val="22"/>
          <w:szCs w:val="20"/>
        </w:rPr>
        <w:t>Testing Promising Approaches to Reducing Loneliness</w:t>
      </w:r>
      <w:r w:rsidRPr="001E4404">
        <w:rPr>
          <w:rFonts w:ascii="Arial" w:hAnsi="Arial" w:cs="Arial"/>
          <w:sz w:val="22"/>
          <w:szCs w:val="20"/>
        </w:rPr>
        <w:t>. Available at: https://www.ageuk.org.uk/our-impact/programmes/reducing-loneliness/ (Accessed: 14 April 2024).</w:t>
      </w:r>
    </w:p>
    <w:p w14:paraId="71989953" w14:textId="1C20C0A6" w:rsidR="00977117" w:rsidRDefault="00977117" w:rsidP="00B6201F">
      <w:pPr>
        <w:rPr>
          <w:rFonts w:ascii="Arial" w:hAnsi="Arial" w:cs="Arial"/>
          <w:sz w:val="22"/>
          <w:szCs w:val="20"/>
        </w:rPr>
      </w:pPr>
      <w:r w:rsidRPr="00977117">
        <w:rPr>
          <w:rFonts w:ascii="Arial" w:hAnsi="Arial" w:cs="Arial"/>
          <w:sz w:val="22"/>
          <w:szCs w:val="20"/>
        </w:rPr>
        <w:t>Age UK (2024) Caring for someone who's lonely. Available at: https://www.ageuk.org.uk/information-advice/health-wellbeing/loneliness/caring-for-someone-whos-lonely/ (Accessed: 17 April 2024).</w:t>
      </w:r>
    </w:p>
    <w:p w14:paraId="2C41CA2E" w14:textId="464F7717" w:rsidR="00B6201F" w:rsidRDefault="00B6201F" w:rsidP="00B6201F">
      <w:pPr>
        <w:rPr>
          <w:rFonts w:ascii="Arial" w:hAnsi="Arial" w:cs="Arial"/>
          <w:sz w:val="22"/>
          <w:szCs w:val="20"/>
        </w:rPr>
      </w:pPr>
      <w:r w:rsidRPr="00B6201F">
        <w:rPr>
          <w:rFonts w:ascii="Arial" w:hAnsi="Arial" w:cs="Arial"/>
          <w:sz w:val="22"/>
          <w:szCs w:val="20"/>
        </w:rPr>
        <w:t>ALIGN HOME CARE (2021) How Can Technology Stave Off Loneliness in Older Adults? Available at: https://alignhomecareservices.com/technology-prevent-loneliness-in-seniors/</w:t>
      </w:r>
      <w:r>
        <w:rPr>
          <w:rFonts w:ascii="Arial" w:hAnsi="Arial" w:cs="Arial"/>
          <w:sz w:val="22"/>
          <w:szCs w:val="20"/>
        </w:rPr>
        <w:t xml:space="preserve"> </w:t>
      </w:r>
      <w:r w:rsidRPr="001E4404">
        <w:rPr>
          <w:rFonts w:ascii="Arial" w:hAnsi="Arial" w:cs="Arial"/>
          <w:sz w:val="22"/>
          <w:szCs w:val="20"/>
        </w:rPr>
        <w:t>(Accessed: 14 April 2024).</w:t>
      </w:r>
    </w:p>
    <w:p w14:paraId="21869D6A" w14:textId="20687D48" w:rsidR="001E4404" w:rsidRDefault="001E4404" w:rsidP="004C5AA7">
      <w:pPr>
        <w:rPr>
          <w:rFonts w:ascii="Arial" w:hAnsi="Arial" w:cs="Arial"/>
          <w:sz w:val="22"/>
          <w:szCs w:val="20"/>
        </w:rPr>
      </w:pPr>
      <w:r w:rsidRPr="001E4404">
        <w:rPr>
          <w:rFonts w:ascii="Arial" w:hAnsi="Arial" w:cs="Arial"/>
          <w:sz w:val="22"/>
          <w:szCs w:val="20"/>
        </w:rPr>
        <w:t xml:space="preserve">British Red Cross (n.d.) </w:t>
      </w:r>
      <w:r w:rsidRPr="004671ED">
        <w:rPr>
          <w:rFonts w:ascii="Arial" w:hAnsi="Arial" w:cs="Arial"/>
          <w:i/>
          <w:iCs/>
          <w:sz w:val="22"/>
          <w:szCs w:val="20"/>
        </w:rPr>
        <w:t>Assessing progress in tackling loneliness</w:t>
      </w:r>
      <w:r w:rsidRPr="001E4404">
        <w:rPr>
          <w:rFonts w:ascii="Arial" w:hAnsi="Arial" w:cs="Arial"/>
          <w:sz w:val="22"/>
          <w:szCs w:val="20"/>
        </w:rPr>
        <w:t>. Available at: https://www.redcross.org.uk/about-us/what-we-do/we-speak-up-for-change/a-connected-society#Our%20recommendations (Accessed: 14 April 2024).</w:t>
      </w:r>
    </w:p>
    <w:p w14:paraId="48D511DF" w14:textId="61E822A9" w:rsidR="004C5AA7" w:rsidRPr="000247A5" w:rsidRDefault="004C5AA7" w:rsidP="004C5AA7">
      <w:pPr>
        <w:rPr>
          <w:rFonts w:ascii="Arial" w:hAnsi="Arial" w:cs="Arial"/>
          <w:sz w:val="22"/>
          <w:szCs w:val="20"/>
        </w:rPr>
      </w:pPr>
      <w:r w:rsidRPr="000247A5">
        <w:rPr>
          <w:rFonts w:ascii="Arial" w:hAnsi="Arial" w:cs="Arial"/>
          <w:sz w:val="22"/>
          <w:szCs w:val="20"/>
        </w:rPr>
        <w:t xml:space="preserve">Cacioppo, J.T. and Cacioppo, S. (2018) 'Chapter Three - Loneliness in the Modern Age: An Evolutionary Theory of Loneliness (ETL)', </w:t>
      </w:r>
      <w:r w:rsidRPr="000247A5">
        <w:rPr>
          <w:rFonts w:ascii="Arial" w:hAnsi="Arial" w:cs="Arial"/>
          <w:i/>
          <w:iCs/>
          <w:sz w:val="22"/>
          <w:szCs w:val="20"/>
        </w:rPr>
        <w:t>Advances in Experimental Social Psychology</w:t>
      </w:r>
      <w:r w:rsidRPr="000247A5">
        <w:rPr>
          <w:rFonts w:ascii="Arial" w:hAnsi="Arial" w:cs="Arial"/>
          <w:sz w:val="22"/>
          <w:szCs w:val="20"/>
        </w:rPr>
        <w:t>, 58, pp.127–197. Available at: https://doi.org/10.1016/bs.aesp.2018.03.003</w:t>
      </w:r>
    </w:p>
    <w:p w14:paraId="311B7DEA" w14:textId="68843ED3" w:rsidR="004C5AA7" w:rsidRPr="000247A5" w:rsidRDefault="0073636F" w:rsidP="0073636F">
      <w:pPr>
        <w:rPr>
          <w:rFonts w:ascii="Arial" w:hAnsi="Arial" w:cs="Arial"/>
          <w:sz w:val="22"/>
          <w:szCs w:val="20"/>
        </w:rPr>
      </w:pPr>
      <w:r w:rsidRPr="000247A5">
        <w:rPr>
          <w:rFonts w:ascii="Arial" w:hAnsi="Arial" w:cs="Arial"/>
          <w:sz w:val="22"/>
          <w:szCs w:val="20"/>
        </w:rPr>
        <w:t xml:space="preserve">Cacioppo, J.T., Cacioppo, S. and Boomsma, D.I. (2013) 'Evolutionary mechanisms for loneliness', </w:t>
      </w:r>
      <w:r w:rsidRPr="000247A5">
        <w:rPr>
          <w:rFonts w:ascii="Arial" w:hAnsi="Arial" w:cs="Arial"/>
          <w:i/>
          <w:iCs/>
          <w:sz w:val="22"/>
          <w:szCs w:val="20"/>
        </w:rPr>
        <w:t>Cognition and Emotion</w:t>
      </w:r>
      <w:r w:rsidRPr="000247A5">
        <w:rPr>
          <w:rFonts w:ascii="Arial" w:hAnsi="Arial" w:cs="Arial"/>
          <w:sz w:val="22"/>
          <w:szCs w:val="20"/>
        </w:rPr>
        <w:t>, 28(1), pp.3–21. Available at: https://doi.org/10.1080/02699931.2013.837379</w:t>
      </w:r>
    </w:p>
    <w:p w14:paraId="05CE0CD2" w14:textId="2BA28E7A" w:rsidR="00C6362B" w:rsidRPr="000247A5" w:rsidRDefault="00C6362B" w:rsidP="00C6362B">
      <w:pPr>
        <w:rPr>
          <w:rFonts w:ascii="Arial" w:hAnsi="Arial" w:cs="Arial"/>
          <w:sz w:val="22"/>
          <w:szCs w:val="20"/>
        </w:rPr>
      </w:pPr>
      <w:r w:rsidRPr="000247A5">
        <w:rPr>
          <w:rFonts w:ascii="Arial" w:hAnsi="Arial" w:cs="Arial"/>
          <w:sz w:val="22"/>
          <w:szCs w:val="20"/>
        </w:rPr>
        <w:t xml:space="preserve">Coombs, N., Storey, A. and Giddings, R. (2019) </w:t>
      </w:r>
      <w:r w:rsidRPr="000247A5">
        <w:rPr>
          <w:rFonts w:ascii="Arial" w:hAnsi="Arial" w:cs="Arial"/>
          <w:i/>
          <w:iCs/>
          <w:sz w:val="22"/>
          <w:szCs w:val="20"/>
        </w:rPr>
        <w:t>Living longer: is age 70 the new age 65?</w:t>
      </w:r>
      <w:r w:rsidRPr="000247A5">
        <w:rPr>
          <w:rFonts w:ascii="Arial" w:hAnsi="Arial" w:cs="Arial"/>
          <w:sz w:val="22"/>
          <w:szCs w:val="20"/>
        </w:rPr>
        <w:t xml:space="preserve"> Available at: https://www.ons.gov.uk/peoplepopulationandcommunity/birthsdeathsandmarriages/ageing/articles/livinglongerisage70thenewage65/2019-11-19 (Accessed: 09 April 2024).</w:t>
      </w:r>
    </w:p>
    <w:p w14:paraId="6B5838AE" w14:textId="77777777" w:rsidR="000247A5" w:rsidRPr="0073636F" w:rsidRDefault="000247A5" w:rsidP="000247A5">
      <w:pPr>
        <w:rPr>
          <w:rFonts w:ascii="Arial" w:hAnsi="Arial" w:cs="Arial"/>
          <w:sz w:val="22"/>
          <w:szCs w:val="20"/>
        </w:rPr>
      </w:pPr>
      <w:r w:rsidRPr="0073636F">
        <w:rPr>
          <w:rFonts w:ascii="Arial" w:hAnsi="Arial" w:cs="Arial"/>
          <w:sz w:val="22"/>
          <w:szCs w:val="20"/>
        </w:rPr>
        <w:t xml:space="preserve">Database.earth (n.d.) </w:t>
      </w:r>
      <w:r w:rsidRPr="0073636F">
        <w:rPr>
          <w:rFonts w:ascii="Segoe UI Emoji" w:hAnsi="Segoe UI Emoji" w:cs="Segoe UI Emoji"/>
          <w:i/>
          <w:iCs/>
          <w:sz w:val="22"/>
          <w:szCs w:val="20"/>
        </w:rPr>
        <w:t>🇵🇪</w:t>
      </w:r>
      <w:r w:rsidRPr="0073636F">
        <w:rPr>
          <w:rFonts w:ascii="Arial" w:hAnsi="Arial" w:cs="Arial"/>
          <w:i/>
          <w:iCs/>
          <w:sz w:val="22"/>
          <w:szCs w:val="20"/>
        </w:rPr>
        <w:t xml:space="preserve"> Life Expectancy in Peru</w:t>
      </w:r>
      <w:r w:rsidRPr="0073636F">
        <w:rPr>
          <w:rFonts w:ascii="Arial" w:hAnsi="Arial" w:cs="Arial"/>
          <w:sz w:val="22"/>
          <w:szCs w:val="20"/>
        </w:rPr>
        <w:t>. Available at: https://database.earth/population/peru/life-expectancy (Accessed: 10 April 2024).</w:t>
      </w:r>
    </w:p>
    <w:p w14:paraId="04929C43" w14:textId="7EBECC10" w:rsidR="00FC613C" w:rsidRPr="0073636F" w:rsidRDefault="00FC613C" w:rsidP="00FC613C">
      <w:pPr>
        <w:rPr>
          <w:rFonts w:ascii="Arial" w:hAnsi="Arial" w:cs="Arial"/>
          <w:sz w:val="22"/>
          <w:szCs w:val="20"/>
        </w:rPr>
      </w:pPr>
      <w:r w:rsidRPr="00FC613C">
        <w:rPr>
          <w:rFonts w:ascii="Arial" w:hAnsi="Arial" w:cs="Arial"/>
          <w:sz w:val="22"/>
          <w:szCs w:val="20"/>
        </w:rPr>
        <w:t xml:space="preserve">Friends of the Elderly (n.d.) </w:t>
      </w:r>
      <w:r w:rsidRPr="00FC613C">
        <w:rPr>
          <w:rFonts w:ascii="Arial" w:hAnsi="Arial" w:cs="Arial"/>
          <w:i/>
          <w:iCs/>
          <w:sz w:val="22"/>
          <w:szCs w:val="20"/>
        </w:rPr>
        <w:t>Welcome to Friends of the Elderly - Helping people live well in later life</w:t>
      </w:r>
      <w:r w:rsidRPr="00FC613C">
        <w:rPr>
          <w:rFonts w:ascii="Arial" w:hAnsi="Arial" w:cs="Arial"/>
          <w:sz w:val="22"/>
          <w:szCs w:val="20"/>
        </w:rPr>
        <w:t>. Available at: https://www.fote.org.uk/</w:t>
      </w:r>
      <w:r>
        <w:rPr>
          <w:rFonts w:ascii="Arial" w:hAnsi="Arial" w:cs="Arial"/>
          <w:sz w:val="22"/>
          <w:szCs w:val="20"/>
        </w:rPr>
        <w:t xml:space="preserve"> </w:t>
      </w:r>
      <w:r w:rsidRPr="0073636F">
        <w:rPr>
          <w:rFonts w:ascii="Arial" w:hAnsi="Arial" w:cs="Arial"/>
          <w:sz w:val="22"/>
          <w:szCs w:val="20"/>
        </w:rPr>
        <w:t>(Accessed: 1</w:t>
      </w:r>
      <w:r>
        <w:rPr>
          <w:rFonts w:ascii="Arial" w:hAnsi="Arial" w:cs="Arial"/>
          <w:sz w:val="22"/>
          <w:szCs w:val="20"/>
        </w:rPr>
        <w:t>3</w:t>
      </w:r>
      <w:r w:rsidRPr="0073636F">
        <w:rPr>
          <w:rFonts w:ascii="Arial" w:hAnsi="Arial" w:cs="Arial"/>
          <w:sz w:val="22"/>
          <w:szCs w:val="20"/>
        </w:rPr>
        <w:t xml:space="preserve"> April 2024).</w:t>
      </w:r>
    </w:p>
    <w:p w14:paraId="3EDB16DA" w14:textId="4AE65FC9" w:rsidR="000247A5" w:rsidRDefault="000247A5" w:rsidP="00C6362B">
      <w:pPr>
        <w:rPr>
          <w:rFonts w:ascii="Arial" w:hAnsi="Arial" w:cs="Arial"/>
          <w:sz w:val="22"/>
          <w:szCs w:val="20"/>
        </w:rPr>
      </w:pPr>
      <w:r w:rsidRPr="000247A5">
        <w:rPr>
          <w:rFonts w:ascii="Arial" w:hAnsi="Arial" w:cs="Arial"/>
          <w:sz w:val="22"/>
          <w:szCs w:val="20"/>
        </w:rPr>
        <w:t xml:space="preserve">Gardiner, C. et al. (2020) 'What is the prevalence of loneliness amongst older people living in residential and nursing care homes? A systematic review and meta-analysis', </w:t>
      </w:r>
      <w:r w:rsidRPr="00987EDB">
        <w:rPr>
          <w:rFonts w:ascii="Arial" w:hAnsi="Arial" w:cs="Arial"/>
          <w:i/>
          <w:iCs/>
          <w:sz w:val="22"/>
          <w:szCs w:val="20"/>
        </w:rPr>
        <w:t>Age and Ageing</w:t>
      </w:r>
      <w:r w:rsidRPr="000247A5">
        <w:rPr>
          <w:rFonts w:ascii="Arial" w:hAnsi="Arial" w:cs="Arial"/>
          <w:sz w:val="22"/>
          <w:szCs w:val="20"/>
        </w:rPr>
        <w:t>, Volume 49, Issue 5, pp. 748–757. Available at:</w:t>
      </w:r>
      <w:r w:rsidR="00FC613C">
        <w:rPr>
          <w:rFonts w:ascii="Arial" w:hAnsi="Arial" w:cs="Arial"/>
          <w:sz w:val="22"/>
          <w:szCs w:val="20"/>
        </w:rPr>
        <w:t xml:space="preserve"> </w:t>
      </w:r>
      <w:r w:rsidRPr="000247A5">
        <w:rPr>
          <w:rFonts w:ascii="Arial" w:hAnsi="Arial" w:cs="Arial"/>
          <w:sz w:val="22"/>
          <w:szCs w:val="20"/>
        </w:rPr>
        <w:t>https://doi.org/10.1093/ageing/afaa049</w:t>
      </w:r>
    </w:p>
    <w:p w14:paraId="2C77B6A9" w14:textId="3DE5652B" w:rsidR="004436B8" w:rsidRPr="000247A5" w:rsidRDefault="004436B8" w:rsidP="00C6362B">
      <w:pPr>
        <w:rPr>
          <w:rFonts w:ascii="Arial" w:hAnsi="Arial" w:cs="Arial"/>
          <w:sz w:val="22"/>
          <w:szCs w:val="20"/>
        </w:rPr>
      </w:pPr>
      <w:r w:rsidRPr="004436B8">
        <w:rPr>
          <w:rFonts w:ascii="Arial" w:hAnsi="Arial" w:cs="Arial"/>
          <w:sz w:val="22"/>
          <w:szCs w:val="20"/>
        </w:rPr>
        <w:t xml:space="preserve">Flores-Flores, O. et al. (2023) 'Agency and Mental Health Among Peruvian Older Adults During the COVID-19 Lockdown', </w:t>
      </w:r>
      <w:r w:rsidRPr="004436B8">
        <w:rPr>
          <w:rFonts w:ascii="Arial" w:hAnsi="Arial" w:cs="Arial"/>
          <w:i/>
          <w:iCs/>
          <w:sz w:val="22"/>
          <w:szCs w:val="20"/>
        </w:rPr>
        <w:t>The Journals of Gerontology: Series B</w:t>
      </w:r>
      <w:r w:rsidRPr="004436B8">
        <w:rPr>
          <w:rFonts w:ascii="Arial" w:hAnsi="Arial" w:cs="Arial"/>
          <w:sz w:val="22"/>
          <w:szCs w:val="20"/>
        </w:rPr>
        <w:t>, Volume 78, Issue 6, pp. 1109–1117</w:t>
      </w:r>
      <w:r>
        <w:rPr>
          <w:rFonts w:ascii="Arial" w:hAnsi="Arial" w:cs="Arial"/>
          <w:sz w:val="22"/>
          <w:szCs w:val="20"/>
        </w:rPr>
        <w:t>.</w:t>
      </w:r>
      <w:r w:rsidRPr="004436B8">
        <w:rPr>
          <w:rFonts w:ascii="Arial" w:hAnsi="Arial" w:cs="Arial"/>
          <w:sz w:val="22"/>
          <w:szCs w:val="20"/>
        </w:rPr>
        <w:t xml:space="preserve"> Available at: https://doi.org/10.1093/geronb/gbad040</w:t>
      </w:r>
    </w:p>
    <w:p w14:paraId="68EF80DF" w14:textId="0F26CACB" w:rsidR="00B6201F" w:rsidRDefault="00B6201F" w:rsidP="00C6362B">
      <w:pPr>
        <w:rPr>
          <w:rFonts w:ascii="Arial" w:hAnsi="Arial" w:cs="Arial"/>
          <w:sz w:val="22"/>
          <w:szCs w:val="20"/>
        </w:rPr>
      </w:pPr>
      <w:r w:rsidRPr="00B6201F">
        <w:rPr>
          <w:rFonts w:ascii="Arial" w:hAnsi="Arial" w:cs="Arial"/>
          <w:sz w:val="22"/>
          <w:szCs w:val="20"/>
        </w:rPr>
        <w:t>Helpline (2021) 'Combatting Elderly Loneliness with Technology', Get protected, stay connected, October 4, 2021 [Blog]. Available at: https://helpline.co.uk/blogs/articles/combatting-elderly-loneliness-with-technology (Accessed: 14 April 2024).</w:t>
      </w:r>
    </w:p>
    <w:p w14:paraId="56E07AC6" w14:textId="07B2944A" w:rsidR="00211C32" w:rsidRDefault="00211C32" w:rsidP="00C6362B">
      <w:pPr>
        <w:rPr>
          <w:rFonts w:ascii="Arial" w:hAnsi="Arial" w:cs="Arial"/>
          <w:sz w:val="22"/>
          <w:szCs w:val="20"/>
        </w:rPr>
      </w:pPr>
      <w:r w:rsidRPr="00211C32">
        <w:rPr>
          <w:rFonts w:ascii="Arial" w:hAnsi="Arial" w:cs="Arial"/>
          <w:sz w:val="22"/>
          <w:szCs w:val="20"/>
        </w:rPr>
        <w:lastRenderedPageBreak/>
        <w:t>Helping Hands Home Care (n.d.</w:t>
      </w:r>
      <w:r>
        <w:rPr>
          <w:rFonts w:ascii="Arial" w:hAnsi="Arial" w:cs="Arial"/>
          <w:sz w:val="22"/>
          <w:szCs w:val="20"/>
        </w:rPr>
        <w:t xml:space="preserve">) </w:t>
      </w:r>
      <w:r w:rsidRPr="00211C32">
        <w:rPr>
          <w:rFonts w:ascii="Arial" w:hAnsi="Arial" w:cs="Arial"/>
          <w:i/>
          <w:iCs/>
          <w:sz w:val="22"/>
          <w:szCs w:val="20"/>
        </w:rPr>
        <w:t>Tackling Loneliness in Care Homes</w:t>
      </w:r>
      <w:r w:rsidRPr="00211C32">
        <w:rPr>
          <w:rFonts w:ascii="Arial" w:hAnsi="Arial" w:cs="Arial"/>
          <w:sz w:val="22"/>
          <w:szCs w:val="20"/>
        </w:rPr>
        <w:t>. Available at: https://www.helpinghandshomecare.co.uk/care-advice/tackling-loneliness-in-care-homes/</w:t>
      </w:r>
      <w:r>
        <w:rPr>
          <w:rFonts w:ascii="Arial" w:hAnsi="Arial" w:cs="Arial"/>
          <w:sz w:val="22"/>
          <w:szCs w:val="20"/>
        </w:rPr>
        <w:t xml:space="preserve"> </w:t>
      </w:r>
      <w:r w:rsidRPr="000247A5">
        <w:rPr>
          <w:rFonts w:ascii="Arial" w:hAnsi="Arial" w:cs="Arial"/>
          <w:sz w:val="22"/>
          <w:szCs w:val="20"/>
        </w:rPr>
        <w:t xml:space="preserve">(Accessed: </w:t>
      </w:r>
      <w:r>
        <w:rPr>
          <w:rFonts w:ascii="Arial" w:hAnsi="Arial" w:cs="Arial"/>
          <w:sz w:val="22"/>
          <w:szCs w:val="20"/>
        </w:rPr>
        <w:t xml:space="preserve">12 </w:t>
      </w:r>
      <w:r w:rsidRPr="000247A5">
        <w:rPr>
          <w:rFonts w:ascii="Arial" w:hAnsi="Arial" w:cs="Arial"/>
          <w:sz w:val="22"/>
          <w:szCs w:val="20"/>
        </w:rPr>
        <w:t>April 2024).</w:t>
      </w:r>
    </w:p>
    <w:p w14:paraId="63BC282D" w14:textId="0CC38D7E" w:rsidR="00971958" w:rsidRDefault="00971958" w:rsidP="00971958">
      <w:pPr>
        <w:rPr>
          <w:rFonts w:ascii="Arial" w:hAnsi="Arial" w:cs="Arial"/>
          <w:sz w:val="22"/>
          <w:szCs w:val="20"/>
        </w:rPr>
      </w:pPr>
      <w:r w:rsidRPr="00971958">
        <w:rPr>
          <w:rFonts w:ascii="Arial" w:hAnsi="Arial" w:cs="Arial"/>
          <w:sz w:val="22"/>
          <w:szCs w:val="20"/>
        </w:rPr>
        <w:t>Jussila, N. (2018) 'Meaning of FAMILY! Differences between South America and Northern Europe', Dreamster, December 6, 2018 [Blog]. Available at: https://dreamster.co/tag/peru/</w:t>
      </w:r>
      <w:r>
        <w:rPr>
          <w:rFonts w:ascii="Arial" w:hAnsi="Arial" w:cs="Arial"/>
          <w:sz w:val="22"/>
          <w:szCs w:val="20"/>
        </w:rPr>
        <w:t xml:space="preserve"> </w:t>
      </w:r>
      <w:r w:rsidRPr="000247A5">
        <w:rPr>
          <w:rFonts w:ascii="Arial" w:hAnsi="Arial" w:cs="Arial"/>
          <w:sz w:val="22"/>
          <w:szCs w:val="20"/>
        </w:rPr>
        <w:t xml:space="preserve">(Accessed: </w:t>
      </w:r>
      <w:r>
        <w:rPr>
          <w:rFonts w:ascii="Arial" w:hAnsi="Arial" w:cs="Arial"/>
          <w:sz w:val="22"/>
          <w:szCs w:val="20"/>
        </w:rPr>
        <w:t xml:space="preserve">12 </w:t>
      </w:r>
      <w:r w:rsidRPr="000247A5">
        <w:rPr>
          <w:rFonts w:ascii="Arial" w:hAnsi="Arial" w:cs="Arial"/>
          <w:sz w:val="22"/>
          <w:szCs w:val="20"/>
        </w:rPr>
        <w:t>April 2024).</w:t>
      </w:r>
    </w:p>
    <w:p w14:paraId="32AE8C9B" w14:textId="7CD2E960" w:rsidR="00987EDB" w:rsidRDefault="00987EDB" w:rsidP="00C6362B">
      <w:pPr>
        <w:rPr>
          <w:rFonts w:ascii="Arial" w:hAnsi="Arial" w:cs="Arial"/>
          <w:sz w:val="22"/>
          <w:szCs w:val="20"/>
        </w:rPr>
      </w:pPr>
      <w:r w:rsidRPr="00987EDB">
        <w:rPr>
          <w:rFonts w:ascii="Arial" w:hAnsi="Arial" w:cs="Arial"/>
          <w:sz w:val="22"/>
          <w:szCs w:val="20"/>
        </w:rPr>
        <w:t xml:space="preserve">Mental Health Foundation (2022) </w:t>
      </w:r>
      <w:r w:rsidRPr="00987EDB">
        <w:rPr>
          <w:rFonts w:ascii="Arial" w:hAnsi="Arial" w:cs="Arial"/>
          <w:i/>
          <w:iCs/>
          <w:sz w:val="22"/>
          <w:szCs w:val="20"/>
        </w:rPr>
        <w:t>England Policy Briefing</w:t>
      </w:r>
      <w:r w:rsidRPr="00987EDB">
        <w:rPr>
          <w:rFonts w:ascii="Arial" w:hAnsi="Arial" w:cs="Arial"/>
          <w:sz w:val="22"/>
          <w:szCs w:val="20"/>
        </w:rPr>
        <w:t>. Available at: https://www.mentalhealth.org.uk/sites/default/files/2022-06/MHAW22-Loneliness-England-Policy-Briefing.pdf (Accessed: 11 April 2024).</w:t>
      </w:r>
    </w:p>
    <w:p w14:paraId="1350BA4D" w14:textId="6D54F65D" w:rsidR="00902B51" w:rsidRDefault="00902B51" w:rsidP="00C6362B">
      <w:pPr>
        <w:rPr>
          <w:rFonts w:ascii="Arial" w:hAnsi="Arial" w:cs="Arial"/>
          <w:sz w:val="22"/>
          <w:szCs w:val="20"/>
        </w:rPr>
      </w:pPr>
      <w:r w:rsidRPr="000247A5">
        <w:rPr>
          <w:rFonts w:ascii="Arial" w:hAnsi="Arial" w:cs="Arial"/>
          <w:sz w:val="22"/>
          <w:szCs w:val="20"/>
        </w:rPr>
        <w:t xml:space="preserve">National Health Services (n.d.) </w:t>
      </w:r>
      <w:r w:rsidRPr="000247A5">
        <w:rPr>
          <w:rFonts w:ascii="Arial" w:hAnsi="Arial" w:cs="Arial"/>
          <w:i/>
          <w:iCs/>
          <w:sz w:val="22"/>
          <w:szCs w:val="20"/>
        </w:rPr>
        <w:t>Improving care for older people</w:t>
      </w:r>
      <w:r w:rsidRPr="000247A5">
        <w:rPr>
          <w:rFonts w:ascii="Arial" w:hAnsi="Arial" w:cs="Arial"/>
          <w:sz w:val="22"/>
          <w:szCs w:val="20"/>
        </w:rPr>
        <w:t>. Available at: https://www.england.nhs.uk/ourwork/clinical-policy/older-people/improving-care-for-older-people/#:~:text=How%20old%20is%20an%20older,healthier%20than%20someone%20aged%2060 (Accessed: 09 April 2024).</w:t>
      </w:r>
    </w:p>
    <w:p w14:paraId="5FD2D80A" w14:textId="47DDCCE4" w:rsidR="00987EDB" w:rsidRPr="000247A5" w:rsidRDefault="00987EDB" w:rsidP="00987EDB">
      <w:pPr>
        <w:rPr>
          <w:rFonts w:ascii="Arial" w:hAnsi="Arial" w:cs="Arial"/>
          <w:sz w:val="22"/>
          <w:szCs w:val="20"/>
        </w:rPr>
      </w:pPr>
      <w:r w:rsidRPr="00987EDB">
        <w:rPr>
          <w:rFonts w:ascii="Arial" w:hAnsi="Arial" w:cs="Arial"/>
          <w:sz w:val="22"/>
          <w:szCs w:val="20"/>
        </w:rPr>
        <w:t xml:space="preserve">National Health Services (2024) </w:t>
      </w:r>
      <w:r w:rsidRPr="00987EDB">
        <w:rPr>
          <w:rFonts w:ascii="Arial" w:hAnsi="Arial" w:cs="Arial"/>
          <w:i/>
          <w:iCs/>
          <w:sz w:val="22"/>
          <w:szCs w:val="20"/>
        </w:rPr>
        <w:t>Mental Capacity Act</w:t>
      </w:r>
      <w:r w:rsidRPr="00987EDB">
        <w:rPr>
          <w:rFonts w:ascii="Arial" w:hAnsi="Arial" w:cs="Arial"/>
          <w:sz w:val="22"/>
          <w:szCs w:val="20"/>
        </w:rPr>
        <w:t>. Available at: https://www.nhs.uk/conditions/social-care-and-support-guide/making-decisions-for-someone-else/mental-capacity-act/ (Accessed: 12 April 2024).</w:t>
      </w:r>
    </w:p>
    <w:p w14:paraId="3A9C0D37" w14:textId="118115A8" w:rsidR="005228FA" w:rsidRDefault="005228FA" w:rsidP="00C6362B">
      <w:pPr>
        <w:rPr>
          <w:rFonts w:ascii="Arial" w:hAnsi="Arial" w:cs="Arial"/>
          <w:sz w:val="22"/>
          <w:szCs w:val="20"/>
        </w:rPr>
      </w:pPr>
      <w:r w:rsidRPr="005228FA">
        <w:rPr>
          <w:rFonts w:ascii="Arial" w:hAnsi="Arial" w:cs="Arial"/>
          <w:sz w:val="22"/>
          <w:szCs w:val="20"/>
        </w:rPr>
        <w:t>National Health Services (2022) Loneliness in older people. Available at: https://www.nhs.uk/mental-health/feelings-symptoms-behaviours/feelings-and-symptoms/loneliness-in-older-people/ (Accessed: 1</w:t>
      </w:r>
      <w:r w:rsidR="00977117">
        <w:rPr>
          <w:rFonts w:ascii="Arial" w:hAnsi="Arial" w:cs="Arial"/>
          <w:sz w:val="22"/>
          <w:szCs w:val="20"/>
        </w:rPr>
        <w:t>7</w:t>
      </w:r>
      <w:r w:rsidRPr="005228FA">
        <w:rPr>
          <w:rFonts w:ascii="Arial" w:hAnsi="Arial" w:cs="Arial"/>
          <w:sz w:val="22"/>
          <w:szCs w:val="20"/>
        </w:rPr>
        <w:t xml:space="preserve"> April 2024).</w:t>
      </w:r>
    </w:p>
    <w:p w14:paraId="529BF9C2" w14:textId="0FB3D82A" w:rsidR="00902B51" w:rsidRPr="000247A5" w:rsidRDefault="00902B51" w:rsidP="00C6362B">
      <w:pPr>
        <w:rPr>
          <w:rFonts w:ascii="Arial" w:hAnsi="Arial" w:cs="Arial"/>
          <w:sz w:val="22"/>
          <w:szCs w:val="20"/>
        </w:rPr>
      </w:pPr>
      <w:r w:rsidRPr="000247A5">
        <w:rPr>
          <w:rFonts w:ascii="Arial" w:hAnsi="Arial" w:cs="Arial"/>
          <w:sz w:val="22"/>
          <w:szCs w:val="20"/>
        </w:rPr>
        <w:t xml:space="preserve">Quartucci, S. (2022) </w:t>
      </w:r>
      <w:r w:rsidRPr="000247A5">
        <w:rPr>
          <w:rFonts w:ascii="Arial" w:hAnsi="Arial" w:cs="Arial"/>
          <w:i/>
          <w:iCs/>
          <w:sz w:val="22"/>
          <w:szCs w:val="20"/>
        </w:rPr>
        <w:t>Peru’s Policy for Older Adults</w:t>
      </w:r>
      <w:r w:rsidRPr="000247A5">
        <w:rPr>
          <w:rFonts w:ascii="Arial" w:hAnsi="Arial" w:cs="Arial"/>
          <w:sz w:val="22"/>
          <w:szCs w:val="20"/>
        </w:rPr>
        <w:t>. Available at: https://latinarepublic.com/2022/04/26/peru-unfolds-national-multisectoral-policy-for-older-adults/ (Accessed: 09 April 2024).</w:t>
      </w:r>
    </w:p>
    <w:p w14:paraId="16B3659F" w14:textId="2AD492C1" w:rsidR="00FC613C" w:rsidRPr="000247A5" w:rsidRDefault="00FC613C" w:rsidP="00FC613C">
      <w:pPr>
        <w:rPr>
          <w:rFonts w:ascii="Arial" w:hAnsi="Arial" w:cs="Arial"/>
          <w:sz w:val="22"/>
          <w:szCs w:val="20"/>
        </w:rPr>
      </w:pPr>
      <w:r w:rsidRPr="00FC613C">
        <w:rPr>
          <w:rFonts w:ascii="Arial" w:hAnsi="Arial" w:cs="Arial"/>
          <w:sz w:val="22"/>
          <w:szCs w:val="20"/>
        </w:rPr>
        <w:t>Independent Age (n.d.) Good to Know Groups. Available at: https://www.independentage.org/get-support/telephone-groups/good-to-know-groups</w:t>
      </w:r>
      <w:r>
        <w:rPr>
          <w:rFonts w:ascii="Arial" w:hAnsi="Arial" w:cs="Arial"/>
          <w:sz w:val="22"/>
          <w:szCs w:val="20"/>
        </w:rPr>
        <w:t xml:space="preserve"> </w:t>
      </w:r>
      <w:r w:rsidRPr="000247A5">
        <w:rPr>
          <w:rFonts w:ascii="Arial" w:hAnsi="Arial" w:cs="Arial"/>
          <w:sz w:val="22"/>
          <w:szCs w:val="20"/>
        </w:rPr>
        <w:t xml:space="preserve">(Accessed: </w:t>
      </w:r>
      <w:r>
        <w:rPr>
          <w:rFonts w:ascii="Arial" w:hAnsi="Arial" w:cs="Arial"/>
          <w:sz w:val="22"/>
          <w:szCs w:val="20"/>
        </w:rPr>
        <w:t>13</w:t>
      </w:r>
      <w:r w:rsidRPr="000247A5">
        <w:rPr>
          <w:rFonts w:ascii="Arial" w:hAnsi="Arial" w:cs="Arial"/>
          <w:sz w:val="22"/>
          <w:szCs w:val="20"/>
        </w:rPr>
        <w:t xml:space="preserve"> April 2024).</w:t>
      </w:r>
    </w:p>
    <w:p w14:paraId="7FB389DA" w14:textId="78CC6876" w:rsidR="00902B51" w:rsidRPr="0073636F" w:rsidRDefault="003702EC" w:rsidP="00C6362B">
      <w:pPr>
        <w:rPr>
          <w:rFonts w:ascii="Arial" w:hAnsi="Arial" w:cs="Arial"/>
          <w:sz w:val="22"/>
          <w:szCs w:val="20"/>
        </w:rPr>
      </w:pPr>
      <w:r w:rsidRPr="0073636F">
        <w:rPr>
          <w:rFonts w:ascii="Arial" w:hAnsi="Arial" w:cs="Arial"/>
          <w:sz w:val="22"/>
          <w:szCs w:val="20"/>
        </w:rPr>
        <w:t xml:space="preserve">Statista Research Department (2023) </w:t>
      </w:r>
      <w:r w:rsidRPr="0073636F">
        <w:rPr>
          <w:rFonts w:ascii="Arial" w:hAnsi="Arial" w:cs="Arial"/>
          <w:i/>
          <w:iCs/>
          <w:sz w:val="22"/>
          <w:szCs w:val="20"/>
        </w:rPr>
        <w:t>Total population of Peru from 2010 to 2022, by age group</w:t>
      </w:r>
      <w:r w:rsidRPr="0073636F">
        <w:rPr>
          <w:rFonts w:ascii="Arial" w:hAnsi="Arial" w:cs="Arial"/>
          <w:sz w:val="22"/>
          <w:szCs w:val="20"/>
        </w:rPr>
        <w:t>. Available at: https://www.statista.com/statistics/789662/population-total-age-peru/#:~:text=Not%20only%20has%20the%20South,reached%202.86%20million%20in%202022 (Accessed: 10 April 2024).</w:t>
      </w:r>
    </w:p>
    <w:p w14:paraId="1EF294BD" w14:textId="0D7B58AE" w:rsidR="00902B51" w:rsidRDefault="00B6201F" w:rsidP="00D028BF">
      <w:pPr>
        <w:rPr>
          <w:rFonts w:ascii="Arial" w:hAnsi="Arial" w:cs="Arial"/>
          <w:sz w:val="22"/>
          <w:szCs w:val="20"/>
        </w:rPr>
      </w:pPr>
      <w:r w:rsidRPr="00B6201F">
        <w:rPr>
          <w:rFonts w:ascii="Arial" w:hAnsi="Arial" w:cs="Arial"/>
          <w:sz w:val="22"/>
          <w:szCs w:val="20"/>
        </w:rPr>
        <w:t xml:space="preserve">Slaney, S (2023) </w:t>
      </w:r>
      <w:r w:rsidRPr="00B6201F">
        <w:rPr>
          <w:rFonts w:ascii="Arial" w:hAnsi="Arial" w:cs="Arial"/>
          <w:i/>
          <w:iCs/>
          <w:sz w:val="22"/>
          <w:szCs w:val="20"/>
        </w:rPr>
        <w:t>Useful technology for elderly living alone in the UK</w:t>
      </w:r>
      <w:r w:rsidRPr="00B6201F">
        <w:rPr>
          <w:rFonts w:ascii="Arial" w:hAnsi="Arial" w:cs="Arial"/>
          <w:sz w:val="22"/>
          <w:szCs w:val="20"/>
        </w:rPr>
        <w:t>. Available at: https://taking.care/blogs/resources-advice/technology-for-elderly-living-alone-uk (Accessed: 14 April 2024).</w:t>
      </w:r>
    </w:p>
    <w:p w14:paraId="128F9F07" w14:textId="77777777" w:rsidR="00B6201F" w:rsidRDefault="00B6201F" w:rsidP="00B6201F">
      <w:pPr>
        <w:rPr>
          <w:rFonts w:ascii="Arial" w:hAnsi="Arial" w:cs="Arial"/>
          <w:sz w:val="22"/>
          <w:szCs w:val="20"/>
        </w:rPr>
      </w:pPr>
      <w:r w:rsidRPr="000247A5">
        <w:rPr>
          <w:rFonts w:ascii="Arial" w:hAnsi="Arial" w:cs="Arial"/>
          <w:sz w:val="22"/>
          <w:szCs w:val="20"/>
        </w:rPr>
        <w:t xml:space="preserve">Storey, A. (2023) </w:t>
      </w:r>
      <w:r w:rsidRPr="000247A5">
        <w:rPr>
          <w:rFonts w:ascii="Arial" w:hAnsi="Arial" w:cs="Arial"/>
          <w:i/>
          <w:iCs/>
          <w:sz w:val="22"/>
          <w:szCs w:val="20"/>
        </w:rPr>
        <w:t>Profile of the older population living in England and Wales in 2021 and changes since 2011</w:t>
      </w:r>
      <w:r w:rsidRPr="000247A5">
        <w:rPr>
          <w:rFonts w:ascii="Arial" w:hAnsi="Arial" w:cs="Arial"/>
          <w:sz w:val="22"/>
          <w:szCs w:val="20"/>
        </w:rPr>
        <w:t>. Available at: https://www.ons.gov.uk/peoplepopulationandcommunity/birthsdeathsandmarriages/ageing/ar</w:t>
      </w:r>
      <w:r w:rsidRPr="0073636F">
        <w:rPr>
          <w:rFonts w:ascii="Arial" w:hAnsi="Arial" w:cs="Arial"/>
          <w:sz w:val="22"/>
          <w:szCs w:val="20"/>
        </w:rPr>
        <w:t>ticles/profileoftheolderpopulationlivinginenglandandwalesin2021andchangessince2011/2023-04-03 (Accessed: 10 April 2024).</w:t>
      </w:r>
    </w:p>
    <w:p w14:paraId="20F282C6" w14:textId="77777777" w:rsidR="00B6201F" w:rsidRPr="0073636F" w:rsidRDefault="00B6201F" w:rsidP="00D028BF">
      <w:pPr>
        <w:rPr>
          <w:rFonts w:ascii="Arial" w:hAnsi="Arial" w:cs="Arial"/>
          <w:sz w:val="22"/>
          <w:szCs w:val="20"/>
        </w:rPr>
      </w:pPr>
    </w:p>
    <w:p w14:paraId="61CDB8E8" w14:textId="77777777" w:rsidR="00902B51" w:rsidRPr="0073636F" w:rsidRDefault="00902B51" w:rsidP="00D028BF">
      <w:pPr>
        <w:rPr>
          <w:rFonts w:ascii="Arial" w:hAnsi="Arial" w:cs="Arial"/>
          <w:sz w:val="22"/>
          <w:szCs w:val="20"/>
        </w:rPr>
      </w:pPr>
    </w:p>
    <w:p w14:paraId="04EF3E3C" w14:textId="77777777" w:rsidR="00902B51" w:rsidRPr="0073636F" w:rsidRDefault="00902B51" w:rsidP="00D028BF">
      <w:pPr>
        <w:rPr>
          <w:rFonts w:ascii="Arial" w:hAnsi="Arial" w:cs="Arial"/>
          <w:sz w:val="22"/>
          <w:szCs w:val="20"/>
        </w:rPr>
      </w:pPr>
    </w:p>
    <w:p w14:paraId="6A4447F9" w14:textId="77777777" w:rsidR="00902B51" w:rsidRPr="0073636F" w:rsidRDefault="00902B51" w:rsidP="00D028BF">
      <w:pPr>
        <w:rPr>
          <w:rFonts w:ascii="Arial" w:hAnsi="Arial" w:cs="Arial"/>
          <w:sz w:val="22"/>
          <w:szCs w:val="20"/>
        </w:rPr>
      </w:pPr>
    </w:p>
    <w:p w14:paraId="4431A121" w14:textId="77777777" w:rsidR="00902B51" w:rsidRPr="0073636F" w:rsidRDefault="00902B51" w:rsidP="00D028BF">
      <w:pPr>
        <w:rPr>
          <w:rFonts w:ascii="Arial" w:hAnsi="Arial" w:cs="Arial"/>
          <w:sz w:val="22"/>
          <w:szCs w:val="20"/>
        </w:rPr>
      </w:pPr>
    </w:p>
    <w:sectPr w:rsidR="00902B51" w:rsidRPr="0073636F">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AE0D24" w14:textId="77777777" w:rsidR="00FC12E4" w:rsidRDefault="00FC12E4" w:rsidP="003E4ECF">
      <w:pPr>
        <w:spacing w:after="0" w:line="240" w:lineRule="auto"/>
      </w:pPr>
      <w:r>
        <w:separator/>
      </w:r>
    </w:p>
  </w:endnote>
  <w:endnote w:type="continuationSeparator" w:id="0">
    <w:p w14:paraId="372930D9" w14:textId="77777777" w:rsidR="00FC12E4" w:rsidRDefault="00FC12E4"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67988516"/>
      <w:docPartObj>
        <w:docPartGallery w:val="Page Numbers (Bottom of Page)"/>
        <w:docPartUnique/>
      </w:docPartObj>
    </w:sdtPr>
    <w:sdtEndPr>
      <w:rPr>
        <w:noProof/>
      </w:rPr>
    </w:sdtEndPr>
    <w:sdtContent>
      <w:p w14:paraId="22F0D82E" w14:textId="45C034A5" w:rsidR="003E4ECF" w:rsidRDefault="003E4ECF">
        <w:pPr>
          <w:pStyle w:val="Footer"/>
          <w:jc w:val="center"/>
        </w:pPr>
        <w:r w:rsidRPr="00626468">
          <w:rPr>
            <w:rFonts w:ascii="Arial" w:hAnsi="Arial" w:cs="Arial"/>
            <w:sz w:val="22"/>
          </w:rPr>
          <w:fldChar w:fldCharType="begin"/>
        </w:r>
        <w:r w:rsidRPr="00626468">
          <w:rPr>
            <w:rFonts w:ascii="Arial" w:hAnsi="Arial" w:cs="Arial"/>
            <w:sz w:val="22"/>
          </w:rPr>
          <w:instrText xml:space="preserve"> PAGE   \* MERGEFORMAT </w:instrText>
        </w:r>
        <w:r w:rsidRPr="00626468">
          <w:rPr>
            <w:rFonts w:ascii="Arial" w:hAnsi="Arial" w:cs="Arial"/>
            <w:sz w:val="22"/>
          </w:rPr>
          <w:fldChar w:fldCharType="separate"/>
        </w:r>
        <w:r w:rsidRPr="00626468">
          <w:rPr>
            <w:rFonts w:ascii="Arial" w:hAnsi="Arial" w:cs="Arial"/>
            <w:noProof/>
            <w:sz w:val="22"/>
          </w:rPr>
          <w:t>2</w:t>
        </w:r>
        <w:r w:rsidRPr="00626468">
          <w:rPr>
            <w:rFonts w:ascii="Arial" w:hAnsi="Arial" w:cs="Arial"/>
            <w:noProof/>
            <w:sz w:val="22"/>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EDC344" w14:textId="77777777" w:rsidR="00FC12E4" w:rsidRDefault="00FC12E4" w:rsidP="003E4ECF">
      <w:pPr>
        <w:spacing w:after="0" w:line="240" w:lineRule="auto"/>
      </w:pPr>
      <w:r>
        <w:separator/>
      </w:r>
    </w:p>
  </w:footnote>
  <w:footnote w:type="continuationSeparator" w:id="0">
    <w:p w14:paraId="22BB4202" w14:textId="77777777" w:rsidR="00FC12E4" w:rsidRDefault="00FC12E4" w:rsidP="003E4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CB42E64"/>
    <w:multiLevelType w:val="hybridMultilevel"/>
    <w:tmpl w:val="6A5E00D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4474345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247A5"/>
    <w:rsid w:val="000366AC"/>
    <w:rsid w:val="00074402"/>
    <w:rsid w:val="000E73E9"/>
    <w:rsid w:val="00105588"/>
    <w:rsid w:val="0010570B"/>
    <w:rsid w:val="0011498D"/>
    <w:rsid w:val="00147770"/>
    <w:rsid w:val="00150C2C"/>
    <w:rsid w:val="001D0EB0"/>
    <w:rsid w:val="001D6818"/>
    <w:rsid w:val="001D7C03"/>
    <w:rsid w:val="001E4404"/>
    <w:rsid w:val="002032EE"/>
    <w:rsid w:val="00203436"/>
    <w:rsid w:val="00211C32"/>
    <w:rsid w:val="00216BD3"/>
    <w:rsid w:val="00216C85"/>
    <w:rsid w:val="00224421"/>
    <w:rsid w:val="00227E51"/>
    <w:rsid w:val="00260548"/>
    <w:rsid w:val="00261613"/>
    <w:rsid w:val="0026393A"/>
    <w:rsid w:val="002649C7"/>
    <w:rsid w:val="00273EDD"/>
    <w:rsid w:val="002806A5"/>
    <w:rsid w:val="002C3965"/>
    <w:rsid w:val="002D04BB"/>
    <w:rsid w:val="002D0AF2"/>
    <w:rsid w:val="002F2889"/>
    <w:rsid w:val="00301F5E"/>
    <w:rsid w:val="00304003"/>
    <w:rsid w:val="00321C4C"/>
    <w:rsid w:val="00344151"/>
    <w:rsid w:val="003702EC"/>
    <w:rsid w:val="00392BBC"/>
    <w:rsid w:val="003A13C7"/>
    <w:rsid w:val="003A4CD6"/>
    <w:rsid w:val="003B69D3"/>
    <w:rsid w:val="003C4734"/>
    <w:rsid w:val="003E4ECF"/>
    <w:rsid w:val="003E68E9"/>
    <w:rsid w:val="003F1516"/>
    <w:rsid w:val="003F2B72"/>
    <w:rsid w:val="0042646F"/>
    <w:rsid w:val="00427D72"/>
    <w:rsid w:val="00440AE8"/>
    <w:rsid w:val="004436B8"/>
    <w:rsid w:val="00450B78"/>
    <w:rsid w:val="004671ED"/>
    <w:rsid w:val="00486CB2"/>
    <w:rsid w:val="004A736E"/>
    <w:rsid w:val="004B1F19"/>
    <w:rsid w:val="004C5AA7"/>
    <w:rsid w:val="004F5A0F"/>
    <w:rsid w:val="005228FA"/>
    <w:rsid w:val="00523E91"/>
    <w:rsid w:val="00556840"/>
    <w:rsid w:val="0058605C"/>
    <w:rsid w:val="00595E9A"/>
    <w:rsid w:val="005B2AB2"/>
    <w:rsid w:val="005D2D09"/>
    <w:rsid w:val="005E7CC7"/>
    <w:rsid w:val="00604DE7"/>
    <w:rsid w:val="00626468"/>
    <w:rsid w:val="006413C9"/>
    <w:rsid w:val="00653A0A"/>
    <w:rsid w:val="00654855"/>
    <w:rsid w:val="00664CE4"/>
    <w:rsid w:val="006925AA"/>
    <w:rsid w:val="006A5B2C"/>
    <w:rsid w:val="006F1311"/>
    <w:rsid w:val="00715770"/>
    <w:rsid w:val="007216CC"/>
    <w:rsid w:val="00725AE0"/>
    <w:rsid w:val="0073636F"/>
    <w:rsid w:val="00760DC2"/>
    <w:rsid w:val="00771FC9"/>
    <w:rsid w:val="00777244"/>
    <w:rsid w:val="007A6C83"/>
    <w:rsid w:val="007E3EB3"/>
    <w:rsid w:val="008132EB"/>
    <w:rsid w:val="00834853"/>
    <w:rsid w:val="00852CB2"/>
    <w:rsid w:val="00877B00"/>
    <w:rsid w:val="008F694C"/>
    <w:rsid w:val="0090040D"/>
    <w:rsid w:val="00901021"/>
    <w:rsid w:val="00902B51"/>
    <w:rsid w:val="00944AE2"/>
    <w:rsid w:val="00964F00"/>
    <w:rsid w:val="00971958"/>
    <w:rsid w:val="00977117"/>
    <w:rsid w:val="00984C65"/>
    <w:rsid w:val="00987EDB"/>
    <w:rsid w:val="009A0795"/>
    <w:rsid w:val="009D052C"/>
    <w:rsid w:val="009D1D1E"/>
    <w:rsid w:val="009D7F13"/>
    <w:rsid w:val="00A035FD"/>
    <w:rsid w:val="00A13B05"/>
    <w:rsid w:val="00A44DB9"/>
    <w:rsid w:val="00A64069"/>
    <w:rsid w:val="00A80D9C"/>
    <w:rsid w:val="00A831BB"/>
    <w:rsid w:val="00AA1F74"/>
    <w:rsid w:val="00AA4B75"/>
    <w:rsid w:val="00AB5B52"/>
    <w:rsid w:val="00AB6B80"/>
    <w:rsid w:val="00AC0543"/>
    <w:rsid w:val="00AD70BE"/>
    <w:rsid w:val="00B0271A"/>
    <w:rsid w:val="00B07A55"/>
    <w:rsid w:val="00B149E8"/>
    <w:rsid w:val="00B50160"/>
    <w:rsid w:val="00B53CF5"/>
    <w:rsid w:val="00B6201F"/>
    <w:rsid w:val="00B87E75"/>
    <w:rsid w:val="00B9175F"/>
    <w:rsid w:val="00BA70E7"/>
    <w:rsid w:val="00BB16E8"/>
    <w:rsid w:val="00C069E1"/>
    <w:rsid w:val="00C52A73"/>
    <w:rsid w:val="00C6362B"/>
    <w:rsid w:val="00C77A73"/>
    <w:rsid w:val="00CA2DFC"/>
    <w:rsid w:val="00CA6001"/>
    <w:rsid w:val="00CF24ED"/>
    <w:rsid w:val="00D028BF"/>
    <w:rsid w:val="00D07A3C"/>
    <w:rsid w:val="00D338FD"/>
    <w:rsid w:val="00D35C36"/>
    <w:rsid w:val="00D459BC"/>
    <w:rsid w:val="00D476B3"/>
    <w:rsid w:val="00D5547A"/>
    <w:rsid w:val="00D6532D"/>
    <w:rsid w:val="00D74F1F"/>
    <w:rsid w:val="00D90CBE"/>
    <w:rsid w:val="00DA35E0"/>
    <w:rsid w:val="00DE423D"/>
    <w:rsid w:val="00E12413"/>
    <w:rsid w:val="00E1308C"/>
    <w:rsid w:val="00E31204"/>
    <w:rsid w:val="00E410BC"/>
    <w:rsid w:val="00E4421B"/>
    <w:rsid w:val="00E864E7"/>
    <w:rsid w:val="00F0273C"/>
    <w:rsid w:val="00F15646"/>
    <w:rsid w:val="00F27033"/>
    <w:rsid w:val="00F4685C"/>
    <w:rsid w:val="00F66E1B"/>
    <w:rsid w:val="00FC12E4"/>
    <w:rsid w:val="00FC613C"/>
    <w:rsid w:val="00FC6C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E1308C"/>
    <w:pPr>
      <w:keepNext/>
      <w:keepLines/>
      <w:shd w:val="clear" w:color="auto" w:fill="FFFFFF"/>
      <w:spacing w:after="0"/>
      <w:outlineLvl w:val="0"/>
    </w:pPr>
    <w:rPr>
      <w:rFonts w:ascii="Arial" w:eastAsiaTheme="majorEastAsia" w:hAnsi="Arial" w:cs="Arial"/>
      <w:b/>
      <w:color w:val="262C34"/>
      <w:spacing w:val="7"/>
      <w:szCs w:val="24"/>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308C"/>
    <w:rPr>
      <w:rFonts w:ascii="Arial" w:eastAsiaTheme="majorEastAsia" w:hAnsi="Arial" w:cs="Arial"/>
      <w:b/>
      <w:color w:val="262C34"/>
      <w:spacing w:val="7"/>
      <w:szCs w:val="24"/>
      <w:shd w:val="clear" w:color="auto" w:fill="FFFFFF"/>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character" w:styleId="Hyperlink">
    <w:name w:val="Hyperlink"/>
    <w:basedOn w:val="DefaultParagraphFont"/>
    <w:uiPriority w:val="99"/>
    <w:unhideWhenUsed/>
    <w:rsid w:val="00D028BF"/>
    <w:rPr>
      <w:color w:val="0563C1" w:themeColor="hyperlink"/>
      <w:u w:val="single"/>
    </w:rPr>
  </w:style>
  <w:style w:type="character" w:styleId="UnresolvedMention">
    <w:name w:val="Unresolved Mention"/>
    <w:basedOn w:val="DefaultParagraphFont"/>
    <w:uiPriority w:val="99"/>
    <w:semiHidden/>
    <w:unhideWhenUsed/>
    <w:rsid w:val="00D028BF"/>
    <w:rPr>
      <w:color w:val="605E5C"/>
      <w:shd w:val="clear" w:color="auto" w:fill="E1DFDD"/>
    </w:rPr>
  </w:style>
  <w:style w:type="character" w:customStyle="1" w:styleId="anchor-text">
    <w:name w:val="anchor-text"/>
    <w:basedOn w:val="DefaultParagraphFont"/>
    <w:rsid w:val="00BA70E7"/>
  </w:style>
  <w:style w:type="paragraph" w:styleId="NormalWeb">
    <w:name w:val="Normal (Web)"/>
    <w:basedOn w:val="Normal"/>
    <w:uiPriority w:val="99"/>
    <w:semiHidden/>
    <w:unhideWhenUsed/>
    <w:rsid w:val="00901021"/>
    <w:pPr>
      <w:spacing w:before="100" w:beforeAutospacing="1" w:after="100" w:afterAutospacing="1" w:line="240" w:lineRule="auto"/>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363727">
      <w:bodyDiv w:val="1"/>
      <w:marLeft w:val="0"/>
      <w:marRight w:val="0"/>
      <w:marTop w:val="0"/>
      <w:marBottom w:val="0"/>
      <w:divBdr>
        <w:top w:val="none" w:sz="0" w:space="0" w:color="auto"/>
        <w:left w:val="none" w:sz="0" w:space="0" w:color="auto"/>
        <w:bottom w:val="none" w:sz="0" w:space="0" w:color="auto"/>
        <w:right w:val="none" w:sz="0" w:space="0" w:color="auto"/>
      </w:divBdr>
    </w:div>
    <w:div w:id="69238215">
      <w:bodyDiv w:val="1"/>
      <w:marLeft w:val="0"/>
      <w:marRight w:val="0"/>
      <w:marTop w:val="0"/>
      <w:marBottom w:val="0"/>
      <w:divBdr>
        <w:top w:val="none" w:sz="0" w:space="0" w:color="auto"/>
        <w:left w:val="none" w:sz="0" w:space="0" w:color="auto"/>
        <w:bottom w:val="none" w:sz="0" w:space="0" w:color="auto"/>
        <w:right w:val="none" w:sz="0" w:space="0" w:color="auto"/>
      </w:divBdr>
    </w:div>
    <w:div w:id="99449000">
      <w:bodyDiv w:val="1"/>
      <w:marLeft w:val="0"/>
      <w:marRight w:val="0"/>
      <w:marTop w:val="0"/>
      <w:marBottom w:val="0"/>
      <w:divBdr>
        <w:top w:val="none" w:sz="0" w:space="0" w:color="auto"/>
        <w:left w:val="none" w:sz="0" w:space="0" w:color="auto"/>
        <w:bottom w:val="none" w:sz="0" w:space="0" w:color="auto"/>
        <w:right w:val="none" w:sz="0" w:space="0" w:color="auto"/>
      </w:divBdr>
    </w:div>
    <w:div w:id="702099195">
      <w:bodyDiv w:val="1"/>
      <w:marLeft w:val="0"/>
      <w:marRight w:val="0"/>
      <w:marTop w:val="0"/>
      <w:marBottom w:val="0"/>
      <w:divBdr>
        <w:top w:val="none" w:sz="0" w:space="0" w:color="auto"/>
        <w:left w:val="none" w:sz="0" w:space="0" w:color="auto"/>
        <w:bottom w:val="none" w:sz="0" w:space="0" w:color="auto"/>
        <w:right w:val="none" w:sz="0" w:space="0" w:color="auto"/>
      </w:divBdr>
    </w:div>
    <w:div w:id="1214081257">
      <w:bodyDiv w:val="1"/>
      <w:marLeft w:val="0"/>
      <w:marRight w:val="0"/>
      <w:marTop w:val="0"/>
      <w:marBottom w:val="0"/>
      <w:divBdr>
        <w:top w:val="none" w:sz="0" w:space="0" w:color="auto"/>
        <w:left w:val="none" w:sz="0" w:space="0" w:color="auto"/>
        <w:bottom w:val="none" w:sz="0" w:space="0" w:color="auto"/>
        <w:right w:val="none" w:sz="0" w:space="0" w:color="auto"/>
      </w:divBdr>
    </w:div>
    <w:div w:id="1237666352">
      <w:bodyDiv w:val="1"/>
      <w:marLeft w:val="0"/>
      <w:marRight w:val="0"/>
      <w:marTop w:val="0"/>
      <w:marBottom w:val="0"/>
      <w:divBdr>
        <w:top w:val="none" w:sz="0" w:space="0" w:color="auto"/>
        <w:left w:val="none" w:sz="0" w:space="0" w:color="auto"/>
        <w:bottom w:val="none" w:sz="0" w:space="0" w:color="auto"/>
        <w:right w:val="none" w:sz="0" w:space="0" w:color="auto"/>
      </w:divBdr>
    </w:div>
    <w:div w:id="1513759049">
      <w:bodyDiv w:val="1"/>
      <w:marLeft w:val="0"/>
      <w:marRight w:val="0"/>
      <w:marTop w:val="0"/>
      <w:marBottom w:val="0"/>
      <w:divBdr>
        <w:top w:val="none" w:sz="0" w:space="0" w:color="auto"/>
        <w:left w:val="none" w:sz="0" w:space="0" w:color="auto"/>
        <w:bottom w:val="none" w:sz="0" w:space="0" w:color="auto"/>
        <w:right w:val="none" w:sz="0" w:space="0" w:color="auto"/>
      </w:divBdr>
    </w:div>
    <w:div w:id="2102144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13</Pages>
  <Words>3536</Words>
  <Characters>20156</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Flor De Maria Galindo Manuel De Killick (2124309)</cp:lastModifiedBy>
  <cp:revision>2</cp:revision>
  <dcterms:created xsi:type="dcterms:W3CDTF">2024-04-19T19:31:00Z</dcterms:created>
  <dcterms:modified xsi:type="dcterms:W3CDTF">2024-04-19T19:31:00Z</dcterms:modified>
</cp:coreProperties>
</file>