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7E6463" w14:textId="77777777" w:rsidR="007007B6" w:rsidRPr="001F7A76" w:rsidRDefault="007007B6" w:rsidP="007007B6">
      <w:pPr>
        <w:spacing w:after="0" w:line="480" w:lineRule="auto"/>
        <w:jc w:val="center"/>
        <w:rPr>
          <w:rFonts w:ascii="Times New Roman" w:hAnsi="Times New Roman" w:cs="Times New Roman"/>
          <w:b/>
          <w:sz w:val="24"/>
          <w:szCs w:val="24"/>
        </w:rPr>
      </w:pPr>
      <w:r w:rsidRPr="001F7A76">
        <w:rPr>
          <w:rFonts w:ascii="Times New Roman" w:hAnsi="Times New Roman" w:cs="Times New Roman"/>
          <w:b/>
          <w:noProof/>
          <w:sz w:val="24"/>
          <w:szCs w:val="24"/>
        </w:rPr>
        <w:drawing>
          <wp:inline distT="0" distB="0" distL="0" distR="0" wp14:anchorId="7BFC298C" wp14:editId="13D2DFEA">
            <wp:extent cx="5911850" cy="1657350"/>
            <wp:effectExtent l="0" t="0" r="0" b="0"/>
            <wp:docPr id="1771607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607732" name="Picture 1771607732"/>
                    <pic:cNvPicPr/>
                  </pic:nvPicPr>
                  <pic:blipFill>
                    <a:blip r:embed="rId8">
                      <a:extLst>
                        <a:ext uri="{28A0092B-C50C-407E-A947-70E740481C1C}">
                          <a14:useLocalDpi xmlns:a14="http://schemas.microsoft.com/office/drawing/2010/main" val="0"/>
                        </a:ext>
                      </a:extLst>
                    </a:blip>
                    <a:stretch>
                      <a:fillRect/>
                    </a:stretch>
                  </pic:blipFill>
                  <pic:spPr>
                    <a:xfrm>
                      <a:off x="0" y="0"/>
                      <a:ext cx="5911850" cy="1657350"/>
                    </a:xfrm>
                    <a:prstGeom prst="ellipse">
                      <a:avLst/>
                    </a:prstGeom>
                    <a:ln>
                      <a:noFill/>
                    </a:ln>
                    <a:effectLst>
                      <a:softEdge rad="112500"/>
                    </a:effectLst>
                  </pic:spPr>
                </pic:pic>
              </a:graphicData>
            </a:graphic>
          </wp:inline>
        </w:drawing>
      </w:r>
    </w:p>
    <w:p w14:paraId="31DE00CF" w14:textId="77777777" w:rsidR="007007B6" w:rsidRPr="001F7A76" w:rsidRDefault="007007B6" w:rsidP="007007B6">
      <w:pPr>
        <w:spacing w:after="0" w:line="480" w:lineRule="auto"/>
        <w:jc w:val="center"/>
        <w:rPr>
          <w:rFonts w:ascii="Arial" w:hAnsi="Arial" w:cs="Arial"/>
          <w:b/>
          <w:sz w:val="32"/>
          <w:szCs w:val="32"/>
        </w:rPr>
      </w:pPr>
    </w:p>
    <w:p w14:paraId="2CD1CCAF" w14:textId="77777777" w:rsidR="007007B6" w:rsidRPr="004E058D" w:rsidRDefault="007007B6" w:rsidP="007007B6">
      <w:pPr>
        <w:spacing w:after="0" w:line="480" w:lineRule="auto"/>
        <w:jc w:val="center"/>
        <w:rPr>
          <w:rFonts w:ascii="Arial" w:hAnsi="Arial" w:cs="Arial"/>
          <w:b/>
          <w:sz w:val="32"/>
          <w:szCs w:val="32"/>
          <w:lang w:val="da-DK"/>
        </w:rPr>
      </w:pPr>
      <w:r w:rsidRPr="004E058D">
        <w:rPr>
          <w:rFonts w:ascii="Arial" w:hAnsi="Arial" w:cs="Arial"/>
          <w:b/>
          <w:sz w:val="32"/>
          <w:szCs w:val="32"/>
          <w:lang w:val="da-DK"/>
        </w:rPr>
        <w:t xml:space="preserve">Student </w:t>
      </w:r>
      <w:proofErr w:type="spellStart"/>
      <w:r w:rsidRPr="004E058D">
        <w:rPr>
          <w:rFonts w:ascii="Arial" w:hAnsi="Arial" w:cs="Arial"/>
          <w:b/>
          <w:sz w:val="32"/>
          <w:szCs w:val="32"/>
          <w:lang w:val="da-DK"/>
        </w:rPr>
        <w:t>name</w:t>
      </w:r>
      <w:proofErr w:type="spellEnd"/>
      <w:r w:rsidRPr="004E058D">
        <w:rPr>
          <w:rFonts w:ascii="Arial" w:hAnsi="Arial" w:cs="Arial"/>
          <w:b/>
          <w:sz w:val="32"/>
          <w:szCs w:val="32"/>
          <w:lang w:val="da-DK"/>
        </w:rPr>
        <w:t xml:space="preserve">: Hamad </w:t>
      </w:r>
      <w:proofErr w:type="spellStart"/>
      <w:r w:rsidRPr="004E058D">
        <w:rPr>
          <w:rFonts w:ascii="Arial" w:hAnsi="Arial" w:cs="Arial"/>
          <w:b/>
          <w:sz w:val="32"/>
          <w:szCs w:val="32"/>
          <w:lang w:val="da-DK"/>
        </w:rPr>
        <w:t>Al-Jorani</w:t>
      </w:r>
      <w:proofErr w:type="spellEnd"/>
    </w:p>
    <w:p w14:paraId="07A613FE" w14:textId="77777777" w:rsidR="007007B6" w:rsidRPr="004E058D" w:rsidRDefault="007007B6" w:rsidP="007007B6">
      <w:pPr>
        <w:spacing w:after="0" w:line="480" w:lineRule="auto"/>
        <w:jc w:val="center"/>
        <w:rPr>
          <w:rFonts w:ascii="Arial" w:hAnsi="Arial" w:cs="Arial"/>
          <w:b/>
          <w:sz w:val="32"/>
          <w:szCs w:val="32"/>
          <w:lang w:val="da-DK"/>
        </w:rPr>
      </w:pPr>
      <w:r w:rsidRPr="004E058D">
        <w:rPr>
          <w:rFonts w:ascii="Arial" w:hAnsi="Arial" w:cs="Arial"/>
          <w:b/>
          <w:sz w:val="32"/>
          <w:szCs w:val="32"/>
          <w:lang w:val="da-DK"/>
        </w:rPr>
        <w:t xml:space="preserve">Student ID </w:t>
      </w:r>
      <w:proofErr w:type="spellStart"/>
      <w:r w:rsidRPr="004E058D">
        <w:rPr>
          <w:rFonts w:ascii="Arial" w:hAnsi="Arial" w:cs="Arial"/>
          <w:b/>
          <w:sz w:val="32"/>
          <w:szCs w:val="32"/>
          <w:lang w:val="da-DK"/>
        </w:rPr>
        <w:t>number</w:t>
      </w:r>
      <w:proofErr w:type="spellEnd"/>
      <w:r w:rsidRPr="004E058D">
        <w:rPr>
          <w:rFonts w:ascii="Arial" w:hAnsi="Arial" w:cs="Arial"/>
          <w:b/>
          <w:sz w:val="32"/>
          <w:szCs w:val="32"/>
          <w:lang w:val="da-DK"/>
        </w:rPr>
        <w:t>: 2310312</w:t>
      </w:r>
    </w:p>
    <w:p w14:paraId="0959B684" w14:textId="77777777" w:rsidR="007007B6" w:rsidRPr="004E058D" w:rsidRDefault="007007B6" w:rsidP="007007B6">
      <w:pPr>
        <w:spacing w:after="0" w:line="480" w:lineRule="auto"/>
        <w:jc w:val="center"/>
        <w:rPr>
          <w:rFonts w:ascii="Arial" w:hAnsi="Arial" w:cs="Arial"/>
          <w:b/>
          <w:sz w:val="32"/>
          <w:szCs w:val="32"/>
          <w:lang w:val="da-DK"/>
        </w:rPr>
      </w:pPr>
      <w:proofErr w:type="spellStart"/>
      <w:r w:rsidRPr="004E058D">
        <w:rPr>
          <w:rFonts w:ascii="Arial" w:hAnsi="Arial" w:cs="Arial"/>
          <w:b/>
          <w:sz w:val="32"/>
          <w:szCs w:val="32"/>
          <w:lang w:val="da-DK"/>
        </w:rPr>
        <w:t>Programme</w:t>
      </w:r>
      <w:proofErr w:type="spellEnd"/>
      <w:r w:rsidRPr="004E058D">
        <w:rPr>
          <w:rFonts w:ascii="Arial" w:hAnsi="Arial" w:cs="Arial"/>
          <w:b/>
          <w:sz w:val="32"/>
          <w:szCs w:val="32"/>
          <w:lang w:val="da-DK"/>
        </w:rPr>
        <w:t>:</w:t>
      </w:r>
    </w:p>
    <w:p w14:paraId="51BBA51E" w14:textId="77777777" w:rsidR="007007B6" w:rsidRPr="001F7A76" w:rsidRDefault="007007B6" w:rsidP="007007B6">
      <w:pPr>
        <w:spacing w:after="0" w:line="480" w:lineRule="auto"/>
        <w:jc w:val="center"/>
        <w:rPr>
          <w:rFonts w:ascii="Arial" w:hAnsi="Arial" w:cs="Arial"/>
          <w:b/>
          <w:sz w:val="32"/>
          <w:szCs w:val="32"/>
        </w:rPr>
      </w:pPr>
      <w:r w:rsidRPr="001F7A76">
        <w:rPr>
          <w:rFonts w:ascii="Arial" w:hAnsi="Arial" w:cs="Arial"/>
          <w:b/>
          <w:sz w:val="32"/>
          <w:szCs w:val="32"/>
        </w:rPr>
        <w:t>BA (Hons) Leadership and Management Skills for the Workplace</w:t>
      </w:r>
    </w:p>
    <w:p w14:paraId="26BA4E76" w14:textId="62D5E642" w:rsidR="007007B6" w:rsidRPr="001F7A76" w:rsidRDefault="007007B6" w:rsidP="007007B6">
      <w:pPr>
        <w:spacing w:after="0" w:line="480" w:lineRule="auto"/>
        <w:jc w:val="center"/>
        <w:rPr>
          <w:rFonts w:ascii="Arial" w:hAnsi="Arial" w:cs="Arial"/>
          <w:b/>
          <w:sz w:val="32"/>
          <w:szCs w:val="32"/>
        </w:rPr>
      </w:pPr>
      <w:r w:rsidRPr="001F7A76">
        <w:rPr>
          <w:rFonts w:ascii="Arial" w:hAnsi="Arial" w:cs="Arial"/>
          <w:b/>
          <w:sz w:val="32"/>
          <w:szCs w:val="32"/>
        </w:rPr>
        <w:t>Module: Leading and Implementing Change (LIC)</w:t>
      </w:r>
    </w:p>
    <w:p w14:paraId="5460C12F" w14:textId="67EE8B70" w:rsidR="007007B6" w:rsidRPr="001F7A76" w:rsidRDefault="007007B6" w:rsidP="007007B6">
      <w:pPr>
        <w:spacing w:after="0" w:line="480" w:lineRule="auto"/>
        <w:jc w:val="center"/>
        <w:rPr>
          <w:rFonts w:ascii="Arial" w:hAnsi="Arial" w:cs="Arial"/>
          <w:b/>
          <w:sz w:val="32"/>
          <w:szCs w:val="32"/>
        </w:rPr>
      </w:pPr>
      <w:r w:rsidRPr="001F7A76">
        <w:rPr>
          <w:rFonts w:ascii="Arial" w:hAnsi="Arial" w:cs="Arial"/>
          <w:b/>
          <w:sz w:val="32"/>
          <w:szCs w:val="32"/>
        </w:rPr>
        <w:t>Module code: LCLM6003</w:t>
      </w:r>
    </w:p>
    <w:p w14:paraId="1EE00A62" w14:textId="0209F817" w:rsidR="007007B6" w:rsidRPr="001F7A76" w:rsidRDefault="007007B6" w:rsidP="007007B6">
      <w:pPr>
        <w:spacing w:after="0" w:line="480" w:lineRule="auto"/>
        <w:jc w:val="center"/>
        <w:rPr>
          <w:rFonts w:ascii="Arial" w:hAnsi="Arial" w:cs="Arial"/>
          <w:b/>
          <w:sz w:val="32"/>
          <w:szCs w:val="32"/>
        </w:rPr>
      </w:pPr>
      <w:r w:rsidRPr="001F7A76">
        <w:rPr>
          <w:rFonts w:ascii="Arial" w:hAnsi="Arial" w:cs="Arial"/>
          <w:b/>
          <w:sz w:val="32"/>
          <w:szCs w:val="32"/>
        </w:rPr>
        <w:t>Lecturer: Dr. Sujeewa Herath</w:t>
      </w:r>
    </w:p>
    <w:p w14:paraId="13FB1112" w14:textId="6CEB5CA5" w:rsidR="007007B6" w:rsidRPr="001F7A76" w:rsidRDefault="007007B6" w:rsidP="007007B6">
      <w:pPr>
        <w:spacing w:before="120" w:after="120"/>
        <w:jc w:val="center"/>
        <w:rPr>
          <w:rFonts w:ascii="Arial" w:hAnsi="Arial" w:cs="Arial"/>
          <w:b/>
          <w:sz w:val="32"/>
          <w:szCs w:val="32"/>
        </w:rPr>
      </w:pPr>
      <w:r w:rsidRPr="001F7A76">
        <w:rPr>
          <w:rFonts w:ascii="Arial" w:hAnsi="Arial" w:cs="Arial"/>
          <w:b/>
          <w:sz w:val="32"/>
          <w:szCs w:val="32"/>
        </w:rPr>
        <w:t>Assignment Title: A Strategic Change Plan</w:t>
      </w:r>
    </w:p>
    <w:p w14:paraId="21CA8D3F" w14:textId="77777777" w:rsidR="007007B6" w:rsidRPr="001F7A76" w:rsidRDefault="007007B6" w:rsidP="007007B6">
      <w:pPr>
        <w:spacing w:after="0" w:line="480" w:lineRule="auto"/>
        <w:jc w:val="center"/>
        <w:rPr>
          <w:rFonts w:ascii="Times New Roman" w:hAnsi="Times New Roman" w:cs="Times New Roman"/>
          <w:sz w:val="28"/>
          <w:szCs w:val="28"/>
        </w:rPr>
      </w:pPr>
    </w:p>
    <w:p w14:paraId="72997C15" w14:textId="77777777" w:rsidR="007007B6" w:rsidRPr="001F7A76" w:rsidRDefault="007007B6" w:rsidP="007007B6">
      <w:pPr>
        <w:spacing w:after="0" w:line="480" w:lineRule="auto"/>
        <w:jc w:val="center"/>
        <w:rPr>
          <w:rFonts w:ascii="Times New Roman" w:hAnsi="Times New Roman" w:cs="Times New Roman"/>
          <w:sz w:val="28"/>
          <w:szCs w:val="28"/>
        </w:rPr>
      </w:pPr>
    </w:p>
    <w:p w14:paraId="053A1570" w14:textId="77777777" w:rsidR="007007B6" w:rsidRPr="001F7A76" w:rsidRDefault="007007B6" w:rsidP="007007B6">
      <w:pPr>
        <w:rPr>
          <w:rFonts w:ascii="Times New Roman" w:hAnsi="Times New Roman" w:cs="Times New Roman"/>
          <w:b/>
          <w:sz w:val="28"/>
          <w:szCs w:val="28"/>
        </w:rPr>
      </w:pPr>
    </w:p>
    <w:p w14:paraId="26591C04" w14:textId="77777777" w:rsidR="007007B6" w:rsidRPr="001F7A76" w:rsidRDefault="007007B6" w:rsidP="007007B6">
      <w:pPr>
        <w:rPr>
          <w:rFonts w:ascii="Times New Roman" w:hAnsi="Times New Roman" w:cs="Times New Roman"/>
          <w:b/>
          <w:sz w:val="28"/>
          <w:szCs w:val="28"/>
        </w:rPr>
      </w:pPr>
    </w:p>
    <w:p w14:paraId="339980FE" w14:textId="77777777" w:rsidR="007007B6" w:rsidRPr="001F7A76" w:rsidRDefault="007007B6" w:rsidP="007007B6">
      <w:pPr>
        <w:rPr>
          <w:rFonts w:ascii="Times New Roman" w:hAnsi="Times New Roman" w:cs="Times New Roman"/>
          <w:b/>
          <w:sz w:val="28"/>
          <w:szCs w:val="28"/>
        </w:rPr>
      </w:pPr>
    </w:p>
    <w:p w14:paraId="20551B11" w14:textId="77777777" w:rsidR="007007B6" w:rsidRPr="001F7A76" w:rsidRDefault="007007B6" w:rsidP="007007B6">
      <w:pPr>
        <w:rPr>
          <w:rFonts w:ascii="Times New Roman" w:hAnsi="Times New Roman" w:cs="Times New Roman"/>
          <w:b/>
          <w:sz w:val="32"/>
          <w:szCs w:val="32"/>
        </w:rPr>
      </w:pPr>
    </w:p>
    <w:p w14:paraId="40E76CF3" w14:textId="77777777" w:rsidR="004307DE" w:rsidRPr="001F7A76" w:rsidRDefault="00000000" w:rsidP="00D611D8">
      <w:pPr>
        <w:spacing w:after="0" w:line="360" w:lineRule="auto"/>
        <w:jc w:val="center"/>
        <w:rPr>
          <w:rFonts w:asciiTheme="minorBidi" w:hAnsiTheme="minorBidi"/>
          <w:b/>
        </w:rPr>
      </w:pPr>
      <w:r w:rsidRPr="001F7A76">
        <w:rPr>
          <w:rFonts w:asciiTheme="minorBidi" w:hAnsiTheme="minorBidi"/>
          <w:b/>
        </w:rPr>
        <w:t>A Strategic Change Plan (Resilience &amp; Recovery) "Building Back Stronger: A Strategic Change Plan for Jaguar Land Rover Post-Cyber Attack and Tariff Disruption"</w:t>
      </w:r>
    </w:p>
    <w:p w14:paraId="489D573E" w14:textId="77777777" w:rsidR="00D611D8" w:rsidRPr="001F7A76" w:rsidRDefault="00D611D8" w:rsidP="00D611D8">
      <w:pPr>
        <w:spacing w:after="0" w:line="360" w:lineRule="auto"/>
        <w:jc w:val="center"/>
        <w:rPr>
          <w:rFonts w:asciiTheme="minorBidi" w:hAnsiTheme="minorBidi"/>
          <w:b/>
        </w:rPr>
      </w:pPr>
    </w:p>
    <w:p w14:paraId="0C3FE822" w14:textId="5E9623C7" w:rsidR="004307DE" w:rsidRPr="001F7A76" w:rsidRDefault="00000000" w:rsidP="00D611D8">
      <w:pPr>
        <w:spacing w:after="0" w:line="360" w:lineRule="auto"/>
        <w:jc w:val="center"/>
        <w:rPr>
          <w:rFonts w:asciiTheme="minorBidi" w:hAnsiTheme="minorBidi"/>
          <w:b/>
          <w:bCs/>
        </w:rPr>
      </w:pPr>
      <w:r w:rsidRPr="001F7A76">
        <w:rPr>
          <w:rFonts w:asciiTheme="minorBidi" w:hAnsiTheme="minorBidi"/>
          <w:b/>
          <w:bCs/>
        </w:rPr>
        <w:t>1. Introduction.</w:t>
      </w:r>
    </w:p>
    <w:p w14:paraId="0AB91208"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As the new Change Manager of Jaguar Land Rover (JLR), my role is to come up with a strategic change strategy to mitigate the huge challenges experienced by the company. JLR is a top British car manufacturer that is well known because of its Jaguar and Land Rover brands, but has lately been hit by a cyberattack that has led to a five-week production shutdown and continued tariff interruptions. The board is concerned about the company, and it has asked it to prepare a strategy that would enhance its resilience and ensure long-term prosperity. I have to create a change strategy, which addresses internal and external forces behind such a transformation requirement and keep the company consistent with its vision and business goals. This report shall elaborate on a detailed strategy to assist JLR in recuperating and prospering in a changing market.</w:t>
      </w:r>
    </w:p>
    <w:p w14:paraId="51A99FCD" w14:textId="77777777" w:rsidR="00D611D8" w:rsidRPr="001F7A76" w:rsidRDefault="00D611D8" w:rsidP="00D611D8">
      <w:pPr>
        <w:spacing w:after="0" w:line="360" w:lineRule="auto"/>
        <w:jc w:val="both"/>
        <w:rPr>
          <w:rFonts w:asciiTheme="minorBidi" w:hAnsiTheme="minorBidi"/>
        </w:rPr>
      </w:pPr>
    </w:p>
    <w:p w14:paraId="78F580CA" w14:textId="77777777" w:rsidR="004307DE" w:rsidRPr="001F7A76" w:rsidRDefault="00000000" w:rsidP="00D611D8">
      <w:pPr>
        <w:spacing w:after="0" w:line="360" w:lineRule="auto"/>
        <w:ind w:firstLine="720"/>
        <w:jc w:val="center"/>
        <w:rPr>
          <w:rFonts w:asciiTheme="minorBidi" w:hAnsiTheme="minorBidi"/>
          <w:b/>
          <w:bCs/>
        </w:rPr>
      </w:pPr>
      <w:r w:rsidRPr="001F7A76">
        <w:rPr>
          <w:rFonts w:asciiTheme="minorBidi" w:hAnsiTheme="minorBidi"/>
          <w:b/>
          <w:bCs/>
        </w:rPr>
        <w:t>2. Environmental Analysis and Organisational Analysis.</w:t>
      </w:r>
    </w:p>
    <w:p w14:paraId="6BDBE7B7" w14:textId="77777777" w:rsidR="00D611D8" w:rsidRPr="001F7A76" w:rsidRDefault="00D611D8" w:rsidP="00D611D8">
      <w:pPr>
        <w:spacing w:after="0" w:line="360" w:lineRule="auto"/>
        <w:ind w:firstLine="720"/>
        <w:jc w:val="center"/>
        <w:rPr>
          <w:rFonts w:asciiTheme="minorBidi" w:hAnsiTheme="minorBidi"/>
          <w:b/>
          <w:bCs/>
        </w:rPr>
      </w:pPr>
    </w:p>
    <w:p w14:paraId="7D5AB4F3"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2.1 Environmental Analysis (PESTLE / Porter's Five Forces).</w:t>
      </w:r>
    </w:p>
    <w:p w14:paraId="1BDCB9F4"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In order to comprehend the external forces affecting Jaguar Land Rover (JLR), I will examine some of the major political, economic, social, technological, legal, and environmental factors by applying the PESTLE analysis. Porter's Five Forces will be used to evaluate the competitive forces influencing the industry.</w:t>
      </w:r>
    </w:p>
    <w:p w14:paraId="5734D2CF" w14:textId="77777777" w:rsidR="00D611D8" w:rsidRPr="001F7A76" w:rsidRDefault="00D611D8" w:rsidP="00D611D8">
      <w:pPr>
        <w:spacing w:after="0" w:line="360" w:lineRule="auto"/>
        <w:jc w:val="both"/>
        <w:rPr>
          <w:rFonts w:asciiTheme="minorBidi" w:hAnsiTheme="minorBidi"/>
        </w:rPr>
      </w:pPr>
    </w:p>
    <w:p w14:paraId="7DD679DD"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Political Factors</w:t>
      </w:r>
    </w:p>
    <w:p w14:paraId="280E0447"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JLR has an international market, and this is subjecting it to diverse political shocks. Brexit and its uncertainty, especially relating to trade tariffs and the regulatory environment between the European Union and the UK, would be one of the biggest challenges the company has to endure. This has complicated the company's supply chain and resulted in an increase in the cost of manufacturing and exporting the vehicles (</w:t>
      </w:r>
      <w:proofErr w:type="spellStart"/>
      <w:r w:rsidRPr="001F7A76">
        <w:rPr>
          <w:rFonts w:asciiTheme="minorBidi" w:hAnsiTheme="minorBidi"/>
        </w:rPr>
        <w:t>Abawari</w:t>
      </w:r>
      <w:proofErr w:type="spellEnd"/>
      <w:r w:rsidRPr="001F7A76">
        <w:rPr>
          <w:rFonts w:asciiTheme="minorBidi" w:hAnsiTheme="minorBidi"/>
        </w:rPr>
        <w:t xml:space="preserve"> et al., 2024). It is also exposed to the condition of political instability in the main markets, like the United States or China, which may also disrupt the operations, and JLR will be subject to changes in policies and trade conflicts.</w:t>
      </w:r>
    </w:p>
    <w:p w14:paraId="23532E08" w14:textId="77777777" w:rsidR="00D611D8" w:rsidRPr="001F7A76" w:rsidRDefault="00D611D8" w:rsidP="00D611D8">
      <w:pPr>
        <w:spacing w:after="0" w:line="360" w:lineRule="auto"/>
        <w:jc w:val="both"/>
        <w:rPr>
          <w:rFonts w:asciiTheme="minorBidi" w:hAnsiTheme="minorBidi"/>
        </w:rPr>
      </w:pPr>
    </w:p>
    <w:p w14:paraId="1C7190B1" w14:textId="77777777" w:rsidR="004E058D" w:rsidRDefault="004E058D" w:rsidP="00D611D8">
      <w:pPr>
        <w:spacing w:after="0" w:line="360" w:lineRule="auto"/>
        <w:jc w:val="both"/>
        <w:rPr>
          <w:rFonts w:asciiTheme="minorBidi" w:hAnsiTheme="minorBidi"/>
          <w:b/>
          <w:bCs/>
        </w:rPr>
      </w:pPr>
    </w:p>
    <w:p w14:paraId="6AB0228E" w14:textId="77777777" w:rsidR="004E058D" w:rsidRDefault="004E058D" w:rsidP="00D611D8">
      <w:pPr>
        <w:spacing w:after="0" w:line="360" w:lineRule="auto"/>
        <w:jc w:val="both"/>
        <w:rPr>
          <w:rFonts w:asciiTheme="minorBidi" w:hAnsiTheme="minorBidi"/>
          <w:b/>
          <w:bCs/>
        </w:rPr>
      </w:pPr>
    </w:p>
    <w:p w14:paraId="3CC6EE56" w14:textId="4BC8A008" w:rsidR="004307DE" w:rsidRDefault="00000000" w:rsidP="00D611D8">
      <w:pPr>
        <w:spacing w:after="0" w:line="360" w:lineRule="auto"/>
        <w:jc w:val="both"/>
        <w:rPr>
          <w:rFonts w:asciiTheme="minorBidi" w:hAnsiTheme="minorBidi"/>
          <w:b/>
          <w:bCs/>
        </w:rPr>
      </w:pPr>
      <w:r w:rsidRPr="001F7A76">
        <w:rPr>
          <w:rFonts w:asciiTheme="minorBidi" w:hAnsiTheme="minorBidi"/>
          <w:b/>
          <w:bCs/>
        </w:rPr>
        <w:lastRenderedPageBreak/>
        <w:t>Economic Factors</w:t>
      </w:r>
    </w:p>
    <w:p w14:paraId="334970B6" w14:textId="77777777" w:rsidR="004E058D" w:rsidRPr="001F7A76" w:rsidRDefault="004E058D" w:rsidP="00D611D8">
      <w:pPr>
        <w:spacing w:after="0" w:line="360" w:lineRule="auto"/>
        <w:jc w:val="both"/>
        <w:rPr>
          <w:rFonts w:asciiTheme="minorBidi" w:hAnsiTheme="minorBidi"/>
          <w:b/>
          <w:bCs/>
        </w:rPr>
      </w:pPr>
    </w:p>
    <w:p w14:paraId="36B22B37"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Economic drivers, including the unpredictable global economy, buying power by the consumer, and currency risks, are all important in the performance of JLR. The automobile sector, especially the luxury car market, is keen on economic recessions, where customers reduce their luxurious purchases during economic uncertainties (Mahamoud Hasan et al., 2025). Also, export tariff imbalances in such crucial economies as the U.S. and China have introduced new additional costs to exports by JLR, which may affect the profitability. In addition, the changes in consumer preferences due to the changes in fuel prices and inflation levels influence the demand for the various varieties of vehicles.</w:t>
      </w:r>
    </w:p>
    <w:p w14:paraId="7737E5C5" w14:textId="77777777" w:rsidR="00D611D8" w:rsidRPr="001F7A76" w:rsidRDefault="00D611D8" w:rsidP="00D611D8">
      <w:pPr>
        <w:spacing w:after="0" w:line="360" w:lineRule="auto"/>
        <w:jc w:val="both"/>
        <w:rPr>
          <w:rFonts w:asciiTheme="minorBidi" w:hAnsiTheme="minorBidi"/>
        </w:rPr>
      </w:pPr>
    </w:p>
    <w:p w14:paraId="6C30ABE1"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Social Factors</w:t>
      </w:r>
    </w:p>
    <w:p w14:paraId="0DCB4886" w14:textId="77777777" w:rsidR="00BD0192" w:rsidRPr="001F7A76" w:rsidRDefault="00BD0192" w:rsidP="00D611D8">
      <w:pPr>
        <w:spacing w:after="0" w:line="360" w:lineRule="auto"/>
        <w:jc w:val="both"/>
        <w:rPr>
          <w:rFonts w:asciiTheme="minorBidi" w:hAnsiTheme="minorBidi"/>
        </w:rPr>
      </w:pPr>
      <w:r w:rsidRPr="001F7A76">
        <w:rPr>
          <w:rFonts w:asciiTheme="minorBidi" w:hAnsiTheme="minorBidi"/>
        </w:rPr>
        <w:t>The consumer trend has changed to focusing on sustainability and environmentally friendly decisions. Increased awareness of the climate change effect contributes to increased demand for electric vehicles (EVs), and JLR will need to adapt to this shift in the societal setting. The growing concern of digital platforms has also altered the customer interface with the brands. JLR needs to respond to these shifts by providing automobiles that fit the shifting consumer tastes and finding new, digital means of advertising and selling their products.</w:t>
      </w:r>
    </w:p>
    <w:p w14:paraId="01EA055B" w14:textId="77777777" w:rsidR="00D611D8" w:rsidRPr="001F7A76" w:rsidRDefault="00D611D8" w:rsidP="00D611D8">
      <w:pPr>
        <w:spacing w:after="0" w:line="360" w:lineRule="auto"/>
        <w:jc w:val="both"/>
        <w:rPr>
          <w:rFonts w:asciiTheme="minorBidi" w:hAnsiTheme="minorBidi"/>
        </w:rPr>
      </w:pPr>
    </w:p>
    <w:p w14:paraId="5B92BDB8"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Technological Factors</w:t>
      </w:r>
    </w:p>
    <w:p w14:paraId="2785201A"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The automotive industry is changing due to technological improvements, particularly in artificial intelligence (AI), self-driving, and connected cars. JLR is under more pressure to integrate the latest technologies in its cars to ensure that it keeps abreast with technology-centric car manufacturers such as Tesla (</w:t>
      </w:r>
      <w:proofErr w:type="spellStart"/>
      <w:r w:rsidRPr="001F7A76">
        <w:rPr>
          <w:rFonts w:asciiTheme="minorBidi" w:hAnsiTheme="minorBidi"/>
        </w:rPr>
        <w:t>Sacavém</w:t>
      </w:r>
      <w:proofErr w:type="spellEnd"/>
      <w:r w:rsidRPr="001F7A76">
        <w:rPr>
          <w:rFonts w:asciiTheme="minorBidi" w:hAnsiTheme="minorBidi"/>
        </w:rPr>
        <w:t xml:space="preserve"> et al., 2025). In specific cases, namely, AI can transform the attributes of vehicles, including navigation, safety and driver support systems. The emergence of digital disruption in the new forms of the latest technologies and software updates means that JLR has to incur a lot of investment in R&amp;D in order to remain at the forefront of innovation.</w:t>
      </w:r>
    </w:p>
    <w:p w14:paraId="5AF74632" w14:textId="77777777" w:rsidR="00D611D8" w:rsidRPr="001F7A76" w:rsidRDefault="00D611D8" w:rsidP="00D611D8">
      <w:pPr>
        <w:spacing w:after="0" w:line="360" w:lineRule="auto"/>
        <w:jc w:val="both"/>
        <w:rPr>
          <w:rFonts w:asciiTheme="minorBidi" w:hAnsiTheme="minorBidi"/>
        </w:rPr>
      </w:pPr>
    </w:p>
    <w:p w14:paraId="392D3A45"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Legal Factors</w:t>
      </w:r>
    </w:p>
    <w:p w14:paraId="17214515"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Many legal regulations presuppose JLR the way it operates in its global markets. There is an increasing pressure to ensure that the sale of emissions, especially in Europe, is stricter, and JLR has to invest in cleaner and efficient technologies. Failure to comply might result in massive fines and reputational losses of its brand image (Orero-</w:t>
      </w:r>
      <w:proofErr w:type="spellStart"/>
      <w:r w:rsidRPr="001F7A76">
        <w:rPr>
          <w:rFonts w:asciiTheme="minorBidi" w:hAnsiTheme="minorBidi"/>
        </w:rPr>
        <w:t>Blat</w:t>
      </w:r>
      <w:proofErr w:type="spellEnd"/>
      <w:r w:rsidRPr="001F7A76">
        <w:rPr>
          <w:rFonts w:asciiTheme="minorBidi" w:hAnsiTheme="minorBidi"/>
        </w:rPr>
        <w:t xml:space="preserve"> et al., 2024). Furthermore, JLR should also be abreast of consumer protection legislation, automotive safety, and intellectual property rights </w:t>
      </w:r>
      <w:r w:rsidRPr="001F7A76">
        <w:rPr>
          <w:rFonts w:asciiTheme="minorBidi" w:hAnsiTheme="minorBidi"/>
        </w:rPr>
        <w:lastRenderedPageBreak/>
        <w:t>as well, to ensure that it is not caught in legal troubles. The changing regulatory situation around autonomous cars and the privacy of information poses both a threat and an opportunity to JLR in its pursuit of new technologies.</w:t>
      </w:r>
    </w:p>
    <w:p w14:paraId="2EEC60A4" w14:textId="77777777" w:rsidR="00D611D8" w:rsidRPr="001F7A76" w:rsidRDefault="00D611D8" w:rsidP="00D611D8">
      <w:pPr>
        <w:spacing w:after="0" w:line="360" w:lineRule="auto"/>
        <w:jc w:val="both"/>
        <w:rPr>
          <w:rFonts w:asciiTheme="minorBidi" w:hAnsiTheme="minorBidi"/>
        </w:rPr>
      </w:pPr>
    </w:p>
    <w:p w14:paraId="7263EC33"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Environmental Factors</w:t>
      </w:r>
    </w:p>
    <w:p w14:paraId="7E695BDB"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The sustainability of the environment has been a major force behind the automotive industry because the issue of climate change and carbon emissions has become a major issue around the world. Governments are involved in a trend where they are encouraging the use of electric vehicles (EVs) by increasing incentives and subsidies and also placing tougher targets on emissions (Scholkmann, 2021). The trend opens a potential for JLR to invest in green technologies, yet it is also a challenge since the company tries to move beyond traditional internal combustion engines to more sustainable vehicle solutions. The sustainability initiative of JLR will significantly contribute to the future successful performance in the market and reputation.</w:t>
      </w:r>
    </w:p>
    <w:p w14:paraId="7DD130C4" w14:textId="77777777" w:rsidR="00D611D8" w:rsidRPr="001F7A76" w:rsidRDefault="00D611D8" w:rsidP="00D611D8">
      <w:pPr>
        <w:spacing w:after="0" w:line="360" w:lineRule="auto"/>
        <w:jc w:val="both"/>
        <w:rPr>
          <w:rFonts w:asciiTheme="minorBidi" w:hAnsiTheme="minorBidi"/>
        </w:rPr>
      </w:pPr>
    </w:p>
    <w:p w14:paraId="4AD4F0FA" w14:textId="77777777" w:rsidR="009311F8" w:rsidRPr="001F7A76" w:rsidRDefault="009311F8" w:rsidP="00D611D8">
      <w:pPr>
        <w:spacing w:after="200" w:line="360" w:lineRule="auto"/>
        <w:jc w:val="center"/>
        <w:rPr>
          <w:rFonts w:asciiTheme="minorBidi" w:hAnsiTheme="minorBidi"/>
          <w:b/>
          <w:bCs/>
        </w:rPr>
      </w:pPr>
      <w:r w:rsidRPr="001F7A76">
        <w:rPr>
          <w:rFonts w:asciiTheme="minorBidi" w:hAnsiTheme="minorBidi"/>
          <w:b/>
          <w:bCs/>
        </w:rPr>
        <w:t>PESTLE Analysis</w:t>
      </w:r>
    </w:p>
    <w:p w14:paraId="662D7711" w14:textId="77777777" w:rsidR="009311F8" w:rsidRPr="001F7A76" w:rsidRDefault="009311F8" w:rsidP="00D611D8">
      <w:pPr>
        <w:spacing w:line="360" w:lineRule="auto"/>
        <w:rPr>
          <w:rFonts w:asciiTheme="minorBidi" w:hAnsiTheme="minorBidi"/>
        </w:rPr>
      </w:pPr>
      <w:r w:rsidRPr="001F7A76">
        <w:rPr>
          <w:rFonts w:asciiTheme="minorBidi" w:hAnsiTheme="minorBidi"/>
        </w:rPr>
        <w:t>This table presents the PESTLE analysis for Jaguar Land Rover, identifying key external factors affecting the company.</w:t>
      </w:r>
    </w:p>
    <w:tbl>
      <w:tblPr>
        <w:tblStyle w:val="TableGrid"/>
        <w:tblW w:w="0" w:type="auto"/>
        <w:tblLook w:val="04A0" w:firstRow="1" w:lastRow="0" w:firstColumn="1" w:lastColumn="0" w:noHBand="0" w:noVBand="1"/>
      </w:tblPr>
      <w:tblGrid>
        <w:gridCol w:w="4320"/>
        <w:gridCol w:w="4320"/>
      </w:tblGrid>
      <w:tr w:rsidR="009311F8" w:rsidRPr="001F7A76" w14:paraId="32B7AD06" w14:textId="77777777" w:rsidTr="00586B3A">
        <w:tc>
          <w:tcPr>
            <w:tcW w:w="4320" w:type="dxa"/>
          </w:tcPr>
          <w:p w14:paraId="793DB59E" w14:textId="77777777" w:rsidR="009311F8" w:rsidRPr="001F7A76" w:rsidRDefault="009311F8" w:rsidP="00D611D8">
            <w:pPr>
              <w:spacing w:after="200" w:line="360" w:lineRule="auto"/>
              <w:rPr>
                <w:rFonts w:asciiTheme="minorBidi" w:hAnsiTheme="minorBidi"/>
              </w:rPr>
            </w:pPr>
            <w:r w:rsidRPr="001F7A76">
              <w:rPr>
                <w:rFonts w:asciiTheme="minorBidi" w:hAnsiTheme="minorBidi"/>
              </w:rPr>
              <w:t>Factor</w:t>
            </w:r>
          </w:p>
        </w:tc>
        <w:tc>
          <w:tcPr>
            <w:tcW w:w="4320" w:type="dxa"/>
          </w:tcPr>
          <w:p w14:paraId="4F6D648F" w14:textId="77777777" w:rsidR="009311F8" w:rsidRPr="001F7A76" w:rsidRDefault="009311F8" w:rsidP="00D611D8">
            <w:pPr>
              <w:spacing w:after="200" w:line="360" w:lineRule="auto"/>
              <w:rPr>
                <w:rFonts w:asciiTheme="minorBidi" w:hAnsiTheme="minorBidi"/>
              </w:rPr>
            </w:pPr>
            <w:r w:rsidRPr="001F7A76">
              <w:rPr>
                <w:rFonts w:asciiTheme="minorBidi" w:hAnsiTheme="minorBidi"/>
              </w:rPr>
              <w:t>Description</w:t>
            </w:r>
          </w:p>
        </w:tc>
      </w:tr>
      <w:tr w:rsidR="009311F8" w:rsidRPr="001F7A76" w14:paraId="1B87252F" w14:textId="77777777" w:rsidTr="00586B3A">
        <w:tc>
          <w:tcPr>
            <w:tcW w:w="4320" w:type="dxa"/>
          </w:tcPr>
          <w:p w14:paraId="4B75884F" w14:textId="77777777" w:rsidR="009311F8" w:rsidRPr="001F7A76" w:rsidRDefault="009311F8" w:rsidP="00D611D8">
            <w:pPr>
              <w:spacing w:after="200" w:line="360" w:lineRule="auto"/>
              <w:rPr>
                <w:rFonts w:asciiTheme="minorBidi" w:hAnsiTheme="minorBidi"/>
              </w:rPr>
            </w:pPr>
            <w:r w:rsidRPr="001F7A76">
              <w:rPr>
                <w:rFonts w:asciiTheme="minorBidi" w:hAnsiTheme="minorBidi"/>
              </w:rPr>
              <w:t>Political</w:t>
            </w:r>
          </w:p>
        </w:tc>
        <w:tc>
          <w:tcPr>
            <w:tcW w:w="4320" w:type="dxa"/>
          </w:tcPr>
          <w:p w14:paraId="76FB2353" w14:textId="77777777" w:rsidR="009311F8" w:rsidRPr="001F7A76" w:rsidRDefault="009311F8" w:rsidP="00D611D8">
            <w:pPr>
              <w:spacing w:after="200" w:line="360" w:lineRule="auto"/>
              <w:rPr>
                <w:rFonts w:asciiTheme="minorBidi" w:hAnsiTheme="minorBidi"/>
              </w:rPr>
            </w:pPr>
            <w:r w:rsidRPr="001F7A76">
              <w:rPr>
                <w:rFonts w:asciiTheme="minorBidi" w:hAnsiTheme="minorBidi"/>
              </w:rPr>
              <w:t>Tariffs and trade policies affecting manufacturing costs and supply chain.</w:t>
            </w:r>
          </w:p>
        </w:tc>
      </w:tr>
      <w:tr w:rsidR="009311F8" w:rsidRPr="001F7A76" w14:paraId="2778D648" w14:textId="77777777" w:rsidTr="00586B3A">
        <w:tc>
          <w:tcPr>
            <w:tcW w:w="4320" w:type="dxa"/>
          </w:tcPr>
          <w:p w14:paraId="2AAA43A2" w14:textId="77777777" w:rsidR="009311F8" w:rsidRPr="001F7A76" w:rsidRDefault="009311F8" w:rsidP="00D611D8">
            <w:pPr>
              <w:spacing w:after="200" w:line="360" w:lineRule="auto"/>
              <w:rPr>
                <w:rFonts w:asciiTheme="minorBidi" w:hAnsiTheme="minorBidi"/>
              </w:rPr>
            </w:pPr>
            <w:r w:rsidRPr="001F7A76">
              <w:rPr>
                <w:rFonts w:asciiTheme="minorBidi" w:hAnsiTheme="minorBidi"/>
              </w:rPr>
              <w:t>Economic</w:t>
            </w:r>
          </w:p>
        </w:tc>
        <w:tc>
          <w:tcPr>
            <w:tcW w:w="4320" w:type="dxa"/>
          </w:tcPr>
          <w:p w14:paraId="60F1633C" w14:textId="77777777" w:rsidR="009311F8" w:rsidRPr="001F7A76" w:rsidRDefault="009311F8" w:rsidP="00D611D8">
            <w:pPr>
              <w:spacing w:after="200" w:line="360" w:lineRule="auto"/>
              <w:rPr>
                <w:rFonts w:asciiTheme="minorBidi" w:hAnsiTheme="minorBidi"/>
              </w:rPr>
            </w:pPr>
            <w:r w:rsidRPr="001F7A76">
              <w:rPr>
                <w:rFonts w:asciiTheme="minorBidi" w:hAnsiTheme="minorBidi"/>
              </w:rPr>
              <w:t>Fluctuating fuel prices and economic instability affecting consumer demand.</w:t>
            </w:r>
          </w:p>
        </w:tc>
      </w:tr>
      <w:tr w:rsidR="009311F8" w:rsidRPr="001F7A76" w14:paraId="41B99177" w14:textId="77777777" w:rsidTr="00586B3A">
        <w:tc>
          <w:tcPr>
            <w:tcW w:w="4320" w:type="dxa"/>
          </w:tcPr>
          <w:p w14:paraId="61C147B2" w14:textId="77777777" w:rsidR="009311F8" w:rsidRPr="001F7A76" w:rsidRDefault="009311F8" w:rsidP="00D611D8">
            <w:pPr>
              <w:spacing w:after="200" w:line="360" w:lineRule="auto"/>
              <w:rPr>
                <w:rFonts w:asciiTheme="minorBidi" w:hAnsiTheme="minorBidi"/>
              </w:rPr>
            </w:pPr>
            <w:r w:rsidRPr="001F7A76">
              <w:rPr>
                <w:rFonts w:asciiTheme="minorBidi" w:hAnsiTheme="minorBidi"/>
              </w:rPr>
              <w:t>Social</w:t>
            </w:r>
          </w:p>
        </w:tc>
        <w:tc>
          <w:tcPr>
            <w:tcW w:w="4320" w:type="dxa"/>
          </w:tcPr>
          <w:p w14:paraId="4EE852B4" w14:textId="77777777" w:rsidR="009311F8" w:rsidRPr="001F7A76" w:rsidRDefault="009311F8" w:rsidP="00D611D8">
            <w:pPr>
              <w:spacing w:after="200" w:line="360" w:lineRule="auto"/>
              <w:rPr>
                <w:rFonts w:asciiTheme="minorBidi" w:hAnsiTheme="minorBidi"/>
              </w:rPr>
            </w:pPr>
            <w:r w:rsidRPr="001F7A76">
              <w:rPr>
                <w:rFonts w:asciiTheme="minorBidi" w:hAnsiTheme="minorBidi"/>
              </w:rPr>
              <w:t>Shift in consumer preference towards electric vehicles and sustainability.</w:t>
            </w:r>
          </w:p>
        </w:tc>
      </w:tr>
      <w:tr w:rsidR="009311F8" w:rsidRPr="001F7A76" w14:paraId="777735EA" w14:textId="77777777" w:rsidTr="00586B3A">
        <w:tc>
          <w:tcPr>
            <w:tcW w:w="4320" w:type="dxa"/>
          </w:tcPr>
          <w:p w14:paraId="070E666A" w14:textId="77777777" w:rsidR="009311F8" w:rsidRPr="001F7A76" w:rsidRDefault="009311F8" w:rsidP="00D611D8">
            <w:pPr>
              <w:spacing w:after="200" w:line="360" w:lineRule="auto"/>
              <w:rPr>
                <w:rFonts w:asciiTheme="minorBidi" w:hAnsiTheme="minorBidi"/>
              </w:rPr>
            </w:pPr>
            <w:r w:rsidRPr="001F7A76">
              <w:rPr>
                <w:rFonts w:asciiTheme="minorBidi" w:hAnsiTheme="minorBidi"/>
              </w:rPr>
              <w:t>Technological</w:t>
            </w:r>
          </w:p>
        </w:tc>
        <w:tc>
          <w:tcPr>
            <w:tcW w:w="4320" w:type="dxa"/>
          </w:tcPr>
          <w:p w14:paraId="4E7B9E5D" w14:textId="77777777" w:rsidR="009311F8" w:rsidRPr="001F7A76" w:rsidRDefault="009311F8" w:rsidP="00D611D8">
            <w:pPr>
              <w:spacing w:after="200" w:line="360" w:lineRule="auto"/>
              <w:rPr>
                <w:rFonts w:asciiTheme="minorBidi" w:hAnsiTheme="minorBidi"/>
              </w:rPr>
            </w:pPr>
            <w:r w:rsidRPr="001F7A76">
              <w:rPr>
                <w:rFonts w:asciiTheme="minorBidi" w:hAnsiTheme="minorBidi"/>
              </w:rPr>
              <w:t>Advancements in autonomous driving, EVs, and connected car technologies.</w:t>
            </w:r>
          </w:p>
        </w:tc>
      </w:tr>
      <w:tr w:rsidR="009311F8" w:rsidRPr="001F7A76" w14:paraId="1EA63A80" w14:textId="77777777" w:rsidTr="00586B3A">
        <w:tc>
          <w:tcPr>
            <w:tcW w:w="4320" w:type="dxa"/>
          </w:tcPr>
          <w:p w14:paraId="335C53EF" w14:textId="77777777" w:rsidR="009311F8" w:rsidRPr="001F7A76" w:rsidRDefault="009311F8" w:rsidP="00D611D8">
            <w:pPr>
              <w:spacing w:after="200" w:line="360" w:lineRule="auto"/>
              <w:rPr>
                <w:rFonts w:asciiTheme="minorBidi" w:hAnsiTheme="minorBidi"/>
              </w:rPr>
            </w:pPr>
            <w:r w:rsidRPr="001F7A76">
              <w:rPr>
                <w:rFonts w:asciiTheme="minorBidi" w:hAnsiTheme="minorBidi"/>
              </w:rPr>
              <w:t>Legal</w:t>
            </w:r>
          </w:p>
        </w:tc>
        <w:tc>
          <w:tcPr>
            <w:tcW w:w="4320" w:type="dxa"/>
          </w:tcPr>
          <w:p w14:paraId="780CD076" w14:textId="77777777" w:rsidR="009311F8" w:rsidRPr="001F7A76" w:rsidRDefault="009311F8" w:rsidP="00D611D8">
            <w:pPr>
              <w:spacing w:after="200" w:line="360" w:lineRule="auto"/>
              <w:rPr>
                <w:rFonts w:asciiTheme="minorBidi" w:hAnsiTheme="minorBidi"/>
              </w:rPr>
            </w:pPr>
            <w:r w:rsidRPr="001F7A76">
              <w:rPr>
                <w:rFonts w:asciiTheme="minorBidi" w:hAnsiTheme="minorBidi"/>
              </w:rPr>
              <w:t>Regulations regarding vehicle emissions and cybersecurity policies.</w:t>
            </w:r>
          </w:p>
        </w:tc>
      </w:tr>
      <w:tr w:rsidR="009311F8" w:rsidRPr="001F7A76" w14:paraId="37E63E5D" w14:textId="77777777" w:rsidTr="00586B3A">
        <w:tc>
          <w:tcPr>
            <w:tcW w:w="4320" w:type="dxa"/>
          </w:tcPr>
          <w:p w14:paraId="6A1F0F3F" w14:textId="77777777" w:rsidR="009311F8" w:rsidRPr="001F7A76" w:rsidRDefault="009311F8" w:rsidP="00D611D8">
            <w:pPr>
              <w:spacing w:after="200" w:line="360" w:lineRule="auto"/>
              <w:rPr>
                <w:rFonts w:asciiTheme="minorBidi" w:hAnsiTheme="minorBidi"/>
              </w:rPr>
            </w:pPr>
            <w:r w:rsidRPr="001F7A76">
              <w:rPr>
                <w:rFonts w:asciiTheme="minorBidi" w:hAnsiTheme="minorBidi"/>
              </w:rPr>
              <w:lastRenderedPageBreak/>
              <w:t>Environmental</w:t>
            </w:r>
          </w:p>
        </w:tc>
        <w:tc>
          <w:tcPr>
            <w:tcW w:w="4320" w:type="dxa"/>
          </w:tcPr>
          <w:p w14:paraId="4498E06B" w14:textId="77777777" w:rsidR="009311F8" w:rsidRPr="001F7A76" w:rsidRDefault="009311F8" w:rsidP="00D611D8">
            <w:pPr>
              <w:spacing w:after="200" w:line="360" w:lineRule="auto"/>
              <w:rPr>
                <w:rFonts w:asciiTheme="minorBidi" w:hAnsiTheme="minorBidi"/>
              </w:rPr>
            </w:pPr>
            <w:r w:rsidRPr="001F7A76">
              <w:rPr>
                <w:rFonts w:asciiTheme="minorBidi" w:hAnsiTheme="minorBidi"/>
              </w:rPr>
              <w:t>Environmental pressure to transition to electric vehicles and sustainable manufacturing practices.</w:t>
            </w:r>
          </w:p>
        </w:tc>
      </w:tr>
    </w:tbl>
    <w:p w14:paraId="27D59D90" w14:textId="77777777" w:rsidR="009311F8" w:rsidRPr="001F7A76" w:rsidRDefault="009311F8" w:rsidP="00D611D8">
      <w:pPr>
        <w:spacing w:line="360" w:lineRule="auto"/>
        <w:rPr>
          <w:rFonts w:asciiTheme="minorBidi" w:hAnsiTheme="minorBidi"/>
        </w:rPr>
      </w:pPr>
    </w:p>
    <w:p w14:paraId="17439ADD" w14:textId="77777777" w:rsidR="00BD3F08" w:rsidRPr="001F7A76" w:rsidRDefault="00BD3F08" w:rsidP="00D611D8">
      <w:pPr>
        <w:spacing w:line="360" w:lineRule="auto"/>
        <w:rPr>
          <w:rFonts w:asciiTheme="minorBidi" w:hAnsiTheme="minorBidi"/>
        </w:rPr>
      </w:pPr>
    </w:p>
    <w:p w14:paraId="3DABA680" w14:textId="77777777" w:rsidR="00BD3F08" w:rsidRPr="001F7A76" w:rsidRDefault="00BD3F08" w:rsidP="00D611D8">
      <w:pPr>
        <w:spacing w:line="360" w:lineRule="auto"/>
        <w:jc w:val="center"/>
        <w:rPr>
          <w:rFonts w:asciiTheme="minorBidi" w:hAnsiTheme="minorBidi"/>
          <w:b/>
          <w:bCs/>
        </w:rPr>
      </w:pPr>
      <w:r w:rsidRPr="001F7A76">
        <w:rPr>
          <w:rFonts w:asciiTheme="minorBidi" w:hAnsiTheme="minorBidi"/>
          <w:b/>
          <w:bCs/>
        </w:rPr>
        <w:t>Porters Five Forces Analysis.</w:t>
      </w:r>
    </w:p>
    <w:p w14:paraId="7D1F4BB2" w14:textId="77777777" w:rsidR="00BD3F08" w:rsidRPr="001F7A76" w:rsidRDefault="00BD3F08" w:rsidP="00D611D8">
      <w:pPr>
        <w:spacing w:after="0" w:line="360" w:lineRule="auto"/>
        <w:jc w:val="both"/>
        <w:rPr>
          <w:rFonts w:asciiTheme="minorBidi" w:hAnsiTheme="minorBidi"/>
        </w:rPr>
      </w:pPr>
      <w:r w:rsidRPr="001F7A76">
        <w:rPr>
          <w:rFonts w:asciiTheme="minorBidi" w:hAnsiTheme="minorBidi"/>
        </w:rPr>
        <w:t>Besides the PESTLE analysis, one should be aware of the competition in the automotive industry. Based on the Five Forces model developed by Porter, it is possible to evaluate the extent to which the company is affected by the external competitive pressures on JLR:</w:t>
      </w:r>
    </w:p>
    <w:tbl>
      <w:tblPr>
        <w:tblStyle w:val="TableGrid"/>
        <w:tblW w:w="0" w:type="auto"/>
        <w:tblLook w:val="04A0" w:firstRow="1" w:lastRow="0" w:firstColumn="1" w:lastColumn="0" w:noHBand="0" w:noVBand="1"/>
      </w:tblPr>
      <w:tblGrid>
        <w:gridCol w:w="4320"/>
        <w:gridCol w:w="4320"/>
      </w:tblGrid>
      <w:tr w:rsidR="00BD3F08" w:rsidRPr="001F7A76" w14:paraId="2C9E6682" w14:textId="77777777" w:rsidTr="00586B3A">
        <w:tc>
          <w:tcPr>
            <w:tcW w:w="4320" w:type="dxa"/>
          </w:tcPr>
          <w:p w14:paraId="34A7EBA5" w14:textId="77777777" w:rsidR="00BD3F08" w:rsidRPr="001F7A76" w:rsidRDefault="00BD3F08" w:rsidP="00D611D8">
            <w:pPr>
              <w:spacing w:after="200" w:line="360" w:lineRule="auto"/>
              <w:rPr>
                <w:rFonts w:asciiTheme="minorBidi" w:hAnsiTheme="minorBidi"/>
              </w:rPr>
            </w:pPr>
            <w:r w:rsidRPr="001F7A76">
              <w:rPr>
                <w:rFonts w:asciiTheme="minorBidi" w:hAnsiTheme="minorBidi"/>
              </w:rPr>
              <w:t>Force</w:t>
            </w:r>
          </w:p>
        </w:tc>
        <w:tc>
          <w:tcPr>
            <w:tcW w:w="4320" w:type="dxa"/>
          </w:tcPr>
          <w:p w14:paraId="2907D5B6" w14:textId="77777777" w:rsidR="00BD3F08" w:rsidRPr="001F7A76" w:rsidRDefault="00BD3F08" w:rsidP="00D611D8">
            <w:pPr>
              <w:spacing w:after="200" w:line="360" w:lineRule="auto"/>
              <w:rPr>
                <w:rFonts w:asciiTheme="minorBidi" w:hAnsiTheme="minorBidi"/>
              </w:rPr>
            </w:pPr>
            <w:r w:rsidRPr="001F7A76">
              <w:rPr>
                <w:rFonts w:asciiTheme="minorBidi" w:hAnsiTheme="minorBidi"/>
              </w:rPr>
              <w:t>Description</w:t>
            </w:r>
          </w:p>
        </w:tc>
      </w:tr>
      <w:tr w:rsidR="00BD3F08" w:rsidRPr="001F7A76" w14:paraId="43B990CF" w14:textId="77777777" w:rsidTr="00586B3A">
        <w:tc>
          <w:tcPr>
            <w:tcW w:w="4320" w:type="dxa"/>
          </w:tcPr>
          <w:p w14:paraId="53CF5654" w14:textId="77777777" w:rsidR="00BD3F08" w:rsidRPr="001F7A76" w:rsidRDefault="00BD3F08" w:rsidP="00D611D8">
            <w:pPr>
              <w:spacing w:after="200" w:line="360" w:lineRule="auto"/>
              <w:rPr>
                <w:rFonts w:asciiTheme="minorBidi" w:hAnsiTheme="minorBidi"/>
              </w:rPr>
            </w:pPr>
            <w:r w:rsidRPr="001F7A76">
              <w:rPr>
                <w:rFonts w:asciiTheme="minorBidi" w:hAnsiTheme="minorBidi"/>
              </w:rPr>
              <w:t>Buyer Power</w:t>
            </w:r>
          </w:p>
        </w:tc>
        <w:tc>
          <w:tcPr>
            <w:tcW w:w="4320" w:type="dxa"/>
          </w:tcPr>
          <w:p w14:paraId="542FAAD5" w14:textId="77777777" w:rsidR="00BD3F08" w:rsidRPr="001F7A76" w:rsidRDefault="00BD3F08" w:rsidP="00D611D8">
            <w:pPr>
              <w:spacing w:after="200" w:line="360" w:lineRule="auto"/>
              <w:rPr>
                <w:rFonts w:asciiTheme="minorBidi" w:hAnsiTheme="minorBidi"/>
              </w:rPr>
            </w:pPr>
            <w:r w:rsidRPr="001F7A76">
              <w:rPr>
                <w:rFonts w:asciiTheme="minorBidi" w:hAnsiTheme="minorBidi"/>
              </w:rPr>
              <w:t>Buyers have significant power due to the rising demand for electric vehicles (EVs) and the ability to compare prices and features online. To stay competitive, JLR must continually innovate and provide value through quality and pricing.</w:t>
            </w:r>
          </w:p>
        </w:tc>
      </w:tr>
      <w:tr w:rsidR="00BD3F08" w:rsidRPr="001F7A76" w14:paraId="53C0B9A6" w14:textId="77777777" w:rsidTr="00586B3A">
        <w:tc>
          <w:tcPr>
            <w:tcW w:w="4320" w:type="dxa"/>
          </w:tcPr>
          <w:p w14:paraId="40F53076" w14:textId="77777777" w:rsidR="00BD3F08" w:rsidRPr="001F7A76" w:rsidRDefault="00BD3F08" w:rsidP="00D611D8">
            <w:pPr>
              <w:spacing w:after="200" w:line="360" w:lineRule="auto"/>
              <w:rPr>
                <w:rFonts w:asciiTheme="minorBidi" w:hAnsiTheme="minorBidi"/>
              </w:rPr>
            </w:pPr>
            <w:r w:rsidRPr="001F7A76">
              <w:rPr>
                <w:rFonts w:asciiTheme="minorBidi" w:hAnsiTheme="minorBidi"/>
              </w:rPr>
              <w:t>Supplier Power</w:t>
            </w:r>
          </w:p>
        </w:tc>
        <w:tc>
          <w:tcPr>
            <w:tcW w:w="4320" w:type="dxa"/>
          </w:tcPr>
          <w:p w14:paraId="195101DA" w14:textId="77777777" w:rsidR="00BD3F08" w:rsidRPr="001F7A76" w:rsidRDefault="00BD3F08" w:rsidP="00D611D8">
            <w:pPr>
              <w:spacing w:after="200" w:line="360" w:lineRule="auto"/>
              <w:rPr>
                <w:rFonts w:asciiTheme="minorBidi" w:hAnsiTheme="minorBidi"/>
              </w:rPr>
            </w:pPr>
            <w:r w:rsidRPr="001F7A76">
              <w:rPr>
                <w:rFonts w:asciiTheme="minorBidi" w:hAnsiTheme="minorBidi"/>
              </w:rPr>
              <w:t>JLR is somewhat reliant on specialized suppliers, particularly for EV batteries and high-performance parts. Supplier power is moderate, but by diversifying its supplier base, JLR can reduce risk and maintain leverage.</w:t>
            </w:r>
          </w:p>
        </w:tc>
      </w:tr>
      <w:tr w:rsidR="00BD3F08" w:rsidRPr="001F7A76" w14:paraId="7146D07B" w14:textId="77777777" w:rsidTr="00586B3A">
        <w:tc>
          <w:tcPr>
            <w:tcW w:w="4320" w:type="dxa"/>
          </w:tcPr>
          <w:p w14:paraId="239EEAA6" w14:textId="77777777" w:rsidR="00BD3F08" w:rsidRPr="001F7A76" w:rsidRDefault="00BD3F08" w:rsidP="00D611D8">
            <w:pPr>
              <w:spacing w:after="200" w:line="360" w:lineRule="auto"/>
              <w:rPr>
                <w:rFonts w:asciiTheme="minorBidi" w:hAnsiTheme="minorBidi"/>
              </w:rPr>
            </w:pPr>
            <w:r w:rsidRPr="001F7A76">
              <w:rPr>
                <w:rFonts w:asciiTheme="minorBidi" w:hAnsiTheme="minorBidi"/>
              </w:rPr>
              <w:t>Threat of New Entrants</w:t>
            </w:r>
          </w:p>
        </w:tc>
        <w:tc>
          <w:tcPr>
            <w:tcW w:w="4320" w:type="dxa"/>
          </w:tcPr>
          <w:p w14:paraId="229CB7E0" w14:textId="77777777" w:rsidR="00BD3F08" w:rsidRPr="001F7A76" w:rsidRDefault="00BD3F08" w:rsidP="00D611D8">
            <w:pPr>
              <w:spacing w:after="200" w:line="360" w:lineRule="auto"/>
              <w:rPr>
                <w:rFonts w:asciiTheme="minorBidi" w:hAnsiTheme="minorBidi"/>
              </w:rPr>
            </w:pPr>
            <w:r w:rsidRPr="001F7A76">
              <w:rPr>
                <w:rFonts w:asciiTheme="minorBidi" w:hAnsiTheme="minorBidi"/>
              </w:rPr>
              <w:t>New entrants, especially Tesla, which leads in the EV market, pose a high threat. With advancements in autonomous driving and connected cars, the market is ripe for innovation. JLR must stay ahead through technological investment and strategic marketing.</w:t>
            </w:r>
          </w:p>
        </w:tc>
      </w:tr>
      <w:tr w:rsidR="00BD3F08" w:rsidRPr="001F7A76" w14:paraId="074CD7E0" w14:textId="77777777" w:rsidTr="00586B3A">
        <w:tc>
          <w:tcPr>
            <w:tcW w:w="4320" w:type="dxa"/>
          </w:tcPr>
          <w:p w14:paraId="44B90328" w14:textId="77777777" w:rsidR="00BD3F08" w:rsidRPr="001F7A76" w:rsidRDefault="00BD3F08" w:rsidP="00D611D8">
            <w:pPr>
              <w:spacing w:after="200" w:line="360" w:lineRule="auto"/>
              <w:rPr>
                <w:rFonts w:asciiTheme="minorBidi" w:hAnsiTheme="minorBidi"/>
              </w:rPr>
            </w:pPr>
            <w:r w:rsidRPr="001F7A76">
              <w:rPr>
                <w:rFonts w:asciiTheme="minorBidi" w:hAnsiTheme="minorBidi"/>
              </w:rPr>
              <w:lastRenderedPageBreak/>
              <w:t>Threat of Substitutes</w:t>
            </w:r>
          </w:p>
        </w:tc>
        <w:tc>
          <w:tcPr>
            <w:tcW w:w="4320" w:type="dxa"/>
          </w:tcPr>
          <w:p w14:paraId="08BAF4C5" w14:textId="77777777" w:rsidR="00BD3F08" w:rsidRPr="001F7A76" w:rsidRDefault="00BD3F08" w:rsidP="00D611D8">
            <w:pPr>
              <w:spacing w:after="200" w:line="360" w:lineRule="auto"/>
              <w:rPr>
                <w:rFonts w:asciiTheme="minorBidi" w:hAnsiTheme="minorBidi"/>
              </w:rPr>
            </w:pPr>
            <w:r w:rsidRPr="001F7A76">
              <w:rPr>
                <w:rFonts w:asciiTheme="minorBidi" w:hAnsiTheme="minorBidi"/>
              </w:rPr>
              <w:t>High due to increased competition from other luxury EV manufacturers like BMW and Audi, who are actively working on developing sustainable alternatives, offering strong substitutes for JLR’s traditional internal combustion engine models.</w:t>
            </w:r>
          </w:p>
        </w:tc>
      </w:tr>
      <w:tr w:rsidR="00BD3F08" w:rsidRPr="001F7A76" w14:paraId="57DD86D3" w14:textId="77777777" w:rsidTr="00586B3A">
        <w:tc>
          <w:tcPr>
            <w:tcW w:w="4320" w:type="dxa"/>
          </w:tcPr>
          <w:p w14:paraId="2A026998" w14:textId="77777777" w:rsidR="00BD3F08" w:rsidRPr="001F7A76" w:rsidRDefault="00BD3F08" w:rsidP="00D611D8">
            <w:pPr>
              <w:spacing w:after="200" w:line="360" w:lineRule="auto"/>
              <w:rPr>
                <w:rFonts w:asciiTheme="minorBidi" w:hAnsiTheme="minorBidi"/>
              </w:rPr>
            </w:pPr>
            <w:r w:rsidRPr="001F7A76">
              <w:rPr>
                <w:rFonts w:asciiTheme="minorBidi" w:hAnsiTheme="minorBidi"/>
              </w:rPr>
              <w:t>Industry Rivalry</w:t>
            </w:r>
          </w:p>
        </w:tc>
        <w:tc>
          <w:tcPr>
            <w:tcW w:w="4320" w:type="dxa"/>
          </w:tcPr>
          <w:p w14:paraId="3999AF0E" w14:textId="77777777" w:rsidR="00BD3F08" w:rsidRPr="001F7A76" w:rsidRDefault="00BD3F08" w:rsidP="00D611D8">
            <w:pPr>
              <w:spacing w:after="200" w:line="360" w:lineRule="auto"/>
              <w:rPr>
                <w:rFonts w:asciiTheme="minorBidi" w:hAnsiTheme="minorBidi"/>
              </w:rPr>
            </w:pPr>
            <w:r w:rsidRPr="001F7A76">
              <w:rPr>
                <w:rFonts w:asciiTheme="minorBidi" w:hAnsiTheme="minorBidi"/>
              </w:rPr>
              <w:t>Intense, as established automotive giants like BMW, Mercedes-Benz, and Audi continue to enhance their vehicle technologies and customer experiences, pushing JLR to innovate and compete with their established brand power.</w:t>
            </w:r>
          </w:p>
        </w:tc>
      </w:tr>
    </w:tbl>
    <w:p w14:paraId="5BC8B3EE" w14:textId="77777777" w:rsidR="00BD3F08" w:rsidRPr="001F7A76" w:rsidRDefault="00BD3F08" w:rsidP="00D611D8">
      <w:pPr>
        <w:spacing w:line="360" w:lineRule="auto"/>
        <w:rPr>
          <w:rFonts w:asciiTheme="minorBidi" w:hAnsiTheme="minorBidi"/>
        </w:rPr>
      </w:pPr>
    </w:p>
    <w:p w14:paraId="2AF5E02A" w14:textId="1C133499" w:rsidR="004307DE" w:rsidRPr="001F7A76" w:rsidRDefault="00000000" w:rsidP="00D611D8">
      <w:pPr>
        <w:spacing w:line="360" w:lineRule="auto"/>
        <w:rPr>
          <w:rFonts w:asciiTheme="minorBidi" w:hAnsiTheme="minorBidi"/>
        </w:rPr>
      </w:pPr>
      <w:r w:rsidRPr="001F7A76">
        <w:rPr>
          <w:rFonts w:asciiTheme="minorBidi" w:hAnsiTheme="minorBidi"/>
          <w:b/>
          <w:bCs/>
        </w:rPr>
        <w:t>2.2 Internal Environment Analysis (SWOT / McKinsey 7S)</w:t>
      </w:r>
    </w:p>
    <w:p w14:paraId="35A56B9F"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Having analysed the external environment, I will review the internal environment of JLR through frameworks like the SWOT and McKinsey 7S to have better knowledge about the company's strengths, weaknesses, resources, and organisational structure.</w:t>
      </w:r>
    </w:p>
    <w:p w14:paraId="4ED088F0" w14:textId="77777777" w:rsidR="00D611D8" w:rsidRPr="001F7A76" w:rsidRDefault="00D611D8" w:rsidP="00D611D8">
      <w:pPr>
        <w:spacing w:after="0" w:line="360" w:lineRule="auto"/>
        <w:jc w:val="both"/>
        <w:rPr>
          <w:rFonts w:asciiTheme="minorBidi" w:hAnsiTheme="minorBidi"/>
        </w:rPr>
      </w:pPr>
    </w:p>
    <w:p w14:paraId="261E8DBA"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Strengths</w:t>
      </w:r>
    </w:p>
    <w:p w14:paraId="7D2FDFAD"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The main competitive advantage that JLR has is a good brand name, especially in the upmarket car market. It is commonly recognised to manufacture high-performance cars with high engineering, including the off-road and sportiness in Land Rover and Jaguar, respectively (</w:t>
      </w:r>
      <w:proofErr w:type="spellStart"/>
      <w:r w:rsidRPr="001F7A76">
        <w:rPr>
          <w:rFonts w:asciiTheme="minorBidi" w:hAnsiTheme="minorBidi"/>
        </w:rPr>
        <w:t>Jääskä</w:t>
      </w:r>
      <w:proofErr w:type="spellEnd"/>
      <w:r w:rsidRPr="001F7A76">
        <w:rPr>
          <w:rFonts w:asciiTheme="minorBidi" w:hAnsiTheme="minorBidi"/>
        </w:rPr>
        <w:t xml:space="preserve"> et al., 2024). Another advantage of the company is its strong international presence, as there is a large network of outlets in North America, Europe, and China that supply JLR with a large pool of consumers, broadening the market scope. Moreover, JLR's investment in innovations and high-quality craftsmanship gives the company the opportunity to be competitive among other luxury car companies.</w:t>
      </w:r>
    </w:p>
    <w:p w14:paraId="0C2B8E1A" w14:textId="77777777" w:rsidR="00D611D8" w:rsidRPr="001F7A76" w:rsidRDefault="00D611D8" w:rsidP="00D611D8">
      <w:pPr>
        <w:spacing w:after="0" w:line="360" w:lineRule="auto"/>
        <w:jc w:val="both"/>
        <w:rPr>
          <w:rFonts w:asciiTheme="minorBidi" w:hAnsiTheme="minorBidi"/>
        </w:rPr>
      </w:pPr>
    </w:p>
    <w:p w14:paraId="30A4D826"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Weaknesses</w:t>
      </w:r>
    </w:p>
    <w:p w14:paraId="3F04FDA6"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 xml:space="preserve">According to these strengths, JLR has a number of weaknesses. The company is still very dependent on the internal combustion (ICE) vehicles, and this restricts its capability to embrace </w:t>
      </w:r>
      <w:r w:rsidRPr="001F7A76">
        <w:rPr>
          <w:rFonts w:asciiTheme="minorBidi" w:hAnsiTheme="minorBidi"/>
        </w:rPr>
        <w:lastRenderedPageBreak/>
        <w:t>the promise of the electric vehicles (EV) market, which is increasing. Also, the cost of manufacturing is high at JLR, and it is partly attributed to the fact that JLR has a complicated supply chain and high-end production (Khanyisile Yanela Twabu, 2025). These expenses, in addition to constant tariff disruptions, have strained JLR in terms of profitability. Besides, despite the JLR achievements in the digital technology adoption, the company remains comparatively lagging in the fully implemented connected cars and AI-based innovations, which places this firm at a disadvantage relative to rivals such as Tesla.</w:t>
      </w:r>
    </w:p>
    <w:p w14:paraId="0FB8BAEF" w14:textId="77777777" w:rsidR="00D611D8" w:rsidRPr="001F7A76" w:rsidRDefault="00D611D8" w:rsidP="00D611D8">
      <w:pPr>
        <w:spacing w:after="0" w:line="360" w:lineRule="auto"/>
        <w:jc w:val="both"/>
        <w:rPr>
          <w:rFonts w:asciiTheme="minorBidi" w:hAnsiTheme="minorBidi"/>
        </w:rPr>
      </w:pPr>
    </w:p>
    <w:p w14:paraId="3D83ACF6"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Opportunities</w:t>
      </w:r>
    </w:p>
    <w:p w14:paraId="7F8F232B"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The largest opportunity that JLR can have is the increase in demand for electric vehicles (EVS). With the growing interest of consumers in the idea of sustainability, JLR has an opportunity to develop EV models further and benefit from governmental subsidies on green technologies (</w:t>
      </w:r>
      <w:proofErr w:type="spellStart"/>
      <w:r w:rsidRPr="001F7A76">
        <w:rPr>
          <w:rFonts w:asciiTheme="minorBidi" w:hAnsiTheme="minorBidi"/>
        </w:rPr>
        <w:t>Rouissi</w:t>
      </w:r>
      <w:proofErr w:type="spellEnd"/>
      <w:r w:rsidRPr="001F7A76">
        <w:rPr>
          <w:rFonts w:asciiTheme="minorBidi" w:hAnsiTheme="minorBidi"/>
        </w:rPr>
        <w:t>, 2025). Furthermore, AI and autonomous driver technologies introduce an option where JLR can attain vehicles that are much smarter, which improves the driving experience and offers more vehicle safety. Asia and the African market are also emergent markets that have development potential, as these markets are characterised by increased consumer purchasing power and an expanding demand for luxurious cars.</w:t>
      </w:r>
    </w:p>
    <w:p w14:paraId="3055C681" w14:textId="77777777" w:rsidR="00D611D8" w:rsidRPr="001F7A76" w:rsidRDefault="00D611D8" w:rsidP="00D611D8">
      <w:pPr>
        <w:spacing w:after="0" w:line="360" w:lineRule="auto"/>
        <w:jc w:val="both"/>
        <w:rPr>
          <w:rFonts w:asciiTheme="minorBidi" w:hAnsiTheme="minorBidi"/>
        </w:rPr>
      </w:pPr>
    </w:p>
    <w:p w14:paraId="3145259A"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Threats</w:t>
      </w:r>
    </w:p>
    <w:p w14:paraId="44C05DE3"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JLR is facing a number of threats in the automotive industry. Close competition with experienced firms such as BMW and Mercedes-Benz, and other potential brands such as Tesla, is a major challenge. The market control of Tesla and the prompt development of autonomous and connected car technology pressured JLR to develop at a rapid scale (</w:t>
      </w:r>
      <w:proofErr w:type="spellStart"/>
      <w:r w:rsidRPr="001F7A76">
        <w:rPr>
          <w:rFonts w:asciiTheme="minorBidi" w:hAnsiTheme="minorBidi"/>
        </w:rPr>
        <w:t>Helhel</w:t>
      </w:r>
      <w:proofErr w:type="spellEnd"/>
      <w:r w:rsidRPr="001F7A76">
        <w:rPr>
          <w:rFonts w:asciiTheme="minorBidi" w:hAnsiTheme="minorBidi"/>
        </w:rPr>
        <w:t xml:space="preserve"> &amp; </w:t>
      </w:r>
      <w:proofErr w:type="spellStart"/>
      <w:r w:rsidRPr="001F7A76">
        <w:rPr>
          <w:rFonts w:asciiTheme="minorBidi" w:hAnsiTheme="minorBidi"/>
        </w:rPr>
        <w:t>Helhel</w:t>
      </w:r>
      <w:proofErr w:type="spellEnd"/>
      <w:r w:rsidRPr="001F7A76">
        <w:rPr>
          <w:rFonts w:asciiTheme="minorBidi" w:hAnsiTheme="minorBidi"/>
        </w:rPr>
        <w:t>, 2026). Moreover, volatility in the economy (i.e., price changes of fuel and other tariff changes) may also affect profitability. Lastly, the recent cyberattack demonstrated that JLR is vulnerable to digital attacks, and this aspect needs to be addressed with regard to increased cybersecurity in the future.</w:t>
      </w:r>
    </w:p>
    <w:p w14:paraId="3DB7311D" w14:textId="77777777" w:rsidR="00D611D8" w:rsidRPr="001F7A76" w:rsidRDefault="00D611D8" w:rsidP="00D611D8">
      <w:pPr>
        <w:spacing w:after="0" w:line="360" w:lineRule="auto"/>
        <w:jc w:val="both"/>
        <w:rPr>
          <w:rFonts w:asciiTheme="minorBidi" w:hAnsiTheme="minorBidi"/>
        </w:rPr>
      </w:pPr>
    </w:p>
    <w:p w14:paraId="22DE983F"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Triggers for Change</w:t>
      </w:r>
    </w:p>
    <w:p w14:paraId="50836700"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 xml:space="preserve">JLR is confronted with a number of issues which are critical triggers leading to the necessity of Change. The blistering development of AI, autonomous vehicles, and connected cars compels JLR to be on pace with the changes in the industry. The transition to electric vehicles (EVs) is both a challenge and an opportunity because people are becoming more interested in purchasing vehicles that are environmentally friendly (Chauhan et al., 2026). JLR would need to hasten its </w:t>
      </w:r>
      <w:r w:rsidRPr="001F7A76">
        <w:rPr>
          <w:rFonts w:asciiTheme="minorBidi" w:hAnsiTheme="minorBidi"/>
        </w:rPr>
        <w:lastRenderedPageBreak/>
        <w:t>conversion to EVs to keep up with the competition. Also, the recent cyberattack that stopped the production shows how urgently cybersecurity is necessary. Economic forces such as tariffs and the cost of production also reinforce Change as a central element in an uncertain market.</w:t>
      </w:r>
    </w:p>
    <w:p w14:paraId="6192A9C4" w14:textId="5FBA86D4" w:rsidR="009311F8" w:rsidRPr="001F7A76" w:rsidRDefault="009311F8" w:rsidP="00D611D8">
      <w:pPr>
        <w:spacing w:after="0" w:line="360" w:lineRule="auto"/>
        <w:ind w:firstLine="720"/>
        <w:jc w:val="both"/>
        <w:rPr>
          <w:rFonts w:asciiTheme="minorBidi" w:hAnsiTheme="minorBidi"/>
        </w:rPr>
      </w:pPr>
      <w:r w:rsidRPr="001F7A76">
        <w:rPr>
          <w:rFonts w:asciiTheme="minorBidi" w:hAnsiTheme="minorBidi"/>
          <w:noProof/>
        </w:rPr>
        <w:drawing>
          <wp:inline distT="0" distB="0" distL="0" distR="0" wp14:anchorId="11D355A0" wp14:editId="78643A90">
            <wp:extent cx="5276850" cy="2990850"/>
            <wp:effectExtent l="0" t="0" r="0" b="0"/>
            <wp:docPr id="242646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646489" name=""/>
                    <pic:cNvPicPr/>
                  </pic:nvPicPr>
                  <pic:blipFill>
                    <a:blip r:embed="rId9"/>
                    <a:stretch>
                      <a:fillRect/>
                    </a:stretch>
                  </pic:blipFill>
                  <pic:spPr>
                    <a:xfrm>
                      <a:off x="0" y="0"/>
                      <a:ext cx="5277124" cy="2991005"/>
                    </a:xfrm>
                    <a:prstGeom prst="rect">
                      <a:avLst/>
                    </a:prstGeom>
                  </pic:spPr>
                </pic:pic>
              </a:graphicData>
            </a:graphic>
          </wp:inline>
        </w:drawing>
      </w:r>
    </w:p>
    <w:p w14:paraId="586BBD57" w14:textId="77777777" w:rsidR="00D611D8" w:rsidRPr="001F7A76" w:rsidRDefault="00D611D8" w:rsidP="00D611D8">
      <w:pPr>
        <w:spacing w:after="0" w:line="360" w:lineRule="auto"/>
        <w:ind w:firstLine="720"/>
        <w:jc w:val="center"/>
        <w:rPr>
          <w:rFonts w:asciiTheme="minorBidi" w:hAnsiTheme="minorBidi"/>
          <w:b/>
          <w:bCs/>
        </w:rPr>
      </w:pPr>
    </w:p>
    <w:p w14:paraId="5C135B17" w14:textId="4A9BDCA0" w:rsidR="004307DE" w:rsidRPr="001F7A76" w:rsidRDefault="00000000" w:rsidP="00D611D8">
      <w:pPr>
        <w:spacing w:after="0" w:line="360" w:lineRule="auto"/>
        <w:ind w:firstLine="720"/>
        <w:jc w:val="center"/>
        <w:rPr>
          <w:rFonts w:asciiTheme="minorBidi" w:hAnsiTheme="minorBidi"/>
          <w:b/>
          <w:bCs/>
        </w:rPr>
      </w:pPr>
      <w:r w:rsidRPr="001F7A76">
        <w:rPr>
          <w:rFonts w:asciiTheme="minorBidi" w:hAnsiTheme="minorBidi"/>
          <w:b/>
          <w:bCs/>
        </w:rPr>
        <w:t>3. Changing Management Model Reviews and Assessments.</w:t>
      </w:r>
    </w:p>
    <w:p w14:paraId="410DD471" w14:textId="77777777" w:rsidR="00D611D8" w:rsidRPr="001F7A76" w:rsidRDefault="00D611D8" w:rsidP="00D611D8">
      <w:pPr>
        <w:spacing w:after="0" w:line="360" w:lineRule="auto"/>
        <w:ind w:firstLine="720"/>
        <w:jc w:val="center"/>
        <w:rPr>
          <w:rFonts w:asciiTheme="minorBidi" w:hAnsiTheme="minorBidi"/>
          <w:b/>
          <w:bCs/>
        </w:rPr>
      </w:pPr>
    </w:p>
    <w:p w14:paraId="6D9A775D"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Lewin's change management model.</w:t>
      </w:r>
    </w:p>
    <w:p w14:paraId="75979BAC" w14:textId="35E1FC46" w:rsidR="00BD3F08" w:rsidRPr="001F7A76" w:rsidRDefault="00BD3F08" w:rsidP="00D611D8">
      <w:pPr>
        <w:spacing w:after="0" w:line="360" w:lineRule="auto"/>
        <w:jc w:val="both"/>
        <w:rPr>
          <w:rFonts w:asciiTheme="minorBidi" w:hAnsiTheme="minorBidi"/>
        </w:rPr>
      </w:pPr>
      <w:r w:rsidRPr="001F7A76">
        <w:rPr>
          <w:rFonts w:asciiTheme="minorBidi" w:hAnsiTheme="minorBidi"/>
        </w:rPr>
        <w:t xml:space="preserve">The model of Kurt Lewin has three stages that include Unfreeze, Change, and Refreeze. The unfreeze stage is the one that makes the organisation ready to change and brings awareness that there is a need to change. The stage of change is the one that brings an innovation in terms of new behaviours and processes to propel the organisation (Antonios </w:t>
      </w:r>
      <w:proofErr w:type="spellStart"/>
      <w:r w:rsidRPr="001F7A76">
        <w:rPr>
          <w:rFonts w:asciiTheme="minorBidi" w:hAnsiTheme="minorBidi"/>
        </w:rPr>
        <w:t>Kargas</w:t>
      </w:r>
      <w:proofErr w:type="spellEnd"/>
      <w:r w:rsidRPr="001F7A76">
        <w:rPr>
          <w:rFonts w:asciiTheme="minorBidi" w:hAnsiTheme="minorBidi"/>
        </w:rPr>
        <w:t xml:space="preserve"> et al., 2026). Lastly, the Refreeze step entails stabilising the changes, which is to make them normal operations of the company. With JLR, this model can be applicable in returning to normal operations in the wake of the cyberattack and the tariff interruptions, even though its simplicity may not be quite effective when it comes to handling complicated technological issues.</w:t>
      </w:r>
    </w:p>
    <w:p w14:paraId="47D026A2" w14:textId="77777777" w:rsidR="00D611D8" w:rsidRPr="001F7A76" w:rsidRDefault="00D611D8" w:rsidP="00D611D8">
      <w:pPr>
        <w:spacing w:after="0" w:line="360" w:lineRule="auto"/>
        <w:jc w:val="both"/>
        <w:rPr>
          <w:rFonts w:asciiTheme="minorBidi" w:hAnsiTheme="minorBidi"/>
        </w:rPr>
      </w:pPr>
    </w:p>
    <w:p w14:paraId="543C1B75" w14:textId="77777777" w:rsidR="00BD3F08" w:rsidRPr="001F7A76" w:rsidRDefault="00BD3F08" w:rsidP="00D611D8">
      <w:pPr>
        <w:spacing w:after="0" w:line="360" w:lineRule="auto"/>
        <w:jc w:val="both"/>
        <w:rPr>
          <w:rFonts w:asciiTheme="minorBidi" w:hAnsiTheme="minorBidi"/>
          <w:b/>
          <w:bCs/>
        </w:rPr>
      </w:pPr>
      <w:r w:rsidRPr="001F7A76">
        <w:rPr>
          <w:rFonts w:asciiTheme="minorBidi" w:hAnsiTheme="minorBidi"/>
          <w:b/>
          <w:bCs/>
        </w:rPr>
        <w:t>Kotter's 8-Step Change Model</w:t>
      </w:r>
    </w:p>
    <w:p w14:paraId="20F628A7" w14:textId="64F846E7" w:rsidR="00BD3F08" w:rsidRDefault="00BD3F08" w:rsidP="00D611D8">
      <w:pPr>
        <w:spacing w:after="0" w:line="360" w:lineRule="auto"/>
        <w:jc w:val="both"/>
        <w:rPr>
          <w:rFonts w:asciiTheme="minorBidi" w:hAnsiTheme="minorBidi"/>
        </w:rPr>
      </w:pPr>
      <w:r w:rsidRPr="001F7A76">
        <w:rPr>
          <w:rFonts w:asciiTheme="minorBidi" w:hAnsiTheme="minorBidi"/>
        </w:rPr>
        <w:t xml:space="preserve">The 8-Step Change Model is a model of change proposed by John Kotter. The model will start by creating the feeling of urgency, which is critical to JLR, as the board has certain reservations regarding its future. Other significant moves would be the formation of a guiding coalition, producing a vision, and making changes in the organisational culture (Ismail et al., 2026). </w:t>
      </w:r>
      <w:r w:rsidRPr="001F7A76">
        <w:rPr>
          <w:rFonts w:asciiTheme="minorBidi" w:hAnsiTheme="minorBidi"/>
        </w:rPr>
        <w:lastRenderedPageBreak/>
        <w:t>Although the model developed by Kotter is clear and structured, its linear form can be rather too strict as far as JLR is concerned, particularly in the dynamic market and the quick-paced transformation to digital.</w:t>
      </w:r>
    </w:p>
    <w:p w14:paraId="76175C73" w14:textId="77777777" w:rsidR="004E058D" w:rsidRPr="001F7A76" w:rsidRDefault="004E058D" w:rsidP="00D611D8">
      <w:pPr>
        <w:spacing w:after="0" w:line="360" w:lineRule="auto"/>
        <w:jc w:val="both"/>
        <w:rPr>
          <w:rFonts w:asciiTheme="minorBidi" w:hAnsiTheme="minorBidi"/>
        </w:rPr>
      </w:pPr>
    </w:p>
    <w:p w14:paraId="1E825DA5" w14:textId="77777777" w:rsidR="00BD3F08" w:rsidRPr="001F7A76" w:rsidRDefault="00BD3F08" w:rsidP="00D611D8">
      <w:pPr>
        <w:spacing w:after="0" w:line="360" w:lineRule="auto"/>
        <w:jc w:val="both"/>
        <w:rPr>
          <w:rFonts w:asciiTheme="minorBidi" w:hAnsiTheme="minorBidi"/>
          <w:b/>
          <w:bCs/>
        </w:rPr>
      </w:pPr>
      <w:r w:rsidRPr="001F7A76">
        <w:rPr>
          <w:rFonts w:asciiTheme="minorBidi" w:hAnsiTheme="minorBidi"/>
          <w:b/>
          <w:bCs/>
        </w:rPr>
        <w:t>ADKAR Model</w:t>
      </w:r>
    </w:p>
    <w:p w14:paraId="0A4F47A7" w14:textId="01488671" w:rsidR="00BD3F08" w:rsidRPr="001F7A76" w:rsidRDefault="00BD3F08" w:rsidP="00D611D8">
      <w:pPr>
        <w:spacing w:after="0" w:line="360" w:lineRule="auto"/>
        <w:jc w:val="both"/>
        <w:rPr>
          <w:rFonts w:asciiTheme="minorBidi" w:hAnsiTheme="minorBidi"/>
        </w:rPr>
      </w:pPr>
      <w:r w:rsidRPr="001F7A76">
        <w:rPr>
          <w:rFonts w:asciiTheme="minorBidi" w:hAnsiTheme="minorBidi"/>
        </w:rPr>
        <w:t>The ADKAR Model is individual change-based and includes five stages: Awareness, Desire, Knowledge, Ability and Reinforcement. This model will make the employees fully committed to the change process. In the case of JLR, post-disruption recovery can be achieved with the aid of ADKAR, which assists the employees in interpreting and accepting the changes required (</w:t>
      </w:r>
      <w:proofErr w:type="spellStart"/>
      <w:r w:rsidRPr="001F7A76">
        <w:rPr>
          <w:rFonts w:asciiTheme="minorBidi" w:hAnsiTheme="minorBidi"/>
        </w:rPr>
        <w:t>Mizova</w:t>
      </w:r>
      <w:proofErr w:type="spellEnd"/>
      <w:r w:rsidRPr="001F7A76">
        <w:rPr>
          <w:rFonts w:asciiTheme="minorBidi" w:hAnsiTheme="minorBidi"/>
        </w:rPr>
        <w:t xml:space="preserve"> et al., 2026). Nevertheless, the individual-oriented orientation of ADKAR may not be aligned with the organisational-wide issues of JLR, which demand a more general and more strategic approach to operation and technology changes.</w:t>
      </w:r>
    </w:p>
    <w:p w14:paraId="64EAF66F" w14:textId="77777777" w:rsidR="00D611D8" w:rsidRPr="001F7A76" w:rsidRDefault="00D611D8" w:rsidP="00D611D8">
      <w:pPr>
        <w:spacing w:after="0" w:line="360" w:lineRule="auto"/>
        <w:jc w:val="both"/>
        <w:rPr>
          <w:rFonts w:asciiTheme="minorBidi" w:hAnsiTheme="minorBidi"/>
        </w:rPr>
      </w:pPr>
    </w:p>
    <w:p w14:paraId="1E7C9ACD" w14:textId="77777777" w:rsidR="00BD3F08" w:rsidRPr="001F7A76" w:rsidRDefault="00BD3F08" w:rsidP="00D611D8">
      <w:pPr>
        <w:spacing w:after="0" w:line="360" w:lineRule="auto"/>
        <w:jc w:val="both"/>
        <w:rPr>
          <w:rFonts w:asciiTheme="minorBidi" w:hAnsiTheme="minorBidi"/>
          <w:b/>
          <w:bCs/>
        </w:rPr>
      </w:pPr>
      <w:r w:rsidRPr="001F7A76">
        <w:rPr>
          <w:rFonts w:asciiTheme="minorBidi" w:hAnsiTheme="minorBidi"/>
          <w:b/>
          <w:bCs/>
        </w:rPr>
        <w:t>McKinsey 7S Framework</w:t>
      </w:r>
    </w:p>
    <w:p w14:paraId="694647EC" w14:textId="33A9AE06" w:rsidR="00BD3F08" w:rsidRPr="001F7A76" w:rsidRDefault="00BD3F08" w:rsidP="00D611D8">
      <w:pPr>
        <w:spacing w:after="0" w:line="360" w:lineRule="auto"/>
        <w:jc w:val="both"/>
        <w:rPr>
          <w:rFonts w:asciiTheme="minorBidi" w:hAnsiTheme="minorBidi"/>
        </w:rPr>
      </w:pPr>
      <w:r w:rsidRPr="001F7A76">
        <w:rPr>
          <w:rFonts w:asciiTheme="minorBidi" w:hAnsiTheme="minorBidi"/>
        </w:rPr>
        <w:t>The McKinsey 7S Framework has the advantage of utilising a complete organisational change analysis through Structure, Systems, Shared Values, Skills, Staff, and Style analyses of an organisation. This model is efficient in the recovery of JLR because it aligns the whole organisation according to the new vision and the strategic objectives of the company (Poláková – Kersten et al., 2023). Nevertheless, the framework does not have a step-by-step implementation process, which slows down change. This is especially difficult in the case of JLR, with a short reaction time required to solve urgent, disruptive, and market changes.</w:t>
      </w:r>
    </w:p>
    <w:p w14:paraId="15CE31F7" w14:textId="77777777" w:rsidR="00D611D8" w:rsidRPr="001F7A76" w:rsidRDefault="00D611D8" w:rsidP="00D611D8">
      <w:pPr>
        <w:spacing w:after="0" w:line="360" w:lineRule="auto"/>
        <w:jc w:val="both"/>
        <w:rPr>
          <w:rFonts w:asciiTheme="minorBidi" w:hAnsiTheme="minorBidi"/>
        </w:rPr>
      </w:pPr>
    </w:p>
    <w:p w14:paraId="0BA00D42" w14:textId="40FDF254" w:rsidR="004307DE" w:rsidRPr="001F7A76" w:rsidRDefault="00000000" w:rsidP="00D611D8">
      <w:pPr>
        <w:spacing w:after="0" w:line="360" w:lineRule="auto"/>
        <w:ind w:firstLine="720"/>
        <w:jc w:val="center"/>
        <w:rPr>
          <w:rFonts w:asciiTheme="minorBidi" w:hAnsiTheme="minorBidi"/>
          <w:b/>
          <w:bCs/>
        </w:rPr>
      </w:pPr>
      <w:r w:rsidRPr="001F7A76">
        <w:rPr>
          <w:rFonts w:asciiTheme="minorBidi" w:hAnsiTheme="minorBidi"/>
          <w:b/>
          <w:bCs/>
        </w:rPr>
        <w:t>4. Leadership and Organisational Culture in Change</w:t>
      </w:r>
    </w:p>
    <w:p w14:paraId="44F27BD7" w14:textId="77777777" w:rsidR="00D611D8" w:rsidRPr="001F7A76" w:rsidRDefault="00D611D8" w:rsidP="00D611D8">
      <w:pPr>
        <w:spacing w:after="0" w:line="360" w:lineRule="auto"/>
        <w:ind w:firstLine="720"/>
        <w:jc w:val="center"/>
        <w:rPr>
          <w:rFonts w:asciiTheme="minorBidi" w:hAnsiTheme="minorBidi"/>
          <w:b/>
          <w:bCs/>
        </w:rPr>
      </w:pPr>
    </w:p>
    <w:p w14:paraId="16296044"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4.1 Leadership Styles (Transformational, Situational, Transactional)</w:t>
      </w:r>
    </w:p>
    <w:p w14:paraId="4C5EC886"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Ensuring that Jaguar Land Rover (JLR) comes out of the cyberattack and tariff fiasco requires a strong leader to show the way forward. The factor that is needed in this Change is transformational leadership, which promotes a culture of innovation, employee empowerment, and a collective vision of the future of the company (</w:t>
      </w:r>
      <w:proofErr w:type="spellStart"/>
      <w:r w:rsidRPr="001F7A76">
        <w:rPr>
          <w:rFonts w:asciiTheme="minorBidi" w:hAnsiTheme="minorBidi"/>
        </w:rPr>
        <w:t>Gkrimpizi</w:t>
      </w:r>
      <w:proofErr w:type="spellEnd"/>
      <w:r w:rsidRPr="001F7A76">
        <w:rPr>
          <w:rFonts w:asciiTheme="minorBidi" w:hAnsiTheme="minorBidi"/>
        </w:rPr>
        <w:t xml:space="preserve"> et al., 2023). It encourages employees to perform above expectations because they feel that they are part owners and committed. Transformational leaders can make JLR adjust and recover by being creative and resilient to make sure it will succeed in the longer term.</w:t>
      </w:r>
    </w:p>
    <w:p w14:paraId="6B3FA2E1"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 xml:space="preserve">Situational leadership enables the leaders at JLR to adjust themselves depending on the needs of the team and circumstances. Following a cyberattack, specific teams will need prior structure </w:t>
      </w:r>
      <w:r w:rsidRPr="001F7A76">
        <w:rPr>
          <w:rFonts w:asciiTheme="minorBidi" w:hAnsiTheme="minorBidi"/>
        </w:rPr>
        <w:lastRenderedPageBreak/>
        <w:t>and direction, whereas others can be given flexibility and freedom (</w:t>
      </w:r>
      <w:proofErr w:type="spellStart"/>
      <w:r w:rsidRPr="001F7A76">
        <w:rPr>
          <w:rFonts w:asciiTheme="minorBidi" w:hAnsiTheme="minorBidi"/>
        </w:rPr>
        <w:t>Rouissi</w:t>
      </w:r>
      <w:proofErr w:type="spellEnd"/>
      <w:r w:rsidRPr="001F7A76">
        <w:rPr>
          <w:rFonts w:asciiTheme="minorBidi" w:hAnsiTheme="minorBidi"/>
        </w:rPr>
        <w:t>, 2025). This flexibility will enable JLR to be stable in recovery, as well as empower teams to be innovative. Evaluating the maturity and capabilities of various teams, situational leaders should be able to provide the group with the necessary level of support that promotes the recovery process as well as long-term development.</w:t>
      </w:r>
    </w:p>
    <w:p w14:paraId="035888A7"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Transactional leaders are short-term oriented, and they give reasonable expectations and rewards to meet the same. JLR can use this leadership approach to ensure that it stays operational as long as the recovery process takes place (</w:t>
      </w:r>
      <w:proofErr w:type="spellStart"/>
      <w:r w:rsidRPr="001F7A76">
        <w:rPr>
          <w:rFonts w:asciiTheme="minorBidi" w:hAnsiTheme="minorBidi"/>
        </w:rPr>
        <w:t>Jääskä</w:t>
      </w:r>
      <w:proofErr w:type="spellEnd"/>
      <w:r w:rsidRPr="001F7A76">
        <w:rPr>
          <w:rFonts w:asciiTheme="minorBidi" w:hAnsiTheme="minorBidi"/>
        </w:rPr>
        <w:t xml:space="preserve"> et al., 2024). Transactional leaders can achieve this through the following: by establishing goals that can be measured, by keeping track of the progress, and by rewarding performances so that the company operates in a flow, whilst more important strategic changes change the company. Transactional leadership is not concerned with the long-term transformation, but is essential to make sure that short-term operational issues are tackled successfully as JLR stabilises.</w:t>
      </w:r>
    </w:p>
    <w:p w14:paraId="17AF50EF" w14:textId="77777777" w:rsidR="00D611D8" w:rsidRPr="001F7A76" w:rsidRDefault="00D611D8" w:rsidP="00D611D8">
      <w:pPr>
        <w:spacing w:after="0" w:line="360" w:lineRule="auto"/>
        <w:jc w:val="both"/>
        <w:rPr>
          <w:rFonts w:asciiTheme="minorBidi" w:hAnsiTheme="minorBidi"/>
        </w:rPr>
      </w:pPr>
    </w:p>
    <w:p w14:paraId="767F2C55"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4.2 Organisational Culture (Schein, Hofstede, Handy)</w:t>
      </w:r>
    </w:p>
    <w:p w14:paraId="3B41941F" w14:textId="77777777" w:rsidR="007F0892" w:rsidRPr="001F7A76" w:rsidRDefault="007F0892" w:rsidP="00D611D8">
      <w:pPr>
        <w:spacing w:after="0" w:line="360" w:lineRule="auto"/>
        <w:jc w:val="both"/>
        <w:rPr>
          <w:rFonts w:asciiTheme="minorBidi" w:hAnsiTheme="minorBidi"/>
        </w:rPr>
      </w:pPr>
      <w:r w:rsidRPr="001F7A76">
        <w:rPr>
          <w:rFonts w:asciiTheme="minorBidi" w:hAnsiTheme="minorBidi"/>
        </w:rPr>
        <w:t>Organisational culture is very relevant in the way JLR deals with and handles change. The cultural model developed by Schein singles out three levels: artefacts, values and basic assumptions. Artefacts can be customised because the company policies and structures will support change initiatives (</w:t>
      </w:r>
      <w:proofErr w:type="spellStart"/>
      <w:r w:rsidRPr="001F7A76">
        <w:rPr>
          <w:rFonts w:asciiTheme="minorBidi" w:hAnsiTheme="minorBidi"/>
        </w:rPr>
        <w:t>Jaaskak</w:t>
      </w:r>
      <w:proofErr w:type="spellEnd"/>
      <w:r w:rsidRPr="001F7A76">
        <w:rPr>
          <w:rFonts w:asciiTheme="minorBidi" w:hAnsiTheme="minorBidi"/>
        </w:rPr>
        <w:t xml:space="preserve"> et al., 2024). Values are the stated goals of the company, whereas basic assumptions are the unconscious beliefs that govern the workings of employees. The leaders at JLR need to identify these factors in order to alleviate or deal with cultural obstacles to transformation success.</w:t>
      </w:r>
    </w:p>
    <w:p w14:paraId="5DDC47D2" w14:textId="77777777" w:rsidR="007F0892" w:rsidRPr="001F7A76" w:rsidRDefault="007F0892" w:rsidP="00D611D8">
      <w:pPr>
        <w:spacing w:after="0" w:line="360" w:lineRule="auto"/>
        <w:jc w:val="both"/>
        <w:rPr>
          <w:rFonts w:asciiTheme="minorBidi" w:hAnsiTheme="minorBidi"/>
        </w:rPr>
      </w:pPr>
      <w:r w:rsidRPr="001F7A76">
        <w:rPr>
          <w:rFonts w:asciiTheme="minorBidi" w:hAnsiTheme="minorBidi"/>
        </w:rPr>
        <w:t>The cultural dimensions developed by Hofstede can help understand how national and organisational cultures impact the acceptability of change at JLR. High power distance culture also implies that employees want decisions made by top-level management, which has the potential to slow down the pace of change. Uncertainty avoidance implies that the employees are responsive to change; however, in cases of ambiguity (</w:t>
      </w:r>
      <w:proofErr w:type="spellStart"/>
      <w:r w:rsidRPr="001F7A76">
        <w:rPr>
          <w:rFonts w:asciiTheme="minorBidi" w:hAnsiTheme="minorBidi"/>
        </w:rPr>
        <w:t>Scholkmann</w:t>
      </w:r>
      <w:proofErr w:type="spellEnd"/>
      <w:r w:rsidRPr="001F7A76">
        <w:rPr>
          <w:rFonts w:asciiTheme="minorBidi" w:hAnsiTheme="minorBidi"/>
        </w:rPr>
        <w:t>, 2021). In JLR, when uncertainty avoidance is high, employees might be opposed to the changes required, and this will impact the recovery process. These cultural aspects should be factored in by the leaders during the process of planning and implementing change strategies.</w:t>
      </w:r>
    </w:p>
    <w:p w14:paraId="161C97E3" w14:textId="77777777" w:rsidR="007F0892" w:rsidRPr="001F7A76" w:rsidRDefault="007F0892" w:rsidP="00D611D8">
      <w:pPr>
        <w:spacing w:after="0" w:line="360" w:lineRule="auto"/>
        <w:jc w:val="both"/>
        <w:rPr>
          <w:rFonts w:asciiTheme="minorBidi" w:hAnsiTheme="minorBidi"/>
        </w:rPr>
      </w:pPr>
      <w:r w:rsidRPr="001F7A76">
        <w:rPr>
          <w:rFonts w:asciiTheme="minorBidi" w:hAnsiTheme="minorBidi"/>
        </w:rPr>
        <w:t xml:space="preserve">The model of organisational culture developed by Handy classifies cultures into Power, Role, Task and Person. The JLR culture is an amalgamation of the Role and Task cultures. A Role culture has defined roles and responsibilities and thus achieves stability, but does not allow much flexibility to change. Another culture is a Task culture, which encourages flexibility and teamwork </w:t>
      </w:r>
      <w:r w:rsidRPr="001F7A76">
        <w:rPr>
          <w:rFonts w:asciiTheme="minorBidi" w:hAnsiTheme="minorBidi"/>
        </w:rPr>
        <w:lastRenderedPageBreak/>
        <w:t>(Scholkmann, 2021). The leadership of JLR should find a balance between these aspects of culture so that both stability and flexibility can be included in the process of change to ensure that recovery and long-term transformation take place.</w:t>
      </w:r>
    </w:p>
    <w:p w14:paraId="615BEF15" w14:textId="77777777" w:rsidR="00D611D8" w:rsidRPr="001F7A76" w:rsidRDefault="00000000" w:rsidP="00D611D8">
      <w:pPr>
        <w:spacing w:after="0" w:line="360" w:lineRule="auto"/>
        <w:ind w:firstLine="720"/>
        <w:jc w:val="center"/>
        <w:rPr>
          <w:rFonts w:asciiTheme="minorBidi" w:hAnsiTheme="minorBidi"/>
          <w:b/>
          <w:bCs/>
        </w:rPr>
      </w:pPr>
      <w:r w:rsidRPr="001F7A76">
        <w:rPr>
          <w:rFonts w:asciiTheme="minorBidi" w:hAnsiTheme="minorBidi"/>
          <w:b/>
          <w:bCs/>
        </w:rPr>
        <w:t>5. Strategic Change Management Plan Proposal.</w:t>
      </w:r>
    </w:p>
    <w:p w14:paraId="3C3A03DF" w14:textId="77777777" w:rsidR="00D611D8" w:rsidRPr="001F7A76" w:rsidRDefault="00D611D8" w:rsidP="00D611D8">
      <w:pPr>
        <w:spacing w:after="0" w:line="360" w:lineRule="auto"/>
        <w:ind w:firstLine="720"/>
        <w:jc w:val="center"/>
        <w:rPr>
          <w:rFonts w:asciiTheme="minorBidi" w:hAnsiTheme="minorBidi"/>
          <w:b/>
          <w:bCs/>
        </w:rPr>
      </w:pPr>
    </w:p>
    <w:p w14:paraId="0533E8F2" w14:textId="33E13285" w:rsidR="004307DE" w:rsidRPr="001F7A76" w:rsidRDefault="00000000" w:rsidP="00D611D8">
      <w:pPr>
        <w:spacing w:after="0" w:line="360" w:lineRule="auto"/>
        <w:rPr>
          <w:rFonts w:asciiTheme="minorBidi" w:hAnsiTheme="minorBidi"/>
          <w:b/>
          <w:bCs/>
        </w:rPr>
      </w:pPr>
      <w:r w:rsidRPr="001F7A76">
        <w:rPr>
          <w:rFonts w:asciiTheme="minorBidi" w:hAnsiTheme="minorBidi"/>
          <w:b/>
          <w:bCs/>
        </w:rPr>
        <w:t>Vision and Objectives of Change.</w:t>
      </w:r>
    </w:p>
    <w:p w14:paraId="337C319B"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My vision as a Change Manager in Jaguar Land Rover (JLR) is to ensure the company becomes more robust and quicker to respond to future disruptions, such as cyberattacks and tariff alterations. The primary solutions are to be able to recover production capabilities within the next 3 months, reinforce the cybersecurity infrastructure, and establish a more adaptable supply chain (Orero-</w:t>
      </w:r>
      <w:proofErr w:type="spellStart"/>
      <w:r w:rsidRPr="001F7A76">
        <w:rPr>
          <w:rFonts w:asciiTheme="minorBidi" w:hAnsiTheme="minorBidi"/>
        </w:rPr>
        <w:t>Blat</w:t>
      </w:r>
      <w:proofErr w:type="spellEnd"/>
      <w:r w:rsidRPr="001F7A76">
        <w:rPr>
          <w:rFonts w:asciiTheme="minorBidi" w:hAnsiTheme="minorBidi"/>
        </w:rPr>
        <w:t xml:space="preserve"> et al., 2024). The change plan will be aimed at increasing the efficiency of its operations, encouraging innovation, and making it sustainable. This Change will assist JLR to become a leader in the automotive business in the long run that meets new market demands and technology changes.</w:t>
      </w:r>
    </w:p>
    <w:p w14:paraId="33A0EE53" w14:textId="77777777" w:rsidR="00D611D8" w:rsidRPr="001F7A76" w:rsidRDefault="00D611D8" w:rsidP="00D611D8">
      <w:pPr>
        <w:spacing w:after="0" w:line="360" w:lineRule="auto"/>
        <w:jc w:val="both"/>
        <w:rPr>
          <w:rFonts w:asciiTheme="minorBidi" w:hAnsiTheme="minorBidi"/>
        </w:rPr>
      </w:pPr>
    </w:p>
    <w:p w14:paraId="63008311" w14:textId="77777777" w:rsidR="008C1C55" w:rsidRPr="001F7A76" w:rsidRDefault="008C1C55" w:rsidP="00D611D8">
      <w:pPr>
        <w:spacing w:after="0" w:line="360" w:lineRule="auto"/>
        <w:jc w:val="both"/>
        <w:rPr>
          <w:rFonts w:asciiTheme="minorBidi" w:hAnsiTheme="minorBidi"/>
          <w:b/>
          <w:bCs/>
        </w:rPr>
      </w:pPr>
      <w:r w:rsidRPr="001F7A76">
        <w:rPr>
          <w:rFonts w:asciiTheme="minorBidi" w:hAnsiTheme="minorBidi"/>
          <w:b/>
          <w:bCs/>
        </w:rPr>
        <w:t>Stakeholder Analysis</w:t>
      </w:r>
    </w:p>
    <w:p w14:paraId="25B116B8" w14:textId="77777777" w:rsidR="008C1C55" w:rsidRPr="001F7A76" w:rsidRDefault="008C1C55" w:rsidP="00D611D8">
      <w:pPr>
        <w:spacing w:after="0" w:line="360" w:lineRule="auto"/>
        <w:jc w:val="both"/>
        <w:rPr>
          <w:rFonts w:asciiTheme="minorBidi" w:hAnsiTheme="minorBidi"/>
        </w:rPr>
      </w:pPr>
      <w:r w:rsidRPr="001F7A76">
        <w:rPr>
          <w:rFonts w:asciiTheme="minorBidi" w:hAnsiTheme="minorBidi"/>
        </w:rPr>
        <w:t>Key stakeholders in the change process of JLR are the Board of Directors, the employees, suppliers, customers, and regulatory organisations. The Board of Directors will also worry about the financial soundness of JLR and should be given an effective recovery roadmap that can be implemented (Orero-</w:t>
      </w:r>
      <w:proofErr w:type="spellStart"/>
      <w:r w:rsidRPr="001F7A76">
        <w:rPr>
          <w:rFonts w:asciiTheme="minorBidi" w:hAnsiTheme="minorBidi"/>
        </w:rPr>
        <w:t>Blat</w:t>
      </w:r>
      <w:proofErr w:type="spellEnd"/>
      <w:r w:rsidRPr="001F7A76">
        <w:rPr>
          <w:rFonts w:asciiTheme="minorBidi" w:hAnsiTheme="minorBidi"/>
        </w:rPr>
        <w:t xml:space="preserve"> et al., 2024). They play a key role in ensuring that there are long-term strategic objectives achieved. The new processes and systems can only be implemented with the help of the employees, and their dedication and involvement will be necessary in determining the success of the change.</w:t>
      </w:r>
    </w:p>
    <w:p w14:paraId="1F746302" w14:textId="77777777" w:rsidR="00D611D8" w:rsidRPr="001F7A76" w:rsidRDefault="00D611D8" w:rsidP="00D611D8">
      <w:pPr>
        <w:spacing w:after="0" w:line="360" w:lineRule="auto"/>
        <w:jc w:val="both"/>
        <w:rPr>
          <w:rFonts w:asciiTheme="minorBidi" w:hAnsiTheme="minorBidi"/>
        </w:rPr>
      </w:pPr>
    </w:p>
    <w:p w14:paraId="15C147C5" w14:textId="77777777" w:rsidR="008C1C55" w:rsidRPr="001F7A76" w:rsidRDefault="008C1C55" w:rsidP="00D611D8">
      <w:pPr>
        <w:spacing w:after="0" w:line="360" w:lineRule="auto"/>
        <w:jc w:val="both"/>
        <w:rPr>
          <w:rFonts w:asciiTheme="minorBidi" w:hAnsiTheme="minorBidi"/>
          <w:b/>
          <w:bCs/>
        </w:rPr>
      </w:pPr>
      <w:r w:rsidRPr="001F7A76">
        <w:rPr>
          <w:rFonts w:asciiTheme="minorBidi" w:hAnsiTheme="minorBidi"/>
          <w:b/>
          <w:bCs/>
        </w:rPr>
        <w:t>Stakeholder Engagement</w:t>
      </w:r>
    </w:p>
    <w:p w14:paraId="32EB0983" w14:textId="77777777" w:rsidR="008C1C55" w:rsidRPr="001F7A76" w:rsidRDefault="008C1C55" w:rsidP="00D611D8">
      <w:pPr>
        <w:spacing w:after="0" w:line="360" w:lineRule="auto"/>
        <w:jc w:val="both"/>
        <w:rPr>
          <w:rFonts w:asciiTheme="minorBidi" w:hAnsiTheme="minorBidi"/>
        </w:rPr>
      </w:pPr>
      <w:r w:rsidRPr="001F7A76">
        <w:rPr>
          <w:rFonts w:asciiTheme="minorBidi" w:hAnsiTheme="minorBidi"/>
        </w:rPr>
        <w:t>Another group of importance is the suppliers, whose role is of primary concern owing to the fact that JLR intends to diversify its supply to avoid dependence on a single source. The action will guarantee increased resilience and flexibility in the procurement. Changes should also be communicated to the customers, especially with respect to the availability of some products and the effects such changes will have on deliveries (Orero-</w:t>
      </w:r>
      <w:proofErr w:type="spellStart"/>
      <w:r w:rsidRPr="001F7A76">
        <w:rPr>
          <w:rFonts w:asciiTheme="minorBidi" w:hAnsiTheme="minorBidi"/>
        </w:rPr>
        <w:t>Blat</w:t>
      </w:r>
      <w:proofErr w:type="spellEnd"/>
      <w:r w:rsidRPr="001F7A76">
        <w:rPr>
          <w:rFonts w:asciiTheme="minorBidi" w:hAnsiTheme="minorBidi"/>
        </w:rPr>
        <w:t xml:space="preserve"> et al., 2024). Constant contact with the customers will aid in keeping the trust and loyalty. The regulatory bodies play an important role in making sure that once the transformation is implemented, JLR will be up to the required industry standards and that the complementary legal requirements are observed.</w:t>
      </w:r>
    </w:p>
    <w:p w14:paraId="5B711E9A" w14:textId="77777777" w:rsidR="00D611D8" w:rsidRPr="001F7A76" w:rsidRDefault="00D611D8" w:rsidP="00D611D8">
      <w:pPr>
        <w:spacing w:after="0" w:line="360" w:lineRule="auto"/>
        <w:jc w:val="both"/>
        <w:rPr>
          <w:rFonts w:asciiTheme="minorBidi" w:hAnsiTheme="minorBidi"/>
        </w:rPr>
      </w:pPr>
    </w:p>
    <w:p w14:paraId="7DD8C239" w14:textId="77777777" w:rsidR="008C1C55" w:rsidRPr="001F7A76" w:rsidRDefault="008C1C55" w:rsidP="00D611D8">
      <w:pPr>
        <w:spacing w:after="0" w:line="360" w:lineRule="auto"/>
        <w:jc w:val="both"/>
        <w:rPr>
          <w:rFonts w:asciiTheme="minorBidi" w:hAnsiTheme="minorBidi"/>
          <w:b/>
          <w:bCs/>
        </w:rPr>
      </w:pPr>
      <w:r w:rsidRPr="001F7A76">
        <w:rPr>
          <w:rFonts w:asciiTheme="minorBidi" w:hAnsiTheme="minorBidi"/>
          <w:b/>
          <w:bCs/>
        </w:rPr>
        <w:lastRenderedPageBreak/>
        <w:t>Implementation Framework</w:t>
      </w:r>
    </w:p>
    <w:p w14:paraId="7FA00A87" w14:textId="77777777" w:rsidR="008C1C55" w:rsidRPr="001F7A76" w:rsidRDefault="008C1C55" w:rsidP="00D611D8">
      <w:pPr>
        <w:spacing w:after="0" w:line="360" w:lineRule="auto"/>
        <w:jc w:val="both"/>
        <w:rPr>
          <w:rFonts w:asciiTheme="minorBidi" w:hAnsiTheme="minorBidi"/>
        </w:rPr>
      </w:pPr>
      <w:r w:rsidRPr="001F7A76">
        <w:rPr>
          <w:rFonts w:asciiTheme="minorBidi" w:hAnsiTheme="minorBidi"/>
        </w:rPr>
        <w:t>The change process will be carried out in three phases. Phase 1 will deal with short-term recovery and includes aspects of restoring production and cybersecurity by Month 3. The initial step will be to reinstate the basic functions of JLR and secure the company against additional cyber-attacks (</w:t>
      </w:r>
      <w:proofErr w:type="spellStart"/>
      <w:r w:rsidRPr="001F7A76">
        <w:rPr>
          <w:rFonts w:asciiTheme="minorBidi" w:hAnsiTheme="minorBidi"/>
        </w:rPr>
        <w:t>Scholkmann</w:t>
      </w:r>
      <w:proofErr w:type="spellEnd"/>
      <w:r w:rsidRPr="001F7A76">
        <w:rPr>
          <w:rFonts w:asciiTheme="minorBidi" w:hAnsiTheme="minorBidi"/>
        </w:rPr>
        <w:t>, 2021). Phase 2, which will cover the Months 4 to 6, will involve the diversification of the supply chain and the smoothing of the processes within the company so that efficiency is achieved in its operations. This step will be crucial in stabilising JLR in the medium term.</w:t>
      </w:r>
    </w:p>
    <w:p w14:paraId="7ED526BF" w14:textId="77777777" w:rsidR="00D611D8" w:rsidRPr="001F7A76" w:rsidRDefault="00D611D8" w:rsidP="00D611D8">
      <w:pPr>
        <w:spacing w:after="0" w:line="360" w:lineRule="auto"/>
        <w:jc w:val="both"/>
        <w:rPr>
          <w:rFonts w:asciiTheme="minorBidi" w:hAnsiTheme="minorBidi"/>
        </w:rPr>
      </w:pPr>
    </w:p>
    <w:p w14:paraId="39C0C6C4" w14:textId="77777777" w:rsidR="008C1C55" w:rsidRPr="001F7A76" w:rsidRDefault="008C1C55" w:rsidP="00D611D8">
      <w:pPr>
        <w:spacing w:after="0" w:line="360" w:lineRule="auto"/>
        <w:jc w:val="both"/>
        <w:rPr>
          <w:rFonts w:asciiTheme="minorBidi" w:hAnsiTheme="minorBidi"/>
          <w:b/>
          <w:bCs/>
        </w:rPr>
      </w:pPr>
      <w:r w:rsidRPr="001F7A76">
        <w:rPr>
          <w:rFonts w:asciiTheme="minorBidi" w:hAnsiTheme="minorBidi"/>
          <w:b/>
          <w:bCs/>
        </w:rPr>
        <w:t>Sustainability and Long-Term Goals.</w:t>
      </w:r>
    </w:p>
    <w:p w14:paraId="3396326F" w14:textId="77777777" w:rsidR="008C1C55" w:rsidRPr="001F7A76" w:rsidRDefault="008C1C55" w:rsidP="00D611D8">
      <w:pPr>
        <w:spacing w:after="0" w:line="360" w:lineRule="auto"/>
        <w:jc w:val="both"/>
        <w:rPr>
          <w:rFonts w:asciiTheme="minorBidi" w:hAnsiTheme="minorBidi"/>
        </w:rPr>
      </w:pPr>
      <w:r w:rsidRPr="001F7A76">
        <w:rPr>
          <w:rFonts w:asciiTheme="minorBidi" w:hAnsiTheme="minorBidi"/>
        </w:rPr>
        <w:t>Phase 3 will concentrate on the long-term sustainability of JLR transformation. It will be characterised by a continuous enhancement, technological upgrades and training of the employees in the next 9 to 18 months. This is the long-term goal of creating a strong and resilient organisation involved in the management of future disruptions (Chauhan et al., 2026). Regular checkups will give assurance of tracking progress, and the change process will remain driven towards the business goals of JLR, and will not only survive, but flourish in the fast-changing automotive market.</w:t>
      </w:r>
    </w:p>
    <w:p w14:paraId="72C97116" w14:textId="77777777" w:rsidR="00D611D8" w:rsidRPr="001F7A76" w:rsidRDefault="00D611D8" w:rsidP="00D611D8">
      <w:pPr>
        <w:spacing w:after="0" w:line="360" w:lineRule="auto"/>
        <w:jc w:val="both"/>
        <w:rPr>
          <w:rFonts w:asciiTheme="minorBidi" w:hAnsiTheme="minorBidi"/>
        </w:rPr>
      </w:pPr>
    </w:p>
    <w:p w14:paraId="24198F03" w14:textId="77777777" w:rsidR="008C1C55" w:rsidRPr="001F7A76" w:rsidRDefault="008C1C55" w:rsidP="00D611D8">
      <w:pPr>
        <w:spacing w:after="0" w:line="360" w:lineRule="auto"/>
        <w:jc w:val="both"/>
        <w:rPr>
          <w:rFonts w:asciiTheme="minorBidi" w:hAnsiTheme="minorBidi"/>
          <w:b/>
          <w:bCs/>
        </w:rPr>
      </w:pPr>
      <w:r w:rsidRPr="001F7A76">
        <w:rPr>
          <w:rFonts w:asciiTheme="minorBidi" w:hAnsiTheme="minorBidi"/>
          <w:b/>
          <w:bCs/>
        </w:rPr>
        <w:t>Financial and Resource Plan</w:t>
      </w:r>
    </w:p>
    <w:p w14:paraId="039032E5" w14:textId="77777777" w:rsidR="008C1C55" w:rsidRPr="001F7A76" w:rsidRDefault="008C1C55" w:rsidP="00D611D8">
      <w:pPr>
        <w:spacing w:after="0" w:line="360" w:lineRule="auto"/>
        <w:jc w:val="both"/>
        <w:rPr>
          <w:rFonts w:asciiTheme="minorBidi" w:hAnsiTheme="minorBidi"/>
        </w:rPr>
      </w:pPr>
      <w:r w:rsidRPr="001F7A76">
        <w:rPr>
          <w:rFonts w:asciiTheme="minorBidi" w:hAnsiTheme="minorBidi"/>
        </w:rPr>
        <w:t>Some of the major spending points that will be financed by the financial plan include cybersecurity enhancement, supply chain dilution, and employee development. An elaborate budget will be developed to finance these investments with a specific focus on technology infrastructure and risk mitigation, as well as process optimisation (Chauhan et al., 2026). Financial sources will include the reserve of financial resources, external sources, and possibly the industry-specific grants. Sound monitoring of the allocation of resources will be very effective and efficient to enable JLR to regain its strength and expand in the competitive automotive market.</w:t>
      </w:r>
    </w:p>
    <w:p w14:paraId="009CDEFC" w14:textId="77777777" w:rsidR="00D611D8" w:rsidRPr="001F7A76" w:rsidRDefault="00D611D8" w:rsidP="00D611D8">
      <w:pPr>
        <w:spacing w:after="0" w:line="360" w:lineRule="auto"/>
        <w:jc w:val="both"/>
        <w:rPr>
          <w:rFonts w:asciiTheme="minorBidi" w:hAnsiTheme="minorBidi"/>
        </w:rPr>
      </w:pPr>
    </w:p>
    <w:p w14:paraId="0C8A7696"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Evaluation and KPIs</w:t>
      </w:r>
    </w:p>
    <w:p w14:paraId="28A5A88E" w14:textId="66C9E49A" w:rsidR="00BD3F08" w:rsidRPr="001F7A76" w:rsidRDefault="00D611D8" w:rsidP="00D611D8">
      <w:pPr>
        <w:spacing w:after="0" w:line="360" w:lineRule="auto"/>
        <w:rPr>
          <w:rFonts w:asciiTheme="minorBidi" w:eastAsia="MS Mincho" w:hAnsiTheme="minorBidi"/>
        </w:rPr>
      </w:pPr>
      <w:r w:rsidRPr="001F7A76">
        <w:rPr>
          <w:rFonts w:asciiTheme="minorBidi" w:eastAsia="MS Mincho" w:hAnsiTheme="minorBidi"/>
        </w:rPr>
        <w:t>To</w:t>
      </w:r>
      <w:r w:rsidR="00BD3F08" w:rsidRPr="001F7A76">
        <w:rPr>
          <w:rFonts w:asciiTheme="minorBidi" w:eastAsia="MS Mincho" w:hAnsiTheme="minorBidi"/>
        </w:rPr>
        <w:t xml:space="preserve"> determine the effectiveness of the change plan, we are going to monitor the following SMART Key Performance Indicators (KPIs):</w:t>
      </w:r>
    </w:p>
    <w:p w14:paraId="76402839" w14:textId="295E95BD" w:rsidR="00BD3F08" w:rsidRPr="001F7A76" w:rsidRDefault="00BD3F08" w:rsidP="00D611D8">
      <w:pPr>
        <w:pStyle w:val="ListParagraph"/>
        <w:numPr>
          <w:ilvl w:val="0"/>
          <w:numId w:val="3"/>
        </w:numPr>
        <w:spacing w:after="0" w:line="360" w:lineRule="auto"/>
        <w:rPr>
          <w:rFonts w:asciiTheme="minorBidi" w:eastAsia="MS Mincho" w:hAnsiTheme="minorBidi"/>
          <w:sz w:val="22"/>
          <w:szCs w:val="22"/>
        </w:rPr>
      </w:pPr>
      <w:r w:rsidRPr="001F7A76">
        <w:rPr>
          <w:rFonts w:asciiTheme="minorBidi" w:eastAsia="MS Mincho" w:hAnsiTheme="minorBidi"/>
          <w:sz w:val="22"/>
          <w:szCs w:val="22"/>
        </w:rPr>
        <w:t>Recover 95 % of that production volume prior to the attack, in Month 3. This will be measured by comparing data on production.</w:t>
      </w:r>
    </w:p>
    <w:p w14:paraId="16540E57" w14:textId="2762BDAB" w:rsidR="00BD3F08" w:rsidRPr="001F7A76" w:rsidRDefault="00BD3F08" w:rsidP="00D611D8">
      <w:pPr>
        <w:pStyle w:val="ListParagraph"/>
        <w:numPr>
          <w:ilvl w:val="0"/>
          <w:numId w:val="3"/>
        </w:numPr>
        <w:spacing w:after="0" w:line="360" w:lineRule="auto"/>
        <w:rPr>
          <w:rFonts w:asciiTheme="minorBidi" w:eastAsia="MS Mincho" w:hAnsiTheme="minorBidi"/>
          <w:sz w:val="22"/>
          <w:szCs w:val="22"/>
        </w:rPr>
      </w:pPr>
      <w:r w:rsidRPr="001F7A76">
        <w:rPr>
          <w:rFonts w:asciiTheme="minorBidi" w:eastAsia="MS Mincho" w:hAnsiTheme="minorBidi"/>
          <w:sz w:val="22"/>
          <w:szCs w:val="22"/>
        </w:rPr>
        <w:t>Reduce cybersecurity efficiency by 40 points by Month 4, defined by a reduction in vulnerabilities identified as part of monthly cybersecurity audits.</w:t>
      </w:r>
    </w:p>
    <w:p w14:paraId="31B6EE5B" w14:textId="40807D75" w:rsidR="00BD3F08" w:rsidRPr="001F7A76" w:rsidRDefault="00BD3F08" w:rsidP="00D611D8">
      <w:pPr>
        <w:pStyle w:val="ListParagraph"/>
        <w:numPr>
          <w:ilvl w:val="0"/>
          <w:numId w:val="3"/>
        </w:numPr>
        <w:spacing w:after="0" w:line="360" w:lineRule="auto"/>
        <w:rPr>
          <w:rFonts w:asciiTheme="minorBidi" w:eastAsia="MS Mincho" w:hAnsiTheme="minorBidi"/>
          <w:sz w:val="22"/>
          <w:szCs w:val="22"/>
        </w:rPr>
      </w:pPr>
      <w:r w:rsidRPr="001F7A76">
        <w:rPr>
          <w:rFonts w:asciiTheme="minorBidi" w:eastAsia="MS Mincho" w:hAnsiTheme="minorBidi"/>
          <w:sz w:val="22"/>
          <w:szCs w:val="22"/>
        </w:rPr>
        <w:lastRenderedPageBreak/>
        <w:t>Increase customer satisfaction and satisfaction with all delivery services by 30 percent by Month 6, according to customer surveys on satisfaction and happiness with service.</w:t>
      </w:r>
    </w:p>
    <w:p w14:paraId="51E2EF3A" w14:textId="283CAD68" w:rsidR="00BD3F08" w:rsidRPr="001F7A76" w:rsidRDefault="00BD3F08" w:rsidP="00D611D8">
      <w:pPr>
        <w:pStyle w:val="ListParagraph"/>
        <w:numPr>
          <w:ilvl w:val="0"/>
          <w:numId w:val="3"/>
        </w:numPr>
        <w:spacing w:after="0" w:line="360" w:lineRule="auto"/>
        <w:rPr>
          <w:rFonts w:asciiTheme="minorBidi" w:eastAsia="MS Mincho" w:hAnsiTheme="minorBidi"/>
          <w:sz w:val="22"/>
          <w:szCs w:val="22"/>
        </w:rPr>
      </w:pPr>
      <w:r w:rsidRPr="001F7A76">
        <w:rPr>
          <w:rFonts w:asciiTheme="minorBidi" w:eastAsia="MS Mincho" w:hAnsiTheme="minorBidi"/>
          <w:sz w:val="22"/>
          <w:szCs w:val="22"/>
        </w:rPr>
        <w:t>Cut supply chain disruptions by 20% by Month 5, which is accomplished by supplier diversification and enhancement of logistics.</w:t>
      </w:r>
    </w:p>
    <w:p w14:paraId="0A005991" w14:textId="5D4E8D2A" w:rsidR="00BD3F08" w:rsidRPr="001F7A76" w:rsidRDefault="00BD3F08" w:rsidP="00D611D8">
      <w:pPr>
        <w:pStyle w:val="ListParagraph"/>
        <w:numPr>
          <w:ilvl w:val="0"/>
          <w:numId w:val="3"/>
        </w:numPr>
        <w:spacing w:after="0" w:line="360" w:lineRule="auto"/>
        <w:rPr>
          <w:rFonts w:asciiTheme="minorBidi" w:eastAsia="MS Mincho" w:hAnsiTheme="minorBidi"/>
          <w:sz w:val="22"/>
          <w:szCs w:val="22"/>
        </w:rPr>
      </w:pPr>
      <w:r w:rsidRPr="001F7A76">
        <w:rPr>
          <w:rFonts w:asciiTheme="minorBidi" w:eastAsia="MS Mincho" w:hAnsiTheme="minorBidi"/>
          <w:sz w:val="22"/>
          <w:szCs w:val="22"/>
        </w:rPr>
        <w:t>By the end of 2 months post-implementation of the policy, have full adherence to new cybersecurity procedures, which will be assessed by the level of employee training completion and system security audits.</w:t>
      </w:r>
    </w:p>
    <w:p w14:paraId="4860F327" w14:textId="77777777" w:rsidR="00D611D8" w:rsidRPr="001F7A76" w:rsidRDefault="00D611D8" w:rsidP="00D611D8">
      <w:pPr>
        <w:pStyle w:val="ListParagraph"/>
        <w:numPr>
          <w:ilvl w:val="0"/>
          <w:numId w:val="3"/>
        </w:numPr>
        <w:spacing w:after="0" w:line="360" w:lineRule="auto"/>
        <w:rPr>
          <w:rFonts w:asciiTheme="minorBidi" w:eastAsia="MS Mincho" w:hAnsiTheme="minorBidi"/>
          <w:sz w:val="22"/>
          <w:szCs w:val="22"/>
        </w:rPr>
      </w:pPr>
    </w:p>
    <w:p w14:paraId="49C9EE4B" w14:textId="5E050E0B" w:rsidR="004307DE" w:rsidRPr="001F7A76" w:rsidRDefault="00000000" w:rsidP="00D611D8">
      <w:pPr>
        <w:pStyle w:val="ListParagraph"/>
        <w:numPr>
          <w:ilvl w:val="0"/>
          <w:numId w:val="3"/>
        </w:numPr>
        <w:spacing w:after="0" w:line="360" w:lineRule="auto"/>
        <w:jc w:val="center"/>
        <w:rPr>
          <w:rFonts w:asciiTheme="minorBidi" w:hAnsiTheme="minorBidi"/>
          <w:b/>
          <w:bCs/>
        </w:rPr>
      </w:pPr>
      <w:r w:rsidRPr="001F7A76">
        <w:rPr>
          <w:rFonts w:asciiTheme="minorBidi" w:hAnsiTheme="minorBidi"/>
          <w:b/>
          <w:bCs/>
        </w:rPr>
        <w:t>Discussion and Critical Reflection.</w:t>
      </w:r>
    </w:p>
    <w:p w14:paraId="6E30B7B8" w14:textId="77777777" w:rsidR="00D611D8" w:rsidRPr="001F7A76" w:rsidRDefault="00D611D8" w:rsidP="00D611D8">
      <w:pPr>
        <w:pStyle w:val="ListParagraph"/>
        <w:spacing w:after="0" w:line="360" w:lineRule="auto"/>
        <w:rPr>
          <w:rFonts w:asciiTheme="minorBidi" w:hAnsiTheme="minorBidi"/>
          <w:b/>
          <w:bCs/>
        </w:rPr>
      </w:pPr>
    </w:p>
    <w:p w14:paraId="62C7951A" w14:textId="5458FB0F" w:rsidR="004307DE" w:rsidRPr="001F7A76" w:rsidRDefault="007007B6" w:rsidP="00D611D8">
      <w:pPr>
        <w:spacing w:after="0" w:line="360" w:lineRule="auto"/>
        <w:jc w:val="both"/>
        <w:rPr>
          <w:rFonts w:asciiTheme="minorBidi" w:hAnsiTheme="minorBidi"/>
          <w:b/>
          <w:bCs/>
        </w:rPr>
      </w:pPr>
      <w:r w:rsidRPr="001F7A76">
        <w:rPr>
          <w:rFonts w:asciiTheme="minorBidi" w:hAnsiTheme="minorBidi"/>
          <w:b/>
          <w:bCs/>
        </w:rPr>
        <w:t>Strong Sides of the Proposed Change Plan.</w:t>
      </w:r>
    </w:p>
    <w:p w14:paraId="1DAFE8D4" w14:textId="77777777" w:rsidR="004307DE" w:rsidRPr="001F7A76" w:rsidRDefault="00000000" w:rsidP="00D611D8">
      <w:pPr>
        <w:spacing w:after="0" w:line="360" w:lineRule="auto"/>
        <w:jc w:val="both"/>
        <w:rPr>
          <w:rFonts w:asciiTheme="minorBidi" w:hAnsiTheme="minorBidi"/>
        </w:rPr>
      </w:pPr>
      <w:r w:rsidRPr="001F7A76">
        <w:rPr>
          <w:rFonts w:asciiTheme="minorBidi" w:hAnsiTheme="minorBidi"/>
        </w:rPr>
        <w:t>The proposed change plan is an internal and external analysis (combined). It responds to the necessity of JLR to become resilient following the cyberattack and tariff shocks. The plan would involve stakeholder engagement as well as ensure all-party alignment by using a powerful communication strategy (Chauhan et al., 2026). Approaches to the implementation of the proposed changes that can be used to establish order and ensure the changes are effective include the application of well-developed change management models, such as Kotter and McKinsey 7S.</w:t>
      </w:r>
    </w:p>
    <w:p w14:paraId="25F8E4ED" w14:textId="77777777" w:rsidR="007007B6" w:rsidRPr="001F7A76" w:rsidRDefault="007007B6" w:rsidP="00D611D8">
      <w:pPr>
        <w:spacing w:after="0" w:line="360" w:lineRule="auto"/>
        <w:jc w:val="both"/>
        <w:rPr>
          <w:rFonts w:asciiTheme="minorBidi" w:hAnsiTheme="minorBidi"/>
        </w:rPr>
      </w:pPr>
    </w:p>
    <w:p w14:paraId="0083D374" w14:textId="51A6AB87" w:rsidR="004307DE" w:rsidRPr="001F7A76" w:rsidRDefault="007007B6" w:rsidP="00D611D8">
      <w:pPr>
        <w:spacing w:after="0" w:line="360" w:lineRule="auto"/>
        <w:jc w:val="both"/>
        <w:rPr>
          <w:rFonts w:asciiTheme="minorBidi" w:hAnsiTheme="minorBidi"/>
          <w:b/>
          <w:bCs/>
        </w:rPr>
      </w:pPr>
      <w:r w:rsidRPr="001F7A76">
        <w:rPr>
          <w:rFonts w:asciiTheme="minorBidi" w:hAnsiTheme="minorBidi"/>
          <w:b/>
          <w:bCs/>
        </w:rPr>
        <w:t>Constraints of the Change Plan.</w:t>
      </w:r>
    </w:p>
    <w:p w14:paraId="5C53B2B9" w14:textId="77777777" w:rsidR="004307DE" w:rsidRPr="001F7A76" w:rsidRDefault="00000000" w:rsidP="007007B6">
      <w:pPr>
        <w:spacing w:after="0" w:line="360" w:lineRule="auto"/>
        <w:jc w:val="both"/>
        <w:rPr>
          <w:rFonts w:asciiTheme="minorBidi" w:hAnsiTheme="minorBidi"/>
        </w:rPr>
      </w:pPr>
      <w:r w:rsidRPr="001F7A76">
        <w:rPr>
          <w:rFonts w:asciiTheme="minorBidi" w:hAnsiTheme="minorBidi"/>
        </w:rPr>
        <w:t>The constraints of the plan are those that are outside its control, like market fluctuation and unforeseeable changes in the regulations that may derail it. Also, the budget needed to make the Change can overwork the JLR budget, particularly in the case of delays (</w:t>
      </w:r>
      <w:proofErr w:type="spellStart"/>
      <w:r w:rsidRPr="001F7A76">
        <w:rPr>
          <w:rFonts w:asciiTheme="minorBidi" w:hAnsiTheme="minorBidi"/>
        </w:rPr>
        <w:t>Sacavém</w:t>
      </w:r>
      <w:proofErr w:type="spellEnd"/>
      <w:r w:rsidRPr="001F7A76">
        <w:rPr>
          <w:rFonts w:asciiTheme="minorBidi" w:hAnsiTheme="minorBidi"/>
        </w:rPr>
        <w:t xml:space="preserve"> et al., 2025). The smoothness in the transition can be another barrier, particularly when the employees are not ready to embrace the Change, as large organisations normally have difficulties in achieving smooth transitions. These barriers will be overcome by having strong leadership and frequent communication.</w:t>
      </w:r>
    </w:p>
    <w:p w14:paraId="5FB0BC46" w14:textId="77777777" w:rsidR="007007B6" w:rsidRPr="001F7A76" w:rsidRDefault="007007B6" w:rsidP="007007B6">
      <w:pPr>
        <w:spacing w:after="0" w:line="360" w:lineRule="auto"/>
        <w:jc w:val="both"/>
        <w:rPr>
          <w:rFonts w:asciiTheme="minorBidi" w:hAnsiTheme="minorBidi"/>
        </w:rPr>
      </w:pPr>
    </w:p>
    <w:p w14:paraId="11FC5C25"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Ethical Considerations</w:t>
      </w:r>
    </w:p>
    <w:p w14:paraId="1967BCD4" w14:textId="77777777" w:rsidR="004307DE" w:rsidRPr="001F7A76" w:rsidRDefault="00000000" w:rsidP="007007B6">
      <w:pPr>
        <w:spacing w:after="0" w:line="360" w:lineRule="auto"/>
        <w:jc w:val="both"/>
        <w:rPr>
          <w:rFonts w:asciiTheme="minorBidi" w:hAnsiTheme="minorBidi"/>
        </w:rPr>
      </w:pPr>
      <w:r w:rsidRPr="001F7A76">
        <w:rPr>
          <w:rFonts w:asciiTheme="minorBidi" w:hAnsiTheme="minorBidi"/>
        </w:rPr>
        <w:t>The change plan should be based on transparency and fairness, ethically. Ensuring that the employees and stakeholders are handled with respect and aided throughout the transition is of great concern. Data privacy and responsible usage of technology should be part of the close consideration in the post-cyberattack era (</w:t>
      </w:r>
      <w:proofErr w:type="spellStart"/>
      <w:r w:rsidRPr="001F7A76">
        <w:rPr>
          <w:rFonts w:asciiTheme="minorBidi" w:hAnsiTheme="minorBidi"/>
        </w:rPr>
        <w:t>Mizova</w:t>
      </w:r>
      <w:proofErr w:type="spellEnd"/>
      <w:r w:rsidRPr="001F7A76">
        <w:rPr>
          <w:rFonts w:asciiTheme="minorBidi" w:hAnsiTheme="minorBidi"/>
        </w:rPr>
        <w:t xml:space="preserve"> et al., 2026). The ethical principles should be taken into account by JLR in order to preserve the trust of the employees and the customers </w:t>
      </w:r>
      <w:r w:rsidRPr="001F7A76">
        <w:rPr>
          <w:rFonts w:asciiTheme="minorBidi" w:hAnsiTheme="minorBidi"/>
        </w:rPr>
        <w:lastRenderedPageBreak/>
        <w:t>during the introduction of new systems or technologies. This will ensure that information is not abused in the process of recovery.</w:t>
      </w:r>
    </w:p>
    <w:p w14:paraId="3BC3CC22"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Sustainability and Long-term Viability.</w:t>
      </w:r>
    </w:p>
    <w:p w14:paraId="617B1A41" w14:textId="77777777" w:rsidR="004307DE" w:rsidRPr="001F7A76" w:rsidRDefault="00000000" w:rsidP="007007B6">
      <w:pPr>
        <w:spacing w:after="0" w:line="360" w:lineRule="auto"/>
        <w:jc w:val="both"/>
        <w:rPr>
          <w:rFonts w:asciiTheme="minorBidi" w:hAnsiTheme="minorBidi"/>
        </w:rPr>
      </w:pPr>
      <w:r w:rsidRPr="001F7A76">
        <w:rPr>
          <w:rFonts w:asciiTheme="minorBidi" w:hAnsiTheme="minorBidi"/>
        </w:rPr>
        <w:t>To make the plan sustainable, JLR has to work on innovation and perpetuating betterment in the face of technological transformations. The flexibility will also be essential in order to make sure that JLR is able to adjust to the future changes in the market conditions and innovations, as well as to unexpected situations (Poláková – Kersten et al., 2023). The sustainability of the strategy, over the long term, will be determined by the capacity to develop and steadfastly reassess the plan to suit the strategic objectives of JLR. There will be a need to have routine assessments and reviews to sustain the intended growth and strength.</w:t>
      </w:r>
    </w:p>
    <w:p w14:paraId="49C0A31A" w14:textId="77777777" w:rsidR="007007B6" w:rsidRPr="001F7A76" w:rsidRDefault="007007B6" w:rsidP="007007B6">
      <w:pPr>
        <w:spacing w:after="0" w:line="360" w:lineRule="auto"/>
        <w:jc w:val="both"/>
        <w:rPr>
          <w:rFonts w:asciiTheme="minorBidi" w:hAnsiTheme="minorBidi"/>
        </w:rPr>
      </w:pPr>
    </w:p>
    <w:p w14:paraId="4AAB0AA7" w14:textId="77777777" w:rsidR="004307DE" w:rsidRPr="001F7A76" w:rsidRDefault="00000000" w:rsidP="00D611D8">
      <w:pPr>
        <w:spacing w:after="0" w:line="360" w:lineRule="auto"/>
        <w:jc w:val="both"/>
        <w:rPr>
          <w:rFonts w:asciiTheme="minorBidi" w:hAnsiTheme="minorBidi"/>
          <w:b/>
          <w:bCs/>
        </w:rPr>
      </w:pPr>
      <w:r w:rsidRPr="001F7A76">
        <w:rPr>
          <w:rFonts w:asciiTheme="minorBidi" w:hAnsiTheme="minorBidi"/>
          <w:b/>
          <w:bCs/>
        </w:rPr>
        <w:t>Challenges and Future Projections.</w:t>
      </w:r>
    </w:p>
    <w:p w14:paraId="1EC476BF" w14:textId="77777777" w:rsidR="004307DE" w:rsidRPr="001F7A76" w:rsidRDefault="00000000" w:rsidP="007007B6">
      <w:pPr>
        <w:spacing w:after="0" w:line="360" w:lineRule="auto"/>
        <w:jc w:val="both"/>
        <w:rPr>
          <w:rFonts w:asciiTheme="minorBidi" w:hAnsiTheme="minorBidi"/>
        </w:rPr>
      </w:pPr>
      <w:r w:rsidRPr="001F7A76">
        <w:rPr>
          <w:rFonts w:asciiTheme="minorBidi" w:hAnsiTheme="minorBidi"/>
        </w:rPr>
        <w:t>One of the most significant issues is the ability to reconcile between the short-term recovery and long-term strategic objectives. Whereas the recovery measures need to be done immediately, JLR should take care that they do not supersede the bigger picture of the future expansion (</w:t>
      </w:r>
      <w:proofErr w:type="spellStart"/>
      <w:r w:rsidRPr="001F7A76">
        <w:rPr>
          <w:rFonts w:asciiTheme="minorBidi" w:hAnsiTheme="minorBidi"/>
        </w:rPr>
        <w:t>Gkrimpizi</w:t>
      </w:r>
      <w:proofErr w:type="spellEnd"/>
      <w:r w:rsidRPr="001F7A76">
        <w:rPr>
          <w:rFonts w:asciiTheme="minorBidi" w:hAnsiTheme="minorBidi"/>
        </w:rPr>
        <w:t xml:space="preserve"> et al., 2023). Besides, maintaining Change will involve constant dedication to leadership, particularly in controlling the emerging risks, adjusting to the fluctuating market forces, and initiating innovation. These issues will be addressed to help the firm keep up to date and withstand the long term.</w:t>
      </w:r>
    </w:p>
    <w:p w14:paraId="28DC2EAD" w14:textId="77777777" w:rsidR="007007B6" w:rsidRPr="001F7A76" w:rsidRDefault="007007B6" w:rsidP="007007B6">
      <w:pPr>
        <w:spacing w:after="0" w:line="360" w:lineRule="auto"/>
        <w:jc w:val="both"/>
        <w:rPr>
          <w:rFonts w:asciiTheme="minorBidi" w:hAnsiTheme="minorBidi"/>
        </w:rPr>
      </w:pPr>
    </w:p>
    <w:p w14:paraId="720C3B33" w14:textId="77777777" w:rsidR="004307DE" w:rsidRPr="001F7A76" w:rsidRDefault="00000000" w:rsidP="00D611D8">
      <w:pPr>
        <w:spacing w:after="0" w:line="360" w:lineRule="auto"/>
        <w:ind w:firstLine="720"/>
        <w:jc w:val="center"/>
        <w:rPr>
          <w:rFonts w:asciiTheme="minorBidi" w:hAnsiTheme="minorBidi"/>
          <w:b/>
          <w:bCs/>
        </w:rPr>
      </w:pPr>
      <w:r w:rsidRPr="001F7A76">
        <w:rPr>
          <w:rFonts w:asciiTheme="minorBidi" w:hAnsiTheme="minorBidi"/>
          <w:b/>
          <w:bCs/>
        </w:rPr>
        <w:t>7. Conclusion</w:t>
      </w:r>
    </w:p>
    <w:p w14:paraId="5A480E1C" w14:textId="77777777" w:rsidR="004307DE" w:rsidRPr="001F7A76" w:rsidRDefault="00000000" w:rsidP="007007B6">
      <w:pPr>
        <w:spacing w:after="0" w:line="360" w:lineRule="auto"/>
        <w:jc w:val="both"/>
        <w:rPr>
          <w:rFonts w:asciiTheme="minorBidi" w:hAnsiTheme="minorBidi"/>
        </w:rPr>
      </w:pPr>
      <w:r w:rsidRPr="001F7A76">
        <w:rPr>
          <w:rFonts w:asciiTheme="minorBidi" w:hAnsiTheme="minorBidi"/>
        </w:rPr>
        <w:t>In conclusion, the suggested strategic change plan of Jaguar Land Rover (JLR) provides a step-by-step methodology of surmounting the obstacles created by the cyberattack and tariff disturbances. The plan will enhance the resilience and adaptability of JLR by dealing with internal and external conditions with the help of an extensive change management framework. It embraces major aspects of stakeholder involvement, effective communication and financial planning. Nonetheless, continuous monitoring and plasticity will be vital to the future success of the plan. The management can strike the right balance between short and long-term recovery and achieve a more promising future to remain successful in the ever-changing car industry.</w:t>
      </w:r>
    </w:p>
    <w:p w14:paraId="1952284F" w14:textId="77777777" w:rsidR="004307DE" w:rsidRPr="001F7A76" w:rsidRDefault="004307DE" w:rsidP="00D611D8">
      <w:pPr>
        <w:spacing w:after="0" w:line="360" w:lineRule="auto"/>
        <w:ind w:firstLine="720"/>
        <w:jc w:val="both"/>
        <w:rPr>
          <w:rFonts w:asciiTheme="minorBidi" w:hAnsiTheme="minorBidi"/>
        </w:rPr>
      </w:pPr>
    </w:p>
    <w:p w14:paraId="37176718" w14:textId="77777777" w:rsidR="008E2C2D" w:rsidRPr="001F7A76" w:rsidRDefault="008E2C2D" w:rsidP="00D611D8">
      <w:pPr>
        <w:spacing w:line="360" w:lineRule="auto"/>
        <w:rPr>
          <w:rFonts w:asciiTheme="minorBidi" w:hAnsiTheme="minorBidi"/>
          <w:b/>
          <w:bCs/>
        </w:rPr>
      </w:pPr>
      <w:r w:rsidRPr="001F7A76">
        <w:rPr>
          <w:rFonts w:asciiTheme="minorBidi" w:hAnsiTheme="minorBidi"/>
          <w:b/>
          <w:bCs/>
        </w:rPr>
        <w:br w:type="page"/>
      </w:r>
    </w:p>
    <w:p w14:paraId="7FE113E5" w14:textId="7A15F2FA" w:rsidR="004307DE" w:rsidRPr="001F7A76" w:rsidRDefault="00000000" w:rsidP="00D611D8">
      <w:pPr>
        <w:spacing w:after="0" w:line="360" w:lineRule="auto"/>
        <w:jc w:val="center"/>
        <w:rPr>
          <w:rFonts w:asciiTheme="minorBidi" w:hAnsiTheme="minorBidi"/>
          <w:b/>
          <w:bCs/>
        </w:rPr>
      </w:pPr>
      <w:r w:rsidRPr="001F7A76">
        <w:rPr>
          <w:rFonts w:asciiTheme="minorBidi" w:hAnsiTheme="minorBidi"/>
          <w:b/>
          <w:bCs/>
        </w:rPr>
        <w:lastRenderedPageBreak/>
        <w:t>References</w:t>
      </w:r>
    </w:p>
    <w:p w14:paraId="78C5370B" w14:textId="77777777" w:rsidR="004307DE" w:rsidRPr="001F7A76" w:rsidRDefault="00000000" w:rsidP="00D611D8">
      <w:pPr>
        <w:spacing w:after="0" w:line="360" w:lineRule="auto"/>
        <w:ind w:left="720" w:hanging="720"/>
        <w:rPr>
          <w:rFonts w:asciiTheme="minorBidi" w:hAnsiTheme="minorBidi"/>
        </w:rPr>
      </w:pPr>
      <w:proofErr w:type="spellStart"/>
      <w:r w:rsidRPr="001F7A76">
        <w:rPr>
          <w:rFonts w:asciiTheme="minorBidi" w:hAnsiTheme="minorBidi"/>
        </w:rPr>
        <w:t>Abawari</w:t>
      </w:r>
      <w:proofErr w:type="spellEnd"/>
      <w:r w:rsidRPr="001F7A76">
        <w:rPr>
          <w:rFonts w:asciiTheme="minorBidi" w:hAnsiTheme="minorBidi"/>
        </w:rPr>
        <w:t xml:space="preserve">, A.M., Debela, K.L. and Abegaz, M.B. (2024). The effects of organisational culture on change management in Oromia public sectors: the mediating role of leadership styles. </w:t>
      </w:r>
      <w:r w:rsidRPr="001F7A76">
        <w:rPr>
          <w:rFonts w:asciiTheme="minorBidi" w:hAnsiTheme="minorBidi"/>
          <w:i/>
          <w:iCs/>
        </w:rPr>
        <w:t>Cogent business &amp; management</w:t>
      </w:r>
      <w:r w:rsidRPr="001F7A76">
        <w:rPr>
          <w:rFonts w:asciiTheme="minorBidi" w:hAnsiTheme="minorBidi"/>
        </w:rPr>
        <w:t xml:space="preserve">, [online] 11(1). </w:t>
      </w:r>
      <w:proofErr w:type="spellStart"/>
      <w:r w:rsidRPr="001F7A76">
        <w:rPr>
          <w:rFonts w:asciiTheme="minorBidi" w:hAnsiTheme="minorBidi"/>
        </w:rPr>
        <w:t>doi</w:t>
      </w:r>
      <w:proofErr w:type="spellEnd"/>
      <w:r w:rsidRPr="001F7A76">
        <w:rPr>
          <w:rFonts w:asciiTheme="minorBidi" w:hAnsiTheme="minorBidi"/>
        </w:rPr>
        <w:t xml:space="preserve">: </w:t>
      </w:r>
      <w:hyperlink r:id="rId10" w:history="1">
        <w:r w:rsidR="004307DE" w:rsidRPr="001F7A76">
          <w:rPr>
            <w:rStyle w:val="Hyperlink"/>
            <w:rFonts w:asciiTheme="minorBidi" w:hAnsiTheme="minorBidi"/>
          </w:rPr>
          <w:t>https://doi.org/10.1080/23311975.2024.2375623</w:t>
        </w:r>
      </w:hyperlink>
      <w:r w:rsidRPr="001F7A76">
        <w:rPr>
          <w:rFonts w:asciiTheme="minorBidi" w:hAnsiTheme="minorBidi"/>
        </w:rPr>
        <w:t>.</w:t>
      </w:r>
    </w:p>
    <w:p w14:paraId="40DD8EC4" w14:textId="77777777" w:rsidR="004307DE" w:rsidRPr="001F7A76" w:rsidRDefault="00000000" w:rsidP="00D611D8">
      <w:pPr>
        <w:spacing w:after="0" w:line="360" w:lineRule="auto"/>
        <w:ind w:left="720" w:hanging="720"/>
        <w:rPr>
          <w:rFonts w:asciiTheme="minorBidi" w:hAnsiTheme="minorBidi"/>
        </w:rPr>
      </w:pPr>
      <w:r w:rsidRPr="001F7A76">
        <w:rPr>
          <w:rFonts w:asciiTheme="minorBidi" w:hAnsiTheme="minorBidi"/>
        </w:rPr>
        <w:t xml:space="preserve">Antonios Kargas, Drosos, D., Faidon </w:t>
      </w:r>
      <w:proofErr w:type="spellStart"/>
      <w:r w:rsidRPr="001F7A76">
        <w:rPr>
          <w:rFonts w:asciiTheme="minorBidi" w:hAnsiTheme="minorBidi"/>
        </w:rPr>
        <w:t>Komisopoulos</w:t>
      </w:r>
      <w:proofErr w:type="spellEnd"/>
      <w:r w:rsidRPr="001F7A76">
        <w:rPr>
          <w:rFonts w:asciiTheme="minorBidi" w:hAnsiTheme="minorBidi"/>
        </w:rPr>
        <w:t xml:space="preserve">, Dimitrios Katsianis, </w:t>
      </w:r>
      <w:proofErr w:type="spellStart"/>
      <w:r w:rsidRPr="001F7A76">
        <w:rPr>
          <w:rFonts w:asciiTheme="minorBidi" w:hAnsiTheme="minorBidi"/>
        </w:rPr>
        <w:t>Chaniotaki</w:t>
      </w:r>
      <w:proofErr w:type="spellEnd"/>
      <w:r w:rsidRPr="001F7A76">
        <w:rPr>
          <w:rFonts w:asciiTheme="minorBidi" w:hAnsiTheme="minorBidi"/>
        </w:rPr>
        <w:t xml:space="preserve">, E., Theodoros Rokkas, Athanasios Andriopoulos, Vasileios </w:t>
      </w:r>
      <w:proofErr w:type="spellStart"/>
      <w:r w:rsidRPr="001F7A76">
        <w:rPr>
          <w:rFonts w:asciiTheme="minorBidi" w:hAnsiTheme="minorBidi"/>
        </w:rPr>
        <w:t>Argyroulis</w:t>
      </w:r>
      <w:proofErr w:type="spellEnd"/>
      <w:r w:rsidRPr="001F7A76">
        <w:rPr>
          <w:rFonts w:asciiTheme="minorBidi" w:hAnsiTheme="minorBidi"/>
        </w:rPr>
        <w:t xml:space="preserve">, Spyridon Filios, Georgios Loumos, Dimitrios Kokkinis and Konstantinos Alvertos (2026). Reviewing and Mapping the Digital Transformation Process of SMEs. </w:t>
      </w:r>
      <w:r w:rsidRPr="001F7A76">
        <w:rPr>
          <w:rFonts w:asciiTheme="minorBidi" w:hAnsiTheme="minorBidi"/>
          <w:i/>
          <w:iCs/>
        </w:rPr>
        <w:t>Applied Sciences</w:t>
      </w:r>
      <w:r w:rsidRPr="001F7A76">
        <w:rPr>
          <w:rFonts w:asciiTheme="minorBidi" w:hAnsiTheme="minorBidi"/>
        </w:rPr>
        <w:t xml:space="preserve">, [online] 16(2), pp.833–833. </w:t>
      </w:r>
      <w:proofErr w:type="spellStart"/>
      <w:r w:rsidRPr="001F7A76">
        <w:rPr>
          <w:rFonts w:asciiTheme="minorBidi" w:hAnsiTheme="minorBidi"/>
        </w:rPr>
        <w:t>doi</w:t>
      </w:r>
      <w:proofErr w:type="spellEnd"/>
      <w:r w:rsidRPr="001F7A76">
        <w:rPr>
          <w:rFonts w:asciiTheme="minorBidi" w:hAnsiTheme="minorBidi"/>
        </w:rPr>
        <w:t xml:space="preserve">: </w:t>
      </w:r>
      <w:hyperlink r:id="rId11" w:history="1">
        <w:r w:rsidR="004307DE" w:rsidRPr="001F7A76">
          <w:rPr>
            <w:rStyle w:val="Hyperlink"/>
            <w:rFonts w:asciiTheme="minorBidi" w:hAnsiTheme="minorBidi"/>
          </w:rPr>
          <w:t>https://doi.org/10.3390/app16020833</w:t>
        </w:r>
      </w:hyperlink>
      <w:r w:rsidRPr="001F7A76">
        <w:rPr>
          <w:rFonts w:asciiTheme="minorBidi" w:hAnsiTheme="minorBidi"/>
        </w:rPr>
        <w:t>.</w:t>
      </w:r>
    </w:p>
    <w:p w14:paraId="0EBAD317" w14:textId="77777777" w:rsidR="004307DE" w:rsidRPr="001F7A76" w:rsidRDefault="00000000" w:rsidP="00D611D8">
      <w:pPr>
        <w:spacing w:after="0" w:line="360" w:lineRule="auto"/>
        <w:ind w:left="720" w:hanging="720"/>
        <w:rPr>
          <w:rFonts w:asciiTheme="minorBidi" w:hAnsiTheme="minorBidi"/>
        </w:rPr>
      </w:pPr>
      <w:r w:rsidRPr="001F7A76">
        <w:rPr>
          <w:rFonts w:asciiTheme="minorBidi" w:hAnsiTheme="minorBidi"/>
        </w:rPr>
        <w:t xml:space="preserve">Chauhan, N., Kretschmer, M., Aboytes, J.G.R. and von </w:t>
      </w:r>
      <w:proofErr w:type="spellStart"/>
      <w:r w:rsidRPr="001F7A76">
        <w:rPr>
          <w:rFonts w:asciiTheme="minorBidi" w:hAnsiTheme="minorBidi"/>
        </w:rPr>
        <w:t>Wehrden</w:t>
      </w:r>
      <w:proofErr w:type="spellEnd"/>
      <w:r w:rsidRPr="001F7A76">
        <w:rPr>
          <w:rFonts w:asciiTheme="minorBidi" w:hAnsiTheme="minorBidi"/>
        </w:rPr>
        <w:t xml:space="preserve">, H. (2026). Significant determinants of sustainable agriculture practices adoption: A systematic review. </w:t>
      </w:r>
      <w:r w:rsidRPr="001F7A76">
        <w:rPr>
          <w:rFonts w:asciiTheme="minorBidi" w:hAnsiTheme="minorBidi"/>
          <w:i/>
          <w:iCs/>
        </w:rPr>
        <w:t>Land Use Policy</w:t>
      </w:r>
      <w:r w:rsidRPr="001F7A76">
        <w:rPr>
          <w:rFonts w:asciiTheme="minorBidi" w:hAnsiTheme="minorBidi"/>
        </w:rPr>
        <w:t xml:space="preserve">, 164, p.107941. </w:t>
      </w:r>
      <w:proofErr w:type="spellStart"/>
      <w:r w:rsidRPr="001F7A76">
        <w:rPr>
          <w:rFonts w:asciiTheme="minorBidi" w:hAnsiTheme="minorBidi"/>
        </w:rPr>
        <w:t>doi</w:t>
      </w:r>
      <w:proofErr w:type="spellEnd"/>
      <w:r w:rsidRPr="001F7A76">
        <w:rPr>
          <w:rFonts w:asciiTheme="minorBidi" w:hAnsiTheme="minorBidi"/>
        </w:rPr>
        <w:t xml:space="preserve">: </w:t>
      </w:r>
      <w:hyperlink r:id="rId12" w:history="1">
        <w:r w:rsidR="004307DE" w:rsidRPr="001F7A76">
          <w:rPr>
            <w:rStyle w:val="Hyperlink"/>
            <w:rFonts w:asciiTheme="minorBidi" w:hAnsiTheme="minorBidi"/>
          </w:rPr>
          <w:t>https://doi.org/10.1016/j.landusepol.2026.107941</w:t>
        </w:r>
      </w:hyperlink>
      <w:r w:rsidRPr="001F7A76">
        <w:rPr>
          <w:rFonts w:asciiTheme="minorBidi" w:hAnsiTheme="minorBidi"/>
        </w:rPr>
        <w:t>.</w:t>
      </w:r>
    </w:p>
    <w:p w14:paraId="3040E3B0" w14:textId="77777777" w:rsidR="004307DE" w:rsidRPr="001F7A76" w:rsidRDefault="00000000" w:rsidP="00D611D8">
      <w:pPr>
        <w:spacing w:after="0" w:line="360" w:lineRule="auto"/>
        <w:ind w:left="720" w:hanging="720"/>
        <w:rPr>
          <w:rFonts w:asciiTheme="minorBidi" w:hAnsiTheme="minorBidi"/>
        </w:rPr>
      </w:pPr>
      <w:proofErr w:type="spellStart"/>
      <w:r w:rsidRPr="001F7A76">
        <w:rPr>
          <w:rFonts w:asciiTheme="minorBidi" w:hAnsiTheme="minorBidi"/>
        </w:rPr>
        <w:t>Gkrimpizi</w:t>
      </w:r>
      <w:proofErr w:type="spellEnd"/>
      <w:r w:rsidRPr="001F7A76">
        <w:rPr>
          <w:rFonts w:asciiTheme="minorBidi" w:hAnsiTheme="minorBidi"/>
        </w:rPr>
        <w:t xml:space="preserve">, T., </w:t>
      </w:r>
      <w:proofErr w:type="spellStart"/>
      <w:r w:rsidRPr="001F7A76">
        <w:rPr>
          <w:rFonts w:asciiTheme="minorBidi" w:hAnsiTheme="minorBidi"/>
        </w:rPr>
        <w:t>Peristeras</w:t>
      </w:r>
      <w:proofErr w:type="spellEnd"/>
      <w:r w:rsidRPr="001F7A76">
        <w:rPr>
          <w:rFonts w:asciiTheme="minorBidi" w:hAnsiTheme="minorBidi"/>
        </w:rPr>
        <w:t xml:space="preserve">, V. and </w:t>
      </w:r>
      <w:proofErr w:type="spellStart"/>
      <w:r w:rsidRPr="001F7A76">
        <w:rPr>
          <w:rFonts w:asciiTheme="minorBidi" w:hAnsiTheme="minorBidi"/>
        </w:rPr>
        <w:t>Magnisalis</w:t>
      </w:r>
      <w:proofErr w:type="spellEnd"/>
      <w:r w:rsidRPr="001F7A76">
        <w:rPr>
          <w:rFonts w:asciiTheme="minorBidi" w:hAnsiTheme="minorBidi"/>
        </w:rPr>
        <w:t xml:space="preserve">, I. (2023). Classification of Barriers to Digital Transformation in Higher Education Institutions: Systematic Literature Review. </w:t>
      </w:r>
      <w:r w:rsidRPr="001F7A76">
        <w:rPr>
          <w:rFonts w:asciiTheme="minorBidi" w:hAnsiTheme="minorBidi"/>
          <w:i/>
          <w:iCs/>
        </w:rPr>
        <w:t>Education Sciences</w:t>
      </w:r>
      <w:r w:rsidRPr="001F7A76">
        <w:rPr>
          <w:rFonts w:asciiTheme="minorBidi" w:hAnsiTheme="minorBidi"/>
        </w:rPr>
        <w:t xml:space="preserve">, [online] 13(7), p.746. </w:t>
      </w:r>
      <w:proofErr w:type="spellStart"/>
      <w:r w:rsidRPr="001F7A76">
        <w:rPr>
          <w:rFonts w:asciiTheme="minorBidi" w:hAnsiTheme="minorBidi"/>
        </w:rPr>
        <w:t>doi</w:t>
      </w:r>
      <w:proofErr w:type="spellEnd"/>
      <w:r w:rsidRPr="001F7A76">
        <w:rPr>
          <w:rFonts w:asciiTheme="minorBidi" w:hAnsiTheme="minorBidi"/>
        </w:rPr>
        <w:t xml:space="preserve">: </w:t>
      </w:r>
      <w:hyperlink r:id="rId13" w:history="1">
        <w:r w:rsidR="004307DE" w:rsidRPr="001F7A76">
          <w:rPr>
            <w:rStyle w:val="Hyperlink"/>
            <w:rFonts w:asciiTheme="minorBidi" w:hAnsiTheme="minorBidi"/>
          </w:rPr>
          <w:t>https://doi.org/10.3390/educsci13070746</w:t>
        </w:r>
      </w:hyperlink>
      <w:r w:rsidRPr="001F7A76">
        <w:rPr>
          <w:rFonts w:asciiTheme="minorBidi" w:hAnsiTheme="minorBidi"/>
        </w:rPr>
        <w:t>.</w:t>
      </w:r>
    </w:p>
    <w:p w14:paraId="446B919B" w14:textId="77777777" w:rsidR="004307DE" w:rsidRPr="001F7A76" w:rsidRDefault="00000000" w:rsidP="00D611D8">
      <w:pPr>
        <w:spacing w:after="0" w:line="360" w:lineRule="auto"/>
        <w:ind w:left="720" w:hanging="720"/>
        <w:rPr>
          <w:rFonts w:asciiTheme="minorBidi" w:hAnsiTheme="minorBidi"/>
        </w:rPr>
      </w:pPr>
      <w:proofErr w:type="spellStart"/>
      <w:r w:rsidRPr="001F7A76">
        <w:rPr>
          <w:rFonts w:asciiTheme="minorBidi" w:hAnsiTheme="minorBidi"/>
        </w:rPr>
        <w:t>Helhel</w:t>
      </w:r>
      <w:proofErr w:type="spellEnd"/>
      <w:r w:rsidRPr="001F7A76">
        <w:rPr>
          <w:rFonts w:asciiTheme="minorBidi" w:hAnsiTheme="minorBidi"/>
        </w:rPr>
        <w:t xml:space="preserve">, Y. and </w:t>
      </w:r>
      <w:proofErr w:type="spellStart"/>
      <w:r w:rsidRPr="001F7A76">
        <w:rPr>
          <w:rFonts w:asciiTheme="minorBidi" w:hAnsiTheme="minorBidi"/>
        </w:rPr>
        <w:t>Helhel</w:t>
      </w:r>
      <w:proofErr w:type="spellEnd"/>
      <w:r w:rsidRPr="001F7A76">
        <w:rPr>
          <w:rFonts w:asciiTheme="minorBidi" w:hAnsiTheme="minorBidi"/>
        </w:rPr>
        <w:t xml:space="preserve">, S. (2026). An Assessment of Economic and Geopolitical Risk Sensitivity in the Tourism Sector: Evidence from Firm-Level Performance and Stock Returns (2012–2025). </w:t>
      </w:r>
      <w:r w:rsidRPr="001F7A76">
        <w:rPr>
          <w:rFonts w:asciiTheme="minorBidi" w:hAnsiTheme="minorBidi"/>
          <w:i/>
          <w:iCs/>
        </w:rPr>
        <w:t>Journal of Risk and Financial Management</w:t>
      </w:r>
      <w:r w:rsidRPr="001F7A76">
        <w:rPr>
          <w:rFonts w:asciiTheme="minorBidi" w:hAnsiTheme="minorBidi"/>
        </w:rPr>
        <w:t xml:space="preserve">, [online] 19(2), p.102. </w:t>
      </w:r>
      <w:proofErr w:type="spellStart"/>
      <w:r w:rsidRPr="001F7A76">
        <w:rPr>
          <w:rFonts w:asciiTheme="minorBidi" w:hAnsiTheme="minorBidi"/>
        </w:rPr>
        <w:t>doi</w:t>
      </w:r>
      <w:proofErr w:type="spellEnd"/>
      <w:r w:rsidRPr="001F7A76">
        <w:rPr>
          <w:rFonts w:asciiTheme="minorBidi" w:hAnsiTheme="minorBidi"/>
        </w:rPr>
        <w:t xml:space="preserve">: </w:t>
      </w:r>
      <w:hyperlink r:id="rId14" w:history="1">
        <w:r w:rsidR="004307DE" w:rsidRPr="001F7A76">
          <w:rPr>
            <w:rStyle w:val="Hyperlink"/>
            <w:rFonts w:asciiTheme="minorBidi" w:hAnsiTheme="minorBidi"/>
          </w:rPr>
          <w:t>https://doi.org/10.3390/jrfm19020102</w:t>
        </w:r>
      </w:hyperlink>
      <w:r w:rsidRPr="001F7A76">
        <w:rPr>
          <w:rFonts w:asciiTheme="minorBidi" w:hAnsiTheme="minorBidi"/>
        </w:rPr>
        <w:t>.</w:t>
      </w:r>
    </w:p>
    <w:p w14:paraId="6DBDC9C3" w14:textId="77777777" w:rsidR="004307DE" w:rsidRPr="001F7A76" w:rsidRDefault="00000000" w:rsidP="00D611D8">
      <w:pPr>
        <w:spacing w:after="0" w:line="360" w:lineRule="auto"/>
        <w:ind w:left="720" w:hanging="720"/>
        <w:rPr>
          <w:rFonts w:asciiTheme="minorBidi" w:hAnsiTheme="minorBidi"/>
        </w:rPr>
      </w:pPr>
      <w:r w:rsidRPr="001F7A76">
        <w:rPr>
          <w:rFonts w:asciiTheme="minorBidi" w:hAnsiTheme="minorBidi"/>
        </w:rPr>
        <w:t xml:space="preserve">Ismail, R.T.Y. and </w:t>
      </w:r>
      <w:proofErr w:type="spellStart"/>
      <w:r w:rsidRPr="001F7A76">
        <w:rPr>
          <w:rFonts w:asciiTheme="minorBidi" w:hAnsiTheme="minorBidi"/>
        </w:rPr>
        <w:t>Karamanlıoğlu</w:t>
      </w:r>
      <w:proofErr w:type="spellEnd"/>
      <w:r w:rsidRPr="001F7A76">
        <w:rPr>
          <w:rFonts w:asciiTheme="minorBidi" w:hAnsiTheme="minorBidi"/>
        </w:rPr>
        <w:t xml:space="preserve">, A.U. (2026). AI Capabilities and Its Impact on Organisational Innovation in Malaysian SMEs: The Role of Transformational Leadership and Digital Organisational Culture. </w:t>
      </w:r>
      <w:r w:rsidRPr="001F7A76">
        <w:rPr>
          <w:rFonts w:asciiTheme="minorBidi" w:hAnsiTheme="minorBidi"/>
          <w:i/>
          <w:iCs/>
        </w:rPr>
        <w:t>Sustainability</w:t>
      </w:r>
      <w:r w:rsidRPr="001F7A76">
        <w:rPr>
          <w:rFonts w:asciiTheme="minorBidi" w:hAnsiTheme="minorBidi"/>
        </w:rPr>
        <w:t xml:space="preserve">, 18(3), p.1473. </w:t>
      </w:r>
      <w:proofErr w:type="spellStart"/>
      <w:r w:rsidRPr="001F7A76">
        <w:rPr>
          <w:rFonts w:asciiTheme="minorBidi" w:hAnsiTheme="minorBidi"/>
        </w:rPr>
        <w:t>doi</w:t>
      </w:r>
      <w:proofErr w:type="spellEnd"/>
      <w:r w:rsidRPr="001F7A76">
        <w:rPr>
          <w:rFonts w:asciiTheme="minorBidi" w:hAnsiTheme="minorBidi"/>
        </w:rPr>
        <w:t xml:space="preserve">: </w:t>
      </w:r>
      <w:hyperlink r:id="rId15" w:history="1">
        <w:r w:rsidR="004307DE" w:rsidRPr="001F7A76">
          <w:rPr>
            <w:rStyle w:val="Hyperlink"/>
            <w:rFonts w:asciiTheme="minorBidi" w:hAnsiTheme="minorBidi"/>
          </w:rPr>
          <w:t>https://doi.org/10.3390/su18031473</w:t>
        </w:r>
      </w:hyperlink>
      <w:r w:rsidRPr="001F7A76">
        <w:rPr>
          <w:rFonts w:asciiTheme="minorBidi" w:hAnsiTheme="minorBidi"/>
        </w:rPr>
        <w:t>.</w:t>
      </w:r>
    </w:p>
    <w:p w14:paraId="24F2319B" w14:textId="77777777" w:rsidR="004307DE" w:rsidRPr="001F7A76" w:rsidRDefault="00000000" w:rsidP="00D611D8">
      <w:pPr>
        <w:spacing w:after="0" w:line="360" w:lineRule="auto"/>
        <w:ind w:left="720" w:hanging="720"/>
        <w:rPr>
          <w:rFonts w:asciiTheme="minorBidi" w:hAnsiTheme="minorBidi"/>
        </w:rPr>
      </w:pPr>
      <w:proofErr w:type="spellStart"/>
      <w:r w:rsidRPr="001F7A76">
        <w:rPr>
          <w:rFonts w:asciiTheme="minorBidi" w:hAnsiTheme="minorBidi"/>
        </w:rPr>
        <w:t>Jääskä</w:t>
      </w:r>
      <w:proofErr w:type="spellEnd"/>
      <w:r w:rsidRPr="001F7A76">
        <w:rPr>
          <w:rFonts w:asciiTheme="minorBidi" w:hAnsiTheme="minorBidi"/>
        </w:rPr>
        <w:t xml:space="preserve">, E., Aaltonen, K., Hellens, L. and Kujala, J. (2024). Bridging Change and project management: A review and future research directions. </w:t>
      </w:r>
      <w:r w:rsidRPr="001F7A76">
        <w:rPr>
          <w:rFonts w:asciiTheme="minorBidi" w:hAnsiTheme="minorBidi"/>
          <w:i/>
          <w:iCs/>
        </w:rPr>
        <w:t>Project Leadership and Society</w:t>
      </w:r>
      <w:r w:rsidRPr="001F7A76">
        <w:rPr>
          <w:rFonts w:asciiTheme="minorBidi" w:hAnsiTheme="minorBidi"/>
        </w:rPr>
        <w:t xml:space="preserve">, 6, pp.100172–100172. </w:t>
      </w:r>
      <w:proofErr w:type="spellStart"/>
      <w:r w:rsidRPr="001F7A76">
        <w:rPr>
          <w:rFonts w:asciiTheme="minorBidi" w:hAnsiTheme="minorBidi"/>
        </w:rPr>
        <w:t>doi</w:t>
      </w:r>
      <w:proofErr w:type="spellEnd"/>
      <w:r w:rsidRPr="001F7A76">
        <w:rPr>
          <w:rFonts w:asciiTheme="minorBidi" w:hAnsiTheme="minorBidi"/>
        </w:rPr>
        <w:t xml:space="preserve">: </w:t>
      </w:r>
      <w:hyperlink r:id="rId16" w:history="1">
        <w:r w:rsidR="004307DE" w:rsidRPr="001F7A76">
          <w:rPr>
            <w:rStyle w:val="Hyperlink"/>
            <w:rFonts w:asciiTheme="minorBidi" w:hAnsiTheme="minorBidi"/>
          </w:rPr>
          <w:t>https://doi.org/10.1016/j.plas.2024.100172</w:t>
        </w:r>
      </w:hyperlink>
      <w:r w:rsidRPr="001F7A76">
        <w:rPr>
          <w:rFonts w:asciiTheme="minorBidi" w:hAnsiTheme="minorBidi"/>
        </w:rPr>
        <w:t>.</w:t>
      </w:r>
    </w:p>
    <w:p w14:paraId="7A65D335" w14:textId="77777777" w:rsidR="004307DE" w:rsidRPr="001F7A76" w:rsidRDefault="00000000" w:rsidP="00D611D8">
      <w:pPr>
        <w:spacing w:after="0" w:line="360" w:lineRule="auto"/>
        <w:ind w:left="720" w:hanging="720"/>
        <w:rPr>
          <w:rFonts w:asciiTheme="minorBidi" w:hAnsiTheme="minorBidi"/>
        </w:rPr>
      </w:pPr>
      <w:r w:rsidRPr="001F7A76">
        <w:rPr>
          <w:rFonts w:asciiTheme="minorBidi" w:hAnsiTheme="minorBidi"/>
        </w:rPr>
        <w:t xml:space="preserve">Khanyisile Yanela </w:t>
      </w:r>
      <w:proofErr w:type="spellStart"/>
      <w:r w:rsidRPr="001F7A76">
        <w:rPr>
          <w:rFonts w:asciiTheme="minorBidi" w:hAnsiTheme="minorBidi"/>
        </w:rPr>
        <w:t>Twabu</w:t>
      </w:r>
      <w:proofErr w:type="spellEnd"/>
      <w:r w:rsidRPr="001F7A76">
        <w:rPr>
          <w:rFonts w:asciiTheme="minorBidi" w:hAnsiTheme="minorBidi"/>
        </w:rPr>
        <w:t xml:space="preserve"> (2025). Transforming organisational culture in higher education: a strategic change management case study for higher learning institutions using the IRACE framework. </w:t>
      </w:r>
      <w:r w:rsidRPr="001F7A76">
        <w:rPr>
          <w:rFonts w:asciiTheme="minorBidi" w:hAnsiTheme="minorBidi"/>
          <w:i/>
          <w:iCs/>
        </w:rPr>
        <w:t>Frontiers in Education</w:t>
      </w:r>
      <w:r w:rsidRPr="001F7A76">
        <w:rPr>
          <w:rFonts w:asciiTheme="minorBidi" w:hAnsiTheme="minorBidi"/>
        </w:rPr>
        <w:t xml:space="preserve">, 10. </w:t>
      </w:r>
      <w:proofErr w:type="spellStart"/>
      <w:r w:rsidRPr="001F7A76">
        <w:rPr>
          <w:rFonts w:asciiTheme="minorBidi" w:hAnsiTheme="minorBidi"/>
        </w:rPr>
        <w:t>doi</w:t>
      </w:r>
      <w:proofErr w:type="spellEnd"/>
      <w:r w:rsidRPr="001F7A76">
        <w:rPr>
          <w:rFonts w:asciiTheme="minorBidi" w:hAnsiTheme="minorBidi"/>
        </w:rPr>
        <w:t xml:space="preserve">: </w:t>
      </w:r>
      <w:hyperlink r:id="rId17" w:history="1">
        <w:r w:rsidR="004307DE" w:rsidRPr="001F7A76">
          <w:rPr>
            <w:rStyle w:val="Hyperlink"/>
            <w:rFonts w:asciiTheme="minorBidi" w:hAnsiTheme="minorBidi"/>
          </w:rPr>
          <w:t>https://doi.org/10.3389/feduc.2025.1690451</w:t>
        </w:r>
      </w:hyperlink>
      <w:r w:rsidRPr="001F7A76">
        <w:rPr>
          <w:rFonts w:asciiTheme="minorBidi" w:hAnsiTheme="minorBidi"/>
        </w:rPr>
        <w:t>.</w:t>
      </w:r>
    </w:p>
    <w:p w14:paraId="2F649888" w14:textId="77777777" w:rsidR="004307DE" w:rsidRPr="001F7A76" w:rsidRDefault="00000000" w:rsidP="00D611D8">
      <w:pPr>
        <w:spacing w:after="0" w:line="360" w:lineRule="auto"/>
        <w:ind w:left="720" w:hanging="720"/>
        <w:rPr>
          <w:rFonts w:asciiTheme="minorBidi" w:hAnsiTheme="minorBidi"/>
        </w:rPr>
      </w:pPr>
      <w:r w:rsidRPr="001F7A76">
        <w:rPr>
          <w:rFonts w:asciiTheme="minorBidi" w:hAnsiTheme="minorBidi"/>
        </w:rPr>
        <w:t xml:space="preserve">Mahamoud Hasan, M., </w:t>
      </w:r>
      <w:proofErr w:type="spellStart"/>
      <w:r w:rsidRPr="001F7A76">
        <w:rPr>
          <w:rFonts w:asciiTheme="minorBidi" w:hAnsiTheme="minorBidi"/>
        </w:rPr>
        <w:t>Aparisi-Torrijo</w:t>
      </w:r>
      <w:proofErr w:type="spellEnd"/>
      <w:r w:rsidRPr="001F7A76">
        <w:rPr>
          <w:rFonts w:asciiTheme="minorBidi" w:hAnsiTheme="minorBidi"/>
        </w:rPr>
        <w:t xml:space="preserve">, S. and González-Ladrón-de-Guevara, F. (2025). Change management and organisational performance: current key trends. </w:t>
      </w:r>
      <w:r w:rsidRPr="001F7A76">
        <w:rPr>
          <w:rFonts w:asciiTheme="minorBidi" w:hAnsiTheme="minorBidi"/>
          <w:i/>
          <w:iCs/>
        </w:rPr>
        <w:t>Cogent Business &amp; Management</w:t>
      </w:r>
      <w:r w:rsidRPr="001F7A76">
        <w:rPr>
          <w:rFonts w:asciiTheme="minorBidi" w:hAnsiTheme="minorBidi"/>
        </w:rPr>
        <w:t xml:space="preserve">, 12(1). </w:t>
      </w:r>
      <w:proofErr w:type="spellStart"/>
      <w:r w:rsidRPr="001F7A76">
        <w:rPr>
          <w:rFonts w:asciiTheme="minorBidi" w:hAnsiTheme="minorBidi"/>
        </w:rPr>
        <w:t>doi</w:t>
      </w:r>
      <w:proofErr w:type="spellEnd"/>
      <w:r w:rsidRPr="001F7A76">
        <w:rPr>
          <w:rFonts w:asciiTheme="minorBidi" w:hAnsiTheme="minorBidi"/>
        </w:rPr>
        <w:t xml:space="preserve">: </w:t>
      </w:r>
      <w:hyperlink r:id="rId18" w:history="1">
        <w:r w:rsidR="004307DE" w:rsidRPr="001F7A76">
          <w:rPr>
            <w:rStyle w:val="Hyperlink"/>
            <w:rFonts w:asciiTheme="minorBidi" w:hAnsiTheme="minorBidi"/>
          </w:rPr>
          <w:t>https://doi.org/10.1080/23311975.2025.2478447</w:t>
        </w:r>
      </w:hyperlink>
      <w:r w:rsidRPr="001F7A76">
        <w:rPr>
          <w:rFonts w:asciiTheme="minorBidi" w:hAnsiTheme="minorBidi"/>
        </w:rPr>
        <w:t>.</w:t>
      </w:r>
    </w:p>
    <w:p w14:paraId="413C720C" w14:textId="77777777" w:rsidR="004307DE" w:rsidRPr="001F7A76" w:rsidRDefault="00000000" w:rsidP="00D611D8">
      <w:pPr>
        <w:spacing w:after="0" w:line="360" w:lineRule="auto"/>
        <w:ind w:left="720" w:hanging="720"/>
        <w:rPr>
          <w:rFonts w:asciiTheme="minorBidi" w:hAnsiTheme="minorBidi"/>
        </w:rPr>
      </w:pPr>
      <w:r w:rsidRPr="001F7A76">
        <w:rPr>
          <w:rFonts w:asciiTheme="minorBidi" w:hAnsiTheme="minorBidi"/>
        </w:rPr>
        <w:lastRenderedPageBreak/>
        <w:t xml:space="preserve">Mizova, B., </w:t>
      </w:r>
      <w:proofErr w:type="spellStart"/>
      <w:r w:rsidRPr="001F7A76">
        <w:rPr>
          <w:rFonts w:asciiTheme="minorBidi" w:hAnsiTheme="minorBidi"/>
        </w:rPr>
        <w:t>Parvanova</w:t>
      </w:r>
      <w:proofErr w:type="spellEnd"/>
      <w:r w:rsidRPr="001F7A76">
        <w:rPr>
          <w:rFonts w:asciiTheme="minorBidi" w:hAnsiTheme="minorBidi"/>
        </w:rPr>
        <w:t xml:space="preserve">, Y. and </w:t>
      </w:r>
      <w:proofErr w:type="spellStart"/>
      <w:r w:rsidRPr="001F7A76">
        <w:rPr>
          <w:rFonts w:asciiTheme="minorBidi" w:hAnsiTheme="minorBidi"/>
        </w:rPr>
        <w:t>Peytcheva</w:t>
      </w:r>
      <w:proofErr w:type="spellEnd"/>
      <w:r w:rsidRPr="001F7A76">
        <w:rPr>
          <w:rFonts w:asciiTheme="minorBidi" w:hAnsiTheme="minorBidi"/>
        </w:rPr>
        <w:t xml:space="preserve">-Forsyth, R. (2026). Leading the Digital Transformation of Education: The Perspective of School Principals. </w:t>
      </w:r>
      <w:r w:rsidRPr="001F7A76">
        <w:rPr>
          <w:rFonts w:asciiTheme="minorBidi" w:hAnsiTheme="minorBidi"/>
          <w:i/>
          <w:iCs/>
        </w:rPr>
        <w:t>Administrative Sciences</w:t>
      </w:r>
      <w:r w:rsidRPr="001F7A76">
        <w:rPr>
          <w:rFonts w:asciiTheme="minorBidi" w:hAnsiTheme="minorBidi"/>
        </w:rPr>
        <w:t xml:space="preserve">, 16(1), p.57. </w:t>
      </w:r>
      <w:proofErr w:type="spellStart"/>
      <w:r w:rsidRPr="001F7A76">
        <w:rPr>
          <w:rFonts w:asciiTheme="minorBidi" w:hAnsiTheme="minorBidi"/>
        </w:rPr>
        <w:t>doi</w:t>
      </w:r>
      <w:proofErr w:type="spellEnd"/>
      <w:r w:rsidRPr="001F7A76">
        <w:rPr>
          <w:rFonts w:asciiTheme="minorBidi" w:hAnsiTheme="minorBidi"/>
        </w:rPr>
        <w:t xml:space="preserve">: </w:t>
      </w:r>
      <w:hyperlink r:id="rId19" w:history="1">
        <w:r w:rsidR="004307DE" w:rsidRPr="001F7A76">
          <w:rPr>
            <w:rStyle w:val="Hyperlink"/>
            <w:rFonts w:asciiTheme="minorBidi" w:hAnsiTheme="minorBidi"/>
          </w:rPr>
          <w:t>https://doi.org/10.3390/admsci16010057</w:t>
        </w:r>
      </w:hyperlink>
      <w:r w:rsidRPr="001F7A76">
        <w:rPr>
          <w:rFonts w:asciiTheme="minorBidi" w:hAnsiTheme="minorBidi"/>
        </w:rPr>
        <w:t>.</w:t>
      </w:r>
    </w:p>
    <w:p w14:paraId="46F00BA1" w14:textId="77777777" w:rsidR="004307DE" w:rsidRPr="001F7A76" w:rsidRDefault="00000000" w:rsidP="00D611D8">
      <w:pPr>
        <w:spacing w:after="0" w:line="360" w:lineRule="auto"/>
        <w:ind w:left="720" w:hanging="720"/>
        <w:rPr>
          <w:rFonts w:asciiTheme="minorBidi" w:hAnsiTheme="minorBidi"/>
        </w:rPr>
      </w:pPr>
      <w:r w:rsidRPr="001F7A76">
        <w:rPr>
          <w:rFonts w:asciiTheme="minorBidi" w:hAnsiTheme="minorBidi"/>
        </w:rPr>
        <w:t>Orero-</w:t>
      </w:r>
      <w:proofErr w:type="spellStart"/>
      <w:r w:rsidRPr="001F7A76">
        <w:rPr>
          <w:rFonts w:asciiTheme="minorBidi" w:hAnsiTheme="minorBidi"/>
        </w:rPr>
        <w:t>Blat</w:t>
      </w:r>
      <w:proofErr w:type="spellEnd"/>
      <w:r w:rsidRPr="001F7A76">
        <w:rPr>
          <w:rFonts w:asciiTheme="minorBidi" w:hAnsiTheme="minorBidi"/>
        </w:rPr>
        <w:t xml:space="preserve">, M., Leal, A.L. and Palacios-Marqués, D. (2024). The strategic advantage of innovative organisational culture: An exploratory analysis in digital transformation and big data analytics capabilities. </w:t>
      </w:r>
      <w:r w:rsidRPr="001F7A76">
        <w:rPr>
          <w:rFonts w:asciiTheme="minorBidi" w:hAnsiTheme="minorBidi"/>
          <w:i/>
          <w:iCs/>
        </w:rPr>
        <w:t>Journal of Management &amp; Organisation</w:t>
      </w:r>
      <w:r w:rsidRPr="001F7A76">
        <w:rPr>
          <w:rFonts w:asciiTheme="minorBidi" w:hAnsiTheme="minorBidi"/>
        </w:rPr>
        <w:t xml:space="preserve">, [online] 31(2), pp.1–20. </w:t>
      </w:r>
      <w:proofErr w:type="spellStart"/>
      <w:r w:rsidRPr="001F7A76">
        <w:rPr>
          <w:rFonts w:asciiTheme="minorBidi" w:hAnsiTheme="minorBidi"/>
        </w:rPr>
        <w:t>doi</w:t>
      </w:r>
      <w:proofErr w:type="spellEnd"/>
      <w:r w:rsidRPr="001F7A76">
        <w:rPr>
          <w:rFonts w:asciiTheme="minorBidi" w:hAnsiTheme="minorBidi"/>
        </w:rPr>
        <w:t xml:space="preserve">: </w:t>
      </w:r>
      <w:hyperlink r:id="rId20" w:history="1">
        <w:r w:rsidR="004307DE" w:rsidRPr="001F7A76">
          <w:rPr>
            <w:rStyle w:val="Hyperlink"/>
            <w:rFonts w:asciiTheme="minorBidi" w:hAnsiTheme="minorBidi"/>
          </w:rPr>
          <w:t>https://doi.org/10.1017/jmo.2024.74</w:t>
        </w:r>
      </w:hyperlink>
      <w:r w:rsidRPr="001F7A76">
        <w:rPr>
          <w:rFonts w:asciiTheme="minorBidi" w:hAnsiTheme="minorBidi"/>
        </w:rPr>
        <w:t>.</w:t>
      </w:r>
    </w:p>
    <w:p w14:paraId="01FAEE18" w14:textId="77777777" w:rsidR="004307DE" w:rsidRPr="001F7A76" w:rsidRDefault="00000000" w:rsidP="00D611D8">
      <w:pPr>
        <w:spacing w:after="0" w:line="360" w:lineRule="auto"/>
        <w:ind w:left="720" w:hanging="720"/>
        <w:rPr>
          <w:rFonts w:asciiTheme="minorBidi" w:hAnsiTheme="minorBidi"/>
        </w:rPr>
      </w:pPr>
      <w:r w:rsidRPr="001F7A76">
        <w:rPr>
          <w:rFonts w:asciiTheme="minorBidi" w:hAnsiTheme="minorBidi"/>
        </w:rPr>
        <w:t xml:space="preserve">Poláková - Kersten, M., </w:t>
      </w:r>
      <w:proofErr w:type="spellStart"/>
      <w:r w:rsidRPr="001F7A76">
        <w:rPr>
          <w:rFonts w:asciiTheme="minorBidi" w:hAnsiTheme="minorBidi"/>
        </w:rPr>
        <w:t>Khanagha</w:t>
      </w:r>
      <w:proofErr w:type="spellEnd"/>
      <w:r w:rsidRPr="001F7A76">
        <w:rPr>
          <w:rFonts w:asciiTheme="minorBidi" w:hAnsiTheme="minorBidi"/>
        </w:rPr>
        <w:t xml:space="preserve">, S., van den Hooff, B. and </w:t>
      </w:r>
      <w:proofErr w:type="spellStart"/>
      <w:r w:rsidRPr="001F7A76">
        <w:rPr>
          <w:rFonts w:asciiTheme="minorBidi" w:hAnsiTheme="minorBidi"/>
        </w:rPr>
        <w:t>Khapova</w:t>
      </w:r>
      <w:proofErr w:type="spellEnd"/>
      <w:r w:rsidRPr="001F7A76">
        <w:rPr>
          <w:rFonts w:asciiTheme="minorBidi" w:hAnsiTheme="minorBidi"/>
        </w:rPr>
        <w:t xml:space="preserve">, S.N. (2023). Digital transformation in high-reliability organisations: A longitudinal study of the micro-foundations of failure. </w:t>
      </w:r>
      <w:r w:rsidRPr="001F7A76">
        <w:rPr>
          <w:rFonts w:asciiTheme="minorBidi" w:hAnsiTheme="minorBidi"/>
          <w:i/>
          <w:iCs/>
        </w:rPr>
        <w:t>The Journal of Strategic Information Systems</w:t>
      </w:r>
      <w:r w:rsidRPr="001F7A76">
        <w:rPr>
          <w:rFonts w:asciiTheme="minorBidi" w:hAnsiTheme="minorBidi"/>
        </w:rPr>
        <w:t xml:space="preserve">, [online] 32(1). </w:t>
      </w:r>
      <w:proofErr w:type="spellStart"/>
      <w:r w:rsidRPr="001F7A76">
        <w:rPr>
          <w:rFonts w:asciiTheme="minorBidi" w:hAnsiTheme="minorBidi"/>
        </w:rPr>
        <w:t>doi</w:t>
      </w:r>
      <w:proofErr w:type="spellEnd"/>
      <w:r w:rsidRPr="001F7A76">
        <w:rPr>
          <w:rFonts w:asciiTheme="minorBidi" w:hAnsiTheme="minorBidi"/>
        </w:rPr>
        <w:t xml:space="preserve">: </w:t>
      </w:r>
      <w:hyperlink r:id="rId21" w:history="1">
        <w:r w:rsidR="004307DE" w:rsidRPr="001F7A76">
          <w:rPr>
            <w:rStyle w:val="Hyperlink"/>
            <w:rFonts w:asciiTheme="minorBidi" w:hAnsiTheme="minorBidi"/>
          </w:rPr>
          <w:t>https://doi.org/10.1016/j.jsis.2023.101756</w:t>
        </w:r>
      </w:hyperlink>
      <w:r w:rsidRPr="001F7A76">
        <w:rPr>
          <w:rFonts w:asciiTheme="minorBidi" w:hAnsiTheme="minorBidi"/>
        </w:rPr>
        <w:t>.</w:t>
      </w:r>
    </w:p>
    <w:p w14:paraId="128CB097" w14:textId="77777777" w:rsidR="004307DE" w:rsidRPr="001F7A76" w:rsidRDefault="00000000" w:rsidP="00D611D8">
      <w:pPr>
        <w:spacing w:after="0" w:line="360" w:lineRule="auto"/>
        <w:ind w:left="720" w:hanging="720"/>
        <w:rPr>
          <w:rFonts w:asciiTheme="minorBidi" w:hAnsiTheme="minorBidi"/>
        </w:rPr>
      </w:pPr>
      <w:proofErr w:type="spellStart"/>
      <w:r w:rsidRPr="001F7A76">
        <w:rPr>
          <w:rFonts w:asciiTheme="minorBidi" w:hAnsiTheme="minorBidi"/>
        </w:rPr>
        <w:t>Rouissi</w:t>
      </w:r>
      <w:proofErr w:type="spellEnd"/>
      <w:r w:rsidRPr="001F7A76">
        <w:rPr>
          <w:rFonts w:asciiTheme="minorBidi" w:hAnsiTheme="minorBidi"/>
        </w:rPr>
        <w:t xml:space="preserve">, C.M. (2025). Navigating Change: the role of Change management strategies and cultural factors in Saudi Arabian organisations. </w:t>
      </w:r>
      <w:r w:rsidRPr="001F7A76">
        <w:rPr>
          <w:rFonts w:asciiTheme="minorBidi" w:hAnsiTheme="minorBidi"/>
          <w:i/>
          <w:iCs/>
        </w:rPr>
        <w:t>Frontiers in Psychology</w:t>
      </w:r>
      <w:r w:rsidRPr="001F7A76">
        <w:rPr>
          <w:rFonts w:asciiTheme="minorBidi" w:hAnsiTheme="minorBidi"/>
        </w:rPr>
        <w:t xml:space="preserve">, 16. </w:t>
      </w:r>
      <w:proofErr w:type="spellStart"/>
      <w:r w:rsidRPr="001F7A76">
        <w:rPr>
          <w:rFonts w:asciiTheme="minorBidi" w:hAnsiTheme="minorBidi"/>
        </w:rPr>
        <w:t>doi</w:t>
      </w:r>
      <w:proofErr w:type="spellEnd"/>
      <w:r w:rsidRPr="001F7A76">
        <w:rPr>
          <w:rFonts w:asciiTheme="minorBidi" w:hAnsiTheme="minorBidi"/>
        </w:rPr>
        <w:t xml:space="preserve">: </w:t>
      </w:r>
      <w:hyperlink r:id="rId22" w:history="1">
        <w:r w:rsidR="004307DE" w:rsidRPr="001F7A76">
          <w:rPr>
            <w:rStyle w:val="Hyperlink"/>
            <w:rFonts w:asciiTheme="minorBidi" w:hAnsiTheme="minorBidi"/>
          </w:rPr>
          <w:t>https://doi.org/10.3389/fpsyg.2025.1551902</w:t>
        </w:r>
      </w:hyperlink>
      <w:r w:rsidRPr="001F7A76">
        <w:rPr>
          <w:rFonts w:asciiTheme="minorBidi" w:hAnsiTheme="minorBidi"/>
        </w:rPr>
        <w:t>.</w:t>
      </w:r>
    </w:p>
    <w:p w14:paraId="3A5F483B" w14:textId="77777777" w:rsidR="004307DE" w:rsidRPr="001F7A76" w:rsidRDefault="00000000" w:rsidP="00D611D8">
      <w:pPr>
        <w:spacing w:after="0" w:line="360" w:lineRule="auto"/>
        <w:ind w:left="720" w:hanging="720"/>
        <w:rPr>
          <w:rFonts w:asciiTheme="minorBidi" w:hAnsiTheme="minorBidi"/>
        </w:rPr>
      </w:pPr>
      <w:proofErr w:type="spellStart"/>
      <w:r w:rsidRPr="001F7A76">
        <w:rPr>
          <w:rFonts w:asciiTheme="minorBidi" w:hAnsiTheme="minorBidi"/>
        </w:rPr>
        <w:t>Sacavém</w:t>
      </w:r>
      <w:proofErr w:type="spellEnd"/>
      <w:r w:rsidRPr="001F7A76">
        <w:rPr>
          <w:rFonts w:asciiTheme="minorBidi" w:hAnsiTheme="minorBidi"/>
        </w:rPr>
        <w:t xml:space="preserve">, A., de, A., Santos, Palma-Moreira, A., Belchior-Rocha, H. and Au-Yong-Oliveira, M. (2025). Leading in the Digital Age: The Role of Leadership in Organisational Digital Transformation. </w:t>
      </w:r>
      <w:r w:rsidRPr="001F7A76">
        <w:rPr>
          <w:rFonts w:asciiTheme="minorBidi" w:hAnsiTheme="minorBidi"/>
          <w:i/>
          <w:iCs/>
        </w:rPr>
        <w:t>Administrative Sciences</w:t>
      </w:r>
      <w:r w:rsidRPr="001F7A76">
        <w:rPr>
          <w:rFonts w:asciiTheme="minorBidi" w:hAnsiTheme="minorBidi"/>
        </w:rPr>
        <w:t xml:space="preserve">, 15(2), pp.43–43. </w:t>
      </w:r>
      <w:hyperlink r:id="rId23" w:history="1">
        <w:r w:rsidR="004307DE" w:rsidRPr="001F7A76">
          <w:rPr>
            <w:rStyle w:val="Hyperlink"/>
            <w:rFonts w:asciiTheme="minorBidi" w:hAnsiTheme="minorBidi"/>
          </w:rPr>
          <w:t>https://doi.org/10.3390/admsci15020043</w:t>
        </w:r>
      </w:hyperlink>
    </w:p>
    <w:p w14:paraId="7462D2D3" w14:textId="77777777" w:rsidR="004307DE" w:rsidRPr="001F7A76" w:rsidRDefault="00000000" w:rsidP="00D611D8">
      <w:pPr>
        <w:spacing w:after="0" w:line="360" w:lineRule="auto"/>
        <w:ind w:left="720" w:hanging="720"/>
        <w:rPr>
          <w:rFonts w:asciiTheme="minorBidi" w:hAnsiTheme="minorBidi"/>
        </w:rPr>
      </w:pPr>
      <w:r w:rsidRPr="001F7A76">
        <w:rPr>
          <w:rFonts w:asciiTheme="minorBidi" w:hAnsiTheme="minorBidi"/>
        </w:rPr>
        <w:t xml:space="preserve">Scholkmann, A.B. (2021). Resistance to (Digital) Change. </w:t>
      </w:r>
      <w:r w:rsidRPr="001F7A76">
        <w:rPr>
          <w:rFonts w:asciiTheme="minorBidi" w:hAnsiTheme="minorBidi"/>
          <w:i/>
          <w:iCs/>
        </w:rPr>
        <w:t>Digital Transformation of Learning Organisations</w:t>
      </w:r>
      <w:r w:rsidRPr="001F7A76">
        <w:rPr>
          <w:rFonts w:asciiTheme="minorBidi" w:hAnsiTheme="minorBidi"/>
        </w:rPr>
        <w:t xml:space="preserve">, [online] pp.219–236. </w:t>
      </w:r>
      <w:proofErr w:type="spellStart"/>
      <w:r w:rsidRPr="001F7A76">
        <w:rPr>
          <w:rFonts w:asciiTheme="minorBidi" w:hAnsiTheme="minorBidi"/>
        </w:rPr>
        <w:t>doi</w:t>
      </w:r>
      <w:proofErr w:type="spellEnd"/>
      <w:r w:rsidRPr="001F7A76">
        <w:rPr>
          <w:rFonts w:asciiTheme="minorBidi" w:hAnsiTheme="minorBidi"/>
        </w:rPr>
        <w:t xml:space="preserve">: </w:t>
      </w:r>
      <w:hyperlink r:id="rId24" w:history="1">
        <w:r w:rsidR="004307DE" w:rsidRPr="001F7A76">
          <w:rPr>
            <w:rStyle w:val="Hyperlink"/>
            <w:rFonts w:asciiTheme="minorBidi" w:hAnsiTheme="minorBidi"/>
          </w:rPr>
          <w:t>https://doi.org/10.1007/978-3-030-55878-9_13</w:t>
        </w:r>
      </w:hyperlink>
      <w:r w:rsidRPr="001F7A76">
        <w:rPr>
          <w:rFonts w:asciiTheme="minorBidi" w:hAnsiTheme="minorBidi"/>
        </w:rPr>
        <w:t>.</w:t>
      </w:r>
    </w:p>
    <w:p w14:paraId="0E3EEF3A" w14:textId="77777777" w:rsidR="004307DE" w:rsidRPr="001F7A76" w:rsidRDefault="00000000" w:rsidP="00D611D8">
      <w:pPr>
        <w:spacing w:after="0" w:line="360" w:lineRule="auto"/>
        <w:ind w:left="720" w:hanging="720"/>
        <w:rPr>
          <w:rFonts w:asciiTheme="minorBidi" w:hAnsiTheme="minorBidi"/>
        </w:rPr>
      </w:pPr>
      <w:r w:rsidRPr="001F7A76">
        <w:rPr>
          <w:rFonts w:asciiTheme="minorBidi" w:hAnsiTheme="minorBidi"/>
        </w:rPr>
        <w:t xml:space="preserve">Szymon Cyfert, Wojciech Dyduch, Szumowski, W. and Prause, G. (2025). Are we ready for digital transformation? The role of organisational culture, leadership and competence in building digital advantage. </w:t>
      </w:r>
      <w:r w:rsidRPr="001F7A76">
        <w:rPr>
          <w:rFonts w:asciiTheme="minorBidi" w:hAnsiTheme="minorBidi"/>
          <w:i/>
          <w:iCs/>
        </w:rPr>
        <w:t>Central European Management Journal</w:t>
      </w:r>
      <w:r w:rsidRPr="001F7A76">
        <w:rPr>
          <w:rFonts w:asciiTheme="minorBidi" w:hAnsiTheme="minorBidi"/>
        </w:rPr>
        <w:t xml:space="preserve">. </w:t>
      </w:r>
      <w:proofErr w:type="spellStart"/>
      <w:r w:rsidRPr="001F7A76">
        <w:rPr>
          <w:rFonts w:asciiTheme="minorBidi" w:hAnsiTheme="minorBidi"/>
        </w:rPr>
        <w:t>doi</w:t>
      </w:r>
      <w:proofErr w:type="spellEnd"/>
      <w:r w:rsidRPr="001F7A76">
        <w:rPr>
          <w:rFonts w:asciiTheme="minorBidi" w:hAnsiTheme="minorBidi"/>
        </w:rPr>
        <w:t xml:space="preserve">: </w:t>
      </w:r>
      <w:hyperlink r:id="rId25" w:history="1">
        <w:r w:rsidR="004307DE" w:rsidRPr="001F7A76">
          <w:rPr>
            <w:rStyle w:val="Hyperlink"/>
            <w:rFonts w:asciiTheme="minorBidi" w:hAnsiTheme="minorBidi"/>
          </w:rPr>
          <w:t>https://doi.org/10.1108/cemj-11-2024-0346</w:t>
        </w:r>
      </w:hyperlink>
      <w:r w:rsidRPr="001F7A76">
        <w:rPr>
          <w:rFonts w:asciiTheme="minorBidi" w:hAnsiTheme="minorBidi"/>
        </w:rPr>
        <w:t>.</w:t>
      </w:r>
    </w:p>
    <w:p w14:paraId="1F6C403D" w14:textId="77777777" w:rsidR="004307DE" w:rsidRPr="001F7A76" w:rsidRDefault="004307DE" w:rsidP="00D611D8">
      <w:pPr>
        <w:spacing w:after="0" w:line="360" w:lineRule="auto"/>
        <w:rPr>
          <w:rFonts w:asciiTheme="minorBidi" w:hAnsiTheme="minorBidi"/>
        </w:rPr>
      </w:pPr>
    </w:p>
    <w:p w14:paraId="16E93888" w14:textId="77777777" w:rsidR="004307DE" w:rsidRPr="001F7A76" w:rsidRDefault="004307DE" w:rsidP="00D611D8">
      <w:pPr>
        <w:spacing w:after="0" w:line="360" w:lineRule="auto"/>
        <w:rPr>
          <w:rFonts w:asciiTheme="minorBidi" w:hAnsiTheme="minorBidi"/>
        </w:rPr>
      </w:pPr>
    </w:p>
    <w:p w14:paraId="0C2A811E" w14:textId="77777777" w:rsidR="004307DE" w:rsidRPr="001F7A76" w:rsidRDefault="004307DE" w:rsidP="00D611D8">
      <w:pPr>
        <w:spacing w:after="0" w:line="360" w:lineRule="auto"/>
        <w:rPr>
          <w:rFonts w:asciiTheme="minorBidi" w:hAnsiTheme="minorBidi"/>
        </w:rPr>
      </w:pPr>
    </w:p>
    <w:p w14:paraId="55A808DB" w14:textId="77777777" w:rsidR="004307DE" w:rsidRPr="001F7A76" w:rsidRDefault="004307DE" w:rsidP="00D611D8">
      <w:pPr>
        <w:spacing w:after="0" w:line="360" w:lineRule="auto"/>
        <w:rPr>
          <w:rFonts w:asciiTheme="minorBidi" w:hAnsiTheme="minorBidi"/>
        </w:rPr>
      </w:pPr>
    </w:p>
    <w:p w14:paraId="2A6892CD" w14:textId="77777777" w:rsidR="004307DE" w:rsidRPr="001F7A76" w:rsidRDefault="004307DE" w:rsidP="00D611D8">
      <w:pPr>
        <w:spacing w:after="0" w:line="360" w:lineRule="auto"/>
        <w:rPr>
          <w:rFonts w:asciiTheme="minorBidi" w:hAnsiTheme="minorBidi"/>
        </w:rPr>
      </w:pPr>
    </w:p>
    <w:p w14:paraId="08D482C4" w14:textId="77777777" w:rsidR="004307DE" w:rsidRPr="001F7A76" w:rsidRDefault="004307DE" w:rsidP="00D611D8">
      <w:pPr>
        <w:spacing w:after="0" w:line="360" w:lineRule="auto"/>
        <w:rPr>
          <w:rFonts w:asciiTheme="minorBidi" w:hAnsiTheme="minorBidi"/>
        </w:rPr>
      </w:pPr>
    </w:p>
    <w:p w14:paraId="19F1B985" w14:textId="77777777" w:rsidR="00E969C3" w:rsidRPr="001F7A76" w:rsidRDefault="00E969C3" w:rsidP="00D611D8">
      <w:pPr>
        <w:pStyle w:val="NormalWeb"/>
        <w:spacing w:before="0" w:beforeAutospacing="0" w:after="0" w:afterAutospacing="0" w:line="360" w:lineRule="auto"/>
        <w:rPr>
          <w:rFonts w:asciiTheme="minorBidi" w:hAnsiTheme="minorBidi" w:cstheme="minorBidi"/>
          <w:sz w:val="22"/>
          <w:szCs w:val="22"/>
        </w:rPr>
      </w:pPr>
    </w:p>
    <w:p w14:paraId="6966F62F" w14:textId="77777777" w:rsidR="00E969C3" w:rsidRPr="001F7A76" w:rsidRDefault="00E969C3" w:rsidP="00D611D8">
      <w:pPr>
        <w:pStyle w:val="NormalWeb"/>
        <w:spacing w:before="0" w:beforeAutospacing="0" w:after="0" w:afterAutospacing="0" w:line="360" w:lineRule="auto"/>
        <w:rPr>
          <w:rFonts w:asciiTheme="minorBidi" w:hAnsiTheme="minorBidi" w:cstheme="minorBidi"/>
          <w:sz w:val="22"/>
          <w:szCs w:val="22"/>
        </w:rPr>
      </w:pPr>
    </w:p>
    <w:p w14:paraId="2DFF653B" w14:textId="77777777" w:rsidR="00E969C3" w:rsidRPr="001F7A76" w:rsidRDefault="00E969C3" w:rsidP="00D611D8">
      <w:pPr>
        <w:pStyle w:val="NormalWeb"/>
        <w:spacing w:before="0" w:beforeAutospacing="0" w:after="0" w:afterAutospacing="0" w:line="360" w:lineRule="auto"/>
        <w:rPr>
          <w:rFonts w:asciiTheme="minorBidi" w:hAnsiTheme="minorBidi" w:cstheme="minorBidi"/>
          <w:sz w:val="22"/>
          <w:szCs w:val="22"/>
        </w:rPr>
      </w:pPr>
    </w:p>
    <w:p w14:paraId="4A6A6389" w14:textId="6AA4ED51" w:rsidR="0016118C" w:rsidRPr="00D611D8" w:rsidRDefault="0016118C" w:rsidP="00D611D8">
      <w:pPr>
        <w:spacing w:after="0" w:line="360" w:lineRule="auto"/>
        <w:jc w:val="both"/>
        <w:rPr>
          <w:rFonts w:asciiTheme="minorBidi" w:eastAsia="Times New Roman" w:hAnsiTheme="minorBidi"/>
        </w:rPr>
      </w:pPr>
    </w:p>
    <w:sectPr w:rsidR="0016118C" w:rsidRPr="00D611D8">
      <w:head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2BB3AA" w14:textId="77777777" w:rsidR="0081570E" w:rsidRPr="001F7A76" w:rsidRDefault="0081570E">
      <w:pPr>
        <w:spacing w:after="0" w:line="240" w:lineRule="auto"/>
      </w:pPr>
      <w:r w:rsidRPr="001F7A76">
        <w:separator/>
      </w:r>
    </w:p>
  </w:endnote>
  <w:endnote w:type="continuationSeparator" w:id="0">
    <w:p w14:paraId="004E2072" w14:textId="77777777" w:rsidR="0081570E" w:rsidRPr="001F7A76" w:rsidRDefault="0081570E">
      <w:pPr>
        <w:spacing w:after="0" w:line="240" w:lineRule="auto"/>
      </w:pPr>
      <w:r w:rsidRPr="001F7A7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A38655" w14:textId="77777777" w:rsidR="0081570E" w:rsidRPr="001F7A76" w:rsidRDefault="0081570E">
      <w:pPr>
        <w:spacing w:after="0" w:line="240" w:lineRule="auto"/>
      </w:pPr>
      <w:r w:rsidRPr="001F7A76">
        <w:separator/>
      </w:r>
    </w:p>
  </w:footnote>
  <w:footnote w:type="continuationSeparator" w:id="0">
    <w:p w14:paraId="1C4C0A1C" w14:textId="77777777" w:rsidR="0081570E" w:rsidRPr="001F7A76" w:rsidRDefault="0081570E">
      <w:pPr>
        <w:spacing w:after="0" w:line="240" w:lineRule="auto"/>
      </w:pPr>
      <w:r w:rsidRPr="001F7A7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70964" w14:textId="7945FE94" w:rsidR="004F61E9" w:rsidRPr="001F7A76" w:rsidRDefault="00000000" w:rsidP="004F61E9">
    <w:pPr>
      <w:pStyle w:val="Header"/>
      <w:jc w:val="right"/>
      <w:rPr>
        <w:rFonts w:ascii="Times New Roman" w:hAnsi="Times New Roman" w:cs="Times New Roman"/>
        <w:sz w:val="24"/>
        <w:szCs w:val="24"/>
      </w:rPr>
    </w:pPr>
    <w:sdt>
      <w:sdtPr>
        <w:rPr>
          <w:rFonts w:ascii="Times New Roman" w:hAnsi="Times New Roman" w:cs="Times New Roman"/>
          <w:sz w:val="24"/>
          <w:szCs w:val="24"/>
        </w:rPr>
        <w:id w:val="-1907599809"/>
        <w:docPartObj>
          <w:docPartGallery w:val="Page Numbers (Top of Page)"/>
          <w:docPartUnique/>
        </w:docPartObj>
      </w:sdtPr>
      <w:sdtContent>
        <w:r w:rsidRPr="001F7A76">
          <w:rPr>
            <w:rFonts w:ascii="Times New Roman" w:hAnsi="Times New Roman" w:cs="Times New Roman"/>
            <w:sz w:val="24"/>
            <w:szCs w:val="24"/>
          </w:rPr>
          <w:fldChar w:fldCharType="begin"/>
        </w:r>
        <w:r w:rsidRPr="001F7A76">
          <w:rPr>
            <w:rFonts w:ascii="Times New Roman" w:hAnsi="Times New Roman" w:cs="Times New Roman"/>
            <w:sz w:val="24"/>
            <w:szCs w:val="24"/>
          </w:rPr>
          <w:instrText xml:space="preserve"> PAGE   \* MERGEFORMAT </w:instrText>
        </w:r>
        <w:r w:rsidRPr="001F7A76">
          <w:rPr>
            <w:rFonts w:ascii="Times New Roman" w:hAnsi="Times New Roman" w:cs="Times New Roman"/>
            <w:sz w:val="24"/>
            <w:szCs w:val="24"/>
          </w:rPr>
          <w:fldChar w:fldCharType="separate"/>
        </w:r>
        <w:r w:rsidR="00EF6E68" w:rsidRPr="001F7A76">
          <w:rPr>
            <w:rFonts w:ascii="Times New Roman" w:hAnsi="Times New Roman" w:cs="Times New Roman"/>
            <w:sz w:val="24"/>
            <w:szCs w:val="24"/>
          </w:rPr>
          <w:t>1</w:t>
        </w:r>
        <w:r w:rsidRPr="001F7A76">
          <w:rPr>
            <w:rFonts w:ascii="Times New Roman" w:hAnsi="Times New Roman" w:cs="Times New Roman"/>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8518B7"/>
    <w:multiLevelType w:val="hybridMultilevel"/>
    <w:tmpl w:val="B10EEC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6B53157"/>
    <w:multiLevelType w:val="hybridMultilevel"/>
    <w:tmpl w:val="38766C50"/>
    <w:lvl w:ilvl="0" w:tplc="F3A22822">
      <w:start w:val="1"/>
      <w:numFmt w:val="decimal"/>
      <w:lvlText w:val="%1."/>
      <w:lvlJc w:val="left"/>
      <w:pPr>
        <w:ind w:left="720" w:hanging="360"/>
      </w:pPr>
    </w:lvl>
    <w:lvl w:ilvl="1" w:tplc="2542C6B0" w:tentative="1">
      <w:start w:val="1"/>
      <w:numFmt w:val="lowerLetter"/>
      <w:lvlText w:val="%2."/>
      <w:lvlJc w:val="left"/>
      <w:pPr>
        <w:ind w:left="1440" w:hanging="360"/>
      </w:pPr>
    </w:lvl>
    <w:lvl w:ilvl="2" w:tplc="032AC14E" w:tentative="1">
      <w:start w:val="1"/>
      <w:numFmt w:val="lowerRoman"/>
      <w:lvlText w:val="%3."/>
      <w:lvlJc w:val="right"/>
      <w:pPr>
        <w:ind w:left="2160" w:hanging="180"/>
      </w:pPr>
    </w:lvl>
    <w:lvl w:ilvl="3" w:tplc="7A08FE66" w:tentative="1">
      <w:start w:val="1"/>
      <w:numFmt w:val="decimal"/>
      <w:lvlText w:val="%4."/>
      <w:lvlJc w:val="left"/>
      <w:pPr>
        <w:ind w:left="2880" w:hanging="360"/>
      </w:pPr>
    </w:lvl>
    <w:lvl w:ilvl="4" w:tplc="3ABCC394" w:tentative="1">
      <w:start w:val="1"/>
      <w:numFmt w:val="lowerLetter"/>
      <w:lvlText w:val="%5."/>
      <w:lvlJc w:val="left"/>
      <w:pPr>
        <w:ind w:left="3600" w:hanging="360"/>
      </w:pPr>
    </w:lvl>
    <w:lvl w:ilvl="5" w:tplc="BF666230" w:tentative="1">
      <w:start w:val="1"/>
      <w:numFmt w:val="lowerRoman"/>
      <w:lvlText w:val="%6."/>
      <w:lvlJc w:val="right"/>
      <w:pPr>
        <w:ind w:left="4320" w:hanging="180"/>
      </w:pPr>
    </w:lvl>
    <w:lvl w:ilvl="6" w:tplc="2D8244D2" w:tentative="1">
      <w:start w:val="1"/>
      <w:numFmt w:val="decimal"/>
      <w:lvlText w:val="%7."/>
      <w:lvlJc w:val="left"/>
      <w:pPr>
        <w:ind w:left="5040" w:hanging="360"/>
      </w:pPr>
    </w:lvl>
    <w:lvl w:ilvl="7" w:tplc="9D7C348A" w:tentative="1">
      <w:start w:val="1"/>
      <w:numFmt w:val="lowerLetter"/>
      <w:lvlText w:val="%8."/>
      <w:lvlJc w:val="left"/>
      <w:pPr>
        <w:ind w:left="5760" w:hanging="360"/>
      </w:pPr>
    </w:lvl>
    <w:lvl w:ilvl="8" w:tplc="1FC2B6D2" w:tentative="1">
      <w:start w:val="1"/>
      <w:numFmt w:val="lowerRoman"/>
      <w:lvlText w:val="%9."/>
      <w:lvlJc w:val="right"/>
      <w:pPr>
        <w:ind w:left="6480" w:hanging="180"/>
      </w:pPr>
    </w:lvl>
  </w:abstractNum>
  <w:abstractNum w:abstractNumId="2" w15:restartNumberingAfterBreak="0">
    <w:nsid w:val="73ED1121"/>
    <w:multiLevelType w:val="hybridMultilevel"/>
    <w:tmpl w:val="BFDC068C"/>
    <w:lvl w:ilvl="0" w:tplc="7CAC5A5E">
      <w:start w:val="1"/>
      <w:numFmt w:val="decimal"/>
      <w:lvlText w:val="%1."/>
      <w:lvlJc w:val="left"/>
      <w:pPr>
        <w:ind w:left="720" w:hanging="360"/>
      </w:pPr>
    </w:lvl>
    <w:lvl w:ilvl="1" w:tplc="2BF854C2" w:tentative="1">
      <w:start w:val="1"/>
      <w:numFmt w:val="lowerLetter"/>
      <w:lvlText w:val="%2."/>
      <w:lvlJc w:val="left"/>
      <w:pPr>
        <w:ind w:left="1440" w:hanging="360"/>
      </w:pPr>
    </w:lvl>
    <w:lvl w:ilvl="2" w:tplc="1C3EE3DC" w:tentative="1">
      <w:start w:val="1"/>
      <w:numFmt w:val="lowerRoman"/>
      <w:lvlText w:val="%3."/>
      <w:lvlJc w:val="right"/>
      <w:pPr>
        <w:ind w:left="2160" w:hanging="180"/>
      </w:pPr>
    </w:lvl>
    <w:lvl w:ilvl="3" w:tplc="F358383C" w:tentative="1">
      <w:start w:val="1"/>
      <w:numFmt w:val="decimal"/>
      <w:lvlText w:val="%4."/>
      <w:lvlJc w:val="left"/>
      <w:pPr>
        <w:ind w:left="2880" w:hanging="360"/>
      </w:pPr>
    </w:lvl>
    <w:lvl w:ilvl="4" w:tplc="C5C00BFA" w:tentative="1">
      <w:start w:val="1"/>
      <w:numFmt w:val="lowerLetter"/>
      <w:lvlText w:val="%5."/>
      <w:lvlJc w:val="left"/>
      <w:pPr>
        <w:ind w:left="3600" w:hanging="360"/>
      </w:pPr>
    </w:lvl>
    <w:lvl w:ilvl="5" w:tplc="E60C062E" w:tentative="1">
      <w:start w:val="1"/>
      <w:numFmt w:val="lowerRoman"/>
      <w:lvlText w:val="%6."/>
      <w:lvlJc w:val="right"/>
      <w:pPr>
        <w:ind w:left="4320" w:hanging="180"/>
      </w:pPr>
    </w:lvl>
    <w:lvl w:ilvl="6" w:tplc="608EB664" w:tentative="1">
      <w:start w:val="1"/>
      <w:numFmt w:val="decimal"/>
      <w:lvlText w:val="%7."/>
      <w:lvlJc w:val="left"/>
      <w:pPr>
        <w:ind w:left="5040" w:hanging="360"/>
      </w:pPr>
    </w:lvl>
    <w:lvl w:ilvl="7" w:tplc="8F264B5E" w:tentative="1">
      <w:start w:val="1"/>
      <w:numFmt w:val="lowerLetter"/>
      <w:lvlText w:val="%8."/>
      <w:lvlJc w:val="left"/>
      <w:pPr>
        <w:ind w:left="5760" w:hanging="360"/>
      </w:pPr>
    </w:lvl>
    <w:lvl w:ilvl="8" w:tplc="BE762522" w:tentative="1">
      <w:start w:val="1"/>
      <w:numFmt w:val="lowerRoman"/>
      <w:lvlText w:val="%9."/>
      <w:lvlJc w:val="right"/>
      <w:pPr>
        <w:ind w:left="6480" w:hanging="180"/>
      </w:pPr>
    </w:lvl>
  </w:abstractNum>
  <w:num w:numId="1" w16cid:durableId="135800539">
    <w:abstractNumId w:val="1"/>
  </w:num>
  <w:num w:numId="2" w16cid:durableId="783038163">
    <w:abstractNumId w:val="2"/>
  </w:num>
  <w:num w:numId="3" w16cid:durableId="2025473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049"/>
    <w:rsid w:val="00000FAC"/>
    <w:rsid w:val="000179E4"/>
    <w:rsid w:val="00017ED4"/>
    <w:rsid w:val="001065DA"/>
    <w:rsid w:val="00113234"/>
    <w:rsid w:val="001414B3"/>
    <w:rsid w:val="0014323D"/>
    <w:rsid w:val="0016118C"/>
    <w:rsid w:val="00194C9A"/>
    <w:rsid w:val="001B1D9D"/>
    <w:rsid w:val="001F7A76"/>
    <w:rsid w:val="002041A2"/>
    <w:rsid w:val="002118B2"/>
    <w:rsid w:val="002277AD"/>
    <w:rsid w:val="00234797"/>
    <w:rsid w:val="00256EC6"/>
    <w:rsid w:val="002D2DEE"/>
    <w:rsid w:val="00312A99"/>
    <w:rsid w:val="00345AAD"/>
    <w:rsid w:val="00352258"/>
    <w:rsid w:val="00356B13"/>
    <w:rsid w:val="003A4A2E"/>
    <w:rsid w:val="003A682F"/>
    <w:rsid w:val="003B2F9F"/>
    <w:rsid w:val="003D4FBB"/>
    <w:rsid w:val="00407093"/>
    <w:rsid w:val="00410B93"/>
    <w:rsid w:val="004307DE"/>
    <w:rsid w:val="00487335"/>
    <w:rsid w:val="004D4503"/>
    <w:rsid w:val="004E058D"/>
    <w:rsid w:val="004E2916"/>
    <w:rsid w:val="004F61E9"/>
    <w:rsid w:val="00500735"/>
    <w:rsid w:val="00551F0D"/>
    <w:rsid w:val="005C3D5A"/>
    <w:rsid w:val="006A5B82"/>
    <w:rsid w:val="006A620F"/>
    <w:rsid w:val="006C6379"/>
    <w:rsid w:val="006D34D7"/>
    <w:rsid w:val="006F2B2A"/>
    <w:rsid w:val="006F3CD1"/>
    <w:rsid w:val="006F5C06"/>
    <w:rsid w:val="007007B6"/>
    <w:rsid w:val="00714EF7"/>
    <w:rsid w:val="00780DF8"/>
    <w:rsid w:val="007C3336"/>
    <w:rsid w:val="007E74B8"/>
    <w:rsid w:val="007F0892"/>
    <w:rsid w:val="0081570E"/>
    <w:rsid w:val="0087735E"/>
    <w:rsid w:val="00884A0C"/>
    <w:rsid w:val="008A0CB4"/>
    <w:rsid w:val="008C1C55"/>
    <w:rsid w:val="008E2C2D"/>
    <w:rsid w:val="00920418"/>
    <w:rsid w:val="00926049"/>
    <w:rsid w:val="009311F8"/>
    <w:rsid w:val="0098291C"/>
    <w:rsid w:val="009E4D5B"/>
    <w:rsid w:val="009F4C89"/>
    <w:rsid w:val="00A14D1D"/>
    <w:rsid w:val="00A24A2A"/>
    <w:rsid w:val="00A25104"/>
    <w:rsid w:val="00A34E7E"/>
    <w:rsid w:val="00A81236"/>
    <w:rsid w:val="00A941EA"/>
    <w:rsid w:val="00AD78C5"/>
    <w:rsid w:val="00B500A1"/>
    <w:rsid w:val="00B51980"/>
    <w:rsid w:val="00BB7A38"/>
    <w:rsid w:val="00BD0192"/>
    <w:rsid w:val="00BD3F08"/>
    <w:rsid w:val="00BE6A7D"/>
    <w:rsid w:val="00BF4A3A"/>
    <w:rsid w:val="00C60BA4"/>
    <w:rsid w:val="00D14DFB"/>
    <w:rsid w:val="00D431ED"/>
    <w:rsid w:val="00D472AB"/>
    <w:rsid w:val="00D611D8"/>
    <w:rsid w:val="00D62296"/>
    <w:rsid w:val="00DD15A6"/>
    <w:rsid w:val="00E12A5D"/>
    <w:rsid w:val="00E13EEF"/>
    <w:rsid w:val="00E23EFF"/>
    <w:rsid w:val="00E458A8"/>
    <w:rsid w:val="00E7360E"/>
    <w:rsid w:val="00E80D52"/>
    <w:rsid w:val="00E9444B"/>
    <w:rsid w:val="00E969C3"/>
    <w:rsid w:val="00EB2835"/>
    <w:rsid w:val="00EF528C"/>
    <w:rsid w:val="00EF6E68"/>
    <w:rsid w:val="00F008B0"/>
    <w:rsid w:val="00F31629"/>
    <w:rsid w:val="00F81782"/>
    <w:rsid w:val="00FC567D"/>
    <w:rsid w:val="00FF3A0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6D83C"/>
  <w15:chartTrackingRefBased/>
  <w15:docId w15:val="{7627CAF7-290B-4651-BB95-BC0982A91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817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1782"/>
    <w:rPr>
      <w:sz w:val="20"/>
      <w:szCs w:val="20"/>
    </w:rPr>
  </w:style>
  <w:style w:type="character" w:styleId="FootnoteReference">
    <w:name w:val="footnote reference"/>
    <w:basedOn w:val="DefaultParagraphFont"/>
    <w:uiPriority w:val="99"/>
    <w:semiHidden/>
    <w:unhideWhenUsed/>
    <w:rsid w:val="00F81782"/>
    <w:rPr>
      <w:vertAlign w:val="superscript"/>
    </w:rPr>
  </w:style>
  <w:style w:type="paragraph" w:styleId="Header">
    <w:name w:val="header"/>
    <w:basedOn w:val="Normal"/>
    <w:link w:val="HeaderChar"/>
    <w:uiPriority w:val="99"/>
    <w:unhideWhenUsed/>
    <w:rsid w:val="004F61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61E9"/>
  </w:style>
  <w:style w:type="paragraph" w:styleId="Footer">
    <w:name w:val="footer"/>
    <w:basedOn w:val="Normal"/>
    <w:link w:val="FooterChar"/>
    <w:uiPriority w:val="99"/>
    <w:unhideWhenUsed/>
    <w:rsid w:val="004F61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1E9"/>
  </w:style>
  <w:style w:type="character" w:styleId="Hyperlink">
    <w:name w:val="Hyperlink"/>
    <w:basedOn w:val="DefaultParagraphFont"/>
    <w:uiPriority w:val="99"/>
    <w:unhideWhenUsed/>
    <w:rsid w:val="008A0CB4"/>
    <w:rPr>
      <w:color w:val="0563C1" w:themeColor="hyperlink"/>
      <w:u w:val="single"/>
    </w:rPr>
  </w:style>
  <w:style w:type="character" w:styleId="UnresolvedMention">
    <w:name w:val="Unresolved Mention"/>
    <w:basedOn w:val="DefaultParagraphFont"/>
    <w:uiPriority w:val="99"/>
    <w:semiHidden/>
    <w:unhideWhenUsed/>
    <w:rsid w:val="008A0CB4"/>
    <w:rPr>
      <w:color w:val="605E5C"/>
      <w:shd w:val="clear" w:color="auto" w:fill="E1DFDD"/>
    </w:rPr>
  </w:style>
  <w:style w:type="paragraph" w:styleId="NormalWeb">
    <w:name w:val="Normal (Web)"/>
    <w:basedOn w:val="Normal"/>
    <w:uiPriority w:val="99"/>
    <w:unhideWhenUsed/>
    <w:rsid w:val="00FC567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A682F"/>
    <w:pPr>
      <w:spacing w:line="278" w:lineRule="auto"/>
      <w:ind w:left="720"/>
      <w:contextualSpacing/>
    </w:pPr>
    <w:rPr>
      <w:kern w:val="2"/>
      <w:sz w:val="24"/>
      <w:szCs w:val="24"/>
      <w14:ligatures w14:val="standardContextual"/>
    </w:rPr>
  </w:style>
  <w:style w:type="table" w:styleId="TableGrid">
    <w:name w:val="Table Grid"/>
    <w:basedOn w:val="TableNormal"/>
    <w:uiPriority w:val="59"/>
    <w:rsid w:val="00234797"/>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3390/educsci13070746" TargetMode="External"/><Relationship Id="rId18" Type="http://schemas.openxmlformats.org/officeDocument/2006/relationships/hyperlink" Target="https://doi.org/10.1080/23311975.2025.2478447"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1016/j.jsis.2023.101756" TargetMode="External"/><Relationship Id="rId7" Type="http://schemas.openxmlformats.org/officeDocument/2006/relationships/endnotes" Target="endnotes.xml"/><Relationship Id="rId12" Type="http://schemas.openxmlformats.org/officeDocument/2006/relationships/hyperlink" Target="https://doi.org/10.1016/j.landusepol.2026.107941" TargetMode="External"/><Relationship Id="rId17" Type="http://schemas.openxmlformats.org/officeDocument/2006/relationships/hyperlink" Target="https://doi.org/10.3389/feduc.2025.1690451" TargetMode="External"/><Relationship Id="rId25" Type="http://schemas.openxmlformats.org/officeDocument/2006/relationships/hyperlink" Target="https://doi.org/10.1108/cemj-11-2024-0346" TargetMode="External"/><Relationship Id="rId2" Type="http://schemas.openxmlformats.org/officeDocument/2006/relationships/numbering" Target="numbering.xml"/><Relationship Id="rId16" Type="http://schemas.openxmlformats.org/officeDocument/2006/relationships/hyperlink" Target="https://doi.org/10.1016/j.plas.2024.100172" TargetMode="External"/><Relationship Id="rId20" Type="http://schemas.openxmlformats.org/officeDocument/2006/relationships/hyperlink" Target="https://doi.org/10.1017/jmo.2024.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app16020833" TargetMode="External"/><Relationship Id="rId24" Type="http://schemas.openxmlformats.org/officeDocument/2006/relationships/hyperlink" Target="https://doi.org/10.1007/978-3-030-55878-9_13" TargetMode="External"/><Relationship Id="rId5" Type="http://schemas.openxmlformats.org/officeDocument/2006/relationships/webSettings" Target="webSettings.xml"/><Relationship Id="rId15" Type="http://schemas.openxmlformats.org/officeDocument/2006/relationships/hyperlink" Target="https://doi.org/10.3390/su18031473" TargetMode="External"/><Relationship Id="rId23" Type="http://schemas.openxmlformats.org/officeDocument/2006/relationships/hyperlink" Target="https://doi.org/10.3390/admsci15020043" TargetMode="External"/><Relationship Id="rId28" Type="http://schemas.openxmlformats.org/officeDocument/2006/relationships/theme" Target="theme/theme1.xml"/><Relationship Id="rId10" Type="http://schemas.openxmlformats.org/officeDocument/2006/relationships/hyperlink" Target="https://doi.org/10.1080/23311975.2024.2375623" TargetMode="External"/><Relationship Id="rId19" Type="http://schemas.openxmlformats.org/officeDocument/2006/relationships/hyperlink" Target="https://doi.org/10.3390/admsci1601005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jrfm19020102" TargetMode="External"/><Relationship Id="rId22" Type="http://schemas.openxmlformats.org/officeDocument/2006/relationships/hyperlink" Target="https://doi.org/10.3389/fpsyg.2025.155190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9B7E10-2E15-4F7D-8F62-786D68F28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Pages>
  <Words>4928</Words>
  <Characters>28093</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hamad al-jorani</cp:lastModifiedBy>
  <cp:revision>6</cp:revision>
  <dcterms:created xsi:type="dcterms:W3CDTF">2026-03-02T22:21:00Z</dcterms:created>
  <dcterms:modified xsi:type="dcterms:W3CDTF">2026-03-08T01:18:00Z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065afee3-e79b-4939-aa02-5dde2904f291</vt:lpwstr>
  </property>
</Properties>
</file>