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B74BE8" w14:textId="77777777" w:rsidR="00652F86" w:rsidRDefault="00652F86" w:rsidP="00652F86">
      <w:pPr>
        <w:spacing w:after="165" w:line="360" w:lineRule="auto"/>
        <w:rPr>
          <w:rFonts w:ascii="Tahoma" w:eastAsia="Tahoma" w:hAnsi="Tahoma" w:cs="Tahoma"/>
          <w:color w:val="000000"/>
          <w:sz w:val="40"/>
          <w:szCs w:val="40"/>
        </w:rPr>
      </w:pPr>
      <w:r>
        <w:rPr>
          <w:b/>
          <w:noProof/>
          <w:sz w:val="21"/>
        </w:rPr>
        <w:drawing>
          <wp:inline distT="0" distB="0" distL="0" distR="0" wp14:anchorId="242D1827" wp14:editId="710459D2">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4"/>
                    <a:srcRect/>
                    <a:stretch>
                      <a:fillRect/>
                    </a:stretch>
                  </pic:blipFill>
                  <pic:spPr>
                    <a:xfrm>
                      <a:off x="0" y="0"/>
                      <a:ext cx="2209800" cy="742950"/>
                    </a:xfrm>
                    <a:prstGeom prst="rect">
                      <a:avLst/>
                    </a:prstGeom>
                    <a:ln/>
                  </pic:spPr>
                </pic:pic>
              </a:graphicData>
            </a:graphic>
          </wp:inline>
        </w:drawing>
      </w:r>
    </w:p>
    <w:p w14:paraId="72E7E1EA" w14:textId="77777777" w:rsidR="00652F86" w:rsidRDefault="00652F86" w:rsidP="00652F86">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652F86" w14:paraId="411B91ED" w14:textId="77777777" w:rsidTr="00B66176">
        <w:tc>
          <w:tcPr>
            <w:tcW w:w="3438" w:type="dxa"/>
            <w:shd w:val="clear" w:color="auto" w:fill="D9D9D9"/>
          </w:tcPr>
          <w:p w14:paraId="44D2B7A8" w14:textId="77777777" w:rsidR="00652F86" w:rsidRDefault="00652F86" w:rsidP="00B66176">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62DC865D" w14:textId="77777777" w:rsidR="00652F86" w:rsidRDefault="00652F86" w:rsidP="00B66176">
            <w:pPr>
              <w:spacing w:before="120" w:after="120" w:line="360" w:lineRule="auto"/>
              <w:rPr>
                <w:rFonts w:ascii="Tahoma" w:eastAsia="Tahoma" w:hAnsi="Tahoma" w:cs="Tahoma"/>
                <w:sz w:val="32"/>
                <w:szCs w:val="32"/>
              </w:rPr>
            </w:pPr>
            <w:r>
              <w:rPr>
                <w:rFonts w:ascii="Tahoma" w:eastAsia="Tahoma" w:hAnsi="Tahoma" w:cs="Tahoma"/>
                <w:sz w:val="32"/>
                <w:szCs w:val="32"/>
              </w:rPr>
              <w:t>Demi Mainwaring</w:t>
            </w:r>
          </w:p>
        </w:tc>
      </w:tr>
      <w:tr w:rsidR="00652F86" w14:paraId="2FAD88E6" w14:textId="77777777" w:rsidTr="00B66176">
        <w:tc>
          <w:tcPr>
            <w:tcW w:w="3438" w:type="dxa"/>
            <w:shd w:val="clear" w:color="auto" w:fill="D9D9D9"/>
          </w:tcPr>
          <w:p w14:paraId="59B9F967" w14:textId="77777777" w:rsidR="00652F86" w:rsidRDefault="00652F86" w:rsidP="00B66176">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4EA1C91F" w14:textId="77777777" w:rsidR="00652F86" w:rsidRDefault="00652F86" w:rsidP="00B66176">
            <w:pPr>
              <w:spacing w:before="120" w:after="120" w:line="360" w:lineRule="auto"/>
              <w:rPr>
                <w:rFonts w:ascii="Tahoma" w:eastAsia="Tahoma" w:hAnsi="Tahoma" w:cs="Tahoma"/>
                <w:sz w:val="32"/>
                <w:szCs w:val="32"/>
              </w:rPr>
            </w:pPr>
            <w:r>
              <w:rPr>
                <w:rFonts w:ascii="Tahoma" w:eastAsia="Tahoma" w:hAnsi="Tahoma" w:cs="Tahoma"/>
                <w:sz w:val="32"/>
                <w:szCs w:val="32"/>
              </w:rPr>
              <w:t>2503835</w:t>
            </w:r>
          </w:p>
        </w:tc>
      </w:tr>
      <w:tr w:rsidR="00652F86" w14:paraId="40472D16" w14:textId="77777777" w:rsidTr="00B66176">
        <w:tc>
          <w:tcPr>
            <w:tcW w:w="3438" w:type="dxa"/>
            <w:shd w:val="clear" w:color="auto" w:fill="D9D9D9"/>
          </w:tcPr>
          <w:p w14:paraId="2F69A2D7" w14:textId="77777777" w:rsidR="00652F86" w:rsidRDefault="00652F86" w:rsidP="00B66176">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0298F04B" w14:textId="77777777" w:rsidR="00652F86" w:rsidRDefault="00652F86" w:rsidP="00B66176">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BMSK4014</w:t>
            </w:r>
          </w:p>
        </w:tc>
      </w:tr>
      <w:tr w:rsidR="00652F86" w14:paraId="713E90F7" w14:textId="77777777" w:rsidTr="00B66176">
        <w:trPr>
          <w:trHeight w:val="413"/>
        </w:trPr>
        <w:tc>
          <w:tcPr>
            <w:tcW w:w="3438" w:type="dxa"/>
            <w:shd w:val="clear" w:color="auto" w:fill="D9D9D9"/>
          </w:tcPr>
          <w:p w14:paraId="0599758C" w14:textId="77777777" w:rsidR="00652F86" w:rsidRDefault="00652F86" w:rsidP="00B66176">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6B3F2A16" w14:textId="77777777" w:rsidR="00652F86" w:rsidRDefault="00652F86" w:rsidP="00B66176">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 xml:space="preserve">Problem Solving and Decision Making </w:t>
            </w:r>
          </w:p>
        </w:tc>
      </w:tr>
    </w:tbl>
    <w:p w14:paraId="084C410E" w14:textId="77777777" w:rsidR="00652F86" w:rsidRDefault="00652F86" w:rsidP="00652F86">
      <w:pPr>
        <w:spacing w:before="120" w:after="120" w:line="360" w:lineRule="auto"/>
        <w:rPr>
          <w:color w:val="FF0000"/>
        </w:rPr>
      </w:pPr>
    </w:p>
    <w:p w14:paraId="70686A29" w14:textId="77777777" w:rsidR="00652F86" w:rsidRDefault="00652F86" w:rsidP="00652F86">
      <w:pPr>
        <w:spacing w:before="120" w:after="120" w:line="360" w:lineRule="auto"/>
        <w:rPr>
          <w:rFonts w:ascii="Tahoma" w:eastAsia="Tahoma" w:hAnsi="Tahoma" w:cs="Tahoma"/>
          <w:b/>
          <w:color w:val="000000"/>
        </w:rPr>
      </w:pPr>
      <w:r>
        <w:rPr>
          <w:rFonts w:ascii="Tahoma" w:eastAsia="Tahoma" w:hAnsi="Tahoma" w:cs="Tahoma"/>
          <w:b/>
          <w:color w:val="000000"/>
          <w:sz w:val="21"/>
        </w:rPr>
        <w:t>Statement of Confirmation of Authenticity</w:t>
      </w:r>
    </w:p>
    <w:p w14:paraId="70BD89F2" w14:textId="77777777" w:rsidR="00652F86" w:rsidRPr="00F867C0" w:rsidRDefault="00652F86" w:rsidP="00652F86">
      <w:pPr>
        <w:spacing w:before="120" w:after="120" w:line="360" w:lineRule="auto"/>
        <w:rPr>
          <w:rFonts w:ascii="Tahoma" w:eastAsia="Tahoma" w:hAnsi="Tahoma" w:cs="Tahoma"/>
          <w:color w:val="000000"/>
        </w:rPr>
      </w:pPr>
      <w:r w:rsidRPr="00F867C0">
        <w:rPr>
          <w:rFonts w:ascii="Tahoma" w:eastAsia="Tahoma" w:hAnsi="Tahoma" w:cs="Tahoma"/>
          <w:color w:val="000000"/>
          <w:sz w:val="21"/>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2620E36" w14:textId="77777777" w:rsidR="00652F86" w:rsidRDefault="00652F86" w:rsidP="00652F86">
      <w:pPr>
        <w:spacing w:before="120" w:after="120" w:line="360" w:lineRule="auto"/>
        <w:rPr>
          <w:rFonts w:ascii="Tahoma" w:eastAsia="Tahoma" w:hAnsi="Tahoma" w:cs="Tahoma"/>
          <w:color w:val="000000"/>
          <w:sz w:val="21"/>
        </w:rPr>
      </w:pPr>
      <w:r w:rsidRPr="00F867C0">
        <w:rPr>
          <w:rFonts w:ascii="Tahoma" w:eastAsia="Tahoma" w:hAnsi="Tahoma" w:cs="Tahoma"/>
          <w:color w:val="000000"/>
          <w:sz w:val="21"/>
        </w:rPr>
        <w:t>Attention is drawn to the plagiarism and unfair practice policies of both the University and of ILM.</w:t>
      </w:r>
    </w:p>
    <w:p w14:paraId="0565529C" w14:textId="77777777" w:rsidR="003B2CEE" w:rsidRDefault="003B2CEE" w:rsidP="00652F86">
      <w:pPr>
        <w:spacing w:before="120" w:after="120" w:line="360" w:lineRule="auto"/>
        <w:rPr>
          <w:rFonts w:ascii="Tahoma" w:eastAsia="Tahoma" w:hAnsi="Tahoma" w:cs="Tahoma"/>
          <w:color w:val="000000"/>
          <w:sz w:val="21"/>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61"/>
        <w:gridCol w:w="5384"/>
      </w:tblGrid>
      <w:tr w:rsidR="003B2CEE" w:rsidRPr="003B2CEE" w14:paraId="521CD3AC" w14:textId="77777777">
        <w:trPr>
          <w:tblHeader/>
          <w:tblCellSpacing w:w="15" w:type="dxa"/>
        </w:trPr>
        <w:tc>
          <w:tcPr>
            <w:tcW w:w="0" w:type="auto"/>
            <w:vAlign w:val="center"/>
            <w:hideMark/>
          </w:tcPr>
          <w:p w14:paraId="5840B753" w14:textId="69908206" w:rsidR="003B2CEE" w:rsidRPr="003B2CEE" w:rsidRDefault="003B2CEE" w:rsidP="003B2CEE">
            <w:pPr>
              <w:spacing w:before="120" w:after="120" w:line="360" w:lineRule="auto"/>
              <w:rPr>
                <w:rFonts w:ascii="Tahoma" w:eastAsia="Tahoma" w:hAnsi="Tahoma" w:cs="Tahoma"/>
                <w:b/>
                <w:bCs/>
                <w:color w:val="000000"/>
              </w:rPr>
            </w:pPr>
            <w:r>
              <w:rPr>
                <w:rFonts w:ascii="Tahoma" w:eastAsia="Tahoma" w:hAnsi="Tahoma" w:cs="Tahoma"/>
                <w:b/>
                <w:bCs/>
                <w:color w:val="000000"/>
              </w:rPr>
              <w:t>Table of contents</w:t>
            </w:r>
          </w:p>
        </w:tc>
        <w:tc>
          <w:tcPr>
            <w:tcW w:w="0" w:type="auto"/>
            <w:vAlign w:val="center"/>
            <w:hideMark/>
          </w:tcPr>
          <w:p w14:paraId="45C5D8D9" w14:textId="67D914B1" w:rsidR="003B2CEE" w:rsidRPr="003B2CEE" w:rsidRDefault="003B2CEE" w:rsidP="003B2CEE">
            <w:pPr>
              <w:spacing w:before="120" w:after="120" w:line="360" w:lineRule="auto"/>
              <w:rPr>
                <w:rFonts w:ascii="Tahoma" w:eastAsia="Tahoma" w:hAnsi="Tahoma" w:cs="Tahoma"/>
                <w:b/>
                <w:bCs/>
                <w:color w:val="000000"/>
              </w:rPr>
            </w:pPr>
          </w:p>
        </w:tc>
      </w:tr>
      <w:tr w:rsidR="003B2CEE" w:rsidRPr="003B2CEE" w14:paraId="744B44D9" w14:textId="77777777">
        <w:trPr>
          <w:tblCellSpacing w:w="15" w:type="dxa"/>
        </w:trPr>
        <w:tc>
          <w:tcPr>
            <w:tcW w:w="0" w:type="auto"/>
            <w:vAlign w:val="center"/>
            <w:hideMark/>
          </w:tcPr>
          <w:p w14:paraId="36F15B55" w14:textId="77777777" w:rsidR="003B2CEE" w:rsidRPr="003B2CEE" w:rsidRDefault="003B2CEE" w:rsidP="003B2CEE">
            <w:pPr>
              <w:spacing w:before="120" w:after="120" w:line="360" w:lineRule="auto"/>
              <w:rPr>
                <w:rFonts w:ascii="Tahoma" w:eastAsia="Tahoma" w:hAnsi="Tahoma" w:cs="Tahoma"/>
                <w:color w:val="000000"/>
              </w:rPr>
            </w:pPr>
            <w:r w:rsidRPr="003B2CEE">
              <w:rPr>
                <w:rFonts w:ascii="Tahoma" w:eastAsia="Tahoma" w:hAnsi="Tahoma" w:cs="Tahoma"/>
                <w:b/>
                <w:bCs/>
                <w:color w:val="000000"/>
              </w:rPr>
              <w:t>1.0</w:t>
            </w:r>
          </w:p>
        </w:tc>
        <w:tc>
          <w:tcPr>
            <w:tcW w:w="0" w:type="auto"/>
            <w:vAlign w:val="center"/>
            <w:hideMark/>
          </w:tcPr>
          <w:p w14:paraId="64498A4B" w14:textId="77777777" w:rsidR="003B2CEE" w:rsidRPr="003B2CEE" w:rsidRDefault="003B2CEE" w:rsidP="003B2CEE">
            <w:pPr>
              <w:spacing w:before="120" w:after="120" w:line="360" w:lineRule="auto"/>
              <w:rPr>
                <w:rFonts w:ascii="Tahoma" w:eastAsia="Tahoma" w:hAnsi="Tahoma" w:cs="Tahoma"/>
                <w:color w:val="000000"/>
              </w:rPr>
            </w:pPr>
            <w:r w:rsidRPr="003B2CEE">
              <w:rPr>
                <w:rFonts w:ascii="Tahoma" w:eastAsia="Tahoma" w:hAnsi="Tahoma" w:cs="Tahoma"/>
                <w:color w:val="000000"/>
              </w:rPr>
              <w:t>Defining the Complex Workplace Problem</w:t>
            </w:r>
          </w:p>
        </w:tc>
      </w:tr>
      <w:tr w:rsidR="003B2CEE" w:rsidRPr="003B2CEE" w14:paraId="7B3098BB" w14:textId="77777777">
        <w:trPr>
          <w:tblCellSpacing w:w="15" w:type="dxa"/>
        </w:trPr>
        <w:tc>
          <w:tcPr>
            <w:tcW w:w="0" w:type="auto"/>
            <w:vAlign w:val="center"/>
            <w:hideMark/>
          </w:tcPr>
          <w:p w14:paraId="069D1E5D" w14:textId="77777777" w:rsidR="003B2CEE" w:rsidRPr="003B2CEE" w:rsidRDefault="003B2CEE" w:rsidP="003B2CEE">
            <w:pPr>
              <w:spacing w:before="120" w:after="120" w:line="360" w:lineRule="auto"/>
              <w:rPr>
                <w:rFonts w:ascii="Tahoma" w:eastAsia="Tahoma" w:hAnsi="Tahoma" w:cs="Tahoma"/>
                <w:color w:val="000000"/>
              </w:rPr>
            </w:pPr>
            <w:r w:rsidRPr="003B2CEE">
              <w:rPr>
                <w:rFonts w:ascii="Tahoma" w:eastAsia="Tahoma" w:hAnsi="Tahoma" w:cs="Tahoma"/>
                <w:b/>
                <w:bCs/>
                <w:color w:val="000000"/>
              </w:rPr>
              <w:t>2.0</w:t>
            </w:r>
          </w:p>
        </w:tc>
        <w:tc>
          <w:tcPr>
            <w:tcW w:w="0" w:type="auto"/>
            <w:vAlign w:val="center"/>
            <w:hideMark/>
          </w:tcPr>
          <w:p w14:paraId="54A28E0E" w14:textId="77777777" w:rsidR="003B2CEE" w:rsidRPr="003B2CEE" w:rsidRDefault="003B2CEE" w:rsidP="003B2CEE">
            <w:pPr>
              <w:spacing w:before="120" w:after="120" w:line="360" w:lineRule="auto"/>
              <w:rPr>
                <w:rFonts w:ascii="Tahoma" w:eastAsia="Tahoma" w:hAnsi="Tahoma" w:cs="Tahoma"/>
                <w:color w:val="000000"/>
              </w:rPr>
            </w:pPr>
            <w:r w:rsidRPr="003B2CEE">
              <w:rPr>
                <w:rFonts w:ascii="Tahoma" w:eastAsia="Tahoma" w:hAnsi="Tahoma" w:cs="Tahoma"/>
                <w:color w:val="000000"/>
              </w:rPr>
              <w:t>Analysis of Information to Inform Decision Making</w:t>
            </w:r>
          </w:p>
        </w:tc>
      </w:tr>
      <w:tr w:rsidR="003B2CEE" w:rsidRPr="003B2CEE" w14:paraId="58590AE2" w14:textId="77777777">
        <w:trPr>
          <w:tblCellSpacing w:w="15" w:type="dxa"/>
        </w:trPr>
        <w:tc>
          <w:tcPr>
            <w:tcW w:w="0" w:type="auto"/>
            <w:vAlign w:val="center"/>
            <w:hideMark/>
          </w:tcPr>
          <w:p w14:paraId="1260427C" w14:textId="77777777" w:rsidR="003B2CEE" w:rsidRPr="003B2CEE" w:rsidRDefault="003B2CEE" w:rsidP="003B2CEE">
            <w:pPr>
              <w:spacing w:before="120" w:after="120" w:line="360" w:lineRule="auto"/>
              <w:rPr>
                <w:rFonts w:ascii="Tahoma" w:eastAsia="Tahoma" w:hAnsi="Tahoma" w:cs="Tahoma"/>
                <w:color w:val="000000"/>
              </w:rPr>
            </w:pPr>
            <w:r w:rsidRPr="003B2CEE">
              <w:rPr>
                <w:rFonts w:ascii="Tahoma" w:eastAsia="Tahoma" w:hAnsi="Tahoma" w:cs="Tahoma"/>
                <w:b/>
                <w:bCs/>
                <w:color w:val="000000"/>
              </w:rPr>
              <w:t>2.1</w:t>
            </w:r>
          </w:p>
        </w:tc>
        <w:tc>
          <w:tcPr>
            <w:tcW w:w="0" w:type="auto"/>
            <w:vAlign w:val="center"/>
            <w:hideMark/>
          </w:tcPr>
          <w:p w14:paraId="11E34EF7" w14:textId="77777777" w:rsidR="003B2CEE" w:rsidRPr="003B2CEE" w:rsidRDefault="003B2CEE" w:rsidP="003B2CEE">
            <w:pPr>
              <w:spacing w:before="120" w:after="120" w:line="360" w:lineRule="auto"/>
              <w:rPr>
                <w:rFonts w:ascii="Tahoma" w:eastAsia="Tahoma" w:hAnsi="Tahoma" w:cs="Tahoma"/>
                <w:color w:val="000000"/>
              </w:rPr>
            </w:pPr>
            <w:r w:rsidRPr="003B2CEE">
              <w:rPr>
                <w:rFonts w:ascii="Tahoma" w:eastAsia="Tahoma" w:hAnsi="Tahoma" w:cs="Tahoma"/>
                <w:color w:val="000000"/>
              </w:rPr>
              <w:t>5 Whys Root-Cause Analysis</w:t>
            </w:r>
          </w:p>
        </w:tc>
      </w:tr>
      <w:tr w:rsidR="003B2CEE" w:rsidRPr="003B2CEE" w14:paraId="1AAD2F81" w14:textId="77777777">
        <w:trPr>
          <w:tblCellSpacing w:w="15" w:type="dxa"/>
        </w:trPr>
        <w:tc>
          <w:tcPr>
            <w:tcW w:w="0" w:type="auto"/>
            <w:vAlign w:val="center"/>
            <w:hideMark/>
          </w:tcPr>
          <w:p w14:paraId="6B035FEF" w14:textId="77777777" w:rsidR="003B2CEE" w:rsidRPr="003B2CEE" w:rsidRDefault="003B2CEE" w:rsidP="003B2CEE">
            <w:pPr>
              <w:spacing w:before="120" w:after="120" w:line="360" w:lineRule="auto"/>
              <w:rPr>
                <w:rFonts w:ascii="Tahoma" w:eastAsia="Tahoma" w:hAnsi="Tahoma" w:cs="Tahoma"/>
                <w:color w:val="000000"/>
              </w:rPr>
            </w:pPr>
            <w:r w:rsidRPr="003B2CEE">
              <w:rPr>
                <w:rFonts w:ascii="Tahoma" w:eastAsia="Tahoma" w:hAnsi="Tahoma" w:cs="Tahoma"/>
                <w:b/>
                <w:bCs/>
                <w:color w:val="000000"/>
              </w:rPr>
              <w:t>2.2</w:t>
            </w:r>
          </w:p>
        </w:tc>
        <w:tc>
          <w:tcPr>
            <w:tcW w:w="0" w:type="auto"/>
            <w:vAlign w:val="center"/>
            <w:hideMark/>
          </w:tcPr>
          <w:p w14:paraId="7B8439E0" w14:textId="77777777" w:rsidR="003B2CEE" w:rsidRPr="003B2CEE" w:rsidRDefault="003B2CEE" w:rsidP="003B2CEE">
            <w:pPr>
              <w:spacing w:before="120" w:after="120" w:line="360" w:lineRule="auto"/>
              <w:rPr>
                <w:rFonts w:ascii="Tahoma" w:eastAsia="Tahoma" w:hAnsi="Tahoma" w:cs="Tahoma"/>
                <w:color w:val="000000"/>
              </w:rPr>
            </w:pPr>
            <w:r w:rsidRPr="003B2CEE">
              <w:rPr>
                <w:rFonts w:ascii="Tahoma" w:eastAsia="Tahoma" w:hAnsi="Tahoma" w:cs="Tahoma"/>
                <w:color w:val="000000"/>
              </w:rPr>
              <w:t>Ishikawa (Fishbone) Analysis</w:t>
            </w:r>
          </w:p>
        </w:tc>
      </w:tr>
      <w:tr w:rsidR="003B2CEE" w:rsidRPr="003B2CEE" w14:paraId="4D2527EE" w14:textId="77777777">
        <w:trPr>
          <w:tblCellSpacing w:w="15" w:type="dxa"/>
        </w:trPr>
        <w:tc>
          <w:tcPr>
            <w:tcW w:w="0" w:type="auto"/>
            <w:vAlign w:val="center"/>
            <w:hideMark/>
          </w:tcPr>
          <w:p w14:paraId="01041559" w14:textId="77777777" w:rsidR="003B2CEE" w:rsidRPr="003B2CEE" w:rsidRDefault="003B2CEE" w:rsidP="003B2CEE">
            <w:pPr>
              <w:spacing w:before="120" w:after="120" w:line="360" w:lineRule="auto"/>
              <w:rPr>
                <w:rFonts w:ascii="Tahoma" w:eastAsia="Tahoma" w:hAnsi="Tahoma" w:cs="Tahoma"/>
                <w:color w:val="000000"/>
              </w:rPr>
            </w:pPr>
            <w:r w:rsidRPr="003B2CEE">
              <w:rPr>
                <w:rFonts w:ascii="Tahoma" w:eastAsia="Tahoma" w:hAnsi="Tahoma" w:cs="Tahoma"/>
                <w:b/>
                <w:bCs/>
                <w:color w:val="000000"/>
              </w:rPr>
              <w:t>3.0</w:t>
            </w:r>
          </w:p>
        </w:tc>
        <w:tc>
          <w:tcPr>
            <w:tcW w:w="0" w:type="auto"/>
            <w:vAlign w:val="center"/>
            <w:hideMark/>
          </w:tcPr>
          <w:p w14:paraId="14B3B4A0" w14:textId="77777777" w:rsidR="003B2CEE" w:rsidRPr="003B2CEE" w:rsidRDefault="003B2CEE" w:rsidP="003B2CEE">
            <w:pPr>
              <w:spacing w:before="120" w:after="120" w:line="360" w:lineRule="auto"/>
              <w:rPr>
                <w:rFonts w:ascii="Tahoma" w:eastAsia="Tahoma" w:hAnsi="Tahoma" w:cs="Tahoma"/>
                <w:color w:val="000000"/>
              </w:rPr>
            </w:pPr>
            <w:r w:rsidRPr="003B2CEE">
              <w:rPr>
                <w:rFonts w:ascii="Tahoma" w:eastAsia="Tahoma" w:hAnsi="Tahoma" w:cs="Tahoma"/>
                <w:color w:val="000000"/>
              </w:rPr>
              <w:t>Alternative Solutions</w:t>
            </w:r>
          </w:p>
        </w:tc>
      </w:tr>
      <w:tr w:rsidR="003B2CEE" w:rsidRPr="003B2CEE" w14:paraId="7DA14E4F" w14:textId="77777777">
        <w:trPr>
          <w:tblCellSpacing w:w="15" w:type="dxa"/>
        </w:trPr>
        <w:tc>
          <w:tcPr>
            <w:tcW w:w="0" w:type="auto"/>
            <w:vAlign w:val="center"/>
            <w:hideMark/>
          </w:tcPr>
          <w:p w14:paraId="2579B795" w14:textId="77777777" w:rsidR="003B2CEE" w:rsidRPr="003B2CEE" w:rsidRDefault="003B2CEE" w:rsidP="003B2CEE">
            <w:pPr>
              <w:spacing w:before="120" w:after="120" w:line="360" w:lineRule="auto"/>
              <w:rPr>
                <w:rFonts w:ascii="Tahoma" w:eastAsia="Tahoma" w:hAnsi="Tahoma" w:cs="Tahoma"/>
                <w:color w:val="000000"/>
              </w:rPr>
            </w:pPr>
            <w:r w:rsidRPr="003B2CEE">
              <w:rPr>
                <w:rFonts w:ascii="Tahoma" w:eastAsia="Tahoma" w:hAnsi="Tahoma" w:cs="Tahoma"/>
                <w:b/>
                <w:bCs/>
                <w:color w:val="000000"/>
              </w:rPr>
              <w:t>4.0</w:t>
            </w:r>
          </w:p>
        </w:tc>
        <w:tc>
          <w:tcPr>
            <w:tcW w:w="0" w:type="auto"/>
            <w:vAlign w:val="center"/>
            <w:hideMark/>
          </w:tcPr>
          <w:p w14:paraId="49849051" w14:textId="77777777" w:rsidR="003B2CEE" w:rsidRPr="003B2CEE" w:rsidRDefault="003B2CEE" w:rsidP="003B2CEE">
            <w:pPr>
              <w:spacing w:before="120" w:after="120" w:line="360" w:lineRule="auto"/>
              <w:rPr>
                <w:rFonts w:ascii="Tahoma" w:eastAsia="Tahoma" w:hAnsi="Tahoma" w:cs="Tahoma"/>
                <w:color w:val="000000"/>
              </w:rPr>
            </w:pPr>
            <w:r w:rsidRPr="003B2CEE">
              <w:rPr>
                <w:rFonts w:ascii="Tahoma" w:eastAsia="Tahoma" w:hAnsi="Tahoma" w:cs="Tahoma"/>
                <w:color w:val="000000"/>
              </w:rPr>
              <w:t>Decision-Making Analysis</w:t>
            </w:r>
          </w:p>
        </w:tc>
      </w:tr>
      <w:tr w:rsidR="003B2CEE" w:rsidRPr="003B2CEE" w14:paraId="5BE940C4" w14:textId="77777777">
        <w:trPr>
          <w:tblCellSpacing w:w="15" w:type="dxa"/>
        </w:trPr>
        <w:tc>
          <w:tcPr>
            <w:tcW w:w="0" w:type="auto"/>
            <w:vAlign w:val="center"/>
            <w:hideMark/>
          </w:tcPr>
          <w:p w14:paraId="30463991" w14:textId="77777777" w:rsidR="003B2CEE" w:rsidRPr="003B2CEE" w:rsidRDefault="003B2CEE" w:rsidP="003B2CEE">
            <w:pPr>
              <w:spacing w:before="120" w:after="120" w:line="360" w:lineRule="auto"/>
              <w:rPr>
                <w:rFonts w:ascii="Tahoma" w:eastAsia="Tahoma" w:hAnsi="Tahoma" w:cs="Tahoma"/>
                <w:color w:val="000000"/>
              </w:rPr>
            </w:pPr>
            <w:r w:rsidRPr="003B2CEE">
              <w:rPr>
                <w:rFonts w:ascii="Tahoma" w:eastAsia="Tahoma" w:hAnsi="Tahoma" w:cs="Tahoma"/>
                <w:b/>
                <w:bCs/>
                <w:color w:val="000000"/>
              </w:rPr>
              <w:t>4.1</w:t>
            </w:r>
          </w:p>
        </w:tc>
        <w:tc>
          <w:tcPr>
            <w:tcW w:w="0" w:type="auto"/>
            <w:vAlign w:val="center"/>
            <w:hideMark/>
          </w:tcPr>
          <w:p w14:paraId="111B35BD" w14:textId="77777777" w:rsidR="003B2CEE" w:rsidRPr="003B2CEE" w:rsidRDefault="003B2CEE" w:rsidP="003B2CEE">
            <w:pPr>
              <w:spacing w:before="120" w:after="120" w:line="360" w:lineRule="auto"/>
              <w:rPr>
                <w:rFonts w:ascii="Tahoma" w:eastAsia="Tahoma" w:hAnsi="Tahoma" w:cs="Tahoma"/>
                <w:color w:val="000000"/>
              </w:rPr>
            </w:pPr>
            <w:r w:rsidRPr="003B2CEE">
              <w:rPr>
                <w:rFonts w:ascii="Tahoma" w:eastAsia="Tahoma" w:hAnsi="Tahoma" w:cs="Tahoma"/>
                <w:color w:val="000000"/>
              </w:rPr>
              <w:t>Cost-Benefit Analysis</w:t>
            </w:r>
          </w:p>
        </w:tc>
      </w:tr>
      <w:tr w:rsidR="003B2CEE" w:rsidRPr="003B2CEE" w14:paraId="0ED1560D" w14:textId="77777777">
        <w:trPr>
          <w:tblCellSpacing w:w="15" w:type="dxa"/>
        </w:trPr>
        <w:tc>
          <w:tcPr>
            <w:tcW w:w="0" w:type="auto"/>
            <w:vAlign w:val="center"/>
            <w:hideMark/>
          </w:tcPr>
          <w:p w14:paraId="1E668662" w14:textId="77777777" w:rsidR="003B2CEE" w:rsidRPr="003B2CEE" w:rsidRDefault="003B2CEE" w:rsidP="003B2CEE">
            <w:pPr>
              <w:spacing w:before="120" w:after="120" w:line="360" w:lineRule="auto"/>
              <w:rPr>
                <w:rFonts w:ascii="Tahoma" w:eastAsia="Tahoma" w:hAnsi="Tahoma" w:cs="Tahoma"/>
                <w:color w:val="000000"/>
              </w:rPr>
            </w:pPr>
            <w:r w:rsidRPr="003B2CEE">
              <w:rPr>
                <w:rFonts w:ascii="Tahoma" w:eastAsia="Tahoma" w:hAnsi="Tahoma" w:cs="Tahoma"/>
                <w:b/>
                <w:bCs/>
                <w:color w:val="000000"/>
              </w:rPr>
              <w:t>5.0</w:t>
            </w:r>
          </w:p>
        </w:tc>
        <w:tc>
          <w:tcPr>
            <w:tcW w:w="0" w:type="auto"/>
            <w:vAlign w:val="center"/>
            <w:hideMark/>
          </w:tcPr>
          <w:p w14:paraId="5E3E15A5" w14:textId="77777777" w:rsidR="003B2CEE" w:rsidRPr="003B2CEE" w:rsidRDefault="003B2CEE" w:rsidP="003B2CEE">
            <w:pPr>
              <w:spacing w:before="120" w:after="120" w:line="360" w:lineRule="auto"/>
              <w:rPr>
                <w:rFonts w:ascii="Tahoma" w:eastAsia="Tahoma" w:hAnsi="Tahoma" w:cs="Tahoma"/>
                <w:color w:val="000000"/>
              </w:rPr>
            </w:pPr>
            <w:r w:rsidRPr="003B2CEE">
              <w:rPr>
                <w:rFonts w:ascii="Tahoma" w:eastAsia="Tahoma" w:hAnsi="Tahoma" w:cs="Tahoma"/>
                <w:color w:val="000000"/>
              </w:rPr>
              <w:t>Implementation Plan</w:t>
            </w:r>
          </w:p>
        </w:tc>
      </w:tr>
      <w:tr w:rsidR="003B2CEE" w:rsidRPr="003B2CEE" w14:paraId="2AB29D89" w14:textId="77777777">
        <w:trPr>
          <w:tblCellSpacing w:w="15" w:type="dxa"/>
        </w:trPr>
        <w:tc>
          <w:tcPr>
            <w:tcW w:w="0" w:type="auto"/>
            <w:vAlign w:val="center"/>
            <w:hideMark/>
          </w:tcPr>
          <w:p w14:paraId="0FDEF4E9" w14:textId="77777777" w:rsidR="003B2CEE" w:rsidRPr="003B2CEE" w:rsidRDefault="003B2CEE" w:rsidP="003B2CEE">
            <w:pPr>
              <w:spacing w:before="120" w:after="120" w:line="360" w:lineRule="auto"/>
              <w:rPr>
                <w:rFonts w:ascii="Tahoma" w:eastAsia="Tahoma" w:hAnsi="Tahoma" w:cs="Tahoma"/>
                <w:color w:val="000000"/>
              </w:rPr>
            </w:pPr>
            <w:r w:rsidRPr="003B2CEE">
              <w:rPr>
                <w:rFonts w:ascii="Tahoma" w:eastAsia="Tahoma" w:hAnsi="Tahoma" w:cs="Tahoma"/>
                <w:b/>
                <w:bCs/>
                <w:color w:val="000000"/>
              </w:rPr>
              <w:t>5.1</w:t>
            </w:r>
          </w:p>
        </w:tc>
        <w:tc>
          <w:tcPr>
            <w:tcW w:w="0" w:type="auto"/>
            <w:vAlign w:val="center"/>
            <w:hideMark/>
          </w:tcPr>
          <w:p w14:paraId="77664D5B" w14:textId="77777777" w:rsidR="003B2CEE" w:rsidRPr="003B2CEE" w:rsidRDefault="003B2CEE" w:rsidP="003B2CEE">
            <w:pPr>
              <w:spacing w:before="120" w:after="120" w:line="360" w:lineRule="auto"/>
              <w:rPr>
                <w:rFonts w:ascii="Tahoma" w:eastAsia="Tahoma" w:hAnsi="Tahoma" w:cs="Tahoma"/>
                <w:color w:val="000000"/>
              </w:rPr>
            </w:pPr>
            <w:r w:rsidRPr="003B2CEE">
              <w:rPr>
                <w:rFonts w:ascii="Tahoma" w:eastAsia="Tahoma" w:hAnsi="Tahoma" w:cs="Tahoma"/>
                <w:color w:val="000000"/>
              </w:rPr>
              <w:t>Action Plan</w:t>
            </w:r>
          </w:p>
        </w:tc>
      </w:tr>
      <w:tr w:rsidR="003B2CEE" w:rsidRPr="003B2CEE" w14:paraId="5D08F45B" w14:textId="77777777">
        <w:trPr>
          <w:tblCellSpacing w:w="15" w:type="dxa"/>
        </w:trPr>
        <w:tc>
          <w:tcPr>
            <w:tcW w:w="0" w:type="auto"/>
            <w:vAlign w:val="center"/>
            <w:hideMark/>
          </w:tcPr>
          <w:p w14:paraId="215265D1" w14:textId="77777777" w:rsidR="003B2CEE" w:rsidRPr="003B2CEE" w:rsidRDefault="003B2CEE" w:rsidP="003B2CEE">
            <w:pPr>
              <w:spacing w:before="120" w:after="120" w:line="360" w:lineRule="auto"/>
              <w:rPr>
                <w:rFonts w:ascii="Tahoma" w:eastAsia="Tahoma" w:hAnsi="Tahoma" w:cs="Tahoma"/>
                <w:color w:val="000000"/>
              </w:rPr>
            </w:pPr>
            <w:r w:rsidRPr="003B2CEE">
              <w:rPr>
                <w:rFonts w:ascii="Tahoma" w:eastAsia="Tahoma" w:hAnsi="Tahoma" w:cs="Tahoma"/>
                <w:b/>
                <w:bCs/>
                <w:color w:val="000000"/>
              </w:rPr>
              <w:t>5.2</w:t>
            </w:r>
          </w:p>
        </w:tc>
        <w:tc>
          <w:tcPr>
            <w:tcW w:w="0" w:type="auto"/>
            <w:vAlign w:val="center"/>
            <w:hideMark/>
          </w:tcPr>
          <w:p w14:paraId="7118BC9E" w14:textId="77777777" w:rsidR="003B2CEE" w:rsidRPr="003B2CEE" w:rsidRDefault="003B2CEE" w:rsidP="003B2CEE">
            <w:pPr>
              <w:spacing w:before="120" w:after="120" w:line="360" w:lineRule="auto"/>
              <w:rPr>
                <w:rFonts w:ascii="Tahoma" w:eastAsia="Tahoma" w:hAnsi="Tahoma" w:cs="Tahoma"/>
                <w:color w:val="000000"/>
              </w:rPr>
            </w:pPr>
            <w:r w:rsidRPr="003B2CEE">
              <w:rPr>
                <w:rFonts w:ascii="Tahoma" w:eastAsia="Tahoma" w:hAnsi="Tahoma" w:cs="Tahoma"/>
                <w:color w:val="000000"/>
              </w:rPr>
              <w:t>Gantt Chart</w:t>
            </w:r>
          </w:p>
        </w:tc>
      </w:tr>
      <w:tr w:rsidR="003B2CEE" w:rsidRPr="003B2CEE" w14:paraId="23B0E74F" w14:textId="77777777">
        <w:trPr>
          <w:tblCellSpacing w:w="15" w:type="dxa"/>
        </w:trPr>
        <w:tc>
          <w:tcPr>
            <w:tcW w:w="0" w:type="auto"/>
            <w:vAlign w:val="center"/>
            <w:hideMark/>
          </w:tcPr>
          <w:p w14:paraId="3B9323BF" w14:textId="77777777" w:rsidR="003B2CEE" w:rsidRPr="003B2CEE" w:rsidRDefault="003B2CEE" w:rsidP="003B2CEE">
            <w:pPr>
              <w:spacing w:before="120" w:after="120" w:line="360" w:lineRule="auto"/>
              <w:rPr>
                <w:rFonts w:ascii="Tahoma" w:eastAsia="Tahoma" w:hAnsi="Tahoma" w:cs="Tahoma"/>
                <w:color w:val="000000"/>
              </w:rPr>
            </w:pPr>
            <w:r w:rsidRPr="003B2CEE">
              <w:rPr>
                <w:rFonts w:ascii="Tahoma" w:eastAsia="Tahoma" w:hAnsi="Tahoma" w:cs="Tahoma"/>
                <w:b/>
                <w:bCs/>
                <w:color w:val="000000"/>
              </w:rPr>
              <w:t>6.0</w:t>
            </w:r>
          </w:p>
        </w:tc>
        <w:tc>
          <w:tcPr>
            <w:tcW w:w="0" w:type="auto"/>
            <w:vAlign w:val="center"/>
            <w:hideMark/>
          </w:tcPr>
          <w:p w14:paraId="16CF2451" w14:textId="77777777" w:rsidR="003B2CEE" w:rsidRPr="003B2CEE" w:rsidRDefault="003B2CEE" w:rsidP="003B2CEE">
            <w:pPr>
              <w:spacing w:before="120" w:after="120" w:line="360" w:lineRule="auto"/>
              <w:rPr>
                <w:rFonts w:ascii="Tahoma" w:eastAsia="Tahoma" w:hAnsi="Tahoma" w:cs="Tahoma"/>
                <w:color w:val="000000"/>
              </w:rPr>
            </w:pPr>
            <w:r w:rsidRPr="003B2CEE">
              <w:rPr>
                <w:rFonts w:ascii="Tahoma" w:eastAsia="Tahoma" w:hAnsi="Tahoma" w:cs="Tahoma"/>
                <w:color w:val="000000"/>
              </w:rPr>
              <w:t>Communication Plan</w:t>
            </w:r>
          </w:p>
        </w:tc>
      </w:tr>
      <w:tr w:rsidR="003B2CEE" w:rsidRPr="003B2CEE" w14:paraId="123C4062" w14:textId="77777777">
        <w:trPr>
          <w:tblCellSpacing w:w="15" w:type="dxa"/>
        </w:trPr>
        <w:tc>
          <w:tcPr>
            <w:tcW w:w="0" w:type="auto"/>
            <w:vAlign w:val="center"/>
            <w:hideMark/>
          </w:tcPr>
          <w:p w14:paraId="54A677CC" w14:textId="77777777" w:rsidR="003B2CEE" w:rsidRPr="003B2CEE" w:rsidRDefault="003B2CEE" w:rsidP="003B2CEE">
            <w:pPr>
              <w:spacing w:before="120" w:after="120" w:line="360" w:lineRule="auto"/>
              <w:rPr>
                <w:rFonts w:ascii="Tahoma" w:eastAsia="Tahoma" w:hAnsi="Tahoma" w:cs="Tahoma"/>
                <w:color w:val="000000"/>
              </w:rPr>
            </w:pPr>
            <w:r w:rsidRPr="003B2CEE">
              <w:rPr>
                <w:rFonts w:ascii="Tahoma" w:eastAsia="Tahoma" w:hAnsi="Tahoma" w:cs="Tahoma"/>
                <w:b/>
                <w:bCs/>
                <w:color w:val="000000"/>
              </w:rPr>
              <w:t>6.1</w:t>
            </w:r>
          </w:p>
        </w:tc>
        <w:tc>
          <w:tcPr>
            <w:tcW w:w="0" w:type="auto"/>
            <w:vAlign w:val="center"/>
            <w:hideMark/>
          </w:tcPr>
          <w:p w14:paraId="114EAC7F" w14:textId="77777777" w:rsidR="003B2CEE" w:rsidRPr="003B2CEE" w:rsidRDefault="003B2CEE" w:rsidP="003B2CEE">
            <w:pPr>
              <w:spacing w:before="120" w:after="120" w:line="360" w:lineRule="auto"/>
              <w:rPr>
                <w:rFonts w:ascii="Tahoma" w:eastAsia="Tahoma" w:hAnsi="Tahoma" w:cs="Tahoma"/>
                <w:color w:val="000000"/>
              </w:rPr>
            </w:pPr>
            <w:r w:rsidRPr="003B2CEE">
              <w:rPr>
                <w:rFonts w:ascii="Tahoma" w:eastAsia="Tahoma" w:hAnsi="Tahoma" w:cs="Tahoma"/>
                <w:color w:val="000000"/>
              </w:rPr>
              <w:t>Stakeholder Communication Plan</w:t>
            </w:r>
          </w:p>
        </w:tc>
      </w:tr>
      <w:tr w:rsidR="003B2CEE" w:rsidRPr="003B2CEE" w14:paraId="7114A163" w14:textId="77777777">
        <w:trPr>
          <w:tblCellSpacing w:w="15" w:type="dxa"/>
        </w:trPr>
        <w:tc>
          <w:tcPr>
            <w:tcW w:w="0" w:type="auto"/>
            <w:vAlign w:val="center"/>
            <w:hideMark/>
          </w:tcPr>
          <w:p w14:paraId="2C7EA494" w14:textId="77777777" w:rsidR="003B2CEE" w:rsidRPr="003B2CEE" w:rsidRDefault="003B2CEE" w:rsidP="003B2CEE">
            <w:pPr>
              <w:spacing w:before="120" w:after="120" w:line="360" w:lineRule="auto"/>
              <w:rPr>
                <w:rFonts w:ascii="Tahoma" w:eastAsia="Tahoma" w:hAnsi="Tahoma" w:cs="Tahoma"/>
                <w:color w:val="000000"/>
              </w:rPr>
            </w:pPr>
            <w:r w:rsidRPr="003B2CEE">
              <w:rPr>
                <w:rFonts w:ascii="Tahoma" w:eastAsia="Tahoma" w:hAnsi="Tahoma" w:cs="Tahoma"/>
                <w:b/>
                <w:bCs/>
                <w:color w:val="000000"/>
              </w:rPr>
              <w:t>7.0</w:t>
            </w:r>
          </w:p>
        </w:tc>
        <w:tc>
          <w:tcPr>
            <w:tcW w:w="0" w:type="auto"/>
            <w:vAlign w:val="center"/>
            <w:hideMark/>
          </w:tcPr>
          <w:p w14:paraId="117C855B" w14:textId="77777777" w:rsidR="003B2CEE" w:rsidRPr="003B2CEE" w:rsidRDefault="003B2CEE" w:rsidP="003B2CEE">
            <w:pPr>
              <w:spacing w:before="120" w:after="120" w:line="360" w:lineRule="auto"/>
              <w:rPr>
                <w:rFonts w:ascii="Tahoma" w:eastAsia="Tahoma" w:hAnsi="Tahoma" w:cs="Tahoma"/>
                <w:color w:val="000000"/>
              </w:rPr>
            </w:pPr>
            <w:r w:rsidRPr="003B2CEE">
              <w:rPr>
                <w:rFonts w:ascii="Tahoma" w:eastAsia="Tahoma" w:hAnsi="Tahoma" w:cs="Tahoma"/>
                <w:color w:val="000000"/>
              </w:rPr>
              <w:t>Monitoring and Review</w:t>
            </w:r>
          </w:p>
        </w:tc>
      </w:tr>
      <w:tr w:rsidR="003B2CEE" w:rsidRPr="003B2CEE" w14:paraId="21F0D8A7" w14:textId="77777777">
        <w:trPr>
          <w:tblCellSpacing w:w="15" w:type="dxa"/>
        </w:trPr>
        <w:tc>
          <w:tcPr>
            <w:tcW w:w="0" w:type="auto"/>
            <w:vAlign w:val="center"/>
            <w:hideMark/>
          </w:tcPr>
          <w:p w14:paraId="3F804F0C" w14:textId="77777777" w:rsidR="003B2CEE" w:rsidRPr="003B2CEE" w:rsidRDefault="003B2CEE" w:rsidP="003B2CEE">
            <w:pPr>
              <w:spacing w:before="120" w:after="120" w:line="360" w:lineRule="auto"/>
              <w:rPr>
                <w:rFonts w:ascii="Tahoma" w:eastAsia="Tahoma" w:hAnsi="Tahoma" w:cs="Tahoma"/>
                <w:color w:val="000000"/>
              </w:rPr>
            </w:pPr>
            <w:r w:rsidRPr="003B2CEE">
              <w:rPr>
                <w:rFonts w:ascii="Tahoma" w:eastAsia="Tahoma" w:hAnsi="Tahoma" w:cs="Tahoma"/>
                <w:b/>
                <w:bCs/>
                <w:color w:val="000000"/>
              </w:rPr>
              <w:t>8.0</w:t>
            </w:r>
          </w:p>
        </w:tc>
        <w:tc>
          <w:tcPr>
            <w:tcW w:w="0" w:type="auto"/>
            <w:vAlign w:val="center"/>
            <w:hideMark/>
          </w:tcPr>
          <w:p w14:paraId="38655168" w14:textId="77777777" w:rsidR="003B2CEE" w:rsidRPr="003B2CEE" w:rsidRDefault="003B2CEE" w:rsidP="003B2CEE">
            <w:pPr>
              <w:spacing w:before="120" w:after="120" w:line="360" w:lineRule="auto"/>
              <w:rPr>
                <w:rFonts w:ascii="Tahoma" w:eastAsia="Tahoma" w:hAnsi="Tahoma" w:cs="Tahoma"/>
                <w:color w:val="000000"/>
              </w:rPr>
            </w:pPr>
            <w:r w:rsidRPr="003B2CEE">
              <w:rPr>
                <w:rFonts w:ascii="Tahoma" w:eastAsia="Tahoma" w:hAnsi="Tahoma" w:cs="Tahoma"/>
                <w:color w:val="000000"/>
              </w:rPr>
              <w:t>Conclusion</w:t>
            </w:r>
          </w:p>
        </w:tc>
      </w:tr>
      <w:tr w:rsidR="003B2CEE" w:rsidRPr="003B2CEE" w14:paraId="487E27F5" w14:textId="77777777">
        <w:trPr>
          <w:tblCellSpacing w:w="15" w:type="dxa"/>
        </w:trPr>
        <w:tc>
          <w:tcPr>
            <w:tcW w:w="0" w:type="auto"/>
            <w:vAlign w:val="center"/>
            <w:hideMark/>
          </w:tcPr>
          <w:p w14:paraId="2FB4384A" w14:textId="77777777" w:rsidR="003B2CEE" w:rsidRPr="003B2CEE" w:rsidRDefault="003B2CEE" w:rsidP="003B2CEE">
            <w:pPr>
              <w:spacing w:before="120" w:after="120" w:line="360" w:lineRule="auto"/>
              <w:rPr>
                <w:rFonts w:ascii="Tahoma" w:eastAsia="Tahoma" w:hAnsi="Tahoma" w:cs="Tahoma"/>
                <w:color w:val="000000"/>
              </w:rPr>
            </w:pPr>
          </w:p>
        </w:tc>
        <w:tc>
          <w:tcPr>
            <w:tcW w:w="0" w:type="auto"/>
            <w:vAlign w:val="center"/>
            <w:hideMark/>
          </w:tcPr>
          <w:p w14:paraId="2FE03C83" w14:textId="77777777" w:rsidR="003B2CEE" w:rsidRPr="003B2CEE" w:rsidRDefault="003B2CEE" w:rsidP="003B2CEE">
            <w:pPr>
              <w:spacing w:before="120" w:after="120" w:line="360" w:lineRule="auto"/>
              <w:rPr>
                <w:rFonts w:ascii="Tahoma" w:eastAsia="Tahoma" w:hAnsi="Tahoma" w:cs="Tahoma"/>
                <w:color w:val="000000"/>
              </w:rPr>
            </w:pPr>
            <w:r w:rsidRPr="003B2CEE">
              <w:rPr>
                <w:rFonts w:ascii="Tahoma" w:eastAsia="Tahoma" w:hAnsi="Tahoma" w:cs="Tahoma"/>
                <w:color w:val="000000"/>
              </w:rPr>
              <w:t>References</w:t>
            </w:r>
          </w:p>
        </w:tc>
      </w:tr>
    </w:tbl>
    <w:p w14:paraId="0A068BF0" w14:textId="77777777" w:rsidR="003B2CEE" w:rsidRPr="00F867C0" w:rsidRDefault="003B2CEE" w:rsidP="00652F86">
      <w:pPr>
        <w:spacing w:before="120" w:after="120" w:line="360" w:lineRule="auto"/>
        <w:rPr>
          <w:rFonts w:ascii="Tahoma" w:eastAsia="Tahoma" w:hAnsi="Tahoma" w:cs="Tahoma"/>
          <w:color w:val="000000"/>
        </w:rPr>
      </w:pPr>
    </w:p>
    <w:p w14:paraId="76C80CD9" w14:textId="77777777" w:rsidR="00A84725" w:rsidRDefault="00000000">
      <w:r>
        <w:rPr>
          <w:sz w:val="21"/>
        </w:rPr>
        <w:br/>
      </w:r>
    </w:p>
    <w:p w14:paraId="73A1DBDD" w14:textId="77777777" w:rsidR="00A84725" w:rsidRDefault="00000000">
      <w:pPr>
        <w:pStyle w:val="Heading1"/>
      </w:pPr>
      <w:r>
        <w:t>Managing High Levels of Staff Sickness Absence and Potential Misuse of Sickness Absence Procedures within an NHS Hospital</w:t>
      </w:r>
    </w:p>
    <w:p w14:paraId="237C9104" w14:textId="77777777" w:rsidR="00A84725" w:rsidRDefault="00000000">
      <w:pPr>
        <w:pStyle w:val="Heading1"/>
      </w:pPr>
      <w:r>
        <w:t>1. Define the Complex Workplace Problem, Including its Scope and Impact</w:t>
      </w:r>
    </w:p>
    <w:p w14:paraId="7CD4174C" w14:textId="77777777" w:rsidR="00A84725" w:rsidRDefault="00000000">
      <w:pPr>
        <w:spacing w:after="120"/>
        <w:jc w:val="both"/>
      </w:pPr>
      <w:r>
        <w:rPr>
          <w:rFonts w:ascii="Arial" w:hAnsi="Arial"/>
          <w:sz w:val="22"/>
        </w:rPr>
        <w:t>Sickness absence is unavoidable within healthcare because employees may need time away from work due to physical illness, injury, mental ill health or other legitimate health conditions. However, persistently high levels of absence, particularly repeated short-term absence, can become a complex organisational problem when they affect staffing capacity, workload and service delivery. This assignment considers high staff sickness absence within an NHS hospital in Wales, including the potential misuse of sickness absence procedures. The issue should not be approached on the assumption that repeated absence is automatically dishonest. A fair management response must distinguish between genuine ill health, absence influenced by workplace conditions and circumstances where established procedures may be used inappropriately. This makes the problem complex because managers must balance organisational accountability with employee wellbeing, fairness and the need to maintain effective patient services.</w:t>
      </w:r>
    </w:p>
    <w:p w14:paraId="6F8EBE6F" w14:textId="77777777" w:rsidR="00A84725" w:rsidRDefault="00000000">
      <w:pPr>
        <w:spacing w:after="120"/>
        <w:jc w:val="both"/>
      </w:pPr>
      <w:r>
        <w:rPr>
          <w:rFonts w:ascii="Arial" w:hAnsi="Arial"/>
          <w:sz w:val="22"/>
        </w:rPr>
        <w:t>The scale of the issue is significant. Welsh Government data reported an average NHS Wales sickness absence rate of 6.4% in the 12 months ending December 2025. In the final quarter of 2025, healthcare assistants and support workers recorded a rate of 10.0%, compared with 2.5% among medical and dental staff (Welsh Government, 2026). Anxiety, stress, depression and other psychiatric illnesses accounted for 34.9% of recorded sickness absence during that quarter. These figures demonstrate both the operational significance of sickness absence and the importance of avoiding simplistic conclusions about its causes. A high absence rate may reflect individual health needs, workplace pressures or management issues as well as potential misuse. Therefore, effective decision making requires managers to examine the reasons and patterns behind absence rather than concentrating only on the headline percentage (Chartered Institute of Personnel and Development [CIPD], 2025, 2026).</w:t>
      </w:r>
    </w:p>
    <w:p w14:paraId="522CA408" w14:textId="77777777" w:rsidR="00A84725" w:rsidRDefault="00000000">
      <w:pPr>
        <w:spacing w:after="120"/>
        <w:jc w:val="both"/>
      </w:pPr>
      <w:r>
        <w:rPr>
          <w:rFonts w:ascii="Arial" w:hAnsi="Arial"/>
          <w:sz w:val="22"/>
        </w:rPr>
        <w:t>The scope extends beyond the absent employee. Colleagues may absorb additional duties, work overtime or operate with reduced staffing, increasing pressure and potentially affecting morale. Managers must arrange cover, redistribute work, maintain records and conduct attendance reviews. The organisation may also face additional expenditure through bank, agency or overtime cover, while patients are indirect stakeholders because hospitals must maintain sufficient staffing and continuity of services.</w:t>
      </w:r>
      <w:r>
        <w:rPr>
          <w:rFonts w:ascii="Arial" w:hAnsi="Arial"/>
          <w:sz w:val="22"/>
        </w:rPr>
        <w:br/>
      </w:r>
      <w:r>
        <w:rPr>
          <w:rFonts w:ascii="Arial" w:hAnsi="Arial"/>
          <w:sz w:val="22"/>
        </w:rPr>
        <w:br/>
        <w:t>Repeated absence may create perceptions of unfairness if staff believe procedures are applied inconsistently. However, an excessively punitive response could encourage presenteeism. ACAS (2024) advises that trigger points should initiate a review rather than automatically result in disciplinary action. The impact therefore includes financial cost, management time, workforce wellbeing and service pressures. The desired outcome is a fair system that supports genuine illness while identifying avoidable absence or potential misuse appropriately.</w:t>
      </w:r>
    </w:p>
    <w:p w14:paraId="159D9C8D" w14:textId="77777777" w:rsidR="00A84725" w:rsidRDefault="00000000">
      <w:pPr>
        <w:pStyle w:val="Heading1"/>
      </w:pPr>
      <w:r>
        <w:t>2. Analyse Information on the Identified Problem</w:t>
      </w:r>
    </w:p>
    <w:p w14:paraId="5A8B984D" w14:textId="77777777" w:rsidR="00A84725" w:rsidRDefault="00000000">
      <w:pPr>
        <w:spacing w:after="120"/>
        <w:jc w:val="both"/>
      </w:pPr>
      <w:r>
        <w:rPr>
          <w:sz w:val="21"/>
        </w:rPr>
        <w:t>Two root-cause techniques were used to avoid treating the visible level of absence as the cause itself. The 5 Whys analysis focuses on repeated short-term absence, while an Ishikawa analysis considers wider organisational factors.</w:t>
      </w:r>
    </w:p>
    <w:p w14:paraId="385E9BF6" w14:textId="77777777" w:rsidR="00A84725" w:rsidRDefault="00000000">
      <w:pPr>
        <w:pStyle w:val="Heading2"/>
      </w:pPr>
      <w:r>
        <w:t>2.1 5 Whys Root Cause Analysis</w:t>
      </w:r>
    </w:p>
    <w:tbl>
      <w:tblPr>
        <w:tblW w:w="0" w:type="auto"/>
        <w:jc w:val="center"/>
        <w:tblLook w:val="04A0" w:firstRow="1" w:lastRow="0" w:firstColumn="1" w:lastColumn="0" w:noHBand="0" w:noVBand="1"/>
      </w:tblPr>
      <w:tblGrid>
        <w:gridCol w:w="4513"/>
        <w:gridCol w:w="4513"/>
      </w:tblGrid>
      <w:tr w:rsidR="00A84725" w14:paraId="0CC96712" w14:textId="77777777">
        <w:trPr>
          <w:tblHeader/>
          <w:jc w:val="center"/>
        </w:trPr>
        <w:tc>
          <w:tcPr>
            <w:tcW w:w="4513" w:type="dxa"/>
            <w:vAlign w:val="center"/>
          </w:tcPr>
          <w:p w14:paraId="20920BFA" w14:textId="77777777" w:rsidR="00A84725" w:rsidRDefault="00000000">
            <w:pPr>
              <w:spacing w:after="0"/>
            </w:pPr>
            <w:r>
              <w:rPr>
                <w:b/>
                <w:sz w:val="17"/>
              </w:rPr>
              <w:t>Stage</w:t>
            </w:r>
          </w:p>
        </w:tc>
        <w:tc>
          <w:tcPr>
            <w:tcW w:w="4513" w:type="dxa"/>
            <w:vAlign w:val="center"/>
          </w:tcPr>
          <w:p w14:paraId="1DE246F8" w14:textId="77777777" w:rsidR="00A84725" w:rsidRDefault="00000000">
            <w:pPr>
              <w:spacing w:after="0"/>
            </w:pPr>
            <w:r>
              <w:rPr>
                <w:b/>
                <w:sz w:val="17"/>
              </w:rPr>
              <w:t>Analysis</w:t>
            </w:r>
          </w:p>
        </w:tc>
      </w:tr>
      <w:tr w:rsidR="00A84725" w14:paraId="34E2BFDE" w14:textId="77777777">
        <w:trPr>
          <w:jc w:val="center"/>
        </w:trPr>
        <w:tc>
          <w:tcPr>
            <w:tcW w:w="4513" w:type="dxa"/>
            <w:vAlign w:val="center"/>
          </w:tcPr>
          <w:p w14:paraId="2583E240" w14:textId="77777777" w:rsidR="00A84725" w:rsidRDefault="00000000">
            <w:pPr>
              <w:spacing w:after="0"/>
            </w:pPr>
            <w:r>
              <w:rPr>
                <w:sz w:val="17"/>
              </w:rPr>
              <w:t>Problem</w:t>
            </w:r>
          </w:p>
        </w:tc>
        <w:tc>
          <w:tcPr>
            <w:tcW w:w="4513" w:type="dxa"/>
            <w:vAlign w:val="center"/>
          </w:tcPr>
          <w:p w14:paraId="4F8B7A61" w14:textId="77777777" w:rsidR="00A84725" w:rsidRDefault="00000000">
            <w:pPr>
              <w:spacing w:after="0"/>
            </w:pPr>
            <w:r>
              <w:rPr>
                <w:sz w:val="17"/>
              </w:rPr>
              <w:t>High levels of repeated short-term sickness absence.</w:t>
            </w:r>
          </w:p>
        </w:tc>
      </w:tr>
      <w:tr w:rsidR="00A84725" w14:paraId="067B8245" w14:textId="77777777">
        <w:trPr>
          <w:jc w:val="center"/>
        </w:trPr>
        <w:tc>
          <w:tcPr>
            <w:tcW w:w="4513" w:type="dxa"/>
            <w:vAlign w:val="center"/>
          </w:tcPr>
          <w:p w14:paraId="79E77F50" w14:textId="77777777" w:rsidR="00A84725" w:rsidRDefault="00000000">
            <w:pPr>
              <w:spacing w:after="0"/>
            </w:pPr>
            <w:r>
              <w:rPr>
                <w:sz w:val="17"/>
              </w:rPr>
              <w:t>Why 1</w:t>
            </w:r>
          </w:p>
        </w:tc>
        <w:tc>
          <w:tcPr>
            <w:tcW w:w="4513" w:type="dxa"/>
            <w:vAlign w:val="center"/>
          </w:tcPr>
          <w:p w14:paraId="410C0DD5" w14:textId="77777777" w:rsidR="00A84725" w:rsidRDefault="00000000">
            <w:pPr>
              <w:spacing w:after="0"/>
            </w:pPr>
            <w:r>
              <w:rPr>
                <w:sz w:val="17"/>
              </w:rPr>
              <w:t>Some employees experience repeated short-term episodes.</w:t>
            </w:r>
          </w:p>
        </w:tc>
      </w:tr>
      <w:tr w:rsidR="00A84725" w14:paraId="4B735DA5" w14:textId="77777777">
        <w:trPr>
          <w:jc w:val="center"/>
        </w:trPr>
        <w:tc>
          <w:tcPr>
            <w:tcW w:w="4513" w:type="dxa"/>
            <w:vAlign w:val="center"/>
          </w:tcPr>
          <w:p w14:paraId="4B413508" w14:textId="77777777" w:rsidR="00A84725" w:rsidRDefault="00000000">
            <w:pPr>
              <w:spacing w:after="0"/>
            </w:pPr>
            <w:r>
              <w:rPr>
                <w:sz w:val="17"/>
              </w:rPr>
              <w:t>Why 2</w:t>
            </w:r>
          </w:p>
        </w:tc>
        <w:tc>
          <w:tcPr>
            <w:tcW w:w="4513" w:type="dxa"/>
            <w:vAlign w:val="center"/>
          </w:tcPr>
          <w:p w14:paraId="1F9C54F1" w14:textId="77777777" w:rsidR="00A84725" w:rsidRDefault="00000000">
            <w:pPr>
              <w:spacing w:after="0"/>
            </w:pPr>
            <w:r>
              <w:rPr>
                <w:sz w:val="17"/>
              </w:rPr>
              <w:t>Patterns may not be identified or addressed early.</w:t>
            </w:r>
          </w:p>
        </w:tc>
      </w:tr>
      <w:tr w:rsidR="00A84725" w14:paraId="4DE8640E" w14:textId="77777777">
        <w:trPr>
          <w:jc w:val="center"/>
        </w:trPr>
        <w:tc>
          <w:tcPr>
            <w:tcW w:w="4513" w:type="dxa"/>
            <w:vAlign w:val="center"/>
          </w:tcPr>
          <w:p w14:paraId="23DC5058" w14:textId="77777777" w:rsidR="00A84725" w:rsidRDefault="00000000">
            <w:pPr>
              <w:spacing w:after="0"/>
            </w:pPr>
            <w:r>
              <w:rPr>
                <w:sz w:val="17"/>
              </w:rPr>
              <w:t>Why 3</w:t>
            </w:r>
          </w:p>
        </w:tc>
        <w:tc>
          <w:tcPr>
            <w:tcW w:w="4513" w:type="dxa"/>
            <w:vAlign w:val="center"/>
          </w:tcPr>
          <w:p w14:paraId="56030BCC" w14:textId="77777777" w:rsidR="00A84725" w:rsidRDefault="00000000">
            <w:pPr>
              <w:spacing w:after="0"/>
            </w:pPr>
            <w:r>
              <w:rPr>
                <w:sz w:val="17"/>
              </w:rPr>
              <w:t>Managers may apply monitoring, return-to-work meetings and review procedures inconsistently.</w:t>
            </w:r>
          </w:p>
        </w:tc>
      </w:tr>
      <w:tr w:rsidR="00A84725" w14:paraId="4A2157B1" w14:textId="77777777">
        <w:trPr>
          <w:jc w:val="center"/>
        </w:trPr>
        <w:tc>
          <w:tcPr>
            <w:tcW w:w="4513" w:type="dxa"/>
            <w:vAlign w:val="center"/>
          </w:tcPr>
          <w:p w14:paraId="675349D8" w14:textId="77777777" w:rsidR="00A84725" w:rsidRDefault="00000000">
            <w:pPr>
              <w:spacing w:after="0"/>
            </w:pPr>
            <w:r>
              <w:rPr>
                <w:sz w:val="17"/>
              </w:rPr>
              <w:t>Why 4</w:t>
            </w:r>
          </w:p>
        </w:tc>
        <w:tc>
          <w:tcPr>
            <w:tcW w:w="4513" w:type="dxa"/>
            <w:vAlign w:val="center"/>
          </w:tcPr>
          <w:p w14:paraId="0144DEBB" w14:textId="77777777" w:rsidR="00A84725" w:rsidRDefault="00000000">
            <w:pPr>
              <w:spacing w:after="0"/>
            </w:pPr>
            <w:r>
              <w:rPr>
                <w:sz w:val="17"/>
              </w:rPr>
              <w:t>Competing demands, limited training or low confidence may affect sensitive attendance discussions.</w:t>
            </w:r>
          </w:p>
        </w:tc>
      </w:tr>
      <w:tr w:rsidR="00A84725" w14:paraId="18ECA80F" w14:textId="77777777">
        <w:trPr>
          <w:jc w:val="center"/>
        </w:trPr>
        <w:tc>
          <w:tcPr>
            <w:tcW w:w="4513" w:type="dxa"/>
            <w:vAlign w:val="center"/>
          </w:tcPr>
          <w:p w14:paraId="7C2DFE22" w14:textId="77777777" w:rsidR="00A84725" w:rsidRDefault="00000000">
            <w:pPr>
              <w:spacing w:after="0"/>
            </w:pPr>
            <w:r>
              <w:rPr>
                <w:sz w:val="17"/>
              </w:rPr>
              <w:t>Why 5</w:t>
            </w:r>
          </w:p>
        </w:tc>
        <w:tc>
          <w:tcPr>
            <w:tcW w:w="4513" w:type="dxa"/>
            <w:vAlign w:val="center"/>
          </w:tcPr>
          <w:p w14:paraId="0B7B6C0B" w14:textId="77777777" w:rsidR="00A84725" w:rsidRDefault="00000000">
            <w:pPr>
              <w:spacing w:after="0"/>
            </w:pPr>
            <w:r>
              <w:rPr>
                <w:sz w:val="17"/>
              </w:rPr>
              <w:t>Inconsistent management weakens expectations, delays support and makes potential misuse harder to distinguish from genuine need.</w:t>
            </w:r>
          </w:p>
        </w:tc>
      </w:tr>
    </w:tbl>
    <w:p w14:paraId="49F7F48E" w14:textId="77777777" w:rsidR="00A84725" w:rsidRDefault="00000000">
      <w:pPr>
        <w:spacing w:after="120"/>
        <w:jc w:val="both"/>
      </w:pPr>
      <w:r>
        <w:rPr>
          <w:rFonts w:ascii="Arial" w:hAnsi="Arial"/>
          <w:sz w:val="22"/>
        </w:rPr>
        <w:t>The analysis suggests that employee behaviour is only one possible factor. Management consistency and early intervention are also potential root causes. This aligns with the All Wales Managing Attendance at Work Policy, which identifies return-to-work discussions as an important part of managing attendance (Health Education and Improvement Wales [HEIW], 2018). ACAS similarly identifies return-to-work meetings as an opportunity to establish support needs and identify underlying causes (ACAS, 2024b, 2025a). If these discussions are delayed, inconsistent or treated as a routine administrative exercise, managers may miss opportunities to identify repeated patterns, workplace causes or support needs.</w:t>
      </w:r>
    </w:p>
    <w:p w14:paraId="486DD2C3" w14:textId="77777777" w:rsidR="00A84725" w:rsidRDefault="00000000">
      <w:pPr>
        <w:pStyle w:val="Heading2"/>
      </w:pPr>
      <w:r>
        <w:t>2.2 Ishikawa (Fishbone) Analysis</w:t>
      </w:r>
    </w:p>
    <w:p w14:paraId="383B6140" w14:textId="77777777" w:rsidR="00A84725" w:rsidRDefault="00000000">
      <w:pPr>
        <w:jc w:val="center"/>
      </w:pPr>
      <w:r>
        <w:rPr>
          <w:noProof/>
        </w:rPr>
        <w:drawing>
          <wp:inline distT="0" distB="0" distL="0" distR="0" wp14:anchorId="5C3870BC" wp14:editId="7C49BED3">
            <wp:extent cx="6035040" cy="350772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shbone_diagram.png"/>
                    <pic:cNvPicPr/>
                  </pic:nvPicPr>
                  <pic:blipFill>
                    <a:blip r:embed="rId5"/>
                    <a:stretch>
                      <a:fillRect/>
                    </a:stretch>
                  </pic:blipFill>
                  <pic:spPr>
                    <a:xfrm>
                      <a:off x="0" y="0"/>
                      <a:ext cx="6035040" cy="3507722"/>
                    </a:xfrm>
                    <a:prstGeom prst="rect">
                      <a:avLst/>
                    </a:prstGeom>
                  </pic:spPr>
                </pic:pic>
              </a:graphicData>
            </a:graphic>
          </wp:inline>
        </w:drawing>
      </w:r>
    </w:p>
    <w:p w14:paraId="590EA8FE" w14:textId="77777777" w:rsidR="00A84725" w:rsidRDefault="00000000">
      <w:pPr>
        <w:jc w:val="center"/>
      </w:pPr>
      <w:r>
        <w:rPr>
          <w:rFonts w:ascii="Arial" w:hAnsi="Arial"/>
          <w:i/>
          <w:sz w:val="18"/>
        </w:rPr>
        <w:t>Figure 1</w:t>
      </w:r>
      <w:r>
        <w:rPr>
          <w:rFonts w:ascii="Arial" w:hAnsi="Arial"/>
          <w:i/>
          <w:sz w:val="18"/>
        </w:rPr>
        <w:br/>
        <w:t>Ishikawa (Fishbone) analysis of potential causes of high sickness absence</w:t>
      </w:r>
    </w:p>
    <w:tbl>
      <w:tblPr>
        <w:tblW w:w="0" w:type="auto"/>
        <w:jc w:val="center"/>
        <w:tblLook w:val="04A0" w:firstRow="1" w:lastRow="0" w:firstColumn="1" w:lastColumn="0" w:noHBand="0" w:noVBand="1"/>
      </w:tblPr>
      <w:tblGrid>
        <w:gridCol w:w="4513"/>
        <w:gridCol w:w="4513"/>
      </w:tblGrid>
      <w:tr w:rsidR="00A84725" w14:paraId="3C284C43" w14:textId="77777777">
        <w:trPr>
          <w:tblHeader/>
          <w:jc w:val="center"/>
        </w:trPr>
        <w:tc>
          <w:tcPr>
            <w:tcW w:w="4513" w:type="dxa"/>
            <w:vAlign w:val="center"/>
          </w:tcPr>
          <w:p w14:paraId="227602D3" w14:textId="77777777" w:rsidR="00A84725" w:rsidRDefault="00000000">
            <w:pPr>
              <w:spacing w:after="0"/>
            </w:pPr>
            <w:r>
              <w:rPr>
                <w:b/>
                <w:sz w:val="17"/>
              </w:rPr>
              <w:t>Category</w:t>
            </w:r>
          </w:p>
        </w:tc>
        <w:tc>
          <w:tcPr>
            <w:tcW w:w="4513" w:type="dxa"/>
            <w:vAlign w:val="center"/>
          </w:tcPr>
          <w:p w14:paraId="2457175F" w14:textId="77777777" w:rsidR="00A84725" w:rsidRDefault="00000000">
            <w:pPr>
              <w:spacing w:after="0"/>
            </w:pPr>
            <w:r>
              <w:rPr>
                <w:b/>
                <w:sz w:val="17"/>
              </w:rPr>
              <w:t>Possible causes</w:t>
            </w:r>
          </w:p>
        </w:tc>
      </w:tr>
      <w:tr w:rsidR="00A84725" w14:paraId="6024AE23" w14:textId="77777777">
        <w:trPr>
          <w:jc w:val="center"/>
        </w:trPr>
        <w:tc>
          <w:tcPr>
            <w:tcW w:w="4513" w:type="dxa"/>
            <w:vAlign w:val="center"/>
          </w:tcPr>
          <w:p w14:paraId="71027B61" w14:textId="77777777" w:rsidR="00A84725" w:rsidRDefault="00000000">
            <w:pPr>
              <w:spacing w:after="0"/>
            </w:pPr>
            <w:r>
              <w:rPr>
                <w:sz w:val="17"/>
              </w:rPr>
              <w:t>People</w:t>
            </w:r>
          </w:p>
        </w:tc>
        <w:tc>
          <w:tcPr>
            <w:tcW w:w="4513" w:type="dxa"/>
            <w:vAlign w:val="center"/>
          </w:tcPr>
          <w:p w14:paraId="07443EAA" w14:textId="77777777" w:rsidR="00A84725" w:rsidRDefault="00000000">
            <w:pPr>
              <w:spacing w:after="0"/>
            </w:pPr>
            <w:r>
              <w:rPr>
                <w:sz w:val="17"/>
              </w:rPr>
              <w:t>Genuine illness; stress; low morale; personal circumstances; misunderstanding or potential misuse of procedures.</w:t>
            </w:r>
          </w:p>
        </w:tc>
      </w:tr>
      <w:tr w:rsidR="00A84725" w14:paraId="0D1A4E10" w14:textId="77777777">
        <w:trPr>
          <w:jc w:val="center"/>
        </w:trPr>
        <w:tc>
          <w:tcPr>
            <w:tcW w:w="4513" w:type="dxa"/>
            <w:vAlign w:val="center"/>
          </w:tcPr>
          <w:p w14:paraId="7A395F42" w14:textId="77777777" w:rsidR="00A84725" w:rsidRDefault="00000000">
            <w:pPr>
              <w:spacing w:after="0"/>
            </w:pPr>
            <w:r>
              <w:rPr>
                <w:sz w:val="17"/>
              </w:rPr>
              <w:t>Management</w:t>
            </w:r>
          </w:p>
        </w:tc>
        <w:tc>
          <w:tcPr>
            <w:tcW w:w="4513" w:type="dxa"/>
            <w:vAlign w:val="center"/>
          </w:tcPr>
          <w:p w14:paraId="0608726C" w14:textId="77777777" w:rsidR="00A84725" w:rsidRDefault="00000000">
            <w:pPr>
              <w:spacing w:after="0"/>
            </w:pPr>
            <w:r>
              <w:rPr>
                <w:sz w:val="17"/>
              </w:rPr>
              <w:t>Inconsistent return-to-work meetings; insufficient training; reluctance to challenge patterns; differing departmental practice.</w:t>
            </w:r>
          </w:p>
        </w:tc>
      </w:tr>
      <w:tr w:rsidR="00A84725" w14:paraId="20FE8ECF" w14:textId="77777777">
        <w:trPr>
          <w:jc w:val="center"/>
        </w:trPr>
        <w:tc>
          <w:tcPr>
            <w:tcW w:w="4513" w:type="dxa"/>
            <w:vAlign w:val="center"/>
          </w:tcPr>
          <w:p w14:paraId="45317176" w14:textId="77777777" w:rsidR="00A84725" w:rsidRDefault="00000000">
            <w:pPr>
              <w:spacing w:after="0"/>
            </w:pPr>
            <w:r>
              <w:rPr>
                <w:sz w:val="17"/>
              </w:rPr>
              <w:t>Policy/process</w:t>
            </w:r>
          </w:p>
        </w:tc>
        <w:tc>
          <w:tcPr>
            <w:tcW w:w="4513" w:type="dxa"/>
            <w:vAlign w:val="center"/>
          </w:tcPr>
          <w:p w14:paraId="14DA97CF" w14:textId="77777777" w:rsidR="00A84725" w:rsidRDefault="00000000">
            <w:pPr>
              <w:spacing w:after="0"/>
            </w:pPr>
            <w:r>
              <w:rPr>
                <w:sz w:val="17"/>
              </w:rPr>
              <w:t>Unclear expectations; inconsistent review points; weak documentation; delayed intervention.</w:t>
            </w:r>
          </w:p>
        </w:tc>
      </w:tr>
      <w:tr w:rsidR="00A84725" w14:paraId="5BBBE8CC" w14:textId="77777777">
        <w:trPr>
          <w:jc w:val="center"/>
        </w:trPr>
        <w:tc>
          <w:tcPr>
            <w:tcW w:w="4513" w:type="dxa"/>
            <w:vAlign w:val="center"/>
          </w:tcPr>
          <w:p w14:paraId="60B94DED" w14:textId="77777777" w:rsidR="00A84725" w:rsidRDefault="00000000">
            <w:pPr>
              <w:spacing w:after="0"/>
            </w:pPr>
            <w:r>
              <w:rPr>
                <w:sz w:val="17"/>
              </w:rPr>
              <w:t>Work environment</w:t>
            </w:r>
          </w:p>
        </w:tc>
        <w:tc>
          <w:tcPr>
            <w:tcW w:w="4513" w:type="dxa"/>
            <w:vAlign w:val="center"/>
          </w:tcPr>
          <w:p w14:paraId="3FEF55D0" w14:textId="77777777" w:rsidR="00A84725" w:rsidRDefault="00000000">
            <w:pPr>
              <w:spacing w:after="0"/>
            </w:pPr>
            <w:r>
              <w:rPr>
                <w:sz w:val="17"/>
              </w:rPr>
              <w:t>High workload; staffing shortages; long shifts; emotionally demanding work; workplace relationships; exposure to illness.</w:t>
            </w:r>
          </w:p>
        </w:tc>
      </w:tr>
      <w:tr w:rsidR="00A84725" w14:paraId="11483A1B" w14:textId="77777777">
        <w:trPr>
          <w:jc w:val="center"/>
        </w:trPr>
        <w:tc>
          <w:tcPr>
            <w:tcW w:w="4513" w:type="dxa"/>
            <w:vAlign w:val="center"/>
          </w:tcPr>
          <w:p w14:paraId="52DECAF3" w14:textId="77777777" w:rsidR="00A84725" w:rsidRDefault="00000000">
            <w:pPr>
              <w:spacing w:after="0"/>
            </w:pPr>
            <w:r>
              <w:rPr>
                <w:sz w:val="17"/>
              </w:rPr>
              <w:t>Monitoring/data</w:t>
            </w:r>
          </w:p>
        </w:tc>
        <w:tc>
          <w:tcPr>
            <w:tcW w:w="4513" w:type="dxa"/>
            <w:vAlign w:val="center"/>
          </w:tcPr>
          <w:p w14:paraId="481CBB3F" w14:textId="77777777" w:rsidR="00A84725" w:rsidRDefault="00000000">
            <w:pPr>
              <w:spacing w:after="0"/>
            </w:pPr>
            <w:r>
              <w:rPr>
                <w:sz w:val="17"/>
              </w:rPr>
              <w:t>Poor recording; delayed identification of patterns; limited departmental trend analysis.</w:t>
            </w:r>
          </w:p>
        </w:tc>
      </w:tr>
      <w:tr w:rsidR="00A84725" w14:paraId="767B3D3E" w14:textId="77777777">
        <w:trPr>
          <w:jc w:val="center"/>
        </w:trPr>
        <w:tc>
          <w:tcPr>
            <w:tcW w:w="4513" w:type="dxa"/>
            <w:vAlign w:val="center"/>
          </w:tcPr>
          <w:p w14:paraId="1AE9C599" w14:textId="77777777" w:rsidR="00A84725" w:rsidRDefault="00000000">
            <w:pPr>
              <w:spacing w:after="0"/>
            </w:pPr>
            <w:r>
              <w:rPr>
                <w:sz w:val="17"/>
              </w:rPr>
              <w:t>Health/wellbeing</w:t>
            </w:r>
          </w:p>
        </w:tc>
        <w:tc>
          <w:tcPr>
            <w:tcW w:w="4513" w:type="dxa"/>
            <w:vAlign w:val="center"/>
          </w:tcPr>
          <w:p w14:paraId="154E435E" w14:textId="77777777" w:rsidR="00A84725" w:rsidRDefault="00000000">
            <w:pPr>
              <w:spacing w:after="0"/>
            </w:pPr>
            <w:r>
              <w:rPr>
                <w:sz w:val="17"/>
              </w:rPr>
              <w:t>Physical or mental ill health; burnout; musculoskeletal problems; delayed access to support.</w:t>
            </w:r>
          </w:p>
        </w:tc>
      </w:tr>
    </w:tbl>
    <w:p w14:paraId="70E97A64" w14:textId="77777777" w:rsidR="00A84725" w:rsidRDefault="00000000">
      <w:pPr>
        <w:spacing w:after="120"/>
        <w:jc w:val="both"/>
      </w:pPr>
      <w:r>
        <w:rPr>
          <w:rFonts w:ascii="Arial" w:hAnsi="Arial"/>
          <w:sz w:val="22"/>
        </w:rPr>
        <w:t>The Fishbone analysis shows that absence is multifactorial. CIPD research links employee health with factors including workload, workplace relationships and line-management support, while stress and mental ill health remain important causes of sickness absence (CIPD, 2025). The Health and Safety Executive's Management Standards also identify demands, including workload and work patterns, as important work-related stress factors (Health and Safety Executive [HSE], n.d.-a). National statistics further demonstrate the scale of work-related stress, depression and anxiety (HSE, 2025). The categories also demonstrate how causes can interact. For example, staffing shortages may increase workload for remaining employees; higher workload may contribute to stress; and stress may then contribute to further absence.</w:t>
      </w:r>
    </w:p>
    <w:p w14:paraId="48094CBB" w14:textId="77777777" w:rsidR="00A84725" w:rsidRDefault="00000000">
      <w:pPr>
        <w:pStyle w:val="Heading1"/>
      </w:pPr>
      <w:r>
        <w:t>3. Propose a Range of Alternative Solutions</w:t>
      </w:r>
    </w:p>
    <w:tbl>
      <w:tblPr>
        <w:tblW w:w="0" w:type="auto"/>
        <w:jc w:val="center"/>
        <w:tblLook w:val="04A0" w:firstRow="1" w:lastRow="0" w:firstColumn="1" w:lastColumn="0" w:noHBand="0" w:noVBand="1"/>
      </w:tblPr>
      <w:tblGrid>
        <w:gridCol w:w="3009"/>
        <w:gridCol w:w="3009"/>
        <w:gridCol w:w="3009"/>
      </w:tblGrid>
      <w:tr w:rsidR="00A84725" w14:paraId="67BE4313" w14:textId="77777777">
        <w:trPr>
          <w:tblHeader/>
          <w:jc w:val="center"/>
        </w:trPr>
        <w:tc>
          <w:tcPr>
            <w:tcW w:w="3009" w:type="dxa"/>
            <w:vAlign w:val="center"/>
          </w:tcPr>
          <w:p w14:paraId="27D18C42" w14:textId="77777777" w:rsidR="00A84725" w:rsidRDefault="00000000">
            <w:pPr>
              <w:spacing w:after="0"/>
            </w:pPr>
            <w:r>
              <w:rPr>
                <w:b/>
                <w:sz w:val="16"/>
              </w:rPr>
              <w:t>Option</w:t>
            </w:r>
          </w:p>
        </w:tc>
        <w:tc>
          <w:tcPr>
            <w:tcW w:w="3009" w:type="dxa"/>
            <w:vAlign w:val="center"/>
          </w:tcPr>
          <w:p w14:paraId="2CFE9027" w14:textId="77777777" w:rsidR="00A84725" w:rsidRDefault="00000000">
            <w:pPr>
              <w:spacing w:after="0"/>
            </w:pPr>
            <w:r>
              <w:rPr>
                <w:b/>
                <w:sz w:val="16"/>
              </w:rPr>
              <w:t>Description</w:t>
            </w:r>
          </w:p>
        </w:tc>
        <w:tc>
          <w:tcPr>
            <w:tcW w:w="3009" w:type="dxa"/>
            <w:vAlign w:val="center"/>
          </w:tcPr>
          <w:p w14:paraId="3CECE948" w14:textId="77777777" w:rsidR="00A84725" w:rsidRDefault="00000000">
            <w:pPr>
              <w:spacing w:after="0"/>
            </w:pPr>
            <w:r>
              <w:rPr>
                <w:b/>
                <w:sz w:val="16"/>
              </w:rPr>
              <w:t>Key limitation</w:t>
            </w:r>
          </w:p>
        </w:tc>
      </w:tr>
      <w:tr w:rsidR="00A84725" w14:paraId="5DCA09BB" w14:textId="77777777">
        <w:trPr>
          <w:jc w:val="center"/>
        </w:trPr>
        <w:tc>
          <w:tcPr>
            <w:tcW w:w="3009" w:type="dxa"/>
            <w:vAlign w:val="center"/>
          </w:tcPr>
          <w:p w14:paraId="09201A87" w14:textId="77777777" w:rsidR="00A84725" w:rsidRDefault="00000000">
            <w:pPr>
              <w:spacing w:after="0"/>
            </w:pPr>
            <w:r>
              <w:rPr>
                <w:sz w:val="16"/>
              </w:rPr>
              <w:t>1. Strengthen return-to-work meetings and review points</w:t>
            </w:r>
          </w:p>
        </w:tc>
        <w:tc>
          <w:tcPr>
            <w:tcW w:w="3009" w:type="dxa"/>
            <w:vAlign w:val="center"/>
          </w:tcPr>
          <w:p w14:paraId="2FA672BA" w14:textId="77777777" w:rsidR="00A84725" w:rsidRDefault="00000000">
            <w:pPr>
              <w:spacing w:after="0"/>
            </w:pPr>
            <w:r>
              <w:rPr>
                <w:sz w:val="16"/>
              </w:rPr>
              <w:t>Apply existing procedures consistently after absence, review patterns promptly and identify support needs.</w:t>
            </w:r>
          </w:p>
        </w:tc>
        <w:tc>
          <w:tcPr>
            <w:tcW w:w="3009" w:type="dxa"/>
            <w:vAlign w:val="center"/>
          </w:tcPr>
          <w:p w14:paraId="1F8C2090" w14:textId="77777777" w:rsidR="00A84725" w:rsidRDefault="00000000">
            <w:pPr>
              <w:spacing w:after="0"/>
            </w:pPr>
            <w:r>
              <w:rPr>
                <w:sz w:val="16"/>
              </w:rPr>
              <w:t>Low cost, but effectiveness depends on manager consistency.</w:t>
            </w:r>
          </w:p>
        </w:tc>
      </w:tr>
      <w:tr w:rsidR="00A84725" w14:paraId="7749EAC4" w14:textId="77777777">
        <w:trPr>
          <w:jc w:val="center"/>
        </w:trPr>
        <w:tc>
          <w:tcPr>
            <w:tcW w:w="3009" w:type="dxa"/>
            <w:vAlign w:val="center"/>
          </w:tcPr>
          <w:p w14:paraId="2AE42779" w14:textId="77777777" w:rsidR="00A84725" w:rsidRDefault="00000000">
            <w:pPr>
              <w:spacing w:after="0"/>
            </w:pPr>
            <w:r>
              <w:rPr>
                <w:sz w:val="16"/>
              </w:rPr>
              <w:t>2. Manager training</w:t>
            </w:r>
          </w:p>
        </w:tc>
        <w:tc>
          <w:tcPr>
            <w:tcW w:w="3009" w:type="dxa"/>
            <w:vAlign w:val="center"/>
          </w:tcPr>
          <w:p w14:paraId="0DCB0CF3" w14:textId="77777777" w:rsidR="00A84725" w:rsidRDefault="00000000">
            <w:pPr>
              <w:spacing w:after="0"/>
            </w:pPr>
            <w:r>
              <w:rPr>
                <w:sz w:val="16"/>
              </w:rPr>
              <w:t>Train line managers in attendance conversations, policy application, documentation, pattern recognition and referral to Occupational Health.</w:t>
            </w:r>
          </w:p>
        </w:tc>
        <w:tc>
          <w:tcPr>
            <w:tcW w:w="3009" w:type="dxa"/>
            <w:vAlign w:val="center"/>
          </w:tcPr>
          <w:p w14:paraId="41BC7E66" w14:textId="77777777" w:rsidR="00A84725" w:rsidRDefault="00000000">
            <w:pPr>
              <w:spacing w:after="0"/>
            </w:pPr>
            <w:r>
              <w:rPr>
                <w:sz w:val="16"/>
              </w:rPr>
              <w:t>Requires training cost and protected management time.</w:t>
            </w:r>
          </w:p>
        </w:tc>
      </w:tr>
      <w:tr w:rsidR="00A84725" w14:paraId="5B7B06C5" w14:textId="77777777">
        <w:trPr>
          <w:jc w:val="center"/>
        </w:trPr>
        <w:tc>
          <w:tcPr>
            <w:tcW w:w="3009" w:type="dxa"/>
            <w:vAlign w:val="center"/>
          </w:tcPr>
          <w:p w14:paraId="69C047A1" w14:textId="77777777" w:rsidR="00A84725" w:rsidRDefault="00000000">
            <w:pPr>
              <w:spacing w:after="0"/>
            </w:pPr>
            <w:r>
              <w:rPr>
                <w:sz w:val="16"/>
              </w:rPr>
              <w:t>3. Improved absence monitoring</w:t>
            </w:r>
          </w:p>
        </w:tc>
        <w:tc>
          <w:tcPr>
            <w:tcW w:w="3009" w:type="dxa"/>
            <w:vAlign w:val="center"/>
          </w:tcPr>
          <w:p w14:paraId="1088D105" w14:textId="77777777" w:rsidR="00A84725" w:rsidRDefault="00000000">
            <w:pPr>
              <w:spacing w:after="0"/>
            </w:pPr>
            <w:r>
              <w:rPr>
                <w:sz w:val="16"/>
              </w:rPr>
              <w:t>Use regular reports on frequency, duration, review points and departmental trends to support earlier intervention.</w:t>
            </w:r>
          </w:p>
        </w:tc>
        <w:tc>
          <w:tcPr>
            <w:tcW w:w="3009" w:type="dxa"/>
            <w:vAlign w:val="center"/>
          </w:tcPr>
          <w:p w14:paraId="6BC76503" w14:textId="77777777" w:rsidR="00A84725" w:rsidRDefault="00000000">
            <w:pPr>
              <w:spacing w:after="0"/>
            </w:pPr>
            <w:r>
              <w:rPr>
                <w:sz w:val="16"/>
              </w:rPr>
              <w:t>Data identifies patterns but cannot explain causes by itself.</w:t>
            </w:r>
          </w:p>
        </w:tc>
      </w:tr>
      <w:tr w:rsidR="00A84725" w14:paraId="6217F5BF" w14:textId="77777777">
        <w:trPr>
          <w:jc w:val="center"/>
        </w:trPr>
        <w:tc>
          <w:tcPr>
            <w:tcW w:w="3009" w:type="dxa"/>
            <w:vAlign w:val="center"/>
          </w:tcPr>
          <w:p w14:paraId="19BF95F3" w14:textId="77777777" w:rsidR="00A84725" w:rsidRDefault="00000000">
            <w:pPr>
              <w:spacing w:after="0"/>
            </w:pPr>
            <w:r>
              <w:rPr>
                <w:sz w:val="16"/>
              </w:rPr>
              <w:t>4. Combined attendance and wellbeing approach</w:t>
            </w:r>
          </w:p>
        </w:tc>
        <w:tc>
          <w:tcPr>
            <w:tcW w:w="3009" w:type="dxa"/>
            <w:vAlign w:val="center"/>
          </w:tcPr>
          <w:p w14:paraId="65E851B5" w14:textId="77777777" w:rsidR="00A84725" w:rsidRDefault="00000000">
            <w:pPr>
              <w:spacing w:after="0"/>
            </w:pPr>
            <w:r>
              <w:rPr>
                <w:sz w:val="16"/>
              </w:rPr>
              <w:t>Integrate options 1-3 with earlier Occupational Health/wellbeing support and appropriate adjustments.</w:t>
            </w:r>
          </w:p>
        </w:tc>
        <w:tc>
          <w:tcPr>
            <w:tcW w:w="3009" w:type="dxa"/>
            <w:vAlign w:val="center"/>
          </w:tcPr>
          <w:p w14:paraId="1C938311" w14:textId="77777777" w:rsidR="00A84725" w:rsidRDefault="00000000">
            <w:pPr>
              <w:spacing w:after="0"/>
            </w:pPr>
            <w:r>
              <w:rPr>
                <w:sz w:val="16"/>
              </w:rPr>
              <w:t>Highest initial resource and coordination requirement.</w:t>
            </w:r>
          </w:p>
        </w:tc>
      </w:tr>
    </w:tbl>
    <w:p w14:paraId="4C3B80AB" w14:textId="77777777" w:rsidR="00A84725" w:rsidRDefault="00000000">
      <w:pPr>
        <w:spacing w:after="120"/>
        <w:jc w:val="both"/>
      </w:pPr>
      <w:r>
        <w:rPr>
          <w:rFonts w:ascii="Arial" w:hAnsi="Arial"/>
          <w:sz w:val="22"/>
        </w:rPr>
        <w:t>The alternatives reflect the causes identified in Section 2. Option 1 improves accountability by ensuring return-to-work discussions and attendance review points are used consistently, which is supported by ACAS guidance on absence review points and return-to-work practice (ACAS, 2024a, 2024b). Its advantage is that it builds on existing NHS procedures and can be implemented at relatively low cost. However, it remains dependent on managers having sufficient confidence and time to use the process effectively.</w:t>
      </w:r>
    </w:p>
    <w:p w14:paraId="21C4099F" w14:textId="77777777" w:rsidR="00A84725" w:rsidRDefault="00000000">
      <w:pPr>
        <w:pStyle w:val="Heading1"/>
      </w:pPr>
      <w:r>
        <w:t>4. Evaluate Solutions Using Decision-Making Techniques</w:t>
      </w:r>
    </w:p>
    <w:p w14:paraId="78B1E902" w14:textId="77777777" w:rsidR="00A84725" w:rsidRDefault="00000000">
      <w:pPr>
        <w:spacing w:after="120"/>
        <w:jc w:val="both"/>
      </w:pPr>
      <w:r>
        <w:rPr>
          <w:sz w:val="21"/>
        </w:rPr>
        <w:t>A weighted decision grid was used to compare the four alternatives. Scores range from 1 (poor) to 5 (excellent) and are multiplied by the criterion weighting. Higher weightings were given to effectiveness and wellbeing because attendance improvement should not be achieved at the expense of fair treatment or staff health.</w:t>
      </w:r>
    </w:p>
    <w:tbl>
      <w:tblPr>
        <w:tblW w:w="0" w:type="auto"/>
        <w:jc w:val="center"/>
        <w:tblLook w:val="04A0" w:firstRow="1" w:lastRow="0" w:firstColumn="1" w:lastColumn="0" w:noHBand="0" w:noVBand="1"/>
      </w:tblPr>
      <w:tblGrid>
        <w:gridCol w:w="1805"/>
        <w:gridCol w:w="1805"/>
        <w:gridCol w:w="1805"/>
        <w:gridCol w:w="1805"/>
        <w:gridCol w:w="1805"/>
      </w:tblGrid>
      <w:tr w:rsidR="00A84725" w14:paraId="4F347440" w14:textId="77777777">
        <w:trPr>
          <w:tblHeader/>
          <w:jc w:val="center"/>
        </w:trPr>
        <w:tc>
          <w:tcPr>
            <w:tcW w:w="1805" w:type="dxa"/>
            <w:vAlign w:val="center"/>
          </w:tcPr>
          <w:p w14:paraId="5C44E02B" w14:textId="77777777" w:rsidR="00A84725" w:rsidRDefault="00000000">
            <w:pPr>
              <w:spacing w:after="0"/>
            </w:pPr>
            <w:r>
              <w:rPr>
                <w:b/>
                <w:sz w:val="16"/>
              </w:rPr>
              <w:t>Criterion (weight)</w:t>
            </w:r>
          </w:p>
        </w:tc>
        <w:tc>
          <w:tcPr>
            <w:tcW w:w="1805" w:type="dxa"/>
            <w:vAlign w:val="center"/>
          </w:tcPr>
          <w:p w14:paraId="5958C7EF" w14:textId="77777777" w:rsidR="00A84725" w:rsidRDefault="00000000">
            <w:pPr>
              <w:spacing w:after="0"/>
            </w:pPr>
            <w:r>
              <w:rPr>
                <w:b/>
                <w:sz w:val="16"/>
              </w:rPr>
              <w:t>Opt. 1</w:t>
            </w:r>
          </w:p>
        </w:tc>
        <w:tc>
          <w:tcPr>
            <w:tcW w:w="1805" w:type="dxa"/>
            <w:vAlign w:val="center"/>
          </w:tcPr>
          <w:p w14:paraId="3DFAEE65" w14:textId="77777777" w:rsidR="00A84725" w:rsidRDefault="00000000">
            <w:pPr>
              <w:spacing w:after="0"/>
            </w:pPr>
            <w:r>
              <w:rPr>
                <w:b/>
                <w:sz w:val="16"/>
              </w:rPr>
              <w:t>Opt. 2</w:t>
            </w:r>
          </w:p>
        </w:tc>
        <w:tc>
          <w:tcPr>
            <w:tcW w:w="1805" w:type="dxa"/>
            <w:vAlign w:val="center"/>
          </w:tcPr>
          <w:p w14:paraId="5E9878F9" w14:textId="77777777" w:rsidR="00A84725" w:rsidRDefault="00000000">
            <w:pPr>
              <w:spacing w:after="0"/>
            </w:pPr>
            <w:r>
              <w:rPr>
                <w:b/>
                <w:sz w:val="16"/>
              </w:rPr>
              <w:t>Opt. 3</w:t>
            </w:r>
          </w:p>
        </w:tc>
        <w:tc>
          <w:tcPr>
            <w:tcW w:w="1805" w:type="dxa"/>
            <w:vAlign w:val="center"/>
          </w:tcPr>
          <w:p w14:paraId="1A65D1F5" w14:textId="77777777" w:rsidR="00A84725" w:rsidRDefault="00000000">
            <w:pPr>
              <w:spacing w:after="0"/>
            </w:pPr>
            <w:r>
              <w:rPr>
                <w:b/>
                <w:sz w:val="16"/>
              </w:rPr>
              <w:t>Opt. 4</w:t>
            </w:r>
          </w:p>
        </w:tc>
      </w:tr>
      <w:tr w:rsidR="00A84725" w14:paraId="050ABEB9" w14:textId="77777777">
        <w:trPr>
          <w:jc w:val="center"/>
        </w:trPr>
        <w:tc>
          <w:tcPr>
            <w:tcW w:w="1805" w:type="dxa"/>
            <w:vAlign w:val="center"/>
          </w:tcPr>
          <w:p w14:paraId="2A5CA9B2" w14:textId="77777777" w:rsidR="00A84725" w:rsidRDefault="00000000">
            <w:pPr>
              <w:spacing w:after="0"/>
            </w:pPr>
            <w:r>
              <w:rPr>
                <w:sz w:val="16"/>
              </w:rPr>
              <w:t>Effectiveness (5)</w:t>
            </w:r>
          </w:p>
        </w:tc>
        <w:tc>
          <w:tcPr>
            <w:tcW w:w="1805" w:type="dxa"/>
            <w:vAlign w:val="center"/>
          </w:tcPr>
          <w:p w14:paraId="3FE6E177" w14:textId="77777777" w:rsidR="00A84725" w:rsidRDefault="00000000">
            <w:pPr>
              <w:spacing w:after="0"/>
            </w:pPr>
            <w:r>
              <w:rPr>
                <w:sz w:val="16"/>
              </w:rPr>
              <w:t>4 = 20</w:t>
            </w:r>
          </w:p>
        </w:tc>
        <w:tc>
          <w:tcPr>
            <w:tcW w:w="1805" w:type="dxa"/>
            <w:vAlign w:val="center"/>
          </w:tcPr>
          <w:p w14:paraId="176456DE" w14:textId="77777777" w:rsidR="00A84725" w:rsidRDefault="00000000">
            <w:pPr>
              <w:spacing w:after="0"/>
            </w:pPr>
            <w:r>
              <w:rPr>
                <w:sz w:val="16"/>
              </w:rPr>
              <w:t>4 = 20</w:t>
            </w:r>
          </w:p>
        </w:tc>
        <w:tc>
          <w:tcPr>
            <w:tcW w:w="1805" w:type="dxa"/>
            <w:vAlign w:val="center"/>
          </w:tcPr>
          <w:p w14:paraId="7F6544CE" w14:textId="77777777" w:rsidR="00A84725" w:rsidRDefault="00000000">
            <w:pPr>
              <w:spacing w:after="0"/>
            </w:pPr>
            <w:r>
              <w:rPr>
                <w:sz w:val="16"/>
              </w:rPr>
              <w:t>3 = 15</w:t>
            </w:r>
          </w:p>
        </w:tc>
        <w:tc>
          <w:tcPr>
            <w:tcW w:w="1805" w:type="dxa"/>
            <w:vAlign w:val="center"/>
          </w:tcPr>
          <w:p w14:paraId="6B0DA1F2" w14:textId="77777777" w:rsidR="00A84725" w:rsidRDefault="00000000">
            <w:pPr>
              <w:spacing w:after="0"/>
            </w:pPr>
            <w:r>
              <w:rPr>
                <w:sz w:val="16"/>
              </w:rPr>
              <w:t>5 = 25</w:t>
            </w:r>
          </w:p>
        </w:tc>
      </w:tr>
      <w:tr w:rsidR="00A84725" w14:paraId="092C8225" w14:textId="77777777">
        <w:trPr>
          <w:jc w:val="center"/>
        </w:trPr>
        <w:tc>
          <w:tcPr>
            <w:tcW w:w="1805" w:type="dxa"/>
            <w:vAlign w:val="center"/>
          </w:tcPr>
          <w:p w14:paraId="084371CA" w14:textId="77777777" w:rsidR="00A84725" w:rsidRDefault="00000000">
            <w:pPr>
              <w:spacing w:after="0"/>
            </w:pPr>
            <w:r>
              <w:rPr>
                <w:sz w:val="16"/>
              </w:rPr>
              <w:t>Cost/resource efficiency (3)</w:t>
            </w:r>
          </w:p>
        </w:tc>
        <w:tc>
          <w:tcPr>
            <w:tcW w:w="1805" w:type="dxa"/>
            <w:vAlign w:val="center"/>
          </w:tcPr>
          <w:p w14:paraId="1E70F6CD" w14:textId="77777777" w:rsidR="00A84725" w:rsidRDefault="00000000">
            <w:pPr>
              <w:spacing w:after="0"/>
            </w:pPr>
            <w:r>
              <w:rPr>
                <w:sz w:val="16"/>
              </w:rPr>
              <w:t>5 = 15</w:t>
            </w:r>
          </w:p>
        </w:tc>
        <w:tc>
          <w:tcPr>
            <w:tcW w:w="1805" w:type="dxa"/>
            <w:vAlign w:val="center"/>
          </w:tcPr>
          <w:p w14:paraId="6EB8D496" w14:textId="77777777" w:rsidR="00A84725" w:rsidRDefault="00000000">
            <w:pPr>
              <w:spacing w:after="0"/>
            </w:pPr>
            <w:r>
              <w:rPr>
                <w:sz w:val="16"/>
              </w:rPr>
              <w:t>3 = 9</w:t>
            </w:r>
          </w:p>
        </w:tc>
        <w:tc>
          <w:tcPr>
            <w:tcW w:w="1805" w:type="dxa"/>
            <w:vAlign w:val="center"/>
          </w:tcPr>
          <w:p w14:paraId="43C06E96" w14:textId="77777777" w:rsidR="00A84725" w:rsidRDefault="00000000">
            <w:pPr>
              <w:spacing w:after="0"/>
            </w:pPr>
            <w:r>
              <w:rPr>
                <w:sz w:val="16"/>
              </w:rPr>
              <w:t>3 = 9</w:t>
            </w:r>
          </w:p>
        </w:tc>
        <w:tc>
          <w:tcPr>
            <w:tcW w:w="1805" w:type="dxa"/>
            <w:vAlign w:val="center"/>
          </w:tcPr>
          <w:p w14:paraId="485F4024" w14:textId="77777777" w:rsidR="00A84725" w:rsidRDefault="00000000">
            <w:pPr>
              <w:spacing w:after="0"/>
            </w:pPr>
            <w:r>
              <w:rPr>
                <w:sz w:val="16"/>
              </w:rPr>
              <w:t>2 = 6</w:t>
            </w:r>
          </w:p>
        </w:tc>
      </w:tr>
      <w:tr w:rsidR="00A84725" w14:paraId="18E363A8" w14:textId="77777777">
        <w:trPr>
          <w:jc w:val="center"/>
        </w:trPr>
        <w:tc>
          <w:tcPr>
            <w:tcW w:w="1805" w:type="dxa"/>
            <w:vAlign w:val="center"/>
          </w:tcPr>
          <w:p w14:paraId="0B89697C" w14:textId="77777777" w:rsidR="00A84725" w:rsidRDefault="00000000">
            <w:pPr>
              <w:spacing w:after="0"/>
            </w:pPr>
            <w:r>
              <w:rPr>
                <w:sz w:val="16"/>
              </w:rPr>
              <w:t>Ease of implementation (3)</w:t>
            </w:r>
          </w:p>
        </w:tc>
        <w:tc>
          <w:tcPr>
            <w:tcW w:w="1805" w:type="dxa"/>
            <w:vAlign w:val="center"/>
          </w:tcPr>
          <w:p w14:paraId="31A07BAF" w14:textId="77777777" w:rsidR="00A84725" w:rsidRDefault="00000000">
            <w:pPr>
              <w:spacing w:after="0"/>
            </w:pPr>
            <w:r>
              <w:rPr>
                <w:sz w:val="16"/>
              </w:rPr>
              <w:t>5 = 15</w:t>
            </w:r>
          </w:p>
        </w:tc>
        <w:tc>
          <w:tcPr>
            <w:tcW w:w="1805" w:type="dxa"/>
            <w:vAlign w:val="center"/>
          </w:tcPr>
          <w:p w14:paraId="74B5C6E8" w14:textId="77777777" w:rsidR="00A84725" w:rsidRDefault="00000000">
            <w:pPr>
              <w:spacing w:after="0"/>
            </w:pPr>
            <w:r>
              <w:rPr>
                <w:sz w:val="16"/>
              </w:rPr>
              <w:t>4 = 12</w:t>
            </w:r>
          </w:p>
        </w:tc>
        <w:tc>
          <w:tcPr>
            <w:tcW w:w="1805" w:type="dxa"/>
            <w:vAlign w:val="center"/>
          </w:tcPr>
          <w:p w14:paraId="7C9CA66B" w14:textId="77777777" w:rsidR="00A84725" w:rsidRDefault="00000000">
            <w:pPr>
              <w:spacing w:after="0"/>
            </w:pPr>
            <w:r>
              <w:rPr>
                <w:sz w:val="16"/>
              </w:rPr>
              <w:t>3 = 9</w:t>
            </w:r>
          </w:p>
        </w:tc>
        <w:tc>
          <w:tcPr>
            <w:tcW w:w="1805" w:type="dxa"/>
            <w:vAlign w:val="center"/>
          </w:tcPr>
          <w:p w14:paraId="20A945B1" w14:textId="77777777" w:rsidR="00A84725" w:rsidRDefault="00000000">
            <w:pPr>
              <w:spacing w:after="0"/>
            </w:pPr>
            <w:r>
              <w:rPr>
                <w:sz w:val="16"/>
              </w:rPr>
              <w:t>3 = 9</w:t>
            </w:r>
          </w:p>
        </w:tc>
      </w:tr>
      <w:tr w:rsidR="00A84725" w14:paraId="531338F5" w14:textId="77777777">
        <w:trPr>
          <w:jc w:val="center"/>
        </w:trPr>
        <w:tc>
          <w:tcPr>
            <w:tcW w:w="1805" w:type="dxa"/>
            <w:vAlign w:val="center"/>
          </w:tcPr>
          <w:p w14:paraId="6672DB07" w14:textId="77777777" w:rsidR="00A84725" w:rsidRDefault="00000000">
            <w:pPr>
              <w:spacing w:after="0"/>
            </w:pPr>
            <w:r>
              <w:rPr>
                <w:sz w:val="16"/>
              </w:rPr>
              <w:t>Employee wellbeing (5)</w:t>
            </w:r>
          </w:p>
        </w:tc>
        <w:tc>
          <w:tcPr>
            <w:tcW w:w="1805" w:type="dxa"/>
            <w:vAlign w:val="center"/>
          </w:tcPr>
          <w:p w14:paraId="5F4981D2" w14:textId="77777777" w:rsidR="00A84725" w:rsidRDefault="00000000">
            <w:pPr>
              <w:spacing w:after="0"/>
            </w:pPr>
            <w:r>
              <w:rPr>
                <w:sz w:val="16"/>
              </w:rPr>
              <w:t>3 = 15</w:t>
            </w:r>
          </w:p>
        </w:tc>
        <w:tc>
          <w:tcPr>
            <w:tcW w:w="1805" w:type="dxa"/>
            <w:vAlign w:val="center"/>
          </w:tcPr>
          <w:p w14:paraId="22062CCF" w14:textId="77777777" w:rsidR="00A84725" w:rsidRDefault="00000000">
            <w:pPr>
              <w:spacing w:after="0"/>
            </w:pPr>
            <w:r>
              <w:rPr>
                <w:sz w:val="16"/>
              </w:rPr>
              <w:t>4 = 20</w:t>
            </w:r>
          </w:p>
        </w:tc>
        <w:tc>
          <w:tcPr>
            <w:tcW w:w="1805" w:type="dxa"/>
            <w:vAlign w:val="center"/>
          </w:tcPr>
          <w:p w14:paraId="61F1BAAB" w14:textId="77777777" w:rsidR="00A84725" w:rsidRDefault="00000000">
            <w:pPr>
              <w:spacing w:after="0"/>
            </w:pPr>
            <w:r>
              <w:rPr>
                <w:sz w:val="16"/>
              </w:rPr>
              <w:t>3 = 15</w:t>
            </w:r>
          </w:p>
        </w:tc>
        <w:tc>
          <w:tcPr>
            <w:tcW w:w="1805" w:type="dxa"/>
            <w:vAlign w:val="center"/>
          </w:tcPr>
          <w:p w14:paraId="1193182D" w14:textId="77777777" w:rsidR="00A84725" w:rsidRDefault="00000000">
            <w:pPr>
              <w:spacing w:after="0"/>
            </w:pPr>
            <w:r>
              <w:rPr>
                <w:sz w:val="16"/>
              </w:rPr>
              <w:t>5 = 25</w:t>
            </w:r>
          </w:p>
        </w:tc>
      </w:tr>
      <w:tr w:rsidR="00A84725" w14:paraId="57AC2D0D" w14:textId="77777777">
        <w:trPr>
          <w:jc w:val="center"/>
        </w:trPr>
        <w:tc>
          <w:tcPr>
            <w:tcW w:w="1805" w:type="dxa"/>
            <w:vAlign w:val="center"/>
          </w:tcPr>
          <w:p w14:paraId="237CFB34" w14:textId="77777777" w:rsidR="00A84725" w:rsidRDefault="00000000">
            <w:pPr>
              <w:spacing w:after="0"/>
            </w:pPr>
            <w:r>
              <w:rPr>
                <w:sz w:val="16"/>
              </w:rPr>
              <w:t>Management consistency (4)</w:t>
            </w:r>
          </w:p>
        </w:tc>
        <w:tc>
          <w:tcPr>
            <w:tcW w:w="1805" w:type="dxa"/>
            <w:vAlign w:val="center"/>
          </w:tcPr>
          <w:p w14:paraId="0CBDB876" w14:textId="77777777" w:rsidR="00A84725" w:rsidRDefault="00000000">
            <w:pPr>
              <w:spacing w:after="0"/>
            </w:pPr>
            <w:r>
              <w:rPr>
                <w:sz w:val="16"/>
              </w:rPr>
              <w:t>4 = 16</w:t>
            </w:r>
          </w:p>
        </w:tc>
        <w:tc>
          <w:tcPr>
            <w:tcW w:w="1805" w:type="dxa"/>
            <w:vAlign w:val="center"/>
          </w:tcPr>
          <w:p w14:paraId="655A2DAE" w14:textId="77777777" w:rsidR="00A84725" w:rsidRDefault="00000000">
            <w:pPr>
              <w:spacing w:after="0"/>
            </w:pPr>
            <w:r>
              <w:rPr>
                <w:sz w:val="16"/>
              </w:rPr>
              <w:t>5 = 20</w:t>
            </w:r>
          </w:p>
        </w:tc>
        <w:tc>
          <w:tcPr>
            <w:tcW w:w="1805" w:type="dxa"/>
            <w:vAlign w:val="center"/>
          </w:tcPr>
          <w:p w14:paraId="4F97497F" w14:textId="77777777" w:rsidR="00A84725" w:rsidRDefault="00000000">
            <w:pPr>
              <w:spacing w:after="0"/>
            </w:pPr>
            <w:r>
              <w:rPr>
                <w:sz w:val="16"/>
              </w:rPr>
              <w:t>4 = 16</w:t>
            </w:r>
          </w:p>
        </w:tc>
        <w:tc>
          <w:tcPr>
            <w:tcW w:w="1805" w:type="dxa"/>
            <w:vAlign w:val="center"/>
          </w:tcPr>
          <w:p w14:paraId="79EB6C71" w14:textId="77777777" w:rsidR="00A84725" w:rsidRDefault="00000000">
            <w:pPr>
              <w:spacing w:after="0"/>
            </w:pPr>
            <w:r>
              <w:rPr>
                <w:sz w:val="16"/>
              </w:rPr>
              <w:t>5 = 20</w:t>
            </w:r>
          </w:p>
        </w:tc>
      </w:tr>
      <w:tr w:rsidR="00A84725" w14:paraId="74593482" w14:textId="77777777">
        <w:trPr>
          <w:jc w:val="center"/>
        </w:trPr>
        <w:tc>
          <w:tcPr>
            <w:tcW w:w="1805" w:type="dxa"/>
            <w:vAlign w:val="center"/>
          </w:tcPr>
          <w:p w14:paraId="03492B43" w14:textId="77777777" w:rsidR="00A84725" w:rsidRDefault="00000000">
            <w:pPr>
              <w:spacing w:after="0"/>
            </w:pPr>
            <w:r>
              <w:rPr>
                <w:sz w:val="16"/>
              </w:rPr>
              <w:t>Sustainability (4)</w:t>
            </w:r>
          </w:p>
        </w:tc>
        <w:tc>
          <w:tcPr>
            <w:tcW w:w="1805" w:type="dxa"/>
            <w:vAlign w:val="center"/>
          </w:tcPr>
          <w:p w14:paraId="290D4D28" w14:textId="77777777" w:rsidR="00A84725" w:rsidRDefault="00000000">
            <w:pPr>
              <w:spacing w:after="0"/>
            </w:pPr>
            <w:r>
              <w:rPr>
                <w:sz w:val="16"/>
              </w:rPr>
              <w:t>3 = 12</w:t>
            </w:r>
          </w:p>
        </w:tc>
        <w:tc>
          <w:tcPr>
            <w:tcW w:w="1805" w:type="dxa"/>
            <w:vAlign w:val="center"/>
          </w:tcPr>
          <w:p w14:paraId="7E55CAA0" w14:textId="77777777" w:rsidR="00A84725" w:rsidRDefault="00000000">
            <w:pPr>
              <w:spacing w:after="0"/>
            </w:pPr>
            <w:r>
              <w:rPr>
                <w:sz w:val="16"/>
              </w:rPr>
              <w:t>4 = 16</w:t>
            </w:r>
          </w:p>
        </w:tc>
        <w:tc>
          <w:tcPr>
            <w:tcW w:w="1805" w:type="dxa"/>
            <w:vAlign w:val="center"/>
          </w:tcPr>
          <w:p w14:paraId="3C4B5DD4" w14:textId="77777777" w:rsidR="00A84725" w:rsidRDefault="00000000">
            <w:pPr>
              <w:spacing w:after="0"/>
            </w:pPr>
            <w:r>
              <w:rPr>
                <w:sz w:val="16"/>
              </w:rPr>
              <w:t>4 = 16</w:t>
            </w:r>
          </w:p>
        </w:tc>
        <w:tc>
          <w:tcPr>
            <w:tcW w:w="1805" w:type="dxa"/>
            <w:vAlign w:val="center"/>
          </w:tcPr>
          <w:p w14:paraId="325B51AD" w14:textId="77777777" w:rsidR="00A84725" w:rsidRDefault="00000000">
            <w:pPr>
              <w:spacing w:after="0"/>
            </w:pPr>
            <w:r>
              <w:rPr>
                <w:sz w:val="16"/>
              </w:rPr>
              <w:t>5 = 20</w:t>
            </w:r>
          </w:p>
        </w:tc>
      </w:tr>
      <w:tr w:rsidR="00A84725" w14:paraId="6D7D2D80" w14:textId="77777777">
        <w:trPr>
          <w:jc w:val="center"/>
        </w:trPr>
        <w:tc>
          <w:tcPr>
            <w:tcW w:w="1805" w:type="dxa"/>
            <w:vAlign w:val="center"/>
          </w:tcPr>
          <w:p w14:paraId="1D405730" w14:textId="77777777" w:rsidR="00A84725" w:rsidRDefault="00000000">
            <w:pPr>
              <w:spacing w:after="0"/>
            </w:pPr>
            <w:r>
              <w:rPr>
                <w:sz w:val="16"/>
              </w:rPr>
              <w:t>TOTAL</w:t>
            </w:r>
          </w:p>
        </w:tc>
        <w:tc>
          <w:tcPr>
            <w:tcW w:w="1805" w:type="dxa"/>
            <w:vAlign w:val="center"/>
          </w:tcPr>
          <w:p w14:paraId="485D9EEF" w14:textId="77777777" w:rsidR="00A84725" w:rsidRDefault="00000000">
            <w:pPr>
              <w:spacing w:after="0"/>
            </w:pPr>
            <w:r>
              <w:rPr>
                <w:sz w:val="16"/>
              </w:rPr>
              <w:t>93</w:t>
            </w:r>
          </w:p>
        </w:tc>
        <w:tc>
          <w:tcPr>
            <w:tcW w:w="1805" w:type="dxa"/>
            <w:vAlign w:val="center"/>
          </w:tcPr>
          <w:p w14:paraId="4AA71023" w14:textId="77777777" w:rsidR="00A84725" w:rsidRDefault="00000000">
            <w:pPr>
              <w:spacing w:after="0"/>
            </w:pPr>
            <w:r>
              <w:rPr>
                <w:sz w:val="16"/>
              </w:rPr>
              <w:t>97</w:t>
            </w:r>
          </w:p>
        </w:tc>
        <w:tc>
          <w:tcPr>
            <w:tcW w:w="1805" w:type="dxa"/>
            <w:vAlign w:val="center"/>
          </w:tcPr>
          <w:p w14:paraId="0622FC57" w14:textId="77777777" w:rsidR="00A84725" w:rsidRDefault="00000000">
            <w:pPr>
              <w:spacing w:after="0"/>
            </w:pPr>
            <w:r>
              <w:rPr>
                <w:sz w:val="16"/>
              </w:rPr>
              <w:t>80</w:t>
            </w:r>
          </w:p>
        </w:tc>
        <w:tc>
          <w:tcPr>
            <w:tcW w:w="1805" w:type="dxa"/>
            <w:vAlign w:val="center"/>
          </w:tcPr>
          <w:p w14:paraId="07373F1F" w14:textId="77777777" w:rsidR="00A84725" w:rsidRDefault="00000000">
            <w:pPr>
              <w:spacing w:after="0"/>
            </w:pPr>
            <w:r>
              <w:rPr>
                <w:sz w:val="16"/>
              </w:rPr>
              <w:t>105</w:t>
            </w:r>
          </w:p>
        </w:tc>
      </w:tr>
    </w:tbl>
    <w:p w14:paraId="76476BE7" w14:textId="77777777" w:rsidR="00A84725" w:rsidRDefault="00000000">
      <w:pPr>
        <w:spacing w:after="120"/>
        <w:jc w:val="both"/>
      </w:pPr>
      <w:r>
        <w:rPr>
          <w:rFonts w:ascii="Arial" w:hAnsi="Arial"/>
          <w:sz w:val="22"/>
        </w:rPr>
        <w:t>Option 4 scores highest at 105, followed by manager training at 97. The grid is not objective in itself because weights and scores involve managerial judgement, so a cost-benefit comparison is also required. The weighting gives particular importance to effectiveness, employee wellbeing, management consistency and sustainability because an NHS hospital needs an approach that can be maintained over time without discouraging genuinely unwell employees from taking appropriate sickness absence.</w:t>
      </w:r>
      <w:r>
        <w:rPr>
          <w:rFonts w:ascii="Arial" w:hAnsi="Arial"/>
          <w:sz w:val="22"/>
        </w:rPr>
        <w:br/>
      </w:r>
      <w:r>
        <w:rPr>
          <w:rFonts w:ascii="Arial" w:hAnsi="Arial"/>
          <w:sz w:val="22"/>
        </w:rPr>
        <w:br/>
        <w:t>The results also show why the cheapest option is not necessarily the best. Option 1 performs strongly for cost and ease of implementation but less strongly for wellbeing and long-term sustainability. Option 3 provides useful management information but scores lowest overall because monitoring does not itself change behaviour or resolve underlying causes. Option 2 performs well because stronger management capability could improve consistency across departments. Nevertheless, Option 4 achieves the highest score because it brings the strengths of the other interventions together and reduces the risk of treating a complex problem as though it has a single cause.</w:t>
      </w:r>
    </w:p>
    <w:p w14:paraId="2D03660B" w14:textId="77777777" w:rsidR="00A84725" w:rsidRDefault="00000000">
      <w:pPr>
        <w:pStyle w:val="Heading2"/>
      </w:pPr>
      <w:r>
        <w:t>4.1 Cost-Benefit Analysis and Preferred Option</w:t>
      </w:r>
    </w:p>
    <w:tbl>
      <w:tblPr>
        <w:tblW w:w="0" w:type="auto"/>
        <w:jc w:val="center"/>
        <w:tblLook w:val="04A0" w:firstRow="1" w:lastRow="0" w:firstColumn="1" w:lastColumn="0" w:noHBand="0" w:noVBand="1"/>
      </w:tblPr>
      <w:tblGrid>
        <w:gridCol w:w="3009"/>
        <w:gridCol w:w="3009"/>
        <w:gridCol w:w="3009"/>
      </w:tblGrid>
      <w:tr w:rsidR="00A84725" w14:paraId="6CB3E04C" w14:textId="77777777">
        <w:trPr>
          <w:tblHeader/>
          <w:jc w:val="center"/>
        </w:trPr>
        <w:tc>
          <w:tcPr>
            <w:tcW w:w="3009" w:type="dxa"/>
            <w:vAlign w:val="center"/>
          </w:tcPr>
          <w:p w14:paraId="766E87D6" w14:textId="77777777" w:rsidR="00A84725" w:rsidRDefault="00000000">
            <w:pPr>
              <w:spacing w:after="0"/>
            </w:pPr>
            <w:r>
              <w:rPr>
                <w:b/>
                <w:sz w:val="16"/>
              </w:rPr>
              <w:t>Option</w:t>
            </w:r>
          </w:p>
        </w:tc>
        <w:tc>
          <w:tcPr>
            <w:tcW w:w="3009" w:type="dxa"/>
            <w:vAlign w:val="center"/>
          </w:tcPr>
          <w:p w14:paraId="095E26C4" w14:textId="77777777" w:rsidR="00A84725" w:rsidRDefault="00000000">
            <w:pPr>
              <w:spacing w:after="0"/>
            </w:pPr>
            <w:r>
              <w:rPr>
                <w:b/>
                <w:sz w:val="16"/>
              </w:rPr>
              <w:t>Main cost/resource</w:t>
            </w:r>
          </w:p>
        </w:tc>
        <w:tc>
          <w:tcPr>
            <w:tcW w:w="3009" w:type="dxa"/>
            <w:vAlign w:val="center"/>
          </w:tcPr>
          <w:p w14:paraId="7C01D0CA" w14:textId="77777777" w:rsidR="00A84725" w:rsidRDefault="00000000">
            <w:pPr>
              <w:spacing w:after="0"/>
            </w:pPr>
            <w:r>
              <w:rPr>
                <w:b/>
                <w:sz w:val="16"/>
              </w:rPr>
              <w:t>Main benefit</w:t>
            </w:r>
          </w:p>
        </w:tc>
      </w:tr>
      <w:tr w:rsidR="00A84725" w14:paraId="708C6038" w14:textId="77777777">
        <w:trPr>
          <w:jc w:val="center"/>
        </w:trPr>
        <w:tc>
          <w:tcPr>
            <w:tcW w:w="3009" w:type="dxa"/>
            <w:vAlign w:val="center"/>
          </w:tcPr>
          <w:p w14:paraId="4BB0BAD2" w14:textId="77777777" w:rsidR="00A84725" w:rsidRDefault="00000000">
            <w:pPr>
              <w:spacing w:after="0"/>
            </w:pPr>
            <w:r>
              <w:rPr>
                <w:sz w:val="16"/>
              </w:rPr>
              <w:t>1</w:t>
            </w:r>
          </w:p>
        </w:tc>
        <w:tc>
          <w:tcPr>
            <w:tcW w:w="3009" w:type="dxa"/>
            <w:vAlign w:val="center"/>
          </w:tcPr>
          <w:p w14:paraId="55FBE3D4" w14:textId="77777777" w:rsidR="00A84725" w:rsidRDefault="00000000">
            <w:pPr>
              <w:spacing w:after="0"/>
            </w:pPr>
            <w:r>
              <w:rPr>
                <w:sz w:val="16"/>
              </w:rPr>
              <w:t>Management time and administration.</w:t>
            </w:r>
          </w:p>
        </w:tc>
        <w:tc>
          <w:tcPr>
            <w:tcW w:w="3009" w:type="dxa"/>
            <w:vAlign w:val="center"/>
          </w:tcPr>
          <w:p w14:paraId="3B60182E" w14:textId="77777777" w:rsidR="00A84725" w:rsidRDefault="00000000">
            <w:pPr>
              <w:spacing w:after="0"/>
            </w:pPr>
            <w:r>
              <w:rPr>
                <w:sz w:val="16"/>
              </w:rPr>
              <w:t>Low-cost early intervention and clearer accountability.</w:t>
            </w:r>
          </w:p>
        </w:tc>
      </w:tr>
      <w:tr w:rsidR="00A84725" w14:paraId="1F991EDA" w14:textId="77777777">
        <w:trPr>
          <w:jc w:val="center"/>
        </w:trPr>
        <w:tc>
          <w:tcPr>
            <w:tcW w:w="3009" w:type="dxa"/>
            <w:vAlign w:val="center"/>
          </w:tcPr>
          <w:p w14:paraId="5454376F" w14:textId="77777777" w:rsidR="00A84725" w:rsidRDefault="00000000">
            <w:pPr>
              <w:spacing w:after="0"/>
            </w:pPr>
            <w:r>
              <w:rPr>
                <w:sz w:val="16"/>
              </w:rPr>
              <w:t>2</w:t>
            </w:r>
          </w:p>
        </w:tc>
        <w:tc>
          <w:tcPr>
            <w:tcW w:w="3009" w:type="dxa"/>
            <w:vAlign w:val="center"/>
          </w:tcPr>
          <w:p w14:paraId="3DDF772A" w14:textId="77777777" w:rsidR="00A84725" w:rsidRDefault="00000000">
            <w:pPr>
              <w:spacing w:after="0"/>
            </w:pPr>
            <w:r>
              <w:rPr>
                <w:sz w:val="16"/>
              </w:rPr>
              <w:t>Training cost and time away from duties.</w:t>
            </w:r>
          </w:p>
        </w:tc>
        <w:tc>
          <w:tcPr>
            <w:tcW w:w="3009" w:type="dxa"/>
            <w:vAlign w:val="center"/>
          </w:tcPr>
          <w:p w14:paraId="40EB57EE" w14:textId="77777777" w:rsidR="00A84725" w:rsidRDefault="00000000">
            <w:pPr>
              <w:spacing w:after="0"/>
            </w:pPr>
            <w:r>
              <w:rPr>
                <w:sz w:val="16"/>
              </w:rPr>
              <w:t>Greater confidence and consistent policy application.</w:t>
            </w:r>
          </w:p>
        </w:tc>
      </w:tr>
      <w:tr w:rsidR="00A84725" w14:paraId="2849CB80" w14:textId="77777777">
        <w:trPr>
          <w:jc w:val="center"/>
        </w:trPr>
        <w:tc>
          <w:tcPr>
            <w:tcW w:w="3009" w:type="dxa"/>
            <w:vAlign w:val="center"/>
          </w:tcPr>
          <w:p w14:paraId="50415F6B" w14:textId="77777777" w:rsidR="00A84725" w:rsidRDefault="00000000">
            <w:pPr>
              <w:spacing w:after="0"/>
            </w:pPr>
            <w:r>
              <w:rPr>
                <w:sz w:val="16"/>
              </w:rPr>
              <w:t>3</w:t>
            </w:r>
          </w:p>
        </w:tc>
        <w:tc>
          <w:tcPr>
            <w:tcW w:w="3009" w:type="dxa"/>
            <w:vAlign w:val="center"/>
          </w:tcPr>
          <w:p w14:paraId="76F67DFC" w14:textId="77777777" w:rsidR="00A84725" w:rsidRDefault="00000000">
            <w:pPr>
              <w:spacing w:after="0"/>
            </w:pPr>
            <w:r>
              <w:rPr>
                <w:sz w:val="16"/>
              </w:rPr>
              <w:t>Reporting systems, HR analysis and management time.</w:t>
            </w:r>
          </w:p>
        </w:tc>
        <w:tc>
          <w:tcPr>
            <w:tcW w:w="3009" w:type="dxa"/>
            <w:vAlign w:val="center"/>
          </w:tcPr>
          <w:p w14:paraId="694C1EE3" w14:textId="77777777" w:rsidR="00A84725" w:rsidRDefault="00000000">
            <w:pPr>
              <w:spacing w:after="0"/>
            </w:pPr>
            <w:r>
              <w:rPr>
                <w:sz w:val="16"/>
              </w:rPr>
              <w:t>Earlier identification of trends and stronger evidence.</w:t>
            </w:r>
          </w:p>
        </w:tc>
      </w:tr>
      <w:tr w:rsidR="00A84725" w14:paraId="2F99B7CD" w14:textId="77777777">
        <w:trPr>
          <w:jc w:val="center"/>
        </w:trPr>
        <w:tc>
          <w:tcPr>
            <w:tcW w:w="3009" w:type="dxa"/>
            <w:vAlign w:val="center"/>
          </w:tcPr>
          <w:p w14:paraId="3210A998" w14:textId="77777777" w:rsidR="00A84725" w:rsidRDefault="00000000">
            <w:pPr>
              <w:spacing w:after="0"/>
            </w:pPr>
            <w:r>
              <w:rPr>
                <w:sz w:val="16"/>
              </w:rPr>
              <w:t>4</w:t>
            </w:r>
          </w:p>
        </w:tc>
        <w:tc>
          <w:tcPr>
            <w:tcW w:w="3009" w:type="dxa"/>
            <w:vAlign w:val="center"/>
          </w:tcPr>
          <w:p w14:paraId="4446F99F" w14:textId="77777777" w:rsidR="00A84725" w:rsidRDefault="00000000">
            <w:pPr>
              <w:spacing w:after="0"/>
            </w:pPr>
            <w:r>
              <w:rPr>
                <w:sz w:val="16"/>
              </w:rPr>
              <w:t>Training, HR/OH input, monitoring and management time.</w:t>
            </w:r>
          </w:p>
        </w:tc>
        <w:tc>
          <w:tcPr>
            <w:tcW w:w="3009" w:type="dxa"/>
            <w:vAlign w:val="center"/>
          </w:tcPr>
          <w:p w14:paraId="71E31496" w14:textId="77777777" w:rsidR="00A84725" w:rsidRDefault="00000000">
            <w:pPr>
              <w:spacing w:after="0"/>
            </w:pPr>
            <w:r>
              <w:rPr>
                <w:sz w:val="16"/>
              </w:rPr>
              <w:t>Addresses multiple causes; combines accountability, early support and sustainable practice.</w:t>
            </w:r>
          </w:p>
        </w:tc>
      </w:tr>
    </w:tbl>
    <w:p w14:paraId="372D104F" w14:textId="77777777" w:rsidR="00A84725" w:rsidRDefault="00000000">
      <w:pPr>
        <w:spacing w:after="120"/>
        <w:jc w:val="both"/>
      </w:pPr>
      <w:r>
        <w:rPr>
          <w:rFonts w:ascii="Arial" w:hAnsi="Arial"/>
          <w:sz w:val="22"/>
        </w:rPr>
        <w:t>Option 1 is cheapest but does not resolve weaknesses in manager capability, monitoring or wellbeing support. Option 3 improves visibility, but data alone cannot explain repeated absence. Option 2 could improve management practice, although its impact is limited without timely information and clear support routes.</w:t>
      </w:r>
      <w:r>
        <w:rPr>
          <w:rFonts w:ascii="Arial" w:hAnsi="Arial"/>
          <w:sz w:val="22"/>
        </w:rPr>
        <w:br/>
      </w:r>
      <w:r>
        <w:rPr>
          <w:rFonts w:ascii="Arial" w:hAnsi="Arial"/>
          <w:sz w:val="22"/>
        </w:rPr>
        <w:br/>
        <w:t>Option 4 therefore provides the strongest cost-benefit balance. Its initial resource requirement includes training, HR and Occupational Health input, monitoring and management time. In return, it offers earlier identification of patterns, more consistent policy application and better support for genuine health needs. The combined approach addresses the root causes identified in Section 2 rather than simply reacting to absence. Review points would trigger investigation rather than automatic disciplinary action, while evidence of deliberate misuse could still be managed through the appropriate organisational process. This balance between support and accountability makes Option 4 the most sustainable choice.</w:t>
      </w:r>
    </w:p>
    <w:p w14:paraId="56D7828F" w14:textId="77777777" w:rsidR="00A84725" w:rsidRDefault="00000000">
      <w:pPr>
        <w:pStyle w:val="Heading1"/>
      </w:pPr>
      <w:r>
        <w:t>5. Detailed Implementation Plan</w:t>
      </w:r>
    </w:p>
    <w:p w14:paraId="24B89C51" w14:textId="77777777" w:rsidR="00A84725" w:rsidRDefault="00000000">
      <w:pPr>
        <w:spacing w:after="120"/>
        <w:jc w:val="both"/>
      </w:pPr>
      <w:r>
        <w:rPr>
          <w:sz w:val="21"/>
        </w:rPr>
        <w:t>The combined approach will be implemented over 12 weeks. Establishing baseline data and auditing current practice first ensures that training and monitoring are targeted before the revised approach becomes operational.</w:t>
      </w:r>
    </w:p>
    <w:p w14:paraId="59518646" w14:textId="77777777" w:rsidR="00A84725" w:rsidRDefault="00000000">
      <w:pPr>
        <w:pStyle w:val="Heading2"/>
      </w:pPr>
      <w:r>
        <w:t>5.1 Action Plan</w:t>
      </w:r>
    </w:p>
    <w:tbl>
      <w:tblPr>
        <w:tblW w:w="0" w:type="auto"/>
        <w:jc w:val="center"/>
        <w:tblLook w:val="04A0" w:firstRow="1" w:lastRow="0" w:firstColumn="1" w:lastColumn="0" w:noHBand="0" w:noVBand="1"/>
      </w:tblPr>
      <w:tblGrid>
        <w:gridCol w:w="2256"/>
        <w:gridCol w:w="2256"/>
        <w:gridCol w:w="2256"/>
        <w:gridCol w:w="2256"/>
      </w:tblGrid>
      <w:tr w:rsidR="00A84725" w14:paraId="43EF8BA6" w14:textId="77777777">
        <w:trPr>
          <w:tblHeader/>
          <w:jc w:val="center"/>
        </w:trPr>
        <w:tc>
          <w:tcPr>
            <w:tcW w:w="2256" w:type="dxa"/>
            <w:vAlign w:val="center"/>
          </w:tcPr>
          <w:p w14:paraId="279903C6" w14:textId="77777777" w:rsidR="00A84725" w:rsidRDefault="00000000">
            <w:pPr>
              <w:spacing w:after="0"/>
            </w:pPr>
            <w:r>
              <w:rPr>
                <w:b/>
                <w:sz w:val="15"/>
              </w:rPr>
              <w:t>Action</w:t>
            </w:r>
          </w:p>
        </w:tc>
        <w:tc>
          <w:tcPr>
            <w:tcW w:w="2256" w:type="dxa"/>
            <w:vAlign w:val="center"/>
          </w:tcPr>
          <w:p w14:paraId="34327C53" w14:textId="77777777" w:rsidR="00A84725" w:rsidRDefault="00000000">
            <w:pPr>
              <w:spacing w:after="0"/>
            </w:pPr>
            <w:r>
              <w:rPr>
                <w:b/>
                <w:sz w:val="15"/>
              </w:rPr>
              <w:t>Lead</w:t>
            </w:r>
          </w:p>
        </w:tc>
        <w:tc>
          <w:tcPr>
            <w:tcW w:w="2256" w:type="dxa"/>
            <w:vAlign w:val="center"/>
          </w:tcPr>
          <w:p w14:paraId="0FD85B3D" w14:textId="77777777" w:rsidR="00A84725" w:rsidRDefault="00000000">
            <w:pPr>
              <w:spacing w:after="0"/>
            </w:pPr>
            <w:r>
              <w:rPr>
                <w:b/>
                <w:sz w:val="15"/>
              </w:rPr>
              <w:t>When</w:t>
            </w:r>
          </w:p>
        </w:tc>
        <w:tc>
          <w:tcPr>
            <w:tcW w:w="2256" w:type="dxa"/>
            <w:vAlign w:val="center"/>
          </w:tcPr>
          <w:p w14:paraId="7A30F9E4" w14:textId="77777777" w:rsidR="00A84725" w:rsidRDefault="00000000">
            <w:pPr>
              <w:spacing w:after="0"/>
            </w:pPr>
            <w:r>
              <w:rPr>
                <w:b/>
                <w:sz w:val="15"/>
              </w:rPr>
              <w:t>Success measure</w:t>
            </w:r>
          </w:p>
        </w:tc>
      </w:tr>
      <w:tr w:rsidR="00A84725" w14:paraId="23259D1A" w14:textId="77777777">
        <w:trPr>
          <w:jc w:val="center"/>
        </w:trPr>
        <w:tc>
          <w:tcPr>
            <w:tcW w:w="2256" w:type="dxa"/>
            <w:vAlign w:val="center"/>
          </w:tcPr>
          <w:p w14:paraId="57CD47D4" w14:textId="77777777" w:rsidR="00A84725" w:rsidRDefault="00000000">
            <w:pPr>
              <w:spacing w:after="0"/>
            </w:pPr>
            <w:r>
              <w:rPr>
                <w:sz w:val="15"/>
              </w:rPr>
              <w:t>Analyse absence data and trends</w:t>
            </w:r>
          </w:p>
        </w:tc>
        <w:tc>
          <w:tcPr>
            <w:tcW w:w="2256" w:type="dxa"/>
            <w:vAlign w:val="center"/>
          </w:tcPr>
          <w:p w14:paraId="794978C3" w14:textId="77777777" w:rsidR="00A84725" w:rsidRDefault="00000000">
            <w:pPr>
              <w:spacing w:after="0"/>
            </w:pPr>
            <w:r>
              <w:rPr>
                <w:sz w:val="15"/>
              </w:rPr>
              <w:t>HR</w:t>
            </w:r>
          </w:p>
        </w:tc>
        <w:tc>
          <w:tcPr>
            <w:tcW w:w="2256" w:type="dxa"/>
            <w:vAlign w:val="center"/>
          </w:tcPr>
          <w:p w14:paraId="12AACE7F" w14:textId="77777777" w:rsidR="00A84725" w:rsidRDefault="00000000">
            <w:pPr>
              <w:spacing w:after="0"/>
            </w:pPr>
            <w:r>
              <w:rPr>
                <w:sz w:val="15"/>
              </w:rPr>
              <w:t>W1-2</w:t>
            </w:r>
          </w:p>
        </w:tc>
        <w:tc>
          <w:tcPr>
            <w:tcW w:w="2256" w:type="dxa"/>
            <w:vAlign w:val="center"/>
          </w:tcPr>
          <w:p w14:paraId="3DC0A924" w14:textId="77777777" w:rsidR="00A84725" w:rsidRDefault="00000000">
            <w:pPr>
              <w:spacing w:after="0"/>
            </w:pPr>
            <w:r>
              <w:rPr>
                <w:sz w:val="15"/>
              </w:rPr>
              <w:t>Baseline established.</w:t>
            </w:r>
          </w:p>
        </w:tc>
      </w:tr>
      <w:tr w:rsidR="00A84725" w14:paraId="408254DC" w14:textId="77777777">
        <w:trPr>
          <w:jc w:val="center"/>
        </w:trPr>
        <w:tc>
          <w:tcPr>
            <w:tcW w:w="2256" w:type="dxa"/>
            <w:vAlign w:val="center"/>
          </w:tcPr>
          <w:p w14:paraId="7508ABCF" w14:textId="77777777" w:rsidR="00A84725" w:rsidRDefault="00000000">
            <w:pPr>
              <w:spacing w:after="0"/>
            </w:pPr>
            <w:r>
              <w:rPr>
                <w:sz w:val="15"/>
              </w:rPr>
              <w:t>Audit current attendance practice</w:t>
            </w:r>
          </w:p>
        </w:tc>
        <w:tc>
          <w:tcPr>
            <w:tcW w:w="2256" w:type="dxa"/>
            <w:vAlign w:val="center"/>
          </w:tcPr>
          <w:p w14:paraId="68B41B55" w14:textId="77777777" w:rsidR="00A84725" w:rsidRDefault="00000000">
            <w:pPr>
              <w:spacing w:after="0"/>
            </w:pPr>
            <w:r>
              <w:rPr>
                <w:sz w:val="15"/>
              </w:rPr>
              <w:t>HR/Senior management</w:t>
            </w:r>
          </w:p>
        </w:tc>
        <w:tc>
          <w:tcPr>
            <w:tcW w:w="2256" w:type="dxa"/>
            <w:vAlign w:val="center"/>
          </w:tcPr>
          <w:p w14:paraId="608984E3" w14:textId="77777777" w:rsidR="00A84725" w:rsidRDefault="00000000">
            <w:pPr>
              <w:spacing w:after="0"/>
            </w:pPr>
            <w:r>
              <w:rPr>
                <w:sz w:val="15"/>
              </w:rPr>
              <w:t>W1-3</w:t>
            </w:r>
          </w:p>
        </w:tc>
        <w:tc>
          <w:tcPr>
            <w:tcW w:w="2256" w:type="dxa"/>
            <w:vAlign w:val="center"/>
          </w:tcPr>
          <w:p w14:paraId="16BBDFB8" w14:textId="77777777" w:rsidR="00A84725" w:rsidRDefault="00000000">
            <w:pPr>
              <w:spacing w:after="0"/>
            </w:pPr>
            <w:r>
              <w:rPr>
                <w:sz w:val="15"/>
              </w:rPr>
              <w:t>Inconsistencies identified.</w:t>
            </w:r>
          </w:p>
        </w:tc>
      </w:tr>
      <w:tr w:rsidR="00A84725" w14:paraId="79124D82" w14:textId="77777777">
        <w:trPr>
          <w:jc w:val="center"/>
        </w:trPr>
        <w:tc>
          <w:tcPr>
            <w:tcW w:w="2256" w:type="dxa"/>
            <w:vAlign w:val="center"/>
          </w:tcPr>
          <w:p w14:paraId="62FE4C8B" w14:textId="77777777" w:rsidR="00A84725" w:rsidRDefault="00000000">
            <w:pPr>
              <w:spacing w:after="0"/>
            </w:pPr>
            <w:r>
              <w:rPr>
                <w:sz w:val="15"/>
              </w:rPr>
              <w:t>Develop attendance-management training</w:t>
            </w:r>
          </w:p>
        </w:tc>
        <w:tc>
          <w:tcPr>
            <w:tcW w:w="2256" w:type="dxa"/>
            <w:vAlign w:val="center"/>
          </w:tcPr>
          <w:p w14:paraId="50CB5B6B" w14:textId="77777777" w:rsidR="00A84725" w:rsidRDefault="00000000">
            <w:pPr>
              <w:spacing w:after="0"/>
            </w:pPr>
            <w:r>
              <w:rPr>
                <w:sz w:val="15"/>
              </w:rPr>
              <w:t>HR/OH</w:t>
            </w:r>
          </w:p>
        </w:tc>
        <w:tc>
          <w:tcPr>
            <w:tcW w:w="2256" w:type="dxa"/>
            <w:vAlign w:val="center"/>
          </w:tcPr>
          <w:p w14:paraId="247EF96E" w14:textId="77777777" w:rsidR="00A84725" w:rsidRDefault="00000000">
            <w:pPr>
              <w:spacing w:after="0"/>
            </w:pPr>
            <w:r>
              <w:rPr>
                <w:sz w:val="15"/>
              </w:rPr>
              <w:t>W2-4</w:t>
            </w:r>
          </w:p>
        </w:tc>
        <w:tc>
          <w:tcPr>
            <w:tcW w:w="2256" w:type="dxa"/>
            <w:vAlign w:val="center"/>
          </w:tcPr>
          <w:p w14:paraId="3633B778" w14:textId="77777777" w:rsidR="00A84725" w:rsidRDefault="00000000">
            <w:pPr>
              <w:spacing w:after="0"/>
            </w:pPr>
            <w:r>
              <w:rPr>
                <w:sz w:val="15"/>
              </w:rPr>
              <w:t>Programme approved.</w:t>
            </w:r>
          </w:p>
        </w:tc>
      </w:tr>
      <w:tr w:rsidR="00A84725" w14:paraId="3C8C0E9F" w14:textId="77777777">
        <w:trPr>
          <w:jc w:val="center"/>
        </w:trPr>
        <w:tc>
          <w:tcPr>
            <w:tcW w:w="2256" w:type="dxa"/>
            <w:vAlign w:val="center"/>
          </w:tcPr>
          <w:p w14:paraId="4E34690A" w14:textId="77777777" w:rsidR="00A84725" w:rsidRDefault="00000000">
            <w:pPr>
              <w:spacing w:after="0"/>
            </w:pPr>
            <w:r>
              <w:rPr>
                <w:sz w:val="15"/>
              </w:rPr>
              <w:t>Deliver manager training</w:t>
            </w:r>
          </w:p>
        </w:tc>
        <w:tc>
          <w:tcPr>
            <w:tcW w:w="2256" w:type="dxa"/>
            <w:vAlign w:val="center"/>
          </w:tcPr>
          <w:p w14:paraId="4BAE855D" w14:textId="77777777" w:rsidR="00A84725" w:rsidRDefault="00000000">
            <w:pPr>
              <w:spacing w:after="0"/>
            </w:pPr>
            <w:r>
              <w:rPr>
                <w:sz w:val="15"/>
              </w:rPr>
              <w:t>HR</w:t>
            </w:r>
          </w:p>
        </w:tc>
        <w:tc>
          <w:tcPr>
            <w:tcW w:w="2256" w:type="dxa"/>
            <w:vAlign w:val="center"/>
          </w:tcPr>
          <w:p w14:paraId="013F2DBC" w14:textId="77777777" w:rsidR="00A84725" w:rsidRDefault="00000000">
            <w:pPr>
              <w:spacing w:after="0"/>
            </w:pPr>
            <w:r>
              <w:rPr>
                <w:sz w:val="15"/>
              </w:rPr>
              <w:t>W5-6</w:t>
            </w:r>
          </w:p>
        </w:tc>
        <w:tc>
          <w:tcPr>
            <w:tcW w:w="2256" w:type="dxa"/>
            <w:vAlign w:val="center"/>
          </w:tcPr>
          <w:p w14:paraId="6FCA3CD1" w14:textId="77777777" w:rsidR="00A84725" w:rsidRDefault="00000000">
            <w:pPr>
              <w:spacing w:after="0"/>
            </w:pPr>
            <w:r>
              <w:rPr>
                <w:sz w:val="15"/>
              </w:rPr>
              <w:t>Relevant managers complete training.</w:t>
            </w:r>
          </w:p>
        </w:tc>
      </w:tr>
      <w:tr w:rsidR="00A84725" w14:paraId="1EB38AC0" w14:textId="77777777">
        <w:trPr>
          <w:jc w:val="center"/>
        </w:trPr>
        <w:tc>
          <w:tcPr>
            <w:tcW w:w="2256" w:type="dxa"/>
            <w:vAlign w:val="center"/>
          </w:tcPr>
          <w:p w14:paraId="6419AFF8" w14:textId="77777777" w:rsidR="00A84725" w:rsidRDefault="00000000">
            <w:pPr>
              <w:spacing w:after="0"/>
            </w:pPr>
            <w:r>
              <w:rPr>
                <w:sz w:val="15"/>
              </w:rPr>
              <w:t>Introduce regular absence reports/review alerts</w:t>
            </w:r>
          </w:p>
        </w:tc>
        <w:tc>
          <w:tcPr>
            <w:tcW w:w="2256" w:type="dxa"/>
            <w:vAlign w:val="center"/>
          </w:tcPr>
          <w:p w14:paraId="48809E80" w14:textId="77777777" w:rsidR="00A84725" w:rsidRDefault="00000000">
            <w:pPr>
              <w:spacing w:after="0"/>
            </w:pPr>
            <w:r>
              <w:rPr>
                <w:sz w:val="15"/>
              </w:rPr>
              <w:t>HR/Managers</w:t>
            </w:r>
          </w:p>
        </w:tc>
        <w:tc>
          <w:tcPr>
            <w:tcW w:w="2256" w:type="dxa"/>
            <w:vAlign w:val="center"/>
          </w:tcPr>
          <w:p w14:paraId="094D7370" w14:textId="77777777" w:rsidR="00A84725" w:rsidRDefault="00000000">
            <w:pPr>
              <w:spacing w:after="0"/>
            </w:pPr>
            <w:r>
              <w:rPr>
                <w:sz w:val="15"/>
              </w:rPr>
              <w:t>W5-7</w:t>
            </w:r>
          </w:p>
        </w:tc>
        <w:tc>
          <w:tcPr>
            <w:tcW w:w="2256" w:type="dxa"/>
            <w:vAlign w:val="center"/>
          </w:tcPr>
          <w:p w14:paraId="7B52487B" w14:textId="77777777" w:rsidR="00A84725" w:rsidRDefault="00000000">
            <w:pPr>
              <w:spacing w:after="0"/>
            </w:pPr>
            <w:r>
              <w:rPr>
                <w:sz w:val="15"/>
              </w:rPr>
              <w:t>Timely reports available.</w:t>
            </w:r>
          </w:p>
        </w:tc>
      </w:tr>
      <w:tr w:rsidR="00A84725" w14:paraId="13A1D9B0" w14:textId="77777777">
        <w:trPr>
          <w:jc w:val="center"/>
        </w:trPr>
        <w:tc>
          <w:tcPr>
            <w:tcW w:w="2256" w:type="dxa"/>
            <w:vAlign w:val="center"/>
          </w:tcPr>
          <w:p w14:paraId="68DEA929" w14:textId="77777777" w:rsidR="00A84725" w:rsidRDefault="00000000">
            <w:pPr>
              <w:spacing w:after="0"/>
            </w:pPr>
            <w:r>
              <w:rPr>
                <w:sz w:val="15"/>
              </w:rPr>
              <w:t>Apply consistent return-to-work approach</w:t>
            </w:r>
          </w:p>
        </w:tc>
        <w:tc>
          <w:tcPr>
            <w:tcW w:w="2256" w:type="dxa"/>
            <w:vAlign w:val="center"/>
          </w:tcPr>
          <w:p w14:paraId="410C79B0" w14:textId="77777777" w:rsidR="00A84725" w:rsidRDefault="00000000">
            <w:pPr>
              <w:spacing w:after="0"/>
            </w:pPr>
            <w:r>
              <w:rPr>
                <w:sz w:val="15"/>
              </w:rPr>
              <w:t>Line managers</w:t>
            </w:r>
          </w:p>
        </w:tc>
        <w:tc>
          <w:tcPr>
            <w:tcW w:w="2256" w:type="dxa"/>
            <w:vAlign w:val="center"/>
          </w:tcPr>
          <w:p w14:paraId="16A52F14" w14:textId="77777777" w:rsidR="00A84725" w:rsidRDefault="00000000">
            <w:pPr>
              <w:spacing w:after="0"/>
            </w:pPr>
            <w:r>
              <w:rPr>
                <w:sz w:val="15"/>
              </w:rPr>
              <w:t>W7 onward</w:t>
            </w:r>
          </w:p>
        </w:tc>
        <w:tc>
          <w:tcPr>
            <w:tcW w:w="2256" w:type="dxa"/>
            <w:vAlign w:val="center"/>
          </w:tcPr>
          <w:p w14:paraId="5A0BD972" w14:textId="77777777" w:rsidR="00A84725" w:rsidRDefault="00000000">
            <w:pPr>
              <w:spacing w:after="0"/>
            </w:pPr>
            <w:r>
              <w:rPr>
                <w:sz w:val="15"/>
              </w:rPr>
              <w:t>Meetings completed and recorded.</w:t>
            </w:r>
          </w:p>
        </w:tc>
      </w:tr>
      <w:tr w:rsidR="00A84725" w14:paraId="1DAB206D" w14:textId="77777777">
        <w:trPr>
          <w:jc w:val="center"/>
        </w:trPr>
        <w:tc>
          <w:tcPr>
            <w:tcW w:w="2256" w:type="dxa"/>
            <w:vAlign w:val="center"/>
          </w:tcPr>
          <w:p w14:paraId="4328DE4C" w14:textId="77777777" w:rsidR="00A84725" w:rsidRDefault="00000000">
            <w:pPr>
              <w:spacing w:after="0"/>
            </w:pPr>
            <w:r>
              <w:rPr>
                <w:sz w:val="15"/>
              </w:rPr>
              <w:t>Promote OH/wellbeing support</w:t>
            </w:r>
          </w:p>
        </w:tc>
        <w:tc>
          <w:tcPr>
            <w:tcW w:w="2256" w:type="dxa"/>
            <w:vAlign w:val="center"/>
          </w:tcPr>
          <w:p w14:paraId="11E4EDA4" w14:textId="77777777" w:rsidR="00A84725" w:rsidRDefault="00000000">
            <w:pPr>
              <w:spacing w:after="0"/>
            </w:pPr>
            <w:r>
              <w:rPr>
                <w:sz w:val="15"/>
              </w:rPr>
              <w:t>OH/HR</w:t>
            </w:r>
          </w:p>
        </w:tc>
        <w:tc>
          <w:tcPr>
            <w:tcW w:w="2256" w:type="dxa"/>
            <w:vAlign w:val="center"/>
          </w:tcPr>
          <w:p w14:paraId="167D72DD" w14:textId="77777777" w:rsidR="00A84725" w:rsidRDefault="00000000">
            <w:pPr>
              <w:spacing w:after="0"/>
            </w:pPr>
            <w:r>
              <w:rPr>
                <w:sz w:val="15"/>
              </w:rPr>
              <w:t>W7-9 onward</w:t>
            </w:r>
          </w:p>
        </w:tc>
        <w:tc>
          <w:tcPr>
            <w:tcW w:w="2256" w:type="dxa"/>
            <w:vAlign w:val="center"/>
          </w:tcPr>
          <w:p w14:paraId="65AC4A4C" w14:textId="77777777" w:rsidR="00A84725" w:rsidRDefault="00000000">
            <w:pPr>
              <w:spacing w:after="0"/>
            </w:pPr>
            <w:r>
              <w:rPr>
                <w:sz w:val="15"/>
              </w:rPr>
              <w:t>Appropriate referrals/support recorded.</w:t>
            </w:r>
          </w:p>
        </w:tc>
      </w:tr>
      <w:tr w:rsidR="00A84725" w14:paraId="403BEC41" w14:textId="77777777">
        <w:trPr>
          <w:jc w:val="center"/>
        </w:trPr>
        <w:tc>
          <w:tcPr>
            <w:tcW w:w="2256" w:type="dxa"/>
            <w:vAlign w:val="center"/>
          </w:tcPr>
          <w:p w14:paraId="4907AEC5" w14:textId="77777777" w:rsidR="00A84725" w:rsidRDefault="00000000">
            <w:pPr>
              <w:spacing w:after="0"/>
            </w:pPr>
            <w:r>
              <w:rPr>
                <w:sz w:val="15"/>
              </w:rPr>
              <w:t>Review implementation and outcomes</w:t>
            </w:r>
          </w:p>
        </w:tc>
        <w:tc>
          <w:tcPr>
            <w:tcW w:w="2256" w:type="dxa"/>
            <w:vAlign w:val="center"/>
          </w:tcPr>
          <w:p w14:paraId="46C885BF" w14:textId="77777777" w:rsidR="00A84725" w:rsidRDefault="00000000">
            <w:pPr>
              <w:spacing w:after="0"/>
            </w:pPr>
            <w:r>
              <w:rPr>
                <w:sz w:val="15"/>
              </w:rPr>
              <w:t>HR/Senior management</w:t>
            </w:r>
          </w:p>
        </w:tc>
        <w:tc>
          <w:tcPr>
            <w:tcW w:w="2256" w:type="dxa"/>
            <w:vAlign w:val="center"/>
          </w:tcPr>
          <w:p w14:paraId="15BFC37C" w14:textId="77777777" w:rsidR="00A84725" w:rsidRDefault="00000000">
            <w:pPr>
              <w:spacing w:after="0"/>
            </w:pPr>
            <w:r>
              <w:rPr>
                <w:sz w:val="15"/>
              </w:rPr>
              <w:t>W8-12 onward</w:t>
            </w:r>
          </w:p>
        </w:tc>
        <w:tc>
          <w:tcPr>
            <w:tcW w:w="2256" w:type="dxa"/>
            <w:vAlign w:val="center"/>
          </w:tcPr>
          <w:p w14:paraId="78BB3061" w14:textId="77777777" w:rsidR="00A84725" w:rsidRDefault="00000000">
            <w:pPr>
              <w:spacing w:after="0"/>
            </w:pPr>
            <w:r>
              <w:rPr>
                <w:sz w:val="15"/>
              </w:rPr>
              <w:t>Progress assessed against baseline.</w:t>
            </w:r>
          </w:p>
        </w:tc>
      </w:tr>
    </w:tbl>
    <w:p w14:paraId="55E34C8F" w14:textId="77777777" w:rsidR="00A84725" w:rsidRDefault="00000000">
      <w:pPr>
        <w:pStyle w:val="Heading2"/>
      </w:pPr>
      <w:r>
        <w:t>5.2 Gantt Chart</w:t>
      </w:r>
    </w:p>
    <w:tbl>
      <w:tblPr>
        <w:tblW w:w="0" w:type="auto"/>
        <w:jc w:val="center"/>
        <w:tblLook w:val="04A0" w:firstRow="1" w:lastRow="0" w:firstColumn="1" w:lastColumn="0" w:noHBand="0" w:noVBand="1"/>
      </w:tblPr>
      <w:tblGrid>
        <w:gridCol w:w="1182"/>
        <w:gridCol w:w="1128"/>
        <w:gridCol w:w="1128"/>
        <w:gridCol w:w="1128"/>
        <w:gridCol w:w="1128"/>
        <w:gridCol w:w="1128"/>
        <w:gridCol w:w="1128"/>
        <w:gridCol w:w="1128"/>
      </w:tblGrid>
      <w:tr w:rsidR="00A84725" w14:paraId="1C916952" w14:textId="77777777">
        <w:trPr>
          <w:tblHeader/>
          <w:jc w:val="center"/>
        </w:trPr>
        <w:tc>
          <w:tcPr>
            <w:tcW w:w="1128" w:type="dxa"/>
            <w:vAlign w:val="center"/>
          </w:tcPr>
          <w:p w14:paraId="0BFCE6B7" w14:textId="77777777" w:rsidR="00A84725" w:rsidRDefault="00000000">
            <w:pPr>
              <w:spacing w:after="0"/>
            </w:pPr>
            <w:r>
              <w:rPr>
                <w:b/>
                <w:sz w:val="14"/>
              </w:rPr>
              <w:t>Activity</w:t>
            </w:r>
          </w:p>
        </w:tc>
        <w:tc>
          <w:tcPr>
            <w:tcW w:w="1128" w:type="dxa"/>
            <w:vAlign w:val="center"/>
          </w:tcPr>
          <w:p w14:paraId="002BA904" w14:textId="77777777" w:rsidR="00A84725" w:rsidRDefault="00000000">
            <w:pPr>
              <w:spacing w:after="0"/>
            </w:pPr>
            <w:r>
              <w:rPr>
                <w:b/>
                <w:sz w:val="14"/>
              </w:rPr>
              <w:t>W1-2</w:t>
            </w:r>
          </w:p>
        </w:tc>
        <w:tc>
          <w:tcPr>
            <w:tcW w:w="1128" w:type="dxa"/>
            <w:vAlign w:val="center"/>
          </w:tcPr>
          <w:p w14:paraId="25FFAA37" w14:textId="77777777" w:rsidR="00A84725" w:rsidRDefault="00000000">
            <w:pPr>
              <w:spacing w:after="0"/>
            </w:pPr>
            <w:r>
              <w:rPr>
                <w:b/>
                <w:sz w:val="14"/>
              </w:rPr>
              <w:t>W3-4</w:t>
            </w:r>
          </w:p>
        </w:tc>
        <w:tc>
          <w:tcPr>
            <w:tcW w:w="1128" w:type="dxa"/>
            <w:vAlign w:val="center"/>
          </w:tcPr>
          <w:p w14:paraId="5C31B674" w14:textId="77777777" w:rsidR="00A84725" w:rsidRDefault="00000000">
            <w:pPr>
              <w:spacing w:after="0"/>
            </w:pPr>
            <w:r>
              <w:rPr>
                <w:b/>
                <w:sz w:val="14"/>
              </w:rPr>
              <w:t>W5-6</w:t>
            </w:r>
          </w:p>
        </w:tc>
        <w:tc>
          <w:tcPr>
            <w:tcW w:w="1128" w:type="dxa"/>
            <w:vAlign w:val="center"/>
          </w:tcPr>
          <w:p w14:paraId="7A316A63" w14:textId="77777777" w:rsidR="00A84725" w:rsidRDefault="00000000">
            <w:pPr>
              <w:spacing w:after="0"/>
            </w:pPr>
            <w:r>
              <w:rPr>
                <w:b/>
                <w:sz w:val="14"/>
              </w:rPr>
              <w:t>W7-8</w:t>
            </w:r>
          </w:p>
        </w:tc>
        <w:tc>
          <w:tcPr>
            <w:tcW w:w="1128" w:type="dxa"/>
            <w:vAlign w:val="center"/>
          </w:tcPr>
          <w:p w14:paraId="54CB4788" w14:textId="77777777" w:rsidR="00A84725" w:rsidRDefault="00000000">
            <w:pPr>
              <w:spacing w:after="0"/>
            </w:pPr>
            <w:r>
              <w:rPr>
                <w:b/>
                <w:sz w:val="14"/>
              </w:rPr>
              <w:t>W9-10</w:t>
            </w:r>
          </w:p>
        </w:tc>
        <w:tc>
          <w:tcPr>
            <w:tcW w:w="1128" w:type="dxa"/>
            <w:vAlign w:val="center"/>
          </w:tcPr>
          <w:p w14:paraId="15841815" w14:textId="77777777" w:rsidR="00A84725" w:rsidRDefault="00000000">
            <w:pPr>
              <w:spacing w:after="0"/>
            </w:pPr>
            <w:r>
              <w:rPr>
                <w:b/>
                <w:sz w:val="14"/>
              </w:rPr>
              <w:t>W11-12</w:t>
            </w:r>
          </w:p>
        </w:tc>
        <w:tc>
          <w:tcPr>
            <w:tcW w:w="1128" w:type="dxa"/>
            <w:vAlign w:val="center"/>
          </w:tcPr>
          <w:p w14:paraId="079C91C8" w14:textId="77777777" w:rsidR="00A84725" w:rsidRDefault="00000000">
            <w:pPr>
              <w:spacing w:after="0"/>
            </w:pPr>
            <w:r>
              <w:rPr>
                <w:b/>
                <w:sz w:val="14"/>
              </w:rPr>
              <w:t>Ongoing</w:t>
            </w:r>
          </w:p>
        </w:tc>
      </w:tr>
      <w:tr w:rsidR="00A84725" w14:paraId="7606315E" w14:textId="77777777">
        <w:trPr>
          <w:jc w:val="center"/>
        </w:trPr>
        <w:tc>
          <w:tcPr>
            <w:tcW w:w="1128" w:type="dxa"/>
            <w:vAlign w:val="center"/>
          </w:tcPr>
          <w:p w14:paraId="11822318" w14:textId="77777777" w:rsidR="00A84725" w:rsidRDefault="00000000">
            <w:pPr>
              <w:spacing w:after="0"/>
            </w:pPr>
            <w:r>
              <w:rPr>
                <w:sz w:val="14"/>
              </w:rPr>
              <w:t>Data analysis</w:t>
            </w:r>
          </w:p>
        </w:tc>
        <w:tc>
          <w:tcPr>
            <w:tcW w:w="1128" w:type="dxa"/>
            <w:vAlign w:val="center"/>
          </w:tcPr>
          <w:p w14:paraId="4888FAF4" w14:textId="77777777" w:rsidR="00A84725" w:rsidRDefault="00000000">
            <w:pPr>
              <w:spacing w:after="0"/>
            </w:pPr>
            <w:r>
              <w:rPr>
                <w:sz w:val="14"/>
              </w:rPr>
              <w:t>X</w:t>
            </w:r>
          </w:p>
        </w:tc>
        <w:tc>
          <w:tcPr>
            <w:tcW w:w="1128" w:type="dxa"/>
            <w:vAlign w:val="center"/>
          </w:tcPr>
          <w:p w14:paraId="4A103510" w14:textId="77777777" w:rsidR="00A84725" w:rsidRDefault="00A84725">
            <w:pPr>
              <w:spacing w:after="0"/>
            </w:pPr>
          </w:p>
        </w:tc>
        <w:tc>
          <w:tcPr>
            <w:tcW w:w="1128" w:type="dxa"/>
            <w:vAlign w:val="center"/>
          </w:tcPr>
          <w:p w14:paraId="6AD07928" w14:textId="77777777" w:rsidR="00A84725" w:rsidRDefault="00A84725">
            <w:pPr>
              <w:spacing w:after="0"/>
            </w:pPr>
          </w:p>
        </w:tc>
        <w:tc>
          <w:tcPr>
            <w:tcW w:w="1128" w:type="dxa"/>
            <w:vAlign w:val="center"/>
          </w:tcPr>
          <w:p w14:paraId="5AC4E545" w14:textId="77777777" w:rsidR="00A84725" w:rsidRDefault="00A84725">
            <w:pPr>
              <w:spacing w:after="0"/>
            </w:pPr>
          </w:p>
        </w:tc>
        <w:tc>
          <w:tcPr>
            <w:tcW w:w="1128" w:type="dxa"/>
            <w:vAlign w:val="center"/>
          </w:tcPr>
          <w:p w14:paraId="4E9C7E14" w14:textId="77777777" w:rsidR="00A84725" w:rsidRDefault="00A84725">
            <w:pPr>
              <w:spacing w:after="0"/>
            </w:pPr>
          </w:p>
        </w:tc>
        <w:tc>
          <w:tcPr>
            <w:tcW w:w="1128" w:type="dxa"/>
            <w:vAlign w:val="center"/>
          </w:tcPr>
          <w:p w14:paraId="649DA253" w14:textId="77777777" w:rsidR="00A84725" w:rsidRDefault="00A84725">
            <w:pPr>
              <w:spacing w:after="0"/>
            </w:pPr>
          </w:p>
        </w:tc>
        <w:tc>
          <w:tcPr>
            <w:tcW w:w="1128" w:type="dxa"/>
            <w:vAlign w:val="center"/>
          </w:tcPr>
          <w:p w14:paraId="0E693AEC" w14:textId="77777777" w:rsidR="00A84725" w:rsidRDefault="00A84725">
            <w:pPr>
              <w:spacing w:after="0"/>
            </w:pPr>
          </w:p>
        </w:tc>
      </w:tr>
      <w:tr w:rsidR="00A84725" w14:paraId="30CE1030" w14:textId="77777777">
        <w:trPr>
          <w:jc w:val="center"/>
        </w:trPr>
        <w:tc>
          <w:tcPr>
            <w:tcW w:w="1128" w:type="dxa"/>
            <w:vAlign w:val="center"/>
          </w:tcPr>
          <w:p w14:paraId="66A0E7D8" w14:textId="77777777" w:rsidR="00A84725" w:rsidRDefault="00000000">
            <w:pPr>
              <w:spacing w:after="0"/>
            </w:pPr>
            <w:r>
              <w:rPr>
                <w:sz w:val="14"/>
              </w:rPr>
              <w:t>Practice audit</w:t>
            </w:r>
          </w:p>
        </w:tc>
        <w:tc>
          <w:tcPr>
            <w:tcW w:w="1128" w:type="dxa"/>
            <w:vAlign w:val="center"/>
          </w:tcPr>
          <w:p w14:paraId="45EB3DAF" w14:textId="77777777" w:rsidR="00A84725" w:rsidRDefault="00000000">
            <w:pPr>
              <w:spacing w:after="0"/>
            </w:pPr>
            <w:r>
              <w:rPr>
                <w:sz w:val="14"/>
              </w:rPr>
              <w:t>X</w:t>
            </w:r>
          </w:p>
        </w:tc>
        <w:tc>
          <w:tcPr>
            <w:tcW w:w="1128" w:type="dxa"/>
            <w:vAlign w:val="center"/>
          </w:tcPr>
          <w:p w14:paraId="6CAA31D9" w14:textId="77777777" w:rsidR="00A84725" w:rsidRDefault="00000000">
            <w:pPr>
              <w:spacing w:after="0"/>
            </w:pPr>
            <w:r>
              <w:rPr>
                <w:sz w:val="14"/>
              </w:rPr>
              <w:t>X</w:t>
            </w:r>
          </w:p>
        </w:tc>
        <w:tc>
          <w:tcPr>
            <w:tcW w:w="1128" w:type="dxa"/>
            <w:vAlign w:val="center"/>
          </w:tcPr>
          <w:p w14:paraId="5847326A" w14:textId="77777777" w:rsidR="00A84725" w:rsidRDefault="00A84725">
            <w:pPr>
              <w:spacing w:after="0"/>
            </w:pPr>
          </w:p>
        </w:tc>
        <w:tc>
          <w:tcPr>
            <w:tcW w:w="1128" w:type="dxa"/>
            <w:vAlign w:val="center"/>
          </w:tcPr>
          <w:p w14:paraId="3E65EB98" w14:textId="77777777" w:rsidR="00A84725" w:rsidRDefault="00A84725">
            <w:pPr>
              <w:spacing w:after="0"/>
            </w:pPr>
          </w:p>
        </w:tc>
        <w:tc>
          <w:tcPr>
            <w:tcW w:w="1128" w:type="dxa"/>
            <w:vAlign w:val="center"/>
          </w:tcPr>
          <w:p w14:paraId="670BECF3" w14:textId="77777777" w:rsidR="00A84725" w:rsidRDefault="00A84725">
            <w:pPr>
              <w:spacing w:after="0"/>
            </w:pPr>
          </w:p>
        </w:tc>
        <w:tc>
          <w:tcPr>
            <w:tcW w:w="1128" w:type="dxa"/>
            <w:vAlign w:val="center"/>
          </w:tcPr>
          <w:p w14:paraId="4F8E1219" w14:textId="77777777" w:rsidR="00A84725" w:rsidRDefault="00A84725">
            <w:pPr>
              <w:spacing w:after="0"/>
            </w:pPr>
          </w:p>
        </w:tc>
        <w:tc>
          <w:tcPr>
            <w:tcW w:w="1128" w:type="dxa"/>
            <w:vAlign w:val="center"/>
          </w:tcPr>
          <w:p w14:paraId="18593189" w14:textId="77777777" w:rsidR="00A84725" w:rsidRDefault="00A84725">
            <w:pPr>
              <w:spacing w:after="0"/>
            </w:pPr>
          </w:p>
        </w:tc>
      </w:tr>
      <w:tr w:rsidR="00A84725" w14:paraId="3CAA2DFC" w14:textId="77777777">
        <w:trPr>
          <w:jc w:val="center"/>
        </w:trPr>
        <w:tc>
          <w:tcPr>
            <w:tcW w:w="1128" w:type="dxa"/>
            <w:vAlign w:val="center"/>
          </w:tcPr>
          <w:p w14:paraId="6C4FDCD9" w14:textId="77777777" w:rsidR="00A84725" w:rsidRDefault="00000000">
            <w:pPr>
              <w:spacing w:after="0"/>
            </w:pPr>
            <w:r>
              <w:rPr>
                <w:sz w:val="14"/>
              </w:rPr>
              <w:t>Develop training</w:t>
            </w:r>
          </w:p>
        </w:tc>
        <w:tc>
          <w:tcPr>
            <w:tcW w:w="1128" w:type="dxa"/>
            <w:vAlign w:val="center"/>
          </w:tcPr>
          <w:p w14:paraId="4ED861C0" w14:textId="77777777" w:rsidR="00A84725" w:rsidRDefault="00000000">
            <w:pPr>
              <w:spacing w:after="0"/>
            </w:pPr>
            <w:r>
              <w:rPr>
                <w:sz w:val="14"/>
              </w:rPr>
              <w:t>X</w:t>
            </w:r>
          </w:p>
        </w:tc>
        <w:tc>
          <w:tcPr>
            <w:tcW w:w="1128" w:type="dxa"/>
            <w:vAlign w:val="center"/>
          </w:tcPr>
          <w:p w14:paraId="5E2AD266" w14:textId="77777777" w:rsidR="00A84725" w:rsidRDefault="00000000">
            <w:pPr>
              <w:spacing w:after="0"/>
            </w:pPr>
            <w:r>
              <w:rPr>
                <w:sz w:val="14"/>
              </w:rPr>
              <w:t>X</w:t>
            </w:r>
          </w:p>
        </w:tc>
        <w:tc>
          <w:tcPr>
            <w:tcW w:w="1128" w:type="dxa"/>
            <w:vAlign w:val="center"/>
          </w:tcPr>
          <w:p w14:paraId="2BD6701E" w14:textId="77777777" w:rsidR="00A84725" w:rsidRDefault="00A84725">
            <w:pPr>
              <w:spacing w:after="0"/>
            </w:pPr>
          </w:p>
        </w:tc>
        <w:tc>
          <w:tcPr>
            <w:tcW w:w="1128" w:type="dxa"/>
            <w:vAlign w:val="center"/>
          </w:tcPr>
          <w:p w14:paraId="5C97F94D" w14:textId="77777777" w:rsidR="00A84725" w:rsidRDefault="00A84725">
            <w:pPr>
              <w:spacing w:after="0"/>
            </w:pPr>
          </w:p>
        </w:tc>
        <w:tc>
          <w:tcPr>
            <w:tcW w:w="1128" w:type="dxa"/>
            <w:vAlign w:val="center"/>
          </w:tcPr>
          <w:p w14:paraId="4D43E6F9" w14:textId="77777777" w:rsidR="00A84725" w:rsidRDefault="00A84725">
            <w:pPr>
              <w:spacing w:after="0"/>
            </w:pPr>
          </w:p>
        </w:tc>
        <w:tc>
          <w:tcPr>
            <w:tcW w:w="1128" w:type="dxa"/>
            <w:vAlign w:val="center"/>
          </w:tcPr>
          <w:p w14:paraId="4100BCCB" w14:textId="77777777" w:rsidR="00A84725" w:rsidRDefault="00A84725">
            <w:pPr>
              <w:spacing w:after="0"/>
            </w:pPr>
          </w:p>
        </w:tc>
        <w:tc>
          <w:tcPr>
            <w:tcW w:w="1128" w:type="dxa"/>
            <w:vAlign w:val="center"/>
          </w:tcPr>
          <w:p w14:paraId="54578585" w14:textId="77777777" w:rsidR="00A84725" w:rsidRDefault="00A84725">
            <w:pPr>
              <w:spacing w:after="0"/>
            </w:pPr>
          </w:p>
        </w:tc>
      </w:tr>
      <w:tr w:rsidR="00A84725" w14:paraId="17846960" w14:textId="77777777">
        <w:trPr>
          <w:jc w:val="center"/>
        </w:trPr>
        <w:tc>
          <w:tcPr>
            <w:tcW w:w="1128" w:type="dxa"/>
            <w:vAlign w:val="center"/>
          </w:tcPr>
          <w:p w14:paraId="67B30140" w14:textId="77777777" w:rsidR="00A84725" w:rsidRDefault="00000000">
            <w:pPr>
              <w:spacing w:after="0"/>
            </w:pPr>
            <w:r>
              <w:rPr>
                <w:sz w:val="14"/>
              </w:rPr>
              <w:t>Deliver training</w:t>
            </w:r>
          </w:p>
        </w:tc>
        <w:tc>
          <w:tcPr>
            <w:tcW w:w="1128" w:type="dxa"/>
            <w:vAlign w:val="center"/>
          </w:tcPr>
          <w:p w14:paraId="5943D2E2" w14:textId="77777777" w:rsidR="00A84725" w:rsidRDefault="00A84725">
            <w:pPr>
              <w:spacing w:after="0"/>
            </w:pPr>
          </w:p>
        </w:tc>
        <w:tc>
          <w:tcPr>
            <w:tcW w:w="1128" w:type="dxa"/>
            <w:vAlign w:val="center"/>
          </w:tcPr>
          <w:p w14:paraId="19FE11C1" w14:textId="77777777" w:rsidR="00A84725" w:rsidRDefault="00A84725">
            <w:pPr>
              <w:spacing w:after="0"/>
            </w:pPr>
          </w:p>
        </w:tc>
        <w:tc>
          <w:tcPr>
            <w:tcW w:w="1128" w:type="dxa"/>
            <w:vAlign w:val="center"/>
          </w:tcPr>
          <w:p w14:paraId="42FBD0EF" w14:textId="77777777" w:rsidR="00A84725" w:rsidRDefault="00000000">
            <w:pPr>
              <w:spacing w:after="0"/>
            </w:pPr>
            <w:r>
              <w:rPr>
                <w:sz w:val="14"/>
              </w:rPr>
              <w:t>X</w:t>
            </w:r>
          </w:p>
        </w:tc>
        <w:tc>
          <w:tcPr>
            <w:tcW w:w="1128" w:type="dxa"/>
            <w:vAlign w:val="center"/>
          </w:tcPr>
          <w:p w14:paraId="518B4707" w14:textId="77777777" w:rsidR="00A84725" w:rsidRDefault="00A84725">
            <w:pPr>
              <w:spacing w:after="0"/>
            </w:pPr>
          </w:p>
        </w:tc>
        <w:tc>
          <w:tcPr>
            <w:tcW w:w="1128" w:type="dxa"/>
            <w:vAlign w:val="center"/>
          </w:tcPr>
          <w:p w14:paraId="6730A817" w14:textId="77777777" w:rsidR="00A84725" w:rsidRDefault="00A84725">
            <w:pPr>
              <w:spacing w:after="0"/>
            </w:pPr>
          </w:p>
        </w:tc>
        <w:tc>
          <w:tcPr>
            <w:tcW w:w="1128" w:type="dxa"/>
            <w:vAlign w:val="center"/>
          </w:tcPr>
          <w:p w14:paraId="50AD5E4F" w14:textId="77777777" w:rsidR="00A84725" w:rsidRDefault="00A84725">
            <w:pPr>
              <w:spacing w:after="0"/>
            </w:pPr>
          </w:p>
        </w:tc>
        <w:tc>
          <w:tcPr>
            <w:tcW w:w="1128" w:type="dxa"/>
            <w:vAlign w:val="center"/>
          </w:tcPr>
          <w:p w14:paraId="2607E261" w14:textId="77777777" w:rsidR="00A84725" w:rsidRDefault="00A84725">
            <w:pPr>
              <w:spacing w:after="0"/>
            </w:pPr>
          </w:p>
        </w:tc>
      </w:tr>
      <w:tr w:rsidR="00A84725" w14:paraId="20203669" w14:textId="77777777">
        <w:trPr>
          <w:jc w:val="center"/>
        </w:trPr>
        <w:tc>
          <w:tcPr>
            <w:tcW w:w="1128" w:type="dxa"/>
            <w:vAlign w:val="center"/>
          </w:tcPr>
          <w:p w14:paraId="4DCB3BF3" w14:textId="77777777" w:rsidR="00A84725" w:rsidRDefault="00000000">
            <w:pPr>
              <w:spacing w:after="0"/>
            </w:pPr>
            <w:r>
              <w:rPr>
                <w:sz w:val="14"/>
              </w:rPr>
              <w:t>Monitoring reports</w:t>
            </w:r>
          </w:p>
        </w:tc>
        <w:tc>
          <w:tcPr>
            <w:tcW w:w="1128" w:type="dxa"/>
            <w:vAlign w:val="center"/>
          </w:tcPr>
          <w:p w14:paraId="08C7BC56" w14:textId="77777777" w:rsidR="00A84725" w:rsidRDefault="00A84725">
            <w:pPr>
              <w:spacing w:after="0"/>
            </w:pPr>
          </w:p>
        </w:tc>
        <w:tc>
          <w:tcPr>
            <w:tcW w:w="1128" w:type="dxa"/>
            <w:vAlign w:val="center"/>
          </w:tcPr>
          <w:p w14:paraId="7190E7A9" w14:textId="77777777" w:rsidR="00A84725" w:rsidRDefault="00A84725">
            <w:pPr>
              <w:spacing w:after="0"/>
            </w:pPr>
          </w:p>
        </w:tc>
        <w:tc>
          <w:tcPr>
            <w:tcW w:w="1128" w:type="dxa"/>
            <w:vAlign w:val="center"/>
          </w:tcPr>
          <w:p w14:paraId="5F1435FA" w14:textId="77777777" w:rsidR="00A84725" w:rsidRDefault="00000000">
            <w:pPr>
              <w:spacing w:after="0"/>
            </w:pPr>
            <w:r>
              <w:rPr>
                <w:sz w:val="14"/>
              </w:rPr>
              <w:t>X</w:t>
            </w:r>
          </w:p>
        </w:tc>
        <w:tc>
          <w:tcPr>
            <w:tcW w:w="1128" w:type="dxa"/>
            <w:vAlign w:val="center"/>
          </w:tcPr>
          <w:p w14:paraId="2567B421" w14:textId="77777777" w:rsidR="00A84725" w:rsidRDefault="00000000">
            <w:pPr>
              <w:spacing w:after="0"/>
            </w:pPr>
            <w:r>
              <w:rPr>
                <w:sz w:val="14"/>
              </w:rPr>
              <w:t>X</w:t>
            </w:r>
          </w:p>
        </w:tc>
        <w:tc>
          <w:tcPr>
            <w:tcW w:w="1128" w:type="dxa"/>
            <w:vAlign w:val="center"/>
          </w:tcPr>
          <w:p w14:paraId="16761694" w14:textId="77777777" w:rsidR="00A84725" w:rsidRDefault="00A84725">
            <w:pPr>
              <w:spacing w:after="0"/>
            </w:pPr>
          </w:p>
        </w:tc>
        <w:tc>
          <w:tcPr>
            <w:tcW w:w="1128" w:type="dxa"/>
            <w:vAlign w:val="center"/>
          </w:tcPr>
          <w:p w14:paraId="4B4CF545" w14:textId="77777777" w:rsidR="00A84725" w:rsidRDefault="00A84725">
            <w:pPr>
              <w:spacing w:after="0"/>
            </w:pPr>
          </w:p>
        </w:tc>
        <w:tc>
          <w:tcPr>
            <w:tcW w:w="1128" w:type="dxa"/>
            <w:vAlign w:val="center"/>
          </w:tcPr>
          <w:p w14:paraId="626A392C" w14:textId="77777777" w:rsidR="00A84725" w:rsidRDefault="00000000">
            <w:pPr>
              <w:spacing w:after="0"/>
            </w:pPr>
            <w:r>
              <w:rPr>
                <w:sz w:val="14"/>
              </w:rPr>
              <w:t>X</w:t>
            </w:r>
          </w:p>
        </w:tc>
      </w:tr>
      <w:tr w:rsidR="00A84725" w14:paraId="5D7D80CD" w14:textId="77777777">
        <w:trPr>
          <w:jc w:val="center"/>
        </w:trPr>
        <w:tc>
          <w:tcPr>
            <w:tcW w:w="1128" w:type="dxa"/>
            <w:vAlign w:val="center"/>
          </w:tcPr>
          <w:p w14:paraId="0ED4236D" w14:textId="77777777" w:rsidR="00A84725" w:rsidRDefault="00000000">
            <w:pPr>
              <w:spacing w:after="0"/>
            </w:pPr>
            <w:r>
              <w:rPr>
                <w:sz w:val="14"/>
              </w:rPr>
              <w:t>Return-to-work approach</w:t>
            </w:r>
          </w:p>
        </w:tc>
        <w:tc>
          <w:tcPr>
            <w:tcW w:w="1128" w:type="dxa"/>
            <w:vAlign w:val="center"/>
          </w:tcPr>
          <w:p w14:paraId="7B5FD8CC" w14:textId="77777777" w:rsidR="00A84725" w:rsidRDefault="00A84725">
            <w:pPr>
              <w:spacing w:after="0"/>
            </w:pPr>
          </w:p>
        </w:tc>
        <w:tc>
          <w:tcPr>
            <w:tcW w:w="1128" w:type="dxa"/>
            <w:vAlign w:val="center"/>
          </w:tcPr>
          <w:p w14:paraId="270CFFE6" w14:textId="77777777" w:rsidR="00A84725" w:rsidRDefault="00A84725">
            <w:pPr>
              <w:spacing w:after="0"/>
            </w:pPr>
          </w:p>
        </w:tc>
        <w:tc>
          <w:tcPr>
            <w:tcW w:w="1128" w:type="dxa"/>
            <w:vAlign w:val="center"/>
          </w:tcPr>
          <w:p w14:paraId="38C1E2B6" w14:textId="77777777" w:rsidR="00A84725" w:rsidRDefault="00A84725">
            <w:pPr>
              <w:spacing w:after="0"/>
            </w:pPr>
          </w:p>
        </w:tc>
        <w:tc>
          <w:tcPr>
            <w:tcW w:w="1128" w:type="dxa"/>
            <w:vAlign w:val="center"/>
          </w:tcPr>
          <w:p w14:paraId="012336E3" w14:textId="77777777" w:rsidR="00A84725" w:rsidRDefault="00000000">
            <w:pPr>
              <w:spacing w:after="0"/>
            </w:pPr>
            <w:r>
              <w:rPr>
                <w:sz w:val="14"/>
              </w:rPr>
              <w:t>X</w:t>
            </w:r>
          </w:p>
        </w:tc>
        <w:tc>
          <w:tcPr>
            <w:tcW w:w="1128" w:type="dxa"/>
            <w:vAlign w:val="center"/>
          </w:tcPr>
          <w:p w14:paraId="3EFD62FA" w14:textId="77777777" w:rsidR="00A84725" w:rsidRDefault="00000000">
            <w:pPr>
              <w:spacing w:after="0"/>
            </w:pPr>
            <w:r>
              <w:rPr>
                <w:sz w:val="14"/>
              </w:rPr>
              <w:t>X</w:t>
            </w:r>
          </w:p>
        </w:tc>
        <w:tc>
          <w:tcPr>
            <w:tcW w:w="1128" w:type="dxa"/>
            <w:vAlign w:val="center"/>
          </w:tcPr>
          <w:p w14:paraId="19CAF9B9" w14:textId="77777777" w:rsidR="00A84725" w:rsidRDefault="00000000">
            <w:pPr>
              <w:spacing w:after="0"/>
            </w:pPr>
            <w:r>
              <w:rPr>
                <w:sz w:val="14"/>
              </w:rPr>
              <w:t>X</w:t>
            </w:r>
          </w:p>
        </w:tc>
        <w:tc>
          <w:tcPr>
            <w:tcW w:w="1128" w:type="dxa"/>
            <w:vAlign w:val="center"/>
          </w:tcPr>
          <w:p w14:paraId="1ADAF88A" w14:textId="77777777" w:rsidR="00A84725" w:rsidRDefault="00000000">
            <w:pPr>
              <w:spacing w:after="0"/>
            </w:pPr>
            <w:r>
              <w:rPr>
                <w:sz w:val="14"/>
              </w:rPr>
              <w:t>X</w:t>
            </w:r>
          </w:p>
        </w:tc>
      </w:tr>
      <w:tr w:rsidR="00A84725" w14:paraId="649A49EB" w14:textId="77777777">
        <w:trPr>
          <w:jc w:val="center"/>
        </w:trPr>
        <w:tc>
          <w:tcPr>
            <w:tcW w:w="1128" w:type="dxa"/>
            <w:vAlign w:val="center"/>
          </w:tcPr>
          <w:p w14:paraId="32C31AEE" w14:textId="77777777" w:rsidR="00A84725" w:rsidRDefault="00000000">
            <w:pPr>
              <w:spacing w:after="0"/>
            </w:pPr>
            <w:r>
              <w:rPr>
                <w:sz w:val="14"/>
              </w:rPr>
              <w:t>OH/wellbeing support</w:t>
            </w:r>
          </w:p>
        </w:tc>
        <w:tc>
          <w:tcPr>
            <w:tcW w:w="1128" w:type="dxa"/>
            <w:vAlign w:val="center"/>
          </w:tcPr>
          <w:p w14:paraId="01ECE9DE" w14:textId="77777777" w:rsidR="00A84725" w:rsidRDefault="00A84725">
            <w:pPr>
              <w:spacing w:after="0"/>
            </w:pPr>
          </w:p>
        </w:tc>
        <w:tc>
          <w:tcPr>
            <w:tcW w:w="1128" w:type="dxa"/>
            <w:vAlign w:val="center"/>
          </w:tcPr>
          <w:p w14:paraId="78D48F1C" w14:textId="77777777" w:rsidR="00A84725" w:rsidRDefault="00A84725">
            <w:pPr>
              <w:spacing w:after="0"/>
            </w:pPr>
          </w:p>
        </w:tc>
        <w:tc>
          <w:tcPr>
            <w:tcW w:w="1128" w:type="dxa"/>
            <w:vAlign w:val="center"/>
          </w:tcPr>
          <w:p w14:paraId="0D831E7D" w14:textId="77777777" w:rsidR="00A84725" w:rsidRDefault="00A84725">
            <w:pPr>
              <w:spacing w:after="0"/>
            </w:pPr>
          </w:p>
        </w:tc>
        <w:tc>
          <w:tcPr>
            <w:tcW w:w="1128" w:type="dxa"/>
            <w:vAlign w:val="center"/>
          </w:tcPr>
          <w:p w14:paraId="7A354872" w14:textId="77777777" w:rsidR="00A84725" w:rsidRDefault="00000000">
            <w:pPr>
              <w:spacing w:after="0"/>
            </w:pPr>
            <w:r>
              <w:rPr>
                <w:sz w:val="14"/>
              </w:rPr>
              <w:t>X</w:t>
            </w:r>
          </w:p>
        </w:tc>
        <w:tc>
          <w:tcPr>
            <w:tcW w:w="1128" w:type="dxa"/>
            <w:vAlign w:val="center"/>
          </w:tcPr>
          <w:p w14:paraId="69292F9A" w14:textId="77777777" w:rsidR="00A84725" w:rsidRDefault="00000000">
            <w:pPr>
              <w:spacing w:after="0"/>
            </w:pPr>
            <w:r>
              <w:rPr>
                <w:sz w:val="14"/>
              </w:rPr>
              <w:t>X</w:t>
            </w:r>
          </w:p>
        </w:tc>
        <w:tc>
          <w:tcPr>
            <w:tcW w:w="1128" w:type="dxa"/>
            <w:vAlign w:val="center"/>
          </w:tcPr>
          <w:p w14:paraId="6C142040" w14:textId="77777777" w:rsidR="00A84725" w:rsidRDefault="00A84725">
            <w:pPr>
              <w:spacing w:after="0"/>
            </w:pPr>
          </w:p>
        </w:tc>
        <w:tc>
          <w:tcPr>
            <w:tcW w:w="1128" w:type="dxa"/>
            <w:vAlign w:val="center"/>
          </w:tcPr>
          <w:p w14:paraId="5B263A60" w14:textId="77777777" w:rsidR="00A84725" w:rsidRDefault="00000000">
            <w:pPr>
              <w:spacing w:after="0"/>
            </w:pPr>
            <w:r>
              <w:rPr>
                <w:sz w:val="14"/>
              </w:rPr>
              <w:t>X</w:t>
            </w:r>
          </w:p>
        </w:tc>
      </w:tr>
      <w:tr w:rsidR="00A84725" w14:paraId="25FE24FA" w14:textId="77777777">
        <w:trPr>
          <w:jc w:val="center"/>
        </w:trPr>
        <w:tc>
          <w:tcPr>
            <w:tcW w:w="1128" w:type="dxa"/>
            <w:vAlign w:val="center"/>
          </w:tcPr>
          <w:p w14:paraId="0E129C6F" w14:textId="77777777" w:rsidR="00A84725" w:rsidRDefault="00000000">
            <w:pPr>
              <w:spacing w:after="0"/>
            </w:pPr>
            <w:r>
              <w:rPr>
                <w:sz w:val="14"/>
              </w:rPr>
              <w:t>Implementation review</w:t>
            </w:r>
          </w:p>
        </w:tc>
        <w:tc>
          <w:tcPr>
            <w:tcW w:w="1128" w:type="dxa"/>
            <w:vAlign w:val="center"/>
          </w:tcPr>
          <w:p w14:paraId="7B07FC8D" w14:textId="77777777" w:rsidR="00A84725" w:rsidRDefault="00A84725">
            <w:pPr>
              <w:spacing w:after="0"/>
            </w:pPr>
          </w:p>
        </w:tc>
        <w:tc>
          <w:tcPr>
            <w:tcW w:w="1128" w:type="dxa"/>
            <w:vAlign w:val="center"/>
          </w:tcPr>
          <w:p w14:paraId="7C70B032" w14:textId="77777777" w:rsidR="00A84725" w:rsidRDefault="00A84725">
            <w:pPr>
              <w:spacing w:after="0"/>
            </w:pPr>
          </w:p>
        </w:tc>
        <w:tc>
          <w:tcPr>
            <w:tcW w:w="1128" w:type="dxa"/>
            <w:vAlign w:val="center"/>
          </w:tcPr>
          <w:p w14:paraId="0A245B7D" w14:textId="77777777" w:rsidR="00A84725" w:rsidRDefault="00A84725">
            <w:pPr>
              <w:spacing w:after="0"/>
            </w:pPr>
          </w:p>
        </w:tc>
        <w:tc>
          <w:tcPr>
            <w:tcW w:w="1128" w:type="dxa"/>
            <w:vAlign w:val="center"/>
          </w:tcPr>
          <w:p w14:paraId="2FD67E7D" w14:textId="77777777" w:rsidR="00A84725" w:rsidRDefault="00000000">
            <w:pPr>
              <w:spacing w:after="0"/>
            </w:pPr>
            <w:r>
              <w:rPr>
                <w:sz w:val="14"/>
              </w:rPr>
              <w:t>X</w:t>
            </w:r>
          </w:p>
        </w:tc>
        <w:tc>
          <w:tcPr>
            <w:tcW w:w="1128" w:type="dxa"/>
            <w:vAlign w:val="center"/>
          </w:tcPr>
          <w:p w14:paraId="52BF3E1A" w14:textId="77777777" w:rsidR="00A84725" w:rsidRDefault="00000000">
            <w:pPr>
              <w:spacing w:after="0"/>
            </w:pPr>
            <w:r>
              <w:rPr>
                <w:sz w:val="14"/>
              </w:rPr>
              <w:t>X</w:t>
            </w:r>
          </w:p>
        </w:tc>
        <w:tc>
          <w:tcPr>
            <w:tcW w:w="1128" w:type="dxa"/>
            <w:vAlign w:val="center"/>
          </w:tcPr>
          <w:p w14:paraId="0DBE4A3C" w14:textId="77777777" w:rsidR="00A84725" w:rsidRDefault="00000000">
            <w:pPr>
              <w:spacing w:after="0"/>
            </w:pPr>
            <w:r>
              <w:rPr>
                <w:sz w:val="14"/>
              </w:rPr>
              <w:t>X</w:t>
            </w:r>
          </w:p>
        </w:tc>
        <w:tc>
          <w:tcPr>
            <w:tcW w:w="1128" w:type="dxa"/>
            <w:vAlign w:val="center"/>
          </w:tcPr>
          <w:p w14:paraId="58328AA8" w14:textId="77777777" w:rsidR="00A84725" w:rsidRDefault="00000000">
            <w:pPr>
              <w:spacing w:after="0"/>
            </w:pPr>
            <w:r>
              <w:rPr>
                <w:sz w:val="14"/>
              </w:rPr>
              <w:t>X</w:t>
            </w:r>
          </w:p>
        </w:tc>
      </w:tr>
      <w:tr w:rsidR="00A84725" w14:paraId="291D2547" w14:textId="77777777">
        <w:trPr>
          <w:jc w:val="center"/>
        </w:trPr>
        <w:tc>
          <w:tcPr>
            <w:tcW w:w="1128" w:type="dxa"/>
            <w:vAlign w:val="center"/>
          </w:tcPr>
          <w:p w14:paraId="21DD4B69" w14:textId="77777777" w:rsidR="00A84725" w:rsidRDefault="00000000">
            <w:pPr>
              <w:spacing w:after="0"/>
            </w:pPr>
            <w:r>
              <w:rPr>
                <w:sz w:val="14"/>
              </w:rPr>
              <w:t>Formal evaluation</w:t>
            </w:r>
          </w:p>
        </w:tc>
        <w:tc>
          <w:tcPr>
            <w:tcW w:w="1128" w:type="dxa"/>
            <w:vAlign w:val="center"/>
          </w:tcPr>
          <w:p w14:paraId="41A2C4A6" w14:textId="77777777" w:rsidR="00A84725" w:rsidRDefault="00A84725">
            <w:pPr>
              <w:spacing w:after="0"/>
            </w:pPr>
          </w:p>
        </w:tc>
        <w:tc>
          <w:tcPr>
            <w:tcW w:w="1128" w:type="dxa"/>
            <w:vAlign w:val="center"/>
          </w:tcPr>
          <w:p w14:paraId="1C5EF56A" w14:textId="77777777" w:rsidR="00A84725" w:rsidRDefault="00A84725">
            <w:pPr>
              <w:spacing w:after="0"/>
            </w:pPr>
          </w:p>
        </w:tc>
        <w:tc>
          <w:tcPr>
            <w:tcW w:w="1128" w:type="dxa"/>
            <w:vAlign w:val="center"/>
          </w:tcPr>
          <w:p w14:paraId="01F9A693" w14:textId="77777777" w:rsidR="00A84725" w:rsidRDefault="00A84725">
            <w:pPr>
              <w:spacing w:after="0"/>
            </w:pPr>
          </w:p>
        </w:tc>
        <w:tc>
          <w:tcPr>
            <w:tcW w:w="1128" w:type="dxa"/>
            <w:vAlign w:val="center"/>
          </w:tcPr>
          <w:p w14:paraId="6177F851" w14:textId="77777777" w:rsidR="00A84725" w:rsidRDefault="00A84725">
            <w:pPr>
              <w:spacing w:after="0"/>
            </w:pPr>
          </w:p>
        </w:tc>
        <w:tc>
          <w:tcPr>
            <w:tcW w:w="1128" w:type="dxa"/>
            <w:vAlign w:val="center"/>
          </w:tcPr>
          <w:p w14:paraId="527E2DFE" w14:textId="77777777" w:rsidR="00A84725" w:rsidRDefault="00A84725">
            <w:pPr>
              <w:spacing w:after="0"/>
            </w:pPr>
          </w:p>
        </w:tc>
        <w:tc>
          <w:tcPr>
            <w:tcW w:w="1128" w:type="dxa"/>
            <w:vAlign w:val="center"/>
          </w:tcPr>
          <w:p w14:paraId="4DB74FB3" w14:textId="77777777" w:rsidR="00A84725" w:rsidRDefault="00000000">
            <w:pPr>
              <w:spacing w:after="0"/>
            </w:pPr>
            <w:r>
              <w:rPr>
                <w:sz w:val="14"/>
              </w:rPr>
              <w:t>X</w:t>
            </w:r>
          </w:p>
        </w:tc>
        <w:tc>
          <w:tcPr>
            <w:tcW w:w="1128" w:type="dxa"/>
            <w:vAlign w:val="center"/>
          </w:tcPr>
          <w:p w14:paraId="0C796B7C" w14:textId="77777777" w:rsidR="00A84725" w:rsidRDefault="00A84725">
            <w:pPr>
              <w:spacing w:after="0"/>
            </w:pPr>
          </w:p>
        </w:tc>
      </w:tr>
    </w:tbl>
    <w:p w14:paraId="5E2BD53B" w14:textId="77777777" w:rsidR="00A84725" w:rsidRDefault="00000000">
      <w:pPr>
        <w:spacing w:after="120"/>
        <w:jc w:val="both"/>
      </w:pPr>
      <w:r>
        <w:rPr>
          <w:sz w:val="21"/>
        </w:rPr>
        <w:t>Success will be assessed through both attendance outcomes and implementation quality. Measures include short-term absence trends, completion of return-to-work meetings, manager compliance, appropriate referrals and staff feedback. This avoids treating a lower sickness rate as the only indicator of success.</w:t>
      </w:r>
    </w:p>
    <w:p w14:paraId="52A01A5D" w14:textId="77777777" w:rsidR="00A84725" w:rsidRDefault="00000000">
      <w:pPr>
        <w:pStyle w:val="Heading1"/>
      </w:pPr>
      <w:r>
        <w:t>6. Communicate the Plan to Relevant Stakeholders</w:t>
      </w:r>
    </w:p>
    <w:p w14:paraId="63204B22" w14:textId="77777777" w:rsidR="00A84725" w:rsidRDefault="00000000">
      <w:pPr>
        <w:spacing w:after="120"/>
        <w:jc w:val="both"/>
      </w:pPr>
      <w:r>
        <w:rPr>
          <w:rFonts w:ascii="Arial" w:hAnsi="Arial"/>
          <w:sz w:val="22"/>
        </w:rPr>
        <w:t>Effective communication is required because the solution changes how attendance is monitored and managed. Key stakeholders include senior management, HR, line managers, Occupational Health, employees and staff representatives. Their interests differ: senior managers require assurance that resources are being used effectively; line managers need clear instructions and training; employees need to understand expectations, confidentiality and available support; Occupational Health needs appropriate referral information; and staff representatives have an interest in fairness and consistent treatment. Because sickness records contain sensitive health information, communication and monitoring must also comply with data-protection requirements and maintain appropriate confidentiality (Information Commissioner's Office [ICO], 2024a, 2024b).</w:t>
      </w:r>
    </w:p>
    <w:p w14:paraId="68EF4006" w14:textId="77777777" w:rsidR="00A84725" w:rsidRDefault="00000000">
      <w:pPr>
        <w:pStyle w:val="Heading2"/>
      </w:pPr>
      <w:r>
        <w:t>6.1 Communication Plan</w:t>
      </w:r>
    </w:p>
    <w:tbl>
      <w:tblPr>
        <w:tblW w:w="0" w:type="auto"/>
        <w:jc w:val="center"/>
        <w:tblLook w:val="04A0" w:firstRow="1" w:lastRow="0" w:firstColumn="1" w:lastColumn="0" w:noHBand="0" w:noVBand="1"/>
      </w:tblPr>
      <w:tblGrid>
        <w:gridCol w:w="2256"/>
        <w:gridCol w:w="2256"/>
        <w:gridCol w:w="2256"/>
        <w:gridCol w:w="2256"/>
      </w:tblGrid>
      <w:tr w:rsidR="00A84725" w14:paraId="0A523AD9" w14:textId="77777777">
        <w:trPr>
          <w:tblHeader/>
          <w:jc w:val="center"/>
        </w:trPr>
        <w:tc>
          <w:tcPr>
            <w:tcW w:w="2256" w:type="dxa"/>
            <w:vAlign w:val="center"/>
          </w:tcPr>
          <w:p w14:paraId="3D781CDE" w14:textId="77777777" w:rsidR="00A84725" w:rsidRDefault="00000000">
            <w:pPr>
              <w:spacing w:after="0"/>
            </w:pPr>
            <w:r>
              <w:rPr>
                <w:b/>
                <w:sz w:val="15"/>
              </w:rPr>
              <w:t>Stakeholder</w:t>
            </w:r>
          </w:p>
        </w:tc>
        <w:tc>
          <w:tcPr>
            <w:tcW w:w="2256" w:type="dxa"/>
            <w:vAlign w:val="center"/>
          </w:tcPr>
          <w:p w14:paraId="43F83FB3" w14:textId="77777777" w:rsidR="00A84725" w:rsidRDefault="00000000">
            <w:pPr>
              <w:spacing w:after="0"/>
            </w:pPr>
            <w:r>
              <w:rPr>
                <w:b/>
                <w:sz w:val="15"/>
              </w:rPr>
              <w:t>Information/purpose</w:t>
            </w:r>
          </w:p>
        </w:tc>
        <w:tc>
          <w:tcPr>
            <w:tcW w:w="2256" w:type="dxa"/>
            <w:vAlign w:val="center"/>
          </w:tcPr>
          <w:p w14:paraId="25B081B5" w14:textId="77777777" w:rsidR="00A84725" w:rsidRDefault="00000000">
            <w:pPr>
              <w:spacing w:after="0"/>
            </w:pPr>
            <w:r>
              <w:rPr>
                <w:b/>
                <w:sz w:val="15"/>
              </w:rPr>
              <w:t>Method</w:t>
            </w:r>
          </w:p>
        </w:tc>
        <w:tc>
          <w:tcPr>
            <w:tcW w:w="2256" w:type="dxa"/>
            <w:vAlign w:val="center"/>
          </w:tcPr>
          <w:p w14:paraId="7F6CC1C2" w14:textId="77777777" w:rsidR="00A84725" w:rsidRDefault="00000000">
            <w:pPr>
              <w:spacing w:after="0"/>
            </w:pPr>
            <w:r>
              <w:rPr>
                <w:b/>
                <w:sz w:val="15"/>
              </w:rPr>
              <w:t>Timing/owner</w:t>
            </w:r>
          </w:p>
        </w:tc>
      </w:tr>
      <w:tr w:rsidR="00A84725" w14:paraId="003ED228" w14:textId="77777777">
        <w:trPr>
          <w:jc w:val="center"/>
        </w:trPr>
        <w:tc>
          <w:tcPr>
            <w:tcW w:w="2256" w:type="dxa"/>
            <w:vAlign w:val="center"/>
          </w:tcPr>
          <w:p w14:paraId="0FA8449E" w14:textId="77777777" w:rsidR="00A84725" w:rsidRDefault="00000000">
            <w:pPr>
              <w:spacing w:after="0"/>
            </w:pPr>
            <w:r>
              <w:rPr>
                <w:sz w:val="15"/>
              </w:rPr>
              <w:t>Senior management</w:t>
            </w:r>
          </w:p>
        </w:tc>
        <w:tc>
          <w:tcPr>
            <w:tcW w:w="2256" w:type="dxa"/>
            <w:vAlign w:val="center"/>
          </w:tcPr>
          <w:p w14:paraId="455D1433" w14:textId="77777777" w:rsidR="00A84725" w:rsidRDefault="00000000">
            <w:pPr>
              <w:spacing w:after="0"/>
            </w:pPr>
            <w:r>
              <w:rPr>
                <w:sz w:val="15"/>
              </w:rPr>
              <w:t>Progress, risks, resources and outcomes.</w:t>
            </w:r>
          </w:p>
        </w:tc>
        <w:tc>
          <w:tcPr>
            <w:tcW w:w="2256" w:type="dxa"/>
            <w:vAlign w:val="center"/>
          </w:tcPr>
          <w:p w14:paraId="1EDCC837" w14:textId="77777777" w:rsidR="00A84725" w:rsidRDefault="00000000">
            <w:pPr>
              <w:spacing w:after="0"/>
            </w:pPr>
            <w:r>
              <w:rPr>
                <w:sz w:val="15"/>
              </w:rPr>
              <w:t>Project update/report</w:t>
            </w:r>
          </w:p>
        </w:tc>
        <w:tc>
          <w:tcPr>
            <w:tcW w:w="2256" w:type="dxa"/>
            <w:vAlign w:val="center"/>
          </w:tcPr>
          <w:p w14:paraId="16F997BC" w14:textId="77777777" w:rsidR="00A84725" w:rsidRDefault="00000000">
            <w:pPr>
              <w:spacing w:after="0"/>
            </w:pPr>
            <w:r>
              <w:rPr>
                <w:sz w:val="15"/>
              </w:rPr>
              <w:t>Monthly - HR lead</w:t>
            </w:r>
          </w:p>
        </w:tc>
      </w:tr>
      <w:tr w:rsidR="00A84725" w14:paraId="3DF42A16" w14:textId="77777777">
        <w:trPr>
          <w:jc w:val="center"/>
        </w:trPr>
        <w:tc>
          <w:tcPr>
            <w:tcW w:w="2256" w:type="dxa"/>
            <w:vAlign w:val="center"/>
          </w:tcPr>
          <w:p w14:paraId="0510E741" w14:textId="77777777" w:rsidR="00A84725" w:rsidRDefault="00000000">
            <w:pPr>
              <w:spacing w:after="0"/>
            </w:pPr>
            <w:r>
              <w:rPr>
                <w:sz w:val="15"/>
              </w:rPr>
              <w:t>Line managers</w:t>
            </w:r>
          </w:p>
        </w:tc>
        <w:tc>
          <w:tcPr>
            <w:tcW w:w="2256" w:type="dxa"/>
            <w:vAlign w:val="center"/>
          </w:tcPr>
          <w:p w14:paraId="74846E38" w14:textId="77777777" w:rsidR="00A84725" w:rsidRDefault="00000000">
            <w:pPr>
              <w:spacing w:after="0"/>
            </w:pPr>
            <w:r>
              <w:rPr>
                <w:sz w:val="15"/>
              </w:rPr>
              <w:t>Process, review points, documentation and support routes.</w:t>
            </w:r>
          </w:p>
        </w:tc>
        <w:tc>
          <w:tcPr>
            <w:tcW w:w="2256" w:type="dxa"/>
            <w:vAlign w:val="center"/>
          </w:tcPr>
          <w:p w14:paraId="17855F1B" w14:textId="77777777" w:rsidR="00A84725" w:rsidRDefault="00000000">
            <w:pPr>
              <w:spacing w:after="0"/>
            </w:pPr>
            <w:r>
              <w:rPr>
                <w:sz w:val="15"/>
              </w:rPr>
              <w:t>Training + guidance</w:t>
            </w:r>
          </w:p>
        </w:tc>
        <w:tc>
          <w:tcPr>
            <w:tcW w:w="2256" w:type="dxa"/>
            <w:vAlign w:val="center"/>
          </w:tcPr>
          <w:p w14:paraId="729E4CC6" w14:textId="77777777" w:rsidR="00A84725" w:rsidRDefault="00000000">
            <w:pPr>
              <w:spacing w:after="0"/>
            </w:pPr>
            <w:r>
              <w:rPr>
                <w:sz w:val="15"/>
              </w:rPr>
              <w:t>W5-6; updates as needed - HR</w:t>
            </w:r>
          </w:p>
        </w:tc>
      </w:tr>
      <w:tr w:rsidR="00A84725" w14:paraId="6BAA95BC" w14:textId="77777777">
        <w:trPr>
          <w:jc w:val="center"/>
        </w:trPr>
        <w:tc>
          <w:tcPr>
            <w:tcW w:w="2256" w:type="dxa"/>
            <w:vAlign w:val="center"/>
          </w:tcPr>
          <w:p w14:paraId="5AFF6608" w14:textId="77777777" w:rsidR="00A84725" w:rsidRDefault="00000000">
            <w:pPr>
              <w:spacing w:after="0"/>
            </w:pPr>
            <w:r>
              <w:rPr>
                <w:sz w:val="15"/>
              </w:rPr>
              <w:t>Employees</w:t>
            </w:r>
          </w:p>
        </w:tc>
        <w:tc>
          <w:tcPr>
            <w:tcW w:w="2256" w:type="dxa"/>
            <w:vAlign w:val="center"/>
          </w:tcPr>
          <w:p w14:paraId="12FA2B28" w14:textId="77777777" w:rsidR="00A84725" w:rsidRDefault="00000000">
            <w:pPr>
              <w:spacing w:after="0"/>
            </w:pPr>
            <w:r>
              <w:rPr>
                <w:sz w:val="15"/>
              </w:rPr>
              <w:t>Purpose, expectations, support and confidentiality.</w:t>
            </w:r>
          </w:p>
        </w:tc>
        <w:tc>
          <w:tcPr>
            <w:tcW w:w="2256" w:type="dxa"/>
            <w:vAlign w:val="center"/>
          </w:tcPr>
          <w:p w14:paraId="225666BD" w14:textId="77777777" w:rsidR="00A84725" w:rsidRDefault="00000000">
            <w:pPr>
              <w:spacing w:after="0"/>
            </w:pPr>
            <w:r>
              <w:rPr>
                <w:sz w:val="15"/>
              </w:rPr>
              <w:t>Team briefing/intranet/email</w:t>
            </w:r>
          </w:p>
        </w:tc>
        <w:tc>
          <w:tcPr>
            <w:tcW w:w="2256" w:type="dxa"/>
            <w:vAlign w:val="center"/>
          </w:tcPr>
          <w:p w14:paraId="67B025E4" w14:textId="77777777" w:rsidR="00A84725" w:rsidRDefault="00000000">
            <w:pPr>
              <w:spacing w:after="0"/>
            </w:pPr>
            <w:r>
              <w:rPr>
                <w:sz w:val="15"/>
              </w:rPr>
              <w:t>Before launch - managers/HR</w:t>
            </w:r>
          </w:p>
        </w:tc>
      </w:tr>
      <w:tr w:rsidR="00A84725" w14:paraId="2F5EF4AD" w14:textId="77777777">
        <w:trPr>
          <w:jc w:val="center"/>
        </w:trPr>
        <w:tc>
          <w:tcPr>
            <w:tcW w:w="2256" w:type="dxa"/>
            <w:vAlign w:val="center"/>
          </w:tcPr>
          <w:p w14:paraId="0A3F3B72" w14:textId="77777777" w:rsidR="00A84725" w:rsidRDefault="00000000">
            <w:pPr>
              <w:spacing w:after="0"/>
            </w:pPr>
            <w:r>
              <w:rPr>
                <w:sz w:val="15"/>
              </w:rPr>
              <w:t>Occupational Health</w:t>
            </w:r>
          </w:p>
        </w:tc>
        <w:tc>
          <w:tcPr>
            <w:tcW w:w="2256" w:type="dxa"/>
            <w:vAlign w:val="center"/>
          </w:tcPr>
          <w:p w14:paraId="36D8387D" w14:textId="77777777" w:rsidR="00A84725" w:rsidRDefault="00000000">
            <w:pPr>
              <w:spacing w:after="0"/>
            </w:pPr>
            <w:r>
              <w:rPr>
                <w:sz w:val="15"/>
              </w:rPr>
              <w:t>Referral criteria and emerging wellbeing themes.</w:t>
            </w:r>
          </w:p>
        </w:tc>
        <w:tc>
          <w:tcPr>
            <w:tcW w:w="2256" w:type="dxa"/>
            <w:vAlign w:val="center"/>
          </w:tcPr>
          <w:p w14:paraId="1FFBF678" w14:textId="77777777" w:rsidR="00A84725" w:rsidRDefault="00000000">
            <w:pPr>
              <w:spacing w:after="0"/>
            </w:pPr>
            <w:r>
              <w:rPr>
                <w:sz w:val="15"/>
              </w:rPr>
              <w:t>Meeting/referral process</w:t>
            </w:r>
          </w:p>
        </w:tc>
        <w:tc>
          <w:tcPr>
            <w:tcW w:w="2256" w:type="dxa"/>
            <w:vAlign w:val="center"/>
          </w:tcPr>
          <w:p w14:paraId="202B1204" w14:textId="77777777" w:rsidR="00A84725" w:rsidRDefault="00000000">
            <w:pPr>
              <w:spacing w:after="0"/>
            </w:pPr>
            <w:r>
              <w:rPr>
                <w:sz w:val="15"/>
              </w:rPr>
              <w:t>W4 then ongoing - HR/OH</w:t>
            </w:r>
          </w:p>
        </w:tc>
      </w:tr>
      <w:tr w:rsidR="00A84725" w14:paraId="28597933" w14:textId="77777777">
        <w:trPr>
          <w:jc w:val="center"/>
        </w:trPr>
        <w:tc>
          <w:tcPr>
            <w:tcW w:w="2256" w:type="dxa"/>
            <w:vAlign w:val="center"/>
          </w:tcPr>
          <w:p w14:paraId="68DD66CA" w14:textId="77777777" w:rsidR="00A84725" w:rsidRDefault="00000000">
            <w:pPr>
              <w:spacing w:after="0"/>
            </w:pPr>
            <w:r>
              <w:rPr>
                <w:sz w:val="15"/>
              </w:rPr>
              <w:t>Staff representatives</w:t>
            </w:r>
          </w:p>
        </w:tc>
        <w:tc>
          <w:tcPr>
            <w:tcW w:w="2256" w:type="dxa"/>
            <w:vAlign w:val="center"/>
          </w:tcPr>
          <w:p w14:paraId="10BD3A56" w14:textId="77777777" w:rsidR="00A84725" w:rsidRDefault="00000000">
            <w:pPr>
              <w:spacing w:after="0"/>
            </w:pPr>
            <w:r>
              <w:rPr>
                <w:sz w:val="15"/>
              </w:rPr>
              <w:t>Implementation, fairness and workforce concerns.</w:t>
            </w:r>
          </w:p>
        </w:tc>
        <w:tc>
          <w:tcPr>
            <w:tcW w:w="2256" w:type="dxa"/>
            <w:vAlign w:val="center"/>
          </w:tcPr>
          <w:p w14:paraId="4673BEBF" w14:textId="77777777" w:rsidR="00A84725" w:rsidRDefault="00000000">
            <w:pPr>
              <w:spacing w:after="0"/>
            </w:pPr>
            <w:r>
              <w:rPr>
                <w:sz w:val="15"/>
              </w:rPr>
              <w:t>Consultation meeting</w:t>
            </w:r>
          </w:p>
        </w:tc>
        <w:tc>
          <w:tcPr>
            <w:tcW w:w="2256" w:type="dxa"/>
            <w:vAlign w:val="center"/>
          </w:tcPr>
          <w:p w14:paraId="6169867E" w14:textId="77777777" w:rsidR="00A84725" w:rsidRDefault="00000000">
            <w:pPr>
              <w:spacing w:after="0"/>
            </w:pPr>
            <w:r>
              <w:rPr>
                <w:sz w:val="15"/>
              </w:rPr>
              <w:t>Before launch and review - HR</w:t>
            </w:r>
          </w:p>
        </w:tc>
      </w:tr>
    </w:tbl>
    <w:p w14:paraId="0B8B62D0" w14:textId="77777777" w:rsidR="00A84725" w:rsidRDefault="00000000">
      <w:pPr>
        <w:spacing w:after="120"/>
        <w:jc w:val="both"/>
      </w:pPr>
      <w:r>
        <w:rPr>
          <w:rFonts w:ascii="Arial" w:hAnsi="Arial"/>
          <w:sz w:val="22"/>
        </w:rPr>
        <w:t>Communication should be two-way. Questions, employee feedback and concerns raised by managers or representatives should be recorded and used to clarify guidance or adjust implementation where appropriate. This is particularly important in relation to sickness absence because employees may be concerned that increased monitoring automatically means a more punitive approach. Clear communication should reinforce that decisions will consider individual circumstances and that appropriate support remains available. HR should monitor recurring questions or areas of misunderstanding and use these to update guidance, while managers should raise operational problems promptly rather than waiting until the formal review. This feedback loop supports consistency and can help maintain trust during implementation.</w:t>
      </w:r>
    </w:p>
    <w:p w14:paraId="7D5A6B66" w14:textId="77777777" w:rsidR="00A84725" w:rsidRDefault="00000000">
      <w:pPr>
        <w:pStyle w:val="Heading1"/>
      </w:pPr>
      <w:r>
        <w:t>7. Monitoring and Review of Implementation</w:t>
      </w:r>
    </w:p>
    <w:p w14:paraId="10D71DD8" w14:textId="77777777" w:rsidR="00A84725" w:rsidRDefault="00000000">
      <w:pPr>
        <w:spacing w:after="120"/>
        <w:jc w:val="both"/>
      </w:pPr>
      <w:r>
        <w:rPr>
          <w:rFonts w:ascii="Arial" w:hAnsi="Arial"/>
          <w:sz w:val="22"/>
        </w:rPr>
        <w:t>Monitoring will compare actual progress with the action plan and Gantt chart rather than waiting until week 12. HR will maintain an implementation tracker and review planned milestones. Early checks will confirm completion of baseline data and the practice audit; the mid-point review will assess training and reporting systems; and later checks will assess whether return-to-work discussions and referral routes are being used consistently. This allows slippage to be identified while corrective action remains manageable.</w:t>
      </w:r>
      <w:r>
        <w:rPr>
          <w:rFonts w:ascii="Arial" w:hAnsi="Arial"/>
          <w:sz w:val="22"/>
        </w:rPr>
        <w:br/>
      </w:r>
      <w:r>
        <w:rPr>
          <w:rFonts w:ascii="Arial" w:hAnsi="Arial"/>
          <w:sz w:val="22"/>
        </w:rPr>
        <w:br/>
        <w:t>Monitoring should consider both implementation and outcomes. A fall in sickness absence alone would not prove success if employees felt pressured to attend work when unwell. Attendance trends should therefore be considered alongside procedural compliance and employee support.</w:t>
      </w:r>
    </w:p>
    <w:p w14:paraId="27A0AFA0" w14:textId="77777777" w:rsidR="00A84725" w:rsidRDefault="00000000">
      <w:pPr>
        <w:spacing w:after="120"/>
        <w:jc w:val="both"/>
      </w:pPr>
      <w:r>
        <w:rPr>
          <w:rFonts w:ascii="Arial" w:hAnsi="Arial"/>
          <w:sz w:val="22"/>
        </w:rPr>
        <w:t>Key indicators will include short-term sickness frequency and rate against baseline, return-to-work completion, attendance-review compliance, manager training completion, appropriate Occupational Health referrals and relevant feedback. Departmental trends should also be reviewed because an organisation-wide average may conceal areas where absence remains high. Quantitative data can show whether performance is changing, while qualitative feedback can help explain why. A formal week-12 review should compare results with the baseline and decide whether the approach should continue, be amended or require further intervention. Ongoing monitoring is necessary because sustainable improvement cannot be demonstrated during the initial project period alone.</w:t>
      </w:r>
    </w:p>
    <w:p w14:paraId="5A7E63E4" w14:textId="77777777" w:rsidR="00A84725" w:rsidRDefault="00000000" w:rsidP="003B2CEE">
      <w:pPr>
        <w:spacing w:after="120"/>
      </w:pPr>
      <w:r>
        <w:rPr>
          <w:rFonts w:ascii="Arial" w:hAnsi="Arial"/>
          <w:sz w:val="22"/>
        </w:rPr>
        <w:t>Where slippage occurs, corrective action should reflect the cause. Missed training may require another session, poor return-to-work completion may require manager reminders or supervision, and inaccurate reports may require HR to review recording processes. If one department continues to experience high absence, further analysis should consider workload, local management practice and wellbeing concerns rather than assuming misuse.</w:t>
      </w:r>
      <w:r>
        <w:rPr>
          <w:rFonts w:ascii="Arial" w:hAnsi="Arial"/>
          <w:sz w:val="22"/>
        </w:rPr>
        <w:br/>
      </w:r>
      <w:r>
        <w:rPr>
          <w:rFonts w:ascii="Arial" w:hAnsi="Arial"/>
          <w:sz w:val="22"/>
        </w:rPr>
        <w:br/>
        <w:t>The action plan, Gantt chart and communication plan should remain live management tools. Comparing planned and actual progress allows managers to identify delays, allocate resources and revise timescales where necessary. Successful implementation would mean improved consistency, earlier intervention, appropriate support and a sustainable reduction in avoidable short-term absence without creating an unfair attendance culture.</w:t>
      </w:r>
    </w:p>
    <w:p w14:paraId="58970033" w14:textId="77777777" w:rsidR="003B2CEE" w:rsidRDefault="00000000" w:rsidP="003B2CEE">
      <w:pPr>
        <w:pStyle w:val="Heading1"/>
      </w:pPr>
      <w:r>
        <w:t>Conclusion</w:t>
      </w:r>
    </w:p>
    <w:p w14:paraId="3A0109A3" w14:textId="16FBE543" w:rsidR="003B2CEE" w:rsidRPr="003B2CEE" w:rsidRDefault="003B2CEE" w:rsidP="003B2CEE">
      <w:pPr>
        <w:pStyle w:val="Heading1"/>
      </w:pPr>
      <w:r w:rsidRPr="003B2CEE">
        <w:rPr>
          <w:rFonts w:ascii="Arial" w:hAnsi="Arial"/>
          <w:color w:val="auto"/>
          <w:sz w:val="21"/>
          <w:szCs w:val="21"/>
        </w:rPr>
        <w:t>High levels of sickness absence within an NHS hospital represent a complex workplace problem because a range of interconnected factors can contribute to employee absence. These include genuine physical and mental ill health, demanding working conditions, staffing pressures, management practices and the potential misuse of sickness absence procedures. The significance of the issue is demonstrated by NHS Wales workforce data, which reported an average sickness absence rate of 6.4% during 2025, with considerable variation between different occupational groups (Welsh Government, 2026). Therefore, sickness absence should not be viewed solely as an individual employee issue but as a wider organisational challenge requiring effective leadership and management.</w:t>
      </w:r>
    </w:p>
    <w:p w14:paraId="54DB823D" w14:textId="77777777" w:rsidR="003B2CEE" w:rsidRPr="003B2CEE" w:rsidRDefault="003B2CEE" w:rsidP="003B2CEE">
      <w:pPr>
        <w:pStyle w:val="Heading1"/>
        <w:rPr>
          <w:rFonts w:ascii="Arial" w:hAnsi="Arial"/>
          <w:color w:val="auto"/>
          <w:sz w:val="21"/>
          <w:szCs w:val="21"/>
        </w:rPr>
      </w:pPr>
      <w:r w:rsidRPr="003B2CEE">
        <w:rPr>
          <w:rFonts w:ascii="Arial" w:hAnsi="Arial"/>
          <w:color w:val="auto"/>
          <w:sz w:val="21"/>
          <w:szCs w:val="21"/>
        </w:rPr>
        <w:t xml:space="preserve">The 5 Whys root-cause analysis and Ishikawa Fishbone analysis demonstrated that repeated sickness absence may be influenced by weaknesses in monitoring, inconsistent management practices, workload pressures and employee health and wellbeing. This highlights the importance of investigating the underlying causes of absence rather than </w:t>
      </w:r>
      <w:proofErr w:type="gramStart"/>
      <w:r w:rsidRPr="003B2CEE">
        <w:rPr>
          <w:rFonts w:ascii="Arial" w:hAnsi="Arial"/>
          <w:color w:val="auto"/>
          <w:sz w:val="21"/>
          <w:szCs w:val="21"/>
        </w:rPr>
        <w:t>assuming that</w:t>
      </w:r>
      <w:proofErr w:type="gramEnd"/>
      <w:r w:rsidRPr="003B2CEE">
        <w:rPr>
          <w:rFonts w:ascii="Arial" w:hAnsi="Arial"/>
          <w:color w:val="auto"/>
          <w:sz w:val="21"/>
          <w:szCs w:val="21"/>
        </w:rPr>
        <w:t xml:space="preserve"> repeated or patterned absence automatically represents misuse. At the same time, organisations must have sufficiently robust procedures to identify concerning attendance patterns and ensure that sickness absence arrangements are applied fairly and consistently.</w:t>
      </w:r>
    </w:p>
    <w:p w14:paraId="042037B4" w14:textId="77777777" w:rsidR="003B2CEE" w:rsidRPr="003B2CEE" w:rsidRDefault="003B2CEE" w:rsidP="003B2CEE">
      <w:pPr>
        <w:pStyle w:val="Heading1"/>
        <w:rPr>
          <w:rFonts w:ascii="Arial" w:hAnsi="Arial"/>
          <w:color w:val="auto"/>
          <w:sz w:val="21"/>
          <w:szCs w:val="21"/>
        </w:rPr>
      </w:pPr>
      <w:r w:rsidRPr="003B2CEE">
        <w:rPr>
          <w:rFonts w:ascii="Arial" w:hAnsi="Arial"/>
          <w:color w:val="auto"/>
          <w:sz w:val="21"/>
          <w:szCs w:val="21"/>
        </w:rPr>
        <w:t>Following evaluation of the four proposed solutions through weighted decision analysis and cost-benefit analysis, the combined attendance-management and employee-wellbeing approach was identified as the most appropriate solution. Although this approach requires greater initial resources than implementing a single intervention, it provides a more comprehensive response by combining improved monitoring, consistent return-to-work procedures, manager training and appropriate access to Occupational Health and wellbeing support. This provides a balance between organisational accountability and the responsibility to support employees experiencing genuine health difficulties.</w:t>
      </w:r>
    </w:p>
    <w:p w14:paraId="6305AA30" w14:textId="77777777" w:rsidR="003B2CEE" w:rsidRPr="003B2CEE" w:rsidRDefault="003B2CEE" w:rsidP="003B2CEE">
      <w:pPr>
        <w:pStyle w:val="Heading1"/>
        <w:rPr>
          <w:rFonts w:ascii="Arial" w:hAnsi="Arial"/>
          <w:color w:val="auto"/>
          <w:sz w:val="21"/>
          <w:szCs w:val="21"/>
        </w:rPr>
      </w:pPr>
      <w:r w:rsidRPr="003B2CEE">
        <w:rPr>
          <w:rFonts w:ascii="Arial" w:hAnsi="Arial"/>
          <w:color w:val="auto"/>
          <w:sz w:val="21"/>
          <w:szCs w:val="21"/>
        </w:rPr>
        <w:t>Successful implementation will depend upon effective communication between senior management, HR, line managers, Occupational Health, employees and staff representatives. The action plan and Gantt chart provide clear responsibilities, timescales and milestones against which progress can be monitored. Regular review of absence trends, return-to-work completion, management compliance, Occupational Health referrals and employee feedback will enable problems or delays to be identified at an early stage and corrective action to be introduced where necessary.</w:t>
      </w:r>
    </w:p>
    <w:p w14:paraId="6B5EDD4F" w14:textId="77777777" w:rsidR="003B2CEE" w:rsidRPr="003B2CEE" w:rsidRDefault="003B2CEE" w:rsidP="003B2CEE">
      <w:pPr>
        <w:pStyle w:val="Heading1"/>
        <w:rPr>
          <w:rFonts w:ascii="Arial" w:hAnsi="Arial"/>
          <w:color w:val="auto"/>
          <w:sz w:val="21"/>
          <w:szCs w:val="21"/>
        </w:rPr>
      </w:pPr>
      <w:r w:rsidRPr="003B2CEE">
        <w:rPr>
          <w:rFonts w:ascii="Arial" w:hAnsi="Arial"/>
          <w:color w:val="auto"/>
          <w:sz w:val="21"/>
          <w:szCs w:val="21"/>
        </w:rPr>
        <w:t>Ultimately, the purpose of effective attendance management should not simply be to achieve the lowest possible sickness absence rate. Instead, the NHS hospital should aim to create a fair, consistent and sustainable approach that reduces avoidable absence and identifies potential misuse while continuing to protect employees who have legitimate health needs. By combining accountability with early intervention and appropriate support, the organisation should be better positioned to improve attendance management, reduce pressures on colleagues and contribute to the effective delivery of patient services.</w:t>
      </w:r>
    </w:p>
    <w:p w14:paraId="45725E1C" w14:textId="77777777" w:rsidR="00A84725" w:rsidRDefault="00000000">
      <w:pPr>
        <w:pStyle w:val="Heading1"/>
      </w:pPr>
      <w:r>
        <w:t>References</w:t>
      </w:r>
    </w:p>
    <w:p w14:paraId="4F914139" w14:textId="77777777" w:rsidR="00A84725" w:rsidRDefault="00000000">
      <w:pPr>
        <w:spacing w:after="120"/>
        <w:ind w:left="720" w:hanging="720"/>
      </w:pPr>
      <w:r>
        <w:rPr>
          <w:rFonts w:ascii="Arial" w:hAnsi="Arial"/>
          <w:sz w:val="21"/>
        </w:rPr>
        <w:t xml:space="preserve">Advisory, Conciliation and Arbitration Service. (2024a). </w:t>
      </w:r>
      <w:r>
        <w:rPr>
          <w:rFonts w:ascii="Arial" w:hAnsi="Arial"/>
          <w:i/>
          <w:sz w:val="21"/>
        </w:rPr>
        <w:t>Absence trigger points</w:t>
      </w:r>
      <w:r>
        <w:rPr>
          <w:rFonts w:ascii="Arial" w:hAnsi="Arial"/>
          <w:sz w:val="21"/>
        </w:rPr>
        <w:t>. https://www.acas.org.uk/absence-trigger-points</w:t>
      </w:r>
    </w:p>
    <w:p w14:paraId="127FF483" w14:textId="77777777" w:rsidR="00A84725" w:rsidRDefault="00000000">
      <w:pPr>
        <w:spacing w:after="120"/>
        <w:ind w:left="720" w:hanging="720"/>
      </w:pPr>
      <w:r>
        <w:rPr>
          <w:rFonts w:ascii="Arial" w:hAnsi="Arial"/>
          <w:sz w:val="21"/>
        </w:rPr>
        <w:t xml:space="preserve">Advisory, Conciliation and Arbitration Service. (2024b). </w:t>
      </w:r>
      <w:r>
        <w:rPr>
          <w:rFonts w:ascii="Arial" w:hAnsi="Arial"/>
          <w:i/>
          <w:sz w:val="21"/>
        </w:rPr>
        <w:t>Returning to work after absence: Return to work meetings</w:t>
      </w:r>
      <w:r>
        <w:rPr>
          <w:rFonts w:ascii="Arial" w:hAnsi="Arial"/>
          <w:sz w:val="21"/>
        </w:rPr>
        <w:t>. https://www.acas.org.uk/returning-to-work-after-absence</w:t>
      </w:r>
    </w:p>
    <w:p w14:paraId="51D40008" w14:textId="77777777" w:rsidR="00A84725" w:rsidRDefault="00000000">
      <w:pPr>
        <w:spacing w:after="120"/>
        <w:ind w:left="720" w:hanging="720"/>
      </w:pPr>
      <w:r>
        <w:rPr>
          <w:rFonts w:ascii="Arial" w:hAnsi="Arial"/>
          <w:sz w:val="21"/>
        </w:rPr>
        <w:t xml:space="preserve">Advisory, Conciliation and Arbitration Service. (2024c). </w:t>
      </w:r>
      <w:r>
        <w:rPr>
          <w:rFonts w:ascii="Arial" w:hAnsi="Arial"/>
          <w:i/>
          <w:sz w:val="21"/>
        </w:rPr>
        <w:t>Phased returns</w:t>
      </w:r>
      <w:r>
        <w:rPr>
          <w:rFonts w:ascii="Arial" w:hAnsi="Arial"/>
          <w:sz w:val="21"/>
        </w:rPr>
        <w:t>. https://www.acas.org.uk/returning-to-work-after-absence/phased-return-to-work</w:t>
      </w:r>
    </w:p>
    <w:p w14:paraId="4D1226D2" w14:textId="77777777" w:rsidR="00A84725" w:rsidRDefault="00000000">
      <w:pPr>
        <w:spacing w:after="120"/>
        <w:ind w:left="720" w:hanging="720"/>
      </w:pPr>
      <w:r>
        <w:rPr>
          <w:rFonts w:ascii="Arial" w:hAnsi="Arial"/>
          <w:sz w:val="21"/>
        </w:rPr>
        <w:t xml:space="preserve">Advisory, Conciliation and Arbitration Service. (2025a). </w:t>
      </w:r>
      <w:r>
        <w:rPr>
          <w:rFonts w:ascii="Arial" w:hAnsi="Arial"/>
          <w:i/>
          <w:sz w:val="21"/>
        </w:rPr>
        <w:t>Reducing sickness absence</w:t>
      </w:r>
      <w:r>
        <w:rPr>
          <w:rFonts w:ascii="Arial" w:hAnsi="Arial"/>
          <w:sz w:val="21"/>
        </w:rPr>
        <w:t>. https://www.acas.org.uk/recording-and-reducing-sickness-absence/reducing-sickness-absence</w:t>
      </w:r>
    </w:p>
    <w:p w14:paraId="4C68200D" w14:textId="77777777" w:rsidR="00A84725" w:rsidRDefault="00000000">
      <w:pPr>
        <w:spacing w:after="120"/>
        <w:ind w:left="720" w:hanging="720"/>
      </w:pPr>
      <w:r>
        <w:rPr>
          <w:rFonts w:ascii="Arial" w:hAnsi="Arial"/>
          <w:sz w:val="21"/>
        </w:rPr>
        <w:t xml:space="preserve">Advisory, Conciliation and Arbitration Service. (2025b). </w:t>
      </w:r>
      <w:r>
        <w:rPr>
          <w:rFonts w:ascii="Arial" w:hAnsi="Arial"/>
          <w:i/>
          <w:sz w:val="21"/>
        </w:rPr>
        <w:t>Time off with stress</w:t>
      </w:r>
      <w:r>
        <w:rPr>
          <w:rFonts w:ascii="Arial" w:hAnsi="Arial"/>
          <w:sz w:val="21"/>
        </w:rPr>
        <w:t>. https://www.acas.org.uk/managing-work-related-stress/time-off-with-stress</w:t>
      </w:r>
    </w:p>
    <w:p w14:paraId="51A283CA" w14:textId="77777777" w:rsidR="00A84725" w:rsidRDefault="00000000">
      <w:pPr>
        <w:spacing w:after="120"/>
        <w:ind w:left="720" w:hanging="720"/>
      </w:pPr>
      <w:r>
        <w:rPr>
          <w:rFonts w:ascii="Arial" w:hAnsi="Arial"/>
          <w:sz w:val="21"/>
        </w:rPr>
        <w:t xml:space="preserve">Chartered Institute of Personnel and Development. (2025). </w:t>
      </w:r>
      <w:r>
        <w:rPr>
          <w:rFonts w:ascii="Arial" w:hAnsi="Arial"/>
          <w:i/>
          <w:sz w:val="21"/>
        </w:rPr>
        <w:t>Health and wellbeing at work 2025</w:t>
      </w:r>
      <w:r>
        <w:rPr>
          <w:rFonts w:ascii="Arial" w:hAnsi="Arial"/>
          <w:sz w:val="21"/>
        </w:rPr>
        <w:t>. https://www.cipd.org/uk/knowledge/reports/health-well-being-work/</w:t>
      </w:r>
    </w:p>
    <w:p w14:paraId="62A6B9E4" w14:textId="77777777" w:rsidR="00A84725" w:rsidRDefault="00000000">
      <w:pPr>
        <w:spacing w:after="120"/>
        <w:ind w:left="720" w:hanging="720"/>
      </w:pPr>
      <w:r>
        <w:rPr>
          <w:rFonts w:ascii="Arial" w:hAnsi="Arial"/>
          <w:sz w:val="21"/>
        </w:rPr>
        <w:t xml:space="preserve">Chartered Institute of Personnel and Development. (2026). </w:t>
      </w:r>
      <w:r>
        <w:rPr>
          <w:rFonts w:ascii="Arial" w:hAnsi="Arial"/>
          <w:i/>
          <w:sz w:val="21"/>
        </w:rPr>
        <w:t>Absence measurement and management</w:t>
      </w:r>
      <w:r>
        <w:rPr>
          <w:rFonts w:ascii="Arial" w:hAnsi="Arial"/>
          <w:sz w:val="21"/>
        </w:rPr>
        <w:t>. https://www.cipd.org/uk/knowledge/factsheets/absence-factsheet/</w:t>
      </w:r>
    </w:p>
    <w:p w14:paraId="3136540B" w14:textId="77777777" w:rsidR="00A84725" w:rsidRDefault="00000000">
      <w:pPr>
        <w:spacing w:after="120"/>
        <w:ind w:left="720" w:hanging="720"/>
      </w:pPr>
      <w:r>
        <w:rPr>
          <w:rFonts w:ascii="Arial" w:hAnsi="Arial"/>
          <w:sz w:val="21"/>
        </w:rPr>
        <w:t xml:space="preserve">Equality and Human Rights Commission. (2019). </w:t>
      </w:r>
      <w:r>
        <w:rPr>
          <w:rFonts w:ascii="Arial" w:hAnsi="Arial"/>
          <w:i/>
          <w:sz w:val="21"/>
        </w:rPr>
        <w:t>Employing people: Workplace adjustments</w:t>
      </w:r>
      <w:r>
        <w:rPr>
          <w:rFonts w:ascii="Arial" w:hAnsi="Arial"/>
          <w:sz w:val="21"/>
        </w:rPr>
        <w:t>. https://www.equalityhumanrights.com/guidance/business/employing-people-workplace-adjustments</w:t>
      </w:r>
    </w:p>
    <w:p w14:paraId="0C42F946" w14:textId="77777777" w:rsidR="00A84725" w:rsidRDefault="00000000">
      <w:pPr>
        <w:spacing w:after="120"/>
        <w:ind w:left="720" w:hanging="720"/>
      </w:pPr>
      <w:r>
        <w:rPr>
          <w:rFonts w:ascii="Arial" w:hAnsi="Arial"/>
          <w:sz w:val="21"/>
        </w:rPr>
        <w:t xml:space="preserve">Health and Safety Executive. (2025). </w:t>
      </w:r>
      <w:r>
        <w:rPr>
          <w:rFonts w:ascii="Arial" w:hAnsi="Arial"/>
          <w:i/>
          <w:sz w:val="21"/>
        </w:rPr>
        <w:t>Key figures for Great Britain 2024 to 2025</w:t>
      </w:r>
      <w:r>
        <w:rPr>
          <w:rFonts w:ascii="Arial" w:hAnsi="Arial"/>
          <w:sz w:val="21"/>
        </w:rPr>
        <w:t>. https://www.hse.gov.uk/statistics/overview.htm</w:t>
      </w:r>
    </w:p>
    <w:p w14:paraId="0061ACA7" w14:textId="77777777" w:rsidR="00A84725" w:rsidRDefault="00000000">
      <w:pPr>
        <w:spacing w:after="120"/>
        <w:ind w:left="720" w:hanging="720"/>
      </w:pPr>
      <w:r>
        <w:rPr>
          <w:rFonts w:ascii="Arial" w:hAnsi="Arial"/>
          <w:sz w:val="21"/>
        </w:rPr>
        <w:t xml:space="preserve">Health and Safety Executive. (n.d.-a). </w:t>
      </w:r>
      <w:r>
        <w:rPr>
          <w:rFonts w:ascii="Arial" w:hAnsi="Arial"/>
          <w:i/>
          <w:sz w:val="21"/>
        </w:rPr>
        <w:t>What are the Management Standards?</w:t>
      </w:r>
      <w:r>
        <w:rPr>
          <w:rFonts w:ascii="Arial" w:hAnsi="Arial"/>
          <w:sz w:val="21"/>
        </w:rPr>
        <w:t xml:space="preserve"> https://www.hse.gov.uk/stress/standards/overview.htm</w:t>
      </w:r>
    </w:p>
    <w:p w14:paraId="3E293B50" w14:textId="77777777" w:rsidR="00A84725" w:rsidRDefault="00000000">
      <w:pPr>
        <w:spacing w:after="120"/>
        <w:ind w:left="720" w:hanging="720"/>
      </w:pPr>
      <w:r>
        <w:rPr>
          <w:rFonts w:ascii="Arial" w:hAnsi="Arial"/>
          <w:sz w:val="21"/>
        </w:rPr>
        <w:t xml:space="preserve">Health and Safety Executive. (n.d.-b). </w:t>
      </w:r>
      <w:r>
        <w:rPr>
          <w:rFonts w:ascii="Arial" w:hAnsi="Arial"/>
          <w:i/>
          <w:sz w:val="21"/>
        </w:rPr>
        <w:t>Employers' duties in protecting disabled workers: Making reasonable adjustments</w:t>
      </w:r>
      <w:r>
        <w:rPr>
          <w:rFonts w:ascii="Arial" w:hAnsi="Arial"/>
          <w:sz w:val="21"/>
        </w:rPr>
        <w:t>. https://www.hse.gov.uk/disability/employers-duties/adjustments.htm</w:t>
      </w:r>
    </w:p>
    <w:p w14:paraId="4ED55231" w14:textId="77777777" w:rsidR="00A84725" w:rsidRDefault="00000000">
      <w:pPr>
        <w:spacing w:after="120"/>
        <w:ind w:left="720" w:hanging="720"/>
      </w:pPr>
      <w:r>
        <w:rPr>
          <w:rFonts w:ascii="Arial" w:hAnsi="Arial"/>
          <w:sz w:val="21"/>
        </w:rPr>
        <w:t xml:space="preserve">Health Education and Improvement Wales. (2018). </w:t>
      </w:r>
      <w:r>
        <w:rPr>
          <w:rFonts w:ascii="Arial" w:hAnsi="Arial"/>
          <w:i/>
          <w:sz w:val="21"/>
        </w:rPr>
        <w:t>All Wales managing attendance at work policy</w:t>
      </w:r>
      <w:r>
        <w:rPr>
          <w:rFonts w:ascii="Arial" w:hAnsi="Arial"/>
          <w:sz w:val="21"/>
        </w:rPr>
        <w:t>. https://heiw.nhs.wales/files/key-documents/policies/human-resources-policies/all-wales-managing-attendance-at-work-policy-final-dec18-pdf/</w:t>
      </w:r>
    </w:p>
    <w:p w14:paraId="68BEF9C4" w14:textId="77777777" w:rsidR="00A84725" w:rsidRDefault="00000000">
      <w:pPr>
        <w:spacing w:after="120"/>
        <w:ind w:left="720" w:hanging="720"/>
      </w:pPr>
      <w:r>
        <w:rPr>
          <w:rFonts w:ascii="Arial" w:hAnsi="Arial"/>
          <w:sz w:val="21"/>
        </w:rPr>
        <w:t xml:space="preserve">Information Commissioner's Office. (2024a). </w:t>
      </w:r>
      <w:r>
        <w:rPr>
          <w:rFonts w:ascii="Arial" w:hAnsi="Arial"/>
          <w:i/>
          <w:sz w:val="21"/>
        </w:rPr>
        <w:t>Employment practices and data protection: Information about workers' health</w:t>
      </w:r>
      <w:r>
        <w:rPr>
          <w:rFonts w:ascii="Arial" w:hAnsi="Arial"/>
          <w:sz w:val="21"/>
        </w:rPr>
        <w:t>. https://ico.org.uk/for-organisations/uk-gdpr-guidance-and-resources/employment/information-about-workers-health/</w:t>
      </w:r>
    </w:p>
    <w:p w14:paraId="0180B77D" w14:textId="77777777" w:rsidR="00A84725" w:rsidRDefault="00000000">
      <w:pPr>
        <w:spacing w:after="120"/>
        <w:ind w:left="720" w:hanging="720"/>
      </w:pPr>
      <w:r>
        <w:rPr>
          <w:rFonts w:ascii="Arial" w:hAnsi="Arial"/>
          <w:sz w:val="21"/>
        </w:rPr>
        <w:t xml:space="preserve">Information Commissioner's Office. (2024b). </w:t>
      </w:r>
      <w:r>
        <w:rPr>
          <w:rFonts w:ascii="Arial" w:hAnsi="Arial"/>
          <w:i/>
          <w:sz w:val="21"/>
        </w:rPr>
        <w:t>How do we handle sickness and injury records?</w:t>
      </w:r>
      <w:r>
        <w:rPr>
          <w:rFonts w:ascii="Arial" w:hAnsi="Arial"/>
          <w:sz w:val="21"/>
        </w:rPr>
        <w:t xml:space="preserve"> https://ico.org.uk/for-organisations/uk-gdpr-guidance-and-resources/employment/information-about-workers-health/how-do-we-handle-sickness-and-injury-records/</w:t>
      </w:r>
    </w:p>
    <w:p w14:paraId="420BDD60" w14:textId="77777777" w:rsidR="00A84725" w:rsidRDefault="00000000">
      <w:pPr>
        <w:spacing w:after="120"/>
        <w:ind w:left="720" w:hanging="720"/>
      </w:pPr>
      <w:r>
        <w:rPr>
          <w:rFonts w:ascii="Arial" w:hAnsi="Arial"/>
          <w:sz w:val="21"/>
        </w:rPr>
        <w:t xml:space="preserve">Welsh Government. (2026). </w:t>
      </w:r>
      <w:r>
        <w:rPr>
          <w:rFonts w:ascii="Arial" w:hAnsi="Arial"/>
          <w:i/>
          <w:sz w:val="21"/>
        </w:rPr>
        <w:t>NHS workforce (staff directly employed by NHS Wales): 31 December 2025</w:t>
      </w:r>
      <w:r>
        <w:rPr>
          <w:rFonts w:ascii="Arial" w:hAnsi="Arial"/>
          <w:sz w:val="21"/>
        </w:rPr>
        <w:t>. https://www.gov.wales/nhs-workforce-staff-directly-employed-nhs-wales-31-december-2025-html</w:t>
      </w:r>
    </w:p>
    <w:sectPr w:rsidR="00A84725">
      <w:pgSz w:w="11906" w:h="16838"/>
      <w:pgMar w:top="1008" w:right="1080" w:bottom="1008" w:left="108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2F86"/>
    <w:rsid w:val="00010F1E"/>
    <w:rsid w:val="003B2CEE"/>
    <w:rsid w:val="004E2A05"/>
    <w:rsid w:val="00641198"/>
    <w:rsid w:val="00652F86"/>
    <w:rsid w:val="008A36B0"/>
    <w:rsid w:val="009F0131"/>
    <w:rsid w:val="00A84725"/>
    <w:rsid w:val="00BB3029"/>
    <w:rsid w:val="00BC7EAE"/>
    <w:rsid w:val="00DC12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DA0252"/>
  <w15:chartTrackingRefBased/>
  <w15:docId w15:val="{4D513504-EE80-44A2-B8B1-869AC28B97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2F86"/>
  </w:style>
  <w:style w:type="paragraph" w:styleId="Heading1">
    <w:name w:val="heading 1"/>
    <w:basedOn w:val="Normal"/>
    <w:next w:val="Normal"/>
    <w:link w:val="Heading1Char"/>
    <w:uiPriority w:val="9"/>
    <w:qFormat/>
    <w:rsid w:val="00652F8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52F8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52F8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52F8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52F8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52F8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52F8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52F8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52F8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2F8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52F8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52F8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52F8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52F8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52F8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52F8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52F8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52F86"/>
    <w:rPr>
      <w:rFonts w:eastAsiaTheme="majorEastAsia" w:cstheme="majorBidi"/>
      <w:color w:val="272727" w:themeColor="text1" w:themeTint="D8"/>
    </w:rPr>
  </w:style>
  <w:style w:type="paragraph" w:styleId="Title">
    <w:name w:val="Title"/>
    <w:basedOn w:val="Normal"/>
    <w:next w:val="Normal"/>
    <w:link w:val="TitleChar"/>
    <w:uiPriority w:val="10"/>
    <w:qFormat/>
    <w:rsid w:val="00652F8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2F8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52F8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52F8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52F86"/>
    <w:pPr>
      <w:spacing w:before="160"/>
      <w:jc w:val="center"/>
    </w:pPr>
    <w:rPr>
      <w:i/>
      <w:iCs/>
      <w:color w:val="404040" w:themeColor="text1" w:themeTint="BF"/>
    </w:rPr>
  </w:style>
  <w:style w:type="character" w:customStyle="1" w:styleId="QuoteChar">
    <w:name w:val="Quote Char"/>
    <w:basedOn w:val="DefaultParagraphFont"/>
    <w:link w:val="Quote"/>
    <w:uiPriority w:val="29"/>
    <w:rsid w:val="00652F86"/>
    <w:rPr>
      <w:i/>
      <w:iCs/>
      <w:color w:val="404040" w:themeColor="text1" w:themeTint="BF"/>
    </w:rPr>
  </w:style>
  <w:style w:type="paragraph" w:styleId="ListParagraph">
    <w:name w:val="List Paragraph"/>
    <w:basedOn w:val="Normal"/>
    <w:uiPriority w:val="34"/>
    <w:qFormat/>
    <w:rsid w:val="00652F86"/>
    <w:pPr>
      <w:ind w:left="720"/>
      <w:contextualSpacing/>
    </w:pPr>
  </w:style>
  <w:style w:type="character" w:styleId="IntenseEmphasis">
    <w:name w:val="Intense Emphasis"/>
    <w:basedOn w:val="DefaultParagraphFont"/>
    <w:uiPriority w:val="21"/>
    <w:qFormat/>
    <w:rsid w:val="00652F86"/>
    <w:rPr>
      <w:i/>
      <w:iCs/>
      <w:color w:val="0F4761" w:themeColor="accent1" w:themeShade="BF"/>
    </w:rPr>
  </w:style>
  <w:style w:type="paragraph" w:styleId="IntenseQuote">
    <w:name w:val="Intense Quote"/>
    <w:basedOn w:val="Normal"/>
    <w:next w:val="Normal"/>
    <w:link w:val="IntenseQuoteChar"/>
    <w:uiPriority w:val="30"/>
    <w:qFormat/>
    <w:rsid w:val="00652F8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52F86"/>
    <w:rPr>
      <w:i/>
      <w:iCs/>
      <w:color w:val="0F4761" w:themeColor="accent1" w:themeShade="BF"/>
    </w:rPr>
  </w:style>
  <w:style w:type="character" w:styleId="IntenseReference">
    <w:name w:val="Intense Reference"/>
    <w:basedOn w:val="DefaultParagraphFont"/>
    <w:uiPriority w:val="32"/>
    <w:qFormat/>
    <w:rsid w:val="00652F8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1</Pages>
  <Words>3730</Words>
  <Characters>21267</Characters>
  <Application>Microsoft Office Word</Application>
  <DocSecurity>0</DocSecurity>
  <Lines>177</Lines>
  <Paragraphs>49</Paragraphs>
  <ScaleCrop>false</ScaleCrop>
  <Company/>
  <LinksUpToDate>false</LinksUpToDate>
  <CharactersWithSpaces>24948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Davies</dc:creator>
  <cp:keywords/>
  <dc:description/>
  <cp:lastModifiedBy>Claire Davies</cp:lastModifiedBy>
  <cp:revision>2</cp:revision>
  <dcterms:created xsi:type="dcterms:W3CDTF">2026-08-29T18:39:00Z</dcterms:created>
  <dcterms:modified xsi:type="dcterms:W3CDTF">2026-08-29T18:39:00Z</dcterms:modified>
</cp:coreProperties>
</file>