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D22A" w14:textId="77777777" w:rsidR="0080154D" w:rsidRPr="00681D91" w:rsidRDefault="0080154D">
      <w:pPr>
        <w:spacing w:after="0"/>
        <w:ind w:left="-1440" w:right="2"/>
        <w:rPr>
          <w:i/>
          <w:iCs/>
          <w:sz w:val="24"/>
          <w:szCs w:val="24"/>
        </w:rPr>
      </w:pPr>
    </w:p>
    <w:tbl>
      <w:tblPr>
        <w:tblStyle w:val="TableGrid"/>
        <w:tblW w:w="9019" w:type="dxa"/>
        <w:tblInd w:w="6" w:type="dxa"/>
        <w:tblCellMar>
          <w:top w:w="13" w:type="dxa"/>
          <w:left w:w="109" w:type="dxa"/>
          <w:right w:w="46" w:type="dxa"/>
        </w:tblCellMar>
        <w:tblLook w:val="04A0" w:firstRow="1" w:lastRow="0" w:firstColumn="1" w:lastColumn="0" w:noHBand="0" w:noVBand="1"/>
      </w:tblPr>
      <w:tblGrid>
        <w:gridCol w:w="5254"/>
        <w:gridCol w:w="3765"/>
      </w:tblGrid>
      <w:tr w:rsidR="0080154D" w14:paraId="3E528F34" w14:textId="77777777" w:rsidTr="004C4E3F">
        <w:trPr>
          <w:trHeight w:val="2713"/>
        </w:trPr>
        <w:tc>
          <w:tcPr>
            <w:tcW w:w="5253" w:type="dxa"/>
            <w:tcBorders>
              <w:top w:val="single" w:sz="4" w:space="0" w:color="000000"/>
              <w:left w:val="single" w:sz="4" w:space="0" w:color="000000"/>
              <w:bottom w:val="single" w:sz="4" w:space="0" w:color="000000"/>
              <w:right w:val="single" w:sz="4" w:space="0" w:color="000000"/>
            </w:tcBorders>
          </w:tcPr>
          <w:p w14:paraId="437E7AF0" w14:textId="76D2B949" w:rsidR="0080154D" w:rsidRPr="00C061F1" w:rsidRDefault="0051022C">
            <w:pPr>
              <w:rPr>
                <w:sz w:val="24"/>
                <w:szCs w:val="24"/>
              </w:rPr>
            </w:pPr>
            <w:r w:rsidRPr="00C061F1">
              <w:rPr>
                <w:rFonts w:ascii="Times New Roman" w:eastAsia="Times New Roman" w:hAnsi="Times New Roman" w:cs="Times New Roman"/>
                <w:b/>
                <w:sz w:val="24"/>
                <w:szCs w:val="24"/>
              </w:rPr>
              <w:t xml:space="preserve">Student Name: </w:t>
            </w:r>
            <w:r w:rsidR="004C4E3F" w:rsidRPr="00C061F1">
              <w:rPr>
                <w:rFonts w:ascii="Times New Roman" w:eastAsia="Times New Roman" w:hAnsi="Times New Roman" w:cs="Times New Roman"/>
                <w:b/>
                <w:sz w:val="24"/>
                <w:szCs w:val="24"/>
              </w:rPr>
              <w:t>Madalin Liviu Noada</w:t>
            </w:r>
          </w:p>
          <w:p w14:paraId="663F0F52" w14:textId="3AFB0065" w:rsidR="0080154D" w:rsidRPr="00C061F1" w:rsidRDefault="0051022C">
            <w:pPr>
              <w:spacing w:after="135"/>
              <w:rPr>
                <w:sz w:val="24"/>
                <w:szCs w:val="24"/>
              </w:rPr>
            </w:pPr>
            <w:r w:rsidRPr="00C061F1">
              <w:rPr>
                <w:rFonts w:ascii="Times New Roman" w:eastAsia="Times New Roman" w:hAnsi="Times New Roman" w:cs="Times New Roman"/>
                <w:b/>
                <w:sz w:val="24"/>
                <w:szCs w:val="24"/>
              </w:rPr>
              <w:t xml:space="preserve">Student ID: </w:t>
            </w:r>
            <w:r w:rsidR="004C4E3F" w:rsidRPr="00C061F1">
              <w:rPr>
                <w:rFonts w:ascii="Times New Roman" w:eastAsia="Times New Roman" w:hAnsi="Times New Roman" w:cs="Times New Roman"/>
                <w:b/>
                <w:sz w:val="24"/>
                <w:szCs w:val="24"/>
              </w:rPr>
              <w:t>2232425</w:t>
            </w:r>
          </w:p>
          <w:p w14:paraId="1C3B973B" w14:textId="6755B5D1" w:rsidR="0080154D" w:rsidRPr="008B5881" w:rsidRDefault="0051022C">
            <w:pPr>
              <w:spacing w:after="135"/>
              <w:rPr>
                <w:sz w:val="24"/>
                <w:szCs w:val="24"/>
              </w:rPr>
            </w:pPr>
            <w:r w:rsidRPr="008B5881">
              <w:rPr>
                <w:rFonts w:ascii="Times New Roman" w:eastAsia="Times New Roman" w:hAnsi="Times New Roman" w:cs="Times New Roman"/>
                <w:b/>
                <w:sz w:val="24"/>
                <w:szCs w:val="24"/>
              </w:rPr>
              <w:t>Module Title:</w:t>
            </w:r>
            <w:r w:rsidRPr="008B5881">
              <w:rPr>
                <w:rFonts w:ascii="Times New Roman" w:eastAsia="Times New Roman" w:hAnsi="Times New Roman" w:cs="Times New Roman"/>
                <w:b/>
                <w:i/>
                <w:color w:val="BFBFBF"/>
                <w:sz w:val="24"/>
                <w:szCs w:val="24"/>
              </w:rPr>
              <w:t xml:space="preserve"> </w:t>
            </w:r>
            <w:r w:rsidR="004C4E3F" w:rsidRPr="008B5881">
              <w:rPr>
                <w:b/>
                <w:bCs/>
                <w:sz w:val="24"/>
                <w:szCs w:val="24"/>
              </w:rPr>
              <w:t>Foreign Languages and Cultural Awareness</w:t>
            </w:r>
          </w:p>
          <w:p w14:paraId="35256F20" w14:textId="553E484F" w:rsidR="0080154D" w:rsidRPr="00C061F1" w:rsidRDefault="0051022C">
            <w:pPr>
              <w:spacing w:after="135"/>
              <w:rPr>
                <w:sz w:val="24"/>
                <w:szCs w:val="24"/>
              </w:rPr>
            </w:pPr>
            <w:r w:rsidRPr="00C061F1">
              <w:rPr>
                <w:rFonts w:ascii="Times New Roman" w:eastAsia="Times New Roman" w:hAnsi="Times New Roman" w:cs="Times New Roman"/>
                <w:b/>
                <w:sz w:val="24"/>
                <w:szCs w:val="24"/>
              </w:rPr>
              <w:t>Module Code:</w:t>
            </w:r>
            <w:r w:rsidRPr="00C061F1">
              <w:rPr>
                <w:rFonts w:ascii="Times New Roman" w:eastAsia="Times New Roman" w:hAnsi="Times New Roman" w:cs="Times New Roman"/>
                <w:b/>
                <w:i/>
                <w:color w:val="BFBFBF"/>
                <w:sz w:val="24"/>
                <w:szCs w:val="24"/>
              </w:rPr>
              <w:t xml:space="preserve"> </w:t>
            </w:r>
            <w:r w:rsidR="004C4E3F" w:rsidRPr="00C061F1">
              <w:rPr>
                <w:b/>
                <w:bCs/>
                <w:sz w:val="24"/>
                <w:szCs w:val="24"/>
              </w:rPr>
              <w:t>BMIH5003</w:t>
            </w:r>
          </w:p>
          <w:p w14:paraId="6F7B34D8" w14:textId="77777777" w:rsidR="0080154D" w:rsidRPr="00C061F1" w:rsidRDefault="0051022C" w:rsidP="004C4E3F">
            <w:pPr>
              <w:spacing w:after="135"/>
              <w:rPr>
                <w:b/>
                <w:bCs/>
                <w:sz w:val="24"/>
                <w:szCs w:val="24"/>
              </w:rPr>
            </w:pPr>
            <w:r w:rsidRPr="00C061F1">
              <w:rPr>
                <w:rFonts w:ascii="Times New Roman" w:eastAsia="Times New Roman" w:hAnsi="Times New Roman" w:cs="Times New Roman"/>
                <w:b/>
                <w:sz w:val="24"/>
                <w:szCs w:val="24"/>
              </w:rPr>
              <w:t>Lecturer:</w:t>
            </w:r>
            <w:r w:rsidRPr="00C061F1">
              <w:rPr>
                <w:rFonts w:ascii="Times New Roman" w:eastAsia="Times New Roman" w:hAnsi="Times New Roman" w:cs="Times New Roman"/>
                <w:b/>
                <w:i/>
                <w:color w:val="BFBFBF"/>
                <w:sz w:val="24"/>
                <w:szCs w:val="24"/>
              </w:rPr>
              <w:t xml:space="preserve"> </w:t>
            </w:r>
            <w:r w:rsidR="004C4E3F" w:rsidRPr="00C061F1">
              <w:rPr>
                <w:b/>
                <w:bCs/>
                <w:sz w:val="24"/>
                <w:szCs w:val="24"/>
              </w:rPr>
              <w:t>Heidi Prosser</w:t>
            </w:r>
          </w:p>
          <w:p w14:paraId="3E1A765E" w14:textId="11419858" w:rsidR="008B5881" w:rsidRPr="008B5881" w:rsidRDefault="008B5881" w:rsidP="004C4E3F">
            <w:pPr>
              <w:spacing w:after="135"/>
              <w:rPr>
                <w:b/>
                <w:bCs/>
                <w:sz w:val="24"/>
                <w:szCs w:val="24"/>
              </w:rPr>
            </w:pPr>
            <w:r w:rsidRPr="008B5881">
              <w:rPr>
                <w:b/>
                <w:bCs/>
                <w:sz w:val="24"/>
                <w:szCs w:val="24"/>
              </w:rPr>
              <w:t>Date:</w:t>
            </w:r>
            <w:r w:rsidR="00C061F1">
              <w:rPr>
                <w:b/>
                <w:bCs/>
                <w:sz w:val="24"/>
                <w:szCs w:val="24"/>
              </w:rPr>
              <w:t xml:space="preserve"> </w:t>
            </w:r>
            <w:r w:rsidR="00D655FF">
              <w:rPr>
                <w:b/>
                <w:bCs/>
                <w:sz w:val="24"/>
                <w:szCs w:val="24"/>
              </w:rPr>
              <w:t>0</w:t>
            </w:r>
            <w:r w:rsidR="00184503">
              <w:rPr>
                <w:b/>
                <w:bCs/>
                <w:sz w:val="24"/>
                <w:szCs w:val="24"/>
              </w:rPr>
              <w:t>6</w:t>
            </w:r>
            <w:r w:rsidR="00D655FF">
              <w:rPr>
                <w:b/>
                <w:bCs/>
                <w:sz w:val="24"/>
                <w:szCs w:val="24"/>
              </w:rPr>
              <w:t>.02.2024</w:t>
            </w:r>
          </w:p>
        </w:tc>
        <w:tc>
          <w:tcPr>
            <w:tcW w:w="3764" w:type="dxa"/>
            <w:tcBorders>
              <w:top w:val="single" w:sz="4" w:space="0" w:color="000000"/>
              <w:left w:val="single" w:sz="4" w:space="0" w:color="000000"/>
              <w:bottom w:val="single" w:sz="4" w:space="0" w:color="000000"/>
              <w:right w:val="single" w:sz="4" w:space="0" w:color="000000"/>
            </w:tcBorders>
            <w:shd w:val="clear" w:color="auto" w:fill="DBDBDB"/>
          </w:tcPr>
          <w:p w14:paraId="183BCA18" w14:textId="77777777" w:rsidR="0080154D" w:rsidRDefault="0051022C">
            <w:pPr>
              <w:spacing w:after="22"/>
            </w:pPr>
            <w:r>
              <w:rPr>
                <w:rFonts w:ascii="Arial" w:eastAsia="Arial" w:hAnsi="Arial" w:cs="Arial"/>
                <w:b/>
                <w:sz w:val="20"/>
              </w:rPr>
              <w:t xml:space="preserve"> </w:t>
            </w:r>
          </w:p>
          <w:p w14:paraId="48C4BB4F" w14:textId="77777777" w:rsidR="0080154D" w:rsidRDefault="0051022C">
            <w:pPr>
              <w:ind w:left="475"/>
            </w:pPr>
            <w:r>
              <w:rPr>
                <w:noProof/>
              </w:rPr>
              <mc:AlternateContent>
                <mc:Choice Requires="wpg">
                  <w:drawing>
                    <wp:inline distT="0" distB="0" distL="0" distR="0" wp14:anchorId="78D5F0E8" wp14:editId="4287E892">
                      <wp:extent cx="1724025" cy="944880"/>
                      <wp:effectExtent l="0" t="0" r="0" b="0"/>
                      <wp:docPr id="7629" name="Group 7629"/>
                      <wp:cNvGraphicFramePr/>
                      <a:graphic xmlns:a="http://schemas.openxmlformats.org/drawingml/2006/main">
                        <a:graphicData uri="http://schemas.microsoft.com/office/word/2010/wordprocessingGroup">
                          <wpg:wgp>
                            <wpg:cNvGrpSpPr/>
                            <wpg:grpSpPr>
                              <a:xfrm>
                                <a:off x="0" y="0"/>
                                <a:ext cx="1724025" cy="944880"/>
                                <a:chOff x="0" y="0"/>
                                <a:chExt cx="1724025" cy="944880"/>
                              </a:xfrm>
                            </wpg:grpSpPr>
                            <pic:pic xmlns:pic="http://schemas.openxmlformats.org/drawingml/2006/picture">
                              <pic:nvPicPr>
                                <pic:cNvPr id="148" name="Picture 148"/>
                                <pic:cNvPicPr/>
                              </pic:nvPicPr>
                              <pic:blipFill>
                                <a:blip r:embed="rId6"/>
                                <a:stretch>
                                  <a:fillRect/>
                                </a:stretch>
                              </pic:blipFill>
                              <pic:spPr>
                                <a:xfrm>
                                  <a:off x="4699" y="4699"/>
                                  <a:ext cx="1714500" cy="935355"/>
                                </a:xfrm>
                                <a:prstGeom prst="rect">
                                  <a:avLst/>
                                </a:prstGeom>
                              </pic:spPr>
                            </pic:pic>
                            <wps:wsp>
                              <wps:cNvPr id="149" name="Shape 149"/>
                              <wps:cNvSpPr/>
                              <wps:spPr>
                                <a:xfrm>
                                  <a:off x="0" y="0"/>
                                  <a:ext cx="1724025" cy="944880"/>
                                </a:xfrm>
                                <a:custGeom>
                                  <a:avLst/>
                                  <a:gdLst/>
                                  <a:ahLst/>
                                  <a:cxnLst/>
                                  <a:rect l="0" t="0" r="0" b="0"/>
                                  <a:pathLst>
                                    <a:path w="1724025" h="944880">
                                      <a:moveTo>
                                        <a:pt x="0" y="944880"/>
                                      </a:moveTo>
                                      <a:lnTo>
                                        <a:pt x="1724025" y="944880"/>
                                      </a:lnTo>
                                      <a:lnTo>
                                        <a:pt x="172402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629" style="width:135.75pt;height:74.4pt;mso-position-horizontal-relative:char;mso-position-vertical-relative:line" coordsize="17240,9448">
                      <v:shape id="Picture 148" style="position:absolute;width:17145;height:9353;left:46;top:46;" filled="f">
                        <v:imagedata r:id="rId7"/>
                      </v:shape>
                      <v:shape id="Shape 149" style="position:absolute;width:17240;height:9448;left:0;top:0;" coordsize="1724025,944880" path="m0,944880l1724025,944880l1724025,0l0,0x">
                        <v:stroke weight="0.75pt" endcap="flat" joinstyle="round" on="true" color="#000000"/>
                        <v:fill on="false" color="#000000" opacity="0"/>
                      </v:shape>
                    </v:group>
                  </w:pict>
                </mc:Fallback>
              </mc:AlternateContent>
            </w:r>
          </w:p>
        </w:tc>
      </w:tr>
      <w:tr w:rsidR="0080154D" w14:paraId="11E13562" w14:textId="77777777" w:rsidTr="004C4E3F">
        <w:trPr>
          <w:trHeight w:val="2188"/>
        </w:trPr>
        <w:tc>
          <w:tcPr>
            <w:tcW w:w="9017" w:type="dxa"/>
            <w:gridSpan w:val="2"/>
            <w:tcBorders>
              <w:top w:val="single" w:sz="4" w:space="0" w:color="000000"/>
              <w:left w:val="single" w:sz="4" w:space="0" w:color="000000"/>
              <w:bottom w:val="single" w:sz="4" w:space="0" w:color="000000"/>
              <w:right w:val="single" w:sz="4" w:space="0" w:color="000000"/>
            </w:tcBorders>
          </w:tcPr>
          <w:p w14:paraId="004C9F00" w14:textId="77777777" w:rsidR="0080154D" w:rsidRDefault="0051022C">
            <w:pPr>
              <w:spacing w:after="145"/>
            </w:pPr>
            <w:r>
              <w:rPr>
                <w:rFonts w:ascii="Times New Roman" w:eastAsia="Times New Roman" w:hAnsi="Times New Roman" w:cs="Times New Roman"/>
                <w:b/>
                <w:sz w:val="36"/>
              </w:rPr>
              <w:t xml:space="preserve"> </w:t>
            </w:r>
          </w:p>
          <w:p w14:paraId="167C8610" w14:textId="77777777" w:rsidR="0080154D" w:rsidRDefault="0051022C">
            <w:pPr>
              <w:spacing w:after="115"/>
              <w:ind w:right="59"/>
              <w:jc w:val="center"/>
            </w:pPr>
            <w:r>
              <w:rPr>
                <w:rFonts w:ascii="Times New Roman" w:eastAsia="Times New Roman" w:hAnsi="Times New Roman" w:cs="Times New Roman"/>
                <w:b/>
                <w:sz w:val="36"/>
              </w:rPr>
              <w:t xml:space="preserve">ASSIGNMENT 1: PORTFOLIO </w:t>
            </w:r>
          </w:p>
          <w:p w14:paraId="422FDD18" w14:textId="77777777" w:rsidR="0080154D" w:rsidRDefault="0051022C">
            <w:pPr>
              <w:spacing w:after="65"/>
              <w:ind w:right="58"/>
              <w:jc w:val="center"/>
            </w:pPr>
            <w:r>
              <w:rPr>
                <w:rFonts w:ascii="Times New Roman" w:eastAsia="Times New Roman" w:hAnsi="Times New Roman" w:cs="Times New Roman"/>
                <w:b/>
                <w:sz w:val="32"/>
              </w:rPr>
              <w:t xml:space="preserve">(4 Components) </w:t>
            </w:r>
          </w:p>
          <w:p w14:paraId="4141BC4A" w14:textId="77777777" w:rsidR="0080154D" w:rsidRDefault="0051022C">
            <w:pPr>
              <w:ind w:left="3"/>
              <w:jc w:val="center"/>
            </w:pPr>
            <w:r>
              <w:rPr>
                <w:rFonts w:ascii="Times New Roman" w:eastAsia="Times New Roman" w:hAnsi="Times New Roman" w:cs="Times New Roman"/>
                <w:b/>
                <w:sz w:val="24"/>
              </w:rPr>
              <w:t xml:space="preserve"> </w:t>
            </w:r>
          </w:p>
        </w:tc>
      </w:tr>
      <w:tr w:rsidR="0080154D" w14:paraId="5B116B71" w14:textId="77777777" w:rsidTr="004C4E3F">
        <w:trPr>
          <w:trHeight w:val="202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EDEDED"/>
          </w:tcPr>
          <w:p w14:paraId="07C9A38E" w14:textId="77777777" w:rsidR="0080154D" w:rsidRDefault="0051022C">
            <w:pPr>
              <w:spacing w:after="155"/>
            </w:pPr>
            <w:r>
              <w:rPr>
                <w:rFonts w:ascii="Times New Roman" w:eastAsia="Times New Roman" w:hAnsi="Times New Roman" w:cs="Times New Roman"/>
                <w:b/>
                <w:sz w:val="28"/>
              </w:rPr>
              <w:t xml:space="preserve"> </w:t>
            </w:r>
          </w:p>
          <w:p w14:paraId="5D9445D7" w14:textId="77777777" w:rsidR="0080154D" w:rsidRDefault="0051022C">
            <w:r>
              <w:rPr>
                <w:rFonts w:ascii="Times New Roman" w:eastAsia="Times New Roman" w:hAnsi="Times New Roman" w:cs="Times New Roman"/>
                <w:b/>
                <w:sz w:val="28"/>
              </w:rPr>
              <w:t xml:space="preserve">Component 1: </w:t>
            </w:r>
            <w:r>
              <w:rPr>
                <w:rFonts w:ascii="Times New Roman" w:eastAsia="Times New Roman" w:hAnsi="Times New Roman" w:cs="Times New Roman"/>
                <w:b/>
                <w:i/>
                <w:sz w:val="28"/>
              </w:rPr>
              <w:t>Professional Reflection</w:t>
            </w:r>
            <w:r>
              <w:rPr>
                <w:rFonts w:ascii="Times New Roman" w:eastAsia="Times New Roman" w:hAnsi="Times New Roman" w:cs="Times New Roman"/>
                <w:b/>
                <w:sz w:val="28"/>
              </w:rPr>
              <w:t xml:space="preserve"> (500 words +/- 10%) </w:t>
            </w:r>
          </w:p>
          <w:p w14:paraId="1C483F58" w14:textId="77777777" w:rsidR="0080154D" w:rsidRDefault="0051022C">
            <w:r>
              <w:rPr>
                <w:rFonts w:ascii="Times New Roman" w:eastAsia="Times New Roman" w:hAnsi="Times New Roman" w:cs="Times New Roman"/>
                <w:b/>
                <w:sz w:val="28"/>
              </w:rPr>
              <w:t xml:space="preserve"> </w:t>
            </w:r>
          </w:p>
          <w:p w14:paraId="1AB2DE93" w14:textId="77777777" w:rsidR="0080154D" w:rsidRDefault="0051022C">
            <w:r>
              <w:rPr>
                <w:rFonts w:ascii="Times New Roman" w:eastAsia="Times New Roman" w:hAnsi="Times New Roman" w:cs="Times New Roman"/>
                <w:b/>
                <w:sz w:val="28"/>
              </w:rPr>
              <w:t>Weighting: 25%</w:t>
            </w:r>
            <w:r>
              <w:rPr>
                <w:rFonts w:ascii="Arial" w:eastAsia="Arial" w:hAnsi="Arial" w:cs="Arial"/>
                <w:sz w:val="20"/>
              </w:rPr>
              <w:t xml:space="preserve"> </w:t>
            </w:r>
          </w:p>
        </w:tc>
      </w:tr>
      <w:tr w:rsidR="0080154D" w14:paraId="49D8BB1D" w14:textId="77777777" w:rsidTr="004C4E3F">
        <w:trPr>
          <w:trHeight w:val="6448"/>
        </w:trPr>
        <w:tc>
          <w:tcPr>
            <w:tcW w:w="9017" w:type="dxa"/>
            <w:gridSpan w:val="2"/>
            <w:tcBorders>
              <w:top w:val="single" w:sz="4" w:space="0" w:color="000000"/>
              <w:left w:val="single" w:sz="4" w:space="0" w:color="000000"/>
              <w:bottom w:val="single" w:sz="4" w:space="0" w:color="000000"/>
              <w:right w:val="single" w:sz="4" w:space="0" w:color="000000"/>
            </w:tcBorders>
          </w:tcPr>
          <w:p w14:paraId="4653B72D" w14:textId="77777777" w:rsidR="0080154D" w:rsidRDefault="0051022C">
            <w:pPr>
              <w:spacing w:after="155"/>
            </w:pPr>
            <w:r>
              <w:rPr>
                <w:rFonts w:ascii="Times New Roman" w:eastAsia="Times New Roman" w:hAnsi="Times New Roman" w:cs="Times New Roman"/>
                <w:b/>
                <w:sz w:val="24"/>
              </w:rPr>
              <w:t xml:space="preserve">Introduction </w:t>
            </w:r>
          </w:p>
          <w:p w14:paraId="14A70D1F" w14:textId="77777777" w:rsidR="0080154D" w:rsidRDefault="0051022C">
            <w:pPr>
              <w:spacing w:after="162" w:line="257" w:lineRule="auto"/>
              <w:ind w:right="66"/>
              <w:jc w:val="both"/>
            </w:pPr>
            <w:r>
              <w:rPr>
                <w:rFonts w:ascii="Times New Roman" w:eastAsia="Times New Roman" w:hAnsi="Times New Roman" w:cs="Times New Roman"/>
                <w:sz w:val="24"/>
              </w:rPr>
              <w:t>A cultural misunderstanding occurred in the restaurant of the hotel during the dinner service. The parties involved, a waiter and a guest, had to deal with the language barriers and different cultural values. The guest’s expectations were very different from the waiter’s communication style, leading to a lot of confusion and dissatisfaction. This case highlights the very complex nature of cross-cultural interactions in the hospitality field. When focusing on the details of the location, the time, and the participants, a more comprehensive picture arises as to how cultural peculiarities had a significant impact on the formation of the encountered misunderstanding (</w:t>
            </w:r>
            <w:proofErr w:type="spellStart"/>
            <w:r>
              <w:rPr>
                <w:rFonts w:ascii="Times New Roman" w:eastAsia="Times New Roman" w:hAnsi="Times New Roman" w:cs="Times New Roman"/>
                <w:sz w:val="24"/>
              </w:rPr>
              <w:t>Grobelna</w:t>
            </w:r>
            <w:proofErr w:type="spellEnd"/>
            <w:r>
              <w:rPr>
                <w:rFonts w:ascii="Times New Roman" w:eastAsia="Times New Roman" w:hAnsi="Times New Roman" w:cs="Times New Roman"/>
                <w:sz w:val="24"/>
              </w:rPr>
              <w:t xml:space="preserve">, 2015). </w:t>
            </w:r>
          </w:p>
          <w:p w14:paraId="67AF1495" w14:textId="77777777" w:rsidR="0080154D" w:rsidRDefault="0051022C">
            <w:pPr>
              <w:spacing w:after="155"/>
            </w:pPr>
            <w:r>
              <w:rPr>
                <w:rFonts w:ascii="Times New Roman" w:eastAsia="Times New Roman" w:hAnsi="Times New Roman" w:cs="Times New Roman"/>
                <w:b/>
                <w:sz w:val="24"/>
              </w:rPr>
              <w:t xml:space="preserve">Reflection </w:t>
            </w:r>
          </w:p>
          <w:p w14:paraId="42B58C6B" w14:textId="77777777" w:rsidR="0080154D" w:rsidRDefault="0051022C">
            <w:pPr>
              <w:ind w:right="65"/>
              <w:jc w:val="both"/>
            </w:pPr>
            <w:proofErr w:type="gramStart"/>
            <w:r>
              <w:rPr>
                <w:rFonts w:ascii="Times New Roman" w:eastAsia="Times New Roman" w:hAnsi="Times New Roman" w:cs="Times New Roman"/>
                <w:sz w:val="24"/>
              </w:rPr>
              <w:t>In the midst of</w:t>
            </w:r>
            <w:proofErr w:type="gramEnd"/>
            <w:r>
              <w:rPr>
                <w:rFonts w:ascii="Times New Roman" w:eastAsia="Times New Roman" w:hAnsi="Times New Roman" w:cs="Times New Roman"/>
                <w:sz w:val="24"/>
              </w:rPr>
              <w:t xml:space="preserve"> the cultural misinterpretation during the dinner service at the hotel, my point of view as a waiter enlightens the intricacies of the encounter. While communicating with the guest, I realized that my assumptions concerning language proficiency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cultural norms were misplaced. The confusion that unfolded made the guest visibly frustrated, which affected not only his or her dining experience but also the ambiance of the whole service. At this point, I realized how important it is to pay attention to cultural peculiarities; it is not just a misunderstanding but also a significant factor that affects the overall level of guest satisfaction. This has led to an in-depth self-reflection which requires me to reconsider my approach to communication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cultural sensitivity. Admittedly, such misconceptions can have far-reaching ramifications, hence I am inspired to develop a heightened sense of </w:t>
            </w:r>
          </w:p>
        </w:tc>
      </w:tr>
    </w:tbl>
    <w:tbl>
      <w:tblPr>
        <w:tblStyle w:val="TableGrid"/>
        <w:tblpPr w:leftFromText="180" w:rightFromText="180" w:vertAnchor="text" w:horzAnchor="margin" w:tblpXSpec="right" w:tblpY="-1021"/>
        <w:tblW w:w="9019" w:type="dxa"/>
        <w:tblInd w:w="0" w:type="dxa"/>
        <w:tblCellMar>
          <w:top w:w="21" w:type="dxa"/>
          <w:left w:w="110" w:type="dxa"/>
          <w:right w:w="46" w:type="dxa"/>
        </w:tblCellMar>
        <w:tblLook w:val="04A0" w:firstRow="1" w:lastRow="0" w:firstColumn="1" w:lastColumn="0" w:noHBand="0" w:noVBand="1"/>
      </w:tblPr>
      <w:tblGrid>
        <w:gridCol w:w="9019"/>
      </w:tblGrid>
      <w:tr w:rsidR="004C4E3F" w14:paraId="2BE3FF69" w14:textId="77777777" w:rsidTr="004C4E3F">
        <w:trPr>
          <w:trHeight w:val="13809"/>
        </w:trPr>
        <w:tc>
          <w:tcPr>
            <w:tcW w:w="9019" w:type="dxa"/>
            <w:tcBorders>
              <w:top w:val="single" w:sz="4" w:space="0" w:color="000000"/>
              <w:left w:val="single" w:sz="4" w:space="0" w:color="000000"/>
              <w:bottom w:val="single" w:sz="4" w:space="0" w:color="000000"/>
              <w:right w:val="single" w:sz="4" w:space="0" w:color="000000"/>
            </w:tcBorders>
          </w:tcPr>
          <w:p w14:paraId="053C9BDD" w14:textId="77777777" w:rsidR="004C4E3F" w:rsidRDefault="004C4E3F" w:rsidP="004C4E3F">
            <w:pPr>
              <w:spacing w:after="155"/>
              <w:jc w:val="both"/>
            </w:pPr>
            <w:r>
              <w:rPr>
                <w:rFonts w:ascii="Times New Roman" w:eastAsia="Times New Roman" w:hAnsi="Times New Roman" w:cs="Times New Roman"/>
                <w:sz w:val="24"/>
              </w:rPr>
              <w:lastRenderedPageBreak/>
              <w:t>the different cultural perceptions, leading to a more accommodating and enriching hospitality service for all the customers (</w:t>
            </w:r>
            <w:proofErr w:type="spellStart"/>
            <w:r>
              <w:rPr>
                <w:rFonts w:ascii="Times New Roman" w:eastAsia="Times New Roman" w:hAnsi="Times New Roman" w:cs="Times New Roman"/>
                <w:sz w:val="24"/>
              </w:rPr>
              <w:t>Jaamaa</w:t>
            </w:r>
            <w:proofErr w:type="spellEnd"/>
            <w:r>
              <w:rPr>
                <w:rFonts w:ascii="Times New Roman" w:eastAsia="Times New Roman" w:hAnsi="Times New Roman" w:cs="Times New Roman"/>
                <w:sz w:val="24"/>
              </w:rPr>
              <w:t xml:space="preserve">, 2015). </w:t>
            </w:r>
          </w:p>
          <w:p w14:paraId="013421AA" w14:textId="77777777" w:rsidR="004C4E3F" w:rsidRDefault="004C4E3F" w:rsidP="004C4E3F">
            <w:r>
              <w:rPr>
                <w:rFonts w:ascii="Times New Roman" w:eastAsia="Times New Roman" w:hAnsi="Times New Roman" w:cs="Times New Roman"/>
                <w:b/>
                <w:sz w:val="24"/>
              </w:rPr>
              <w:t xml:space="preserve">Skills Development </w:t>
            </w:r>
          </w:p>
          <w:p w14:paraId="47FC28F6" w14:textId="77777777" w:rsidR="004C4E3F" w:rsidRDefault="004C4E3F" w:rsidP="004C4E3F">
            <w:pPr>
              <w:spacing w:after="163" w:line="257" w:lineRule="auto"/>
              <w:ind w:right="67"/>
              <w:jc w:val="both"/>
            </w:pPr>
            <w:r>
              <w:rPr>
                <w:rFonts w:ascii="Times New Roman" w:eastAsia="Times New Roman" w:hAnsi="Times New Roman" w:cs="Times New Roman"/>
                <w:sz w:val="24"/>
              </w:rPr>
              <w:t xml:space="preserve">Considering the level of intricacy of the cultural undertones associated with the encountered misunderstanding, the implementation of theoretical approaches proves to be very critical in the development of the skills. Following Hofstede’s Cultural Dimensions Theory, I outline some crucial skills like communication flexibility, active listening,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intercultural sensitivity that are necessary to overcome cultural diversity (Barnett and Carter, 2013). </w:t>
            </w:r>
          </w:p>
          <w:p w14:paraId="2FBC33AB" w14:textId="77777777" w:rsidR="004C4E3F" w:rsidRDefault="004C4E3F" w:rsidP="004C4E3F">
            <w:pPr>
              <w:spacing w:after="155" w:line="264" w:lineRule="auto"/>
              <w:ind w:right="63"/>
              <w:jc w:val="both"/>
            </w:pPr>
            <w:r>
              <w:rPr>
                <w:rFonts w:ascii="Times New Roman" w:eastAsia="Times New Roman" w:hAnsi="Times New Roman" w:cs="Times New Roman"/>
                <w:sz w:val="24"/>
              </w:rPr>
              <w:t xml:space="preserve">When reflecting upon myself, I admit that my strengths are in the linguistic </w:t>
            </w:r>
            <w:proofErr w:type="gramStart"/>
            <w:r>
              <w:rPr>
                <w:rFonts w:ascii="Times New Roman" w:eastAsia="Times New Roman" w:hAnsi="Times New Roman" w:cs="Times New Roman"/>
                <w:sz w:val="24"/>
              </w:rPr>
              <w:t>domain</w:t>
            </w:r>
            <w:proofErr w:type="gramEnd"/>
            <w:r>
              <w:rPr>
                <w:rFonts w:ascii="Times New Roman" w:eastAsia="Times New Roman" w:hAnsi="Times New Roman" w:cs="Times New Roman"/>
                <w:sz w:val="24"/>
              </w:rPr>
              <w:t xml:space="preserve"> but my weaknesses are in predicting and also responding to culturally mapped expectations. To strengthen my skill set, I intend to collaborate with Geert Hofstede’s Cultural Dimensions framework, which will provide me with a deeper insight into the cultural differences in communication styles and perceptions of power and uncertainty. To avoid further misconceptions, some </w:t>
            </w:r>
            <w:proofErr w:type="spellStart"/>
            <w:r>
              <w:rPr>
                <w:rFonts w:ascii="Times New Roman" w:eastAsia="Times New Roman" w:hAnsi="Times New Roman" w:cs="Times New Roman"/>
                <w:sz w:val="24"/>
              </w:rPr>
              <w:t>behavioral</w:t>
            </w:r>
            <w:proofErr w:type="spellEnd"/>
            <w:r>
              <w:rPr>
                <w:rFonts w:ascii="Times New Roman" w:eastAsia="Times New Roman" w:hAnsi="Times New Roman" w:cs="Times New Roman"/>
                <w:sz w:val="24"/>
              </w:rPr>
              <w:t xml:space="preserve"> changes are necessary. Using Bennett’s Developmental Model of Intercultural Sensitivity, I hope to move from ethnocentrism to ethno-relativism. This includes fostering curiosity about different cultures, building cultural knowledge, and honing communication techniques. Through engaging in cross-cultural training, I seek to improve my intercultural competence, creating a welcoming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harmonious atmosphere in the hospitality field. </w:t>
            </w:r>
          </w:p>
          <w:p w14:paraId="6217054E" w14:textId="77777777" w:rsidR="004C4E3F" w:rsidRDefault="004C4E3F" w:rsidP="004C4E3F">
            <w:pPr>
              <w:spacing w:after="155"/>
            </w:pPr>
            <w:r>
              <w:rPr>
                <w:rFonts w:ascii="Times New Roman" w:eastAsia="Times New Roman" w:hAnsi="Times New Roman" w:cs="Times New Roman"/>
                <w:b/>
                <w:sz w:val="24"/>
              </w:rPr>
              <w:t xml:space="preserve">Conclusion </w:t>
            </w:r>
          </w:p>
          <w:p w14:paraId="2833678A" w14:textId="77777777" w:rsidR="004C4E3F" w:rsidRDefault="004C4E3F" w:rsidP="004C4E3F">
            <w:pPr>
              <w:spacing w:after="150" w:line="263" w:lineRule="auto"/>
              <w:ind w:right="64"/>
              <w:jc w:val="both"/>
            </w:pPr>
            <w:r>
              <w:rPr>
                <w:rFonts w:ascii="Times New Roman" w:eastAsia="Times New Roman" w:hAnsi="Times New Roman" w:cs="Times New Roman"/>
                <w:sz w:val="24"/>
              </w:rPr>
              <w:t xml:space="preserve">Lastly, the reflection highlights the changing nature of the dinner service from a cultural misunderstanding. It emphasizes the necessity of theory-based skills development, including the Hofstede’s Cultural Dimensions and the Bennett’s Intercultural Sensitivity Model. It stresses the role of cultural awareness in enhancing the guest satisfaction and making a more hospitable hospitality industry. It is a good reminder of the persistent need for the activities aimed at overcoming cultural differences, creating a comfortable and enriching atmosphere for the guests and service personnel. </w:t>
            </w:r>
          </w:p>
          <w:p w14:paraId="5717E9AE" w14:textId="77777777" w:rsidR="004C4E3F" w:rsidRDefault="004C4E3F" w:rsidP="004C4E3F">
            <w:pPr>
              <w:spacing w:after="87" w:line="301" w:lineRule="auto"/>
              <w:ind w:right="376"/>
            </w:pPr>
            <w:r>
              <w:rPr>
                <w:rFonts w:ascii="Times New Roman" w:eastAsia="Times New Roman" w:hAnsi="Times New Roman" w:cs="Times New Roman"/>
                <w:b/>
                <w:sz w:val="24"/>
              </w:rPr>
              <w:t xml:space="preserve">References: </w:t>
            </w:r>
            <w:r>
              <w:rPr>
                <w:rFonts w:ascii="Times New Roman" w:eastAsia="Times New Roman" w:hAnsi="Times New Roman" w:cs="Times New Roman"/>
                <w:sz w:val="24"/>
              </w:rPr>
              <w:t xml:space="preserve">Barnett, L. and Carter, E. (2013) ‘Intercultural interactions, culture and knowledge management: Research from the Thai hospitality and tourism industry’, in </w:t>
            </w:r>
            <w:r>
              <w:rPr>
                <w:rFonts w:ascii="Times New Roman" w:eastAsia="Times New Roman" w:hAnsi="Times New Roman" w:cs="Times New Roman"/>
                <w:i/>
                <w:sz w:val="24"/>
              </w:rPr>
              <w:t>Management, Leadership and Governance</w:t>
            </w:r>
            <w:r>
              <w:rPr>
                <w:rFonts w:ascii="Times New Roman" w:eastAsia="Times New Roman" w:hAnsi="Times New Roman" w:cs="Times New Roman"/>
                <w:sz w:val="24"/>
              </w:rPr>
              <w:t xml:space="preserve">. </w:t>
            </w:r>
          </w:p>
          <w:p w14:paraId="4B6C9C2A" w14:textId="77777777" w:rsidR="004C4E3F" w:rsidRDefault="004C4E3F" w:rsidP="004C4E3F">
            <w:pPr>
              <w:spacing w:after="158" w:line="252" w:lineRule="auto"/>
            </w:pPr>
            <w:proofErr w:type="spellStart"/>
            <w:r>
              <w:rPr>
                <w:rFonts w:ascii="Times New Roman" w:eastAsia="Times New Roman" w:hAnsi="Times New Roman" w:cs="Times New Roman"/>
                <w:sz w:val="24"/>
              </w:rPr>
              <w:t>Grobelna</w:t>
            </w:r>
            <w:proofErr w:type="spellEnd"/>
            <w:r>
              <w:rPr>
                <w:rFonts w:ascii="Times New Roman" w:eastAsia="Times New Roman" w:hAnsi="Times New Roman" w:cs="Times New Roman"/>
                <w:sz w:val="24"/>
              </w:rPr>
              <w:t xml:space="preserve">, A. (2015) ‘Intercultural challenges facing the hospitality industry. Implications for education and hospitality management’, </w:t>
            </w:r>
            <w:r>
              <w:rPr>
                <w:rFonts w:ascii="Times New Roman" w:eastAsia="Times New Roman" w:hAnsi="Times New Roman" w:cs="Times New Roman"/>
                <w:i/>
                <w:sz w:val="24"/>
              </w:rPr>
              <w:t>Journal of Intercultural Management</w:t>
            </w:r>
            <w:r>
              <w:rPr>
                <w:rFonts w:ascii="Times New Roman" w:eastAsia="Times New Roman" w:hAnsi="Times New Roman" w:cs="Times New Roman"/>
                <w:sz w:val="24"/>
              </w:rPr>
              <w:t xml:space="preserve">, 7(3), pp. 101–117. </w:t>
            </w:r>
          </w:p>
          <w:p w14:paraId="20AFDCF0" w14:textId="77777777" w:rsidR="004C4E3F" w:rsidRDefault="004C4E3F" w:rsidP="004C4E3F">
            <w:pPr>
              <w:spacing w:after="167"/>
            </w:pPr>
            <w:proofErr w:type="spellStart"/>
            <w:r>
              <w:rPr>
                <w:rFonts w:ascii="Times New Roman" w:eastAsia="Times New Roman" w:hAnsi="Times New Roman" w:cs="Times New Roman"/>
                <w:sz w:val="24"/>
              </w:rPr>
              <w:t>Jaamaa</w:t>
            </w:r>
            <w:proofErr w:type="spellEnd"/>
            <w:r>
              <w:rPr>
                <w:rFonts w:ascii="Times New Roman" w:eastAsia="Times New Roman" w:hAnsi="Times New Roman" w:cs="Times New Roman"/>
                <w:sz w:val="24"/>
              </w:rPr>
              <w:t xml:space="preserve">, S.J. (2015) ‘Cross-Culture Management for Foreign Managers at Hotel Industry in Thailand’, </w:t>
            </w:r>
            <w:r>
              <w:rPr>
                <w:rFonts w:ascii="Times New Roman" w:eastAsia="Times New Roman" w:hAnsi="Times New Roman" w:cs="Times New Roman"/>
                <w:i/>
                <w:sz w:val="24"/>
              </w:rPr>
              <w:t>Journal of Advanced Management Science</w:t>
            </w:r>
            <w:r>
              <w:rPr>
                <w:rFonts w:ascii="Times New Roman" w:eastAsia="Times New Roman" w:hAnsi="Times New Roman" w:cs="Times New Roman"/>
                <w:sz w:val="24"/>
              </w:rPr>
              <w:t xml:space="preserve">, 3(2), pp. 103–108. Available at: https://doi.org/10.12720/joams.3.2.103-108. </w:t>
            </w:r>
          </w:p>
          <w:p w14:paraId="15BBA953" w14:textId="77777777" w:rsidR="004C4E3F" w:rsidRDefault="004C4E3F" w:rsidP="004C4E3F">
            <w:pPr>
              <w:spacing w:after="155"/>
            </w:pPr>
            <w:r>
              <w:rPr>
                <w:rFonts w:ascii="Times New Roman" w:eastAsia="Times New Roman" w:hAnsi="Times New Roman" w:cs="Times New Roman"/>
                <w:b/>
                <w:sz w:val="24"/>
              </w:rPr>
              <w:t xml:space="preserve"> </w:t>
            </w:r>
          </w:p>
          <w:p w14:paraId="5B5B893A" w14:textId="77777777" w:rsidR="004C4E3F" w:rsidRDefault="004C4E3F" w:rsidP="004C4E3F">
            <w:r>
              <w:rPr>
                <w:rFonts w:ascii="Times New Roman" w:eastAsia="Times New Roman" w:hAnsi="Times New Roman" w:cs="Times New Roman"/>
                <w:b/>
                <w:sz w:val="24"/>
              </w:rPr>
              <w:t xml:space="preserve"> </w:t>
            </w:r>
          </w:p>
          <w:p w14:paraId="61AC5920" w14:textId="77777777" w:rsidR="004C4E3F" w:rsidRDefault="004C4E3F" w:rsidP="004C4E3F">
            <w:r>
              <w:rPr>
                <w:rFonts w:ascii="Times New Roman" w:eastAsia="Times New Roman" w:hAnsi="Times New Roman" w:cs="Times New Roman"/>
                <w:b/>
                <w:sz w:val="24"/>
              </w:rPr>
              <w:t xml:space="preserve"> </w:t>
            </w:r>
          </w:p>
        </w:tc>
      </w:tr>
    </w:tbl>
    <w:p w14:paraId="1A8F2400" w14:textId="77777777" w:rsidR="0080154D" w:rsidRDefault="0080154D">
      <w:pPr>
        <w:spacing w:after="0"/>
        <w:ind w:left="-1440"/>
      </w:pPr>
    </w:p>
    <w:p w14:paraId="11883D0E" w14:textId="77777777" w:rsidR="0080154D" w:rsidRDefault="0080154D">
      <w:pPr>
        <w:spacing w:after="0"/>
        <w:ind w:left="-1440" w:right="2"/>
      </w:pPr>
    </w:p>
    <w:tbl>
      <w:tblPr>
        <w:tblStyle w:val="TableGrid"/>
        <w:tblW w:w="9017" w:type="dxa"/>
        <w:tblInd w:w="7" w:type="dxa"/>
        <w:tblCellMar>
          <w:top w:w="14" w:type="dxa"/>
          <w:left w:w="109" w:type="dxa"/>
          <w:right w:w="44" w:type="dxa"/>
        </w:tblCellMar>
        <w:tblLook w:val="04A0" w:firstRow="1" w:lastRow="0" w:firstColumn="1" w:lastColumn="0" w:noHBand="0" w:noVBand="1"/>
      </w:tblPr>
      <w:tblGrid>
        <w:gridCol w:w="9017"/>
      </w:tblGrid>
      <w:tr w:rsidR="0080154D" w14:paraId="2A9876CC" w14:textId="77777777">
        <w:trPr>
          <w:trHeight w:val="2173"/>
        </w:trPr>
        <w:tc>
          <w:tcPr>
            <w:tcW w:w="9017" w:type="dxa"/>
            <w:tcBorders>
              <w:top w:val="single" w:sz="4" w:space="0" w:color="000000"/>
              <w:left w:val="single" w:sz="4" w:space="0" w:color="000000"/>
              <w:bottom w:val="single" w:sz="4" w:space="0" w:color="000000"/>
              <w:right w:val="single" w:sz="4" w:space="0" w:color="000000"/>
            </w:tcBorders>
            <w:shd w:val="clear" w:color="auto" w:fill="EDEDED"/>
          </w:tcPr>
          <w:p w14:paraId="329AF9FC" w14:textId="77777777" w:rsidR="0080154D" w:rsidRDefault="0051022C">
            <w:pPr>
              <w:spacing w:after="155"/>
            </w:pPr>
            <w:r>
              <w:rPr>
                <w:rFonts w:ascii="Times New Roman" w:eastAsia="Times New Roman" w:hAnsi="Times New Roman" w:cs="Times New Roman"/>
                <w:b/>
                <w:sz w:val="28"/>
              </w:rPr>
              <w:lastRenderedPageBreak/>
              <w:t xml:space="preserve"> </w:t>
            </w:r>
          </w:p>
          <w:p w14:paraId="7E74FF5A" w14:textId="77777777" w:rsidR="0080154D" w:rsidRDefault="0051022C">
            <w:r>
              <w:rPr>
                <w:rFonts w:ascii="Times New Roman" w:eastAsia="Times New Roman" w:hAnsi="Times New Roman" w:cs="Times New Roman"/>
                <w:b/>
                <w:sz w:val="28"/>
              </w:rPr>
              <w:t xml:space="preserve">Component 2: </w:t>
            </w:r>
            <w:r>
              <w:rPr>
                <w:rFonts w:ascii="Times New Roman" w:eastAsia="Times New Roman" w:hAnsi="Times New Roman" w:cs="Times New Roman"/>
                <w:b/>
                <w:i/>
                <w:sz w:val="28"/>
              </w:rPr>
              <w:t>Training Plan</w:t>
            </w:r>
            <w:r>
              <w:rPr>
                <w:rFonts w:ascii="Times New Roman" w:eastAsia="Times New Roman" w:hAnsi="Times New Roman" w:cs="Times New Roman"/>
                <w:b/>
                <w:sz w:val="28"/>
              </w:rPr>
              <w:t xml:space="preserve"> (500 words +/- 10%) </w:t>
            </w:r>
          </w:p>
          <w:p w14:paraId="6975127C" w14:textId="77777777" w:rsidR="0080154D" w:rsidRDefault="0051022C">
            <w:r>
              <w:rPr>
                <w:rFonts w:ascii="Times New Roman" w:eastAsia="Times New Roman" w:hAnsi="Times New Roman" w:cs="Times New Roman"/>
                <w:b/>
                <w:sz w:val="28"/>
              </w:rPr>
              <w:t xml:space="preserve"> </w:t>
            </w:r>
          </w:p>
          <w:p w14:paraId="4B530360" w14:textId="77777777" w:rsidR="0080154D" w:rsidRDefault="0051022C">
            <w:r>
              <w:rPr>
                <w:rFonts w:ascii="Times New Roman" w:eastAsia="Times New Roman" w:hAnsi="Times New Roman" w:cs="Times New Roman"/>
                <w:b/>
                <w:sz w:val="28"/>
              </w:rPr>
              <w:t>Weighting: 25%</w:t>
            </w:r>
            <w:r>
              <w:rPr>
                <w:rFonts w:ascii="Arial" w:eastAsia="Arial" w:hAnsi="Arial" w:cs="Arial"/>
                <w:sz w:val="20"/>
              </w:rPr>
              <w:t xml:space="preserve"> </w:t>
            </w:r>
          </w:p>
          <w:p w14:paraId="4AB55C08" w14:textId="77777777" w:rsidR="0080154D" w:rsidRDefault="0051022C">
            <w:r>
              <w:rPr>
                <w:rFonts w:ascii="Times New Roman" w:eastAsia="Times New Roman" w:hAnsi="Times New Roman" w:cs="Times New Roman"/>
                <w:b/>
                <w:sz w:val="28"/>
              </w:rPr>
              <w:t xml:space="preserve"> </w:t>
            </w:r>
          </w:p>
        </w:tc>
      </w:tr>
      <w:tr w:rsidR="0080154D" w14:paraId="704BC1C5" w14:textId="77777777">
        <w:trPr>
          <w:trHeight w:val="11545"/>
        </w:trPr>
        <w:tc>
          <w:tcPr>
            <w:tcW w:w="9017" w:type="dxa"/>
            <w:tcBorders>
              <w:top w:val="single" w:sz="4" w:space="0" w:color="000000"/>
              <w:left w:val="single" w:sz="4" w:space="0" w:color="000000"/>
              <w:bottom w:val="single" w:sz="4" w:space="0" w:color="000000"/>
              <w:right w:val="single" w:sz="4" w:space="0" w:color="000000"/>
            </w:tcBorders>
          </w:tcPr>
          <w:p w14:paraId="36124C6C" w14:textId="77777777" w:rsidR="0080154D" w:rsidRDefault="0051022C">
            <w:pPr>
              <w:spacing w:after="130"/>
            </w:pPr>
            <w:r>
              <w:rPr>
                <w:rFonts w:ascii="Times New Roman" w:eastAsia="Times New Roman" w:hAnsi="Times New Roman" w:cs="Times New Roman"/>
                <w:b/>
                <w:sz w:val="28"/>
              </w:rPr>
              <w:t xml:space="preserve">Identified Cultural Misunderstanding  </w:t>
            </w:r>
          </w:p>
          <w:p w14:paraId="770A9CAE" w14:textId="77777777" w:rsidR="0080154D" w:rsidRDefault="0051022C">
            <w:pPr>
              <w:spacing w:after="187" w:line="257" w:lineRule="auto"/>
              <w:ind w:right="65"/>
              <w:jc w:val="both"/>
            </w:pPr>
            <w:r>
              <w:rPr>
                <w:rFonts w:ascii="Times New Roman" w:eastAsia="Times New Roman" w:hAnsi="Times New Roman" w:cs="Times New Roman"/>
                <w:sz w:val="24"/>
              </w:rPr>
              <w:t xml:space="preserve">There was a cultural miscommunication within the dinner service at the hotel restaurant, leading to a language barrier and the differences in cultural practices between a waiter and the guest. </w:t>
            </w:r>
          </w:p>
          <w:p w14:paraId="6D29AA0E" w14:textId="77777777" w:rsidR="0080154D" w:rsidRDefault="0051022C">
            <w:pPr>
              <w:spacing w:after="129"/>
            </w:pPr>
            <w:r>
              <w:rPr>
                <w:rFonts w:ascii="Times New Roman" w:eastAsia="Times New Roman" w:hAnsi="Times New Roman" w:cs="Times New Roman"/>
                <w:b/>
                <w:sz w:val="28"/>
              </w:rPr>
              <w:t xml:space="preserve">Training plan (Why/What//Who/Where/When): </w:t>
            </w:r>
          </w:p>
          <w:p w14:paraId="726DDC2F" w14:textId="77777777" w:rsidR="0080154D" w:rsidRDefault="0051022C">
            <w:r>
              <w:rPr>
                <w:rFonts w:ascii="Times New Roman" w:eastAsia="Times New Roman" w:hAnsi="Times New Roman" w:cs="Times New Roman"/>
                <w:b/>
                <w:i/>
                <w:sz w:val="24"/>
              </w:rPr>
              <w:t xml:space="preserve">Why? </w:t>
            </w:r>
          </w:p>
          <w:p w14:paraId="7BA4F613" w14:textId="77777777" w:rsidR="0080154D" w:rsidRDefault="0051022C">
            <w:pPr>
              <w:spacing w:after="158" w:line="257" w:lineRule="auto"/>
              <w:ind w:right="66"/>
              <w:jc w:val="both"/>
            </w:pPr>
            <w:r>
              <w:rPr>
                <w:rFonts w:ascii="Times New Roman" w:eastAsia="Times New Roman" w:hAnsi="Times New Roman" w:cs="Times New Roman"/>
                <w:sz w:val="24"/>
              </w:rPr>
              <w:t xml:space="preserve">The main objective of the training plan is to promote cultural competence in the hotel staff, enabling them to manage cross-cultural relations competently. By addressing the observed cultural misconception, the training aims to promote an environment that is more accommodating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culturally aware, which leads to increased guest satisfaction and better guest interactions. </w:t>
            </w:r>
          </w:p>
          <w:p w14:paraId="0281329D" w14:textId="77777777" w:rsidR="0080154D" w:rsidRDefault="0051022C">
            <w:proofErr w:type="gramStart"/>
            <w:r>
              <w:rPr>
                <w:rFonts w:ascii="Times New Roman" w:eastAsia="Times New Roman" w:hAnsi="Times New Roman" w:cs="Times New Roman"/>
                <w:b/>
                <w:i/>
                <w:sz w:val="24"/>
              </w:rPr>
              <w:t>What</w:t>
            </w:r>
            <w:proofErr w:type="gramEnd"/>
            <w:r>
              <w:rPr>
                <w:rFonts w:ascii="Times New Roman" w:eastAsia="Times New Roman" w:hAnsi="Times New Roman" w:cs="Times New Roman"/>
                <w:b/>
                <w:i/>
                <w:sz w:val="24"/>
              </w:rPr>
              <w:t xml:space="preserve"> </w:t>
            </w:r>
          </w:p>
          <w:p w14:paraId="317F6051" w14:textId="77777777" w:rsidR="0080154D" w:rsidRDefault="0051022C">
            <w:pPr>
              <w:spacing w:after="157" w:line="257" w:lineRule="auto"/>
              <w:ind w:right="63"/>
              <w:jc w:val="both"/>
            </w:pPr>
            <w:r>
              <w:rPr>
                <w:rFonts w:ascii="Times New Roman" w:eastAsia="Times New Roman" w:hAnsi="Times New Roman" w:cs="Times New Roman"/>
                <w:sz w:val="24"/>
              </w:rPr>
              <w:t xml:space="preserve">The training content includes three essential elements to support the development of cultural competence among the hotel staff. Initially, the modules on cultural awareness will include the Hofstede Cultural Dimensions Theory, which will provide information on communication,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and expectations among the different cultures. Active listening and adaptability skills will be emphasized in the Cross-Cultural Communication sessions. Scenario-based training will include many language barriers that will eventually lead to practical decision-making skills. Second, Role-Playing Exercises will encourage the staff to engage in mock guest interventions with positive </w:t>
            </w:r>
            <w:proofErr w:type="spellStart"/>
            <w:r>
              <w:rPr>
                <w:rFonts w:ascii="Times New Roman" w:eastAsia="Times New Roman" w:hAnsi="Times New Roman" w:cs="Times New Roman"/>
                <w:sz w:val="24"/>
              </w:rPr>
              <w:t>behaviors</w:t>
            </w:r>
            <w:proofErr w:type="spellEnd"/>
            <w:r>
              <w:rPr>
                <w:rFonts w:ascii="Times New Roman" w:eastAsia="Times New Roman" w:hAnsi="Times New Roman" w:cs="Times New Roman"/>
                <w:sz w:val="24"/>
              </w:rPr>
              <w:t xml:space="preserve"> reinforced through constructive feedback. Finally, Cultural Sensitivity Seminars to be conducted by the professionals will enlighten the staff on various cultural practices, providing a platform for shared experiences and learning (Tabari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2016). </w:t>
            </w:r>
          </w:p>
          <w:p w14:paraId="7E9ECE81" w14:textId="77777777" w:rsidR="0080154D" w:rsidRDefault="0051022C">
            <w:pPr>
              <w:spacing w:after="159"/>
            </w:pPr>
            <w:proofErr w:type="gramStart"/>
            <w:r>
              <w:rPr>
                <w:rFonts w:ascii="Times New Roman" w:eastAsia="Times New Roman" w:hAnsi="Times New Roman" w:cs="Times New Roman"/>
                <w:b/>
                <w:i/>
                <w:sz w:val="24"/>
              </w:rPr>
              <w:t>Who</w:t>
            </w:r>
            <w:proofErr w:type="gramEnd"/>
            <w:r>
              <w:rPr>
                <w:rFonts w:ascii="Times New Roman" w:eastAsia="Times New Roman" w:hAnsi="Times New Roman" w:cs="Times New Roman"/>
                <w:b/>
                <w:i/>
                <w:sz w:val="24"/>
              </w:rPr>
              <w:t xml:space="preserve"> </w:t>
            </w:r>
          </w:p>
          <w:p w14:paraId="2D651BDB" w14:textId="77777777" w:rsidR="0080154D" w:rsidRDefault="0051022C">
            <w:pPr>
              <w:spacing w:after="162" w:line="257" w:lineRule="auto"/>
              <w:ind w:right="65"/>
              <w:jc w:val="both"/>
            </w:pPr>
            <w:r>
              <w:rPr>
                <w:rFonts w:ascii="Times New Roman" w:eastAsia="Times New Roman" w:hAnsi="Times New Roman" w:cs="Times New Roman"/>
                <w:sz w:val="24"/>
              </w:rPr>
              <w:t>All the employees working in the hotel are the target audience, ranging from the front-</w:t>
            </w:r>
            <w:proofErr w:type="spellStart"/>
            <w:r>
              <w:rPr>
                <w:rFonts w:ascii="Times New Roman" w:eastAsia="Times New Roman" w:hAnsi="Times New Roman" w:cs="Times New Roman"/>
                <w:sz w:val="24"/>
              </w:rPr>
              <w:t>ofhouse</w:t>
            </w:r>
            <w:proofErr w:type="spellEnd"/>
            <w:r>
              <w:rPr>
                <w:rFonts w:ascii="Times New Roman" w:eastAsia="Times New Roman" w:hAnsi="Times New Roman" w:cs="Times New Roman"/>
                <w:sz w:val="24"/>
              </w:rPr>
              <w:t xml:space="preserve"> and back-of-house roles from waiter to manager. Cultural competence is viewed as a shared responsibility that goes beyond the job titles. This holistic approach guarantees a shared vision of creating a culturally sensitive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responsive environment throughout the hotel. </w:t>
            </w:r>
          </w:p>
          <w:p w14:paraId="1AEA771A" w14:textId="77777777" w:rsidR="0080154D" w:rsidRDefault="0051022C">
            <w:pPr>
              <w:spacing w:after="155"/>
            </w:pPr>
            <w:proofErr w:type="gramStart"/>
            <w:r>
              <w:rPr>
                <w:rFonts w:ascii="Times New Roman" w:eastAsia="Times New Roman" w:hAnsi="Times New Roman" w:cs="Times New Roman"/>
                <w:b/>
                <w:i/>
                <w:sz w:val="24"/>
              </w:rPr>
              <w:t>Where</w:t>
            </w:r>
            <w:proofErr w:type="gramEnd"/>
            <w:r>
              <w:rPr>
                <w:rFonts w:ascii="Times New Roman" w:eastAsia="Times New Roman" w:hAnsi="Times New Roman" w:cs="Times New Roman"/>
                <w:b/>
                <w:i/>
                <w:sz w:val="24"/>
              </w:rPr>
              <w:t xml:space="preserve"> </w:t>
            </w:r>
          </w:p>
          <w:p w14:paraId="2FE7F26B" w14:textId="77777777" w:rsidR="0080154D" w:rsidRDefault="0051022C">
            <w:pPr>
              <w:ind w:right="64"/>
              <w:jc w:val="both"/>
            </w:pPr>
            <w:r>
              <w:rPr>
                <w:rFonts w:ascii="Times New Roman" w:eastAsia="Times New Roman" w:hAnsi="Times New Roman" w:cs="Times New Roman"/>
                <w:sz w:val="24"/>
              </w:rPr>
              <w:t xml:space="preserve">The training site will be the training room at the hotel, which will also be used for workshops and seminars. This location guarantees a lot of comfort and the familiarity of employees. The focus is on surrounding the learners with a pleasant and supportive environment </w:t>
            </w:r>
          </w:p>
        </w:tc>
      </w:tr>
    </w:tbl>
    <w:p w14:paraId="255586AC" w14:textId="77777777" w:rsidR="0080154D" w:rsidRDefault="0080154D">
      <w:pPr>
        <w:spacing w:after="0"/>
        <w:ind w:left="-1440"/>
      </w:pPr>
    </w:p>
    <w:tbl>
      <w:tblPr>
        <w:tblStyle w:val="TableGrid"/>
        <w:tblW w:w="9019" w:type="dxa"/>
        <w:tblInd w:w="6" w:type="dxa"/>
        <w:tblCellMar>
          <w:top w:w="21" w:type="dxa"/>
          <w:left w:w="110" w:type="dxa"/>
          <w:right w:w="47" w:type="dxa"/>
        </w:tblCellMar>
        <w:tblLook w:val="04A0" w:firstRow="1" w:lastRow="0" w:firstColumn="1" w:lastColumn="0" w:noHBand="0" w:noVBand="1"/>
      </w:tblPr>
      <w:tblGrid>
        <w:gridCol w:w="9019"/>
      </w:tblGrid>
      <w:tr w:rsidR="0080154D" w14:paraId="47D4D507" w14:textId="77777777">
        <w:trPr>
          <w:trHeight w:val="12438"/>
        </w:trPr>
        <w:tc>
          <w:tcPr>
            <w:tcW w:w="9019" w:type="dxa"/>
            <w:tcBorders>
              <w:top w:val="single" w:sz="4" w:space="0" w:color="000000"/>
              <w:left w:val="single" w:sz="4" w:space="0" w:color="000000"/>
              <w:bottom w:val="single" w:sz="4" w:space="0" w:color="000000"/>
              <w:right w:val="single" w:sz="4" w:space="0" w:color="000000"/>
            </w:tcBorders>
          </w:tcPr>
          <w:p w14:paraId="5D1C41BC" w14:textId="77777777" w:rsidR="0080154D" w:rsidRDefault="0051022C">
            <w:pPr>
              <w:spacing w:after="155"/>
              <w:jc w:val="both"/>
            </w:pPr>
            <w:r>
              <w:rPr>
                <w:rFonts w:ascii="Times New Roman" w:eastAsia="Times New Roman" w:hAnsi="Times New Roman" w:cs="Times New Roman"/>
                <w:sz w:val="24"/>
              </w:rPr>
              <w:t xml:space="preserve">allowing interactive learning, engagement, and participation in the cultural competence training sessions (Kenesei and Stier, 2017). </w:t>
            </w:r>
          </w:p>
          <w:p w14:paraId="2012AD8E" w14:textId="77777777" w:rsidR="0080154D" w:rsidRDefault="0051022C">
            <w:proofErr w:type="gramStart"/>
            <w:r>
              <w:rPr>
                <w:rFonts w:ascii="Times New Roman" w:eastAsia="Times New Roman" w:hAnsi="Times New Roman" w:cs="Times New Roman"/>
                <w:b/>
                <w:i/>
                <w:sz w:val="24"/>
              </w:rPr>
              <w:t>When</w:t>
            </w:r>
            <w:proofErr w:type="gramEnd"/>
            <w:r>
              <w:rPr>
                <w:rFonts w:ascii="Times New Roman" w:eastAsia="Times New Roman" w:hAnsi="Times New Roman" w:cs="Times New Roman"/>
                <w:b/>
                <w:i/>
                <w:sz w:val="24"/>
              </w:rPr>
              <w:t xml:space="preserve"> </w:t>
            </w:r>
          </w:p>
          <w:p w14:paraId="0798D56A" w14:textId="77777777" w:rsidR="0080154D" w:rsidRDefault="0051022C">
            <w:pPr>
              <w:spacing w:after="153" w:line="261" w:lineRule="auto"/>
              <w:ind w:right="62"/>
              <w:jc w:val="both"/>
            </w:pPr>
            <w:r>
              <w:rPr>
                <w:rFonts w:ascii="Times New Roman" w:eastAsia="Times New Roman" w:hAnsi="Times New Roman" w:cs="Times New Roman"/>
                <w:sz w:val="24"/>
              </w:rPr>
              <w:t xml:space="preserve">The rollout will take a phased approach over the next three months. First, cultural competence assessments will adjust the content of the training, making it more relevant. Ongoing support includes a continuous learning environment, which is characterized by refresher courses and cultural resources. This approach enables the employees to learn and adopt the concepts steadily, creating an environment of continuous development. The phased timeline, with ongoing support, provides a systemic and adaptive approach to cultural competency training that fosters sustainability and the integration of cultural awareness into the hotel’s operational system (Lee, 2015). </w:t>
            </w:r>
          </w:p>
          <w:p w14:paraId="0D3FF929" w14:textId="77777777" w:rsidR="0080154D" w:rsidRDefault="0051022C">
            <w:r>
              <w:rPr>
                <w:rFonts w:ascii="Times New Roman" w:eastAsia="Times New Roman" w:hAnsi="Times New Roman" w:cs="Times New Roman"/>
                <w:b/>
                <w:i/>
                <w:sz w:val="24"/>
              </w:rPr>
              <w:t xml:space="preserve">Evaluation and Feedback </w:t>
            </w:r>
          </w:p>
          <w:p w14:paraId="6A464F77" w14:textId="77777777" w:rsidR="0080154D" w:rsidRDefault="0051022C">
            <w:pPr>
              <w:spacing w:after="95" w:line="278" w:lineRule="auto"/>
              <w:ind w:right="65"/>
              <w:jc w:val="both"/>
            </w:pPr>
            <w:r>
              <w:rPr>
                <w:rFonts w:ascii="Times New Roman" w:eastAsia="Times New Roman" w:hAnsi="Times New Roman" w:cs="Times New Roman"/>
                <w:sz w:val="24"/>
              </w:rPr>
              <w:t xml:space="preserve">In the assessment phase, post-training assessments and quizzes will determine the success of the cultural competence training. These evaluations seek to quantify the understanding and the use of the learned concepts. At the same time, the team will get valuable qualitative feedback, determine the areas on which it is necessary to improve, and continue to improve the training program according to the needs of the hotel staff (Lee, 2015). </w:t>
            </w:r>
            <w:r>
              <w:rPr>
                <w:rFonts w:ascii="Times New Roman" w:eastAsia="Times New Roman" w:hAnsi="Times New Roman" w:cs="Times New Roman"/>
                <w:b/>
                <w:sz w:val="28"/>
              </w:rPr>
              <w:t xml:space="preserve">References: </w:t>
            </w:r>
          </w:p>
          <w:p w14:paraId="26638390" w14:textId="77777777" w:rsidR="0080154D" w:rsidRDefault="0051022C">
            <w:pPr>
              <w:spacing w:after="144" w:line="251" w:lineRule="auto"/>
            </w:pPr>
            <w:r>
              <w:rPr>
                <w:rFonts w:ascii="Times New Roman" w:eastAsia="Times New Roman" w:hAnsi="Times New Roman" w:cs="Times New Roman"/>
                <w:sz w:val="24"/>
              </w:rPr>
              <w:t xml:space="preserve">Kenesei, Z. and Stier, Z. (2017) ‘Managing communication and cultural barriers in intercultural service encounters: Strategies from both sides of the counter’, </w:t>
            </w:r>
            <w:r>
              <w:rPr>
                <w:rFonts w:ascii="Times New Roman" w:eastAsia="Times New Roman" w:hAnsi="Times New Roman" w:cs="Times New Roman"/>
                <w:i/>
                <w:sz w:val="24"/>
              </w:rPr>
              <w:t>Journal of Vacation Marketing</w:t>
            </w:r>
            <w:r>
              <w:rPr>
                <w:rFonts w:ascii="Times New Roman" w:eastAsia="Times New Roman" w:hAnsi="Times New Roman" w:cs="Times New Roman"/>
                <w:sz w:val="24"/>
              </w:rPr>
              <w:t xml:space="preserve">, 23(4), pp. 307–321. Available at: https://doi.org/10.1177/1356766716676299. </w:t>
            </w:r>
          </w:p>
          <w:p w14:paraId="52BB0467" w14:textId="77777777" w:rsidR="0080154D" w:rsidRDefault="0051022C">
            <w:pPr>
              <w:spacing w:after="154" w:line="243" w:lineRule="auto"/>
            </w:pPr>
            <w:r>
              <w:rPr>
                <w:rFonts w:ascii="Times New Roman" w:eastAsia="Times New Roman" w:hAnsi="Times New Roman" w:cs="Times New Roman"/>
                <w:sz w:val="24"/>
              </w:rPr>
              <w:t xml:space="preserve">Lee, T.J. (2015) ‘Implications of cultural differences for expatriate managers in the global hotel industry’, </w:t>
            </w:r>
            <w:r>
              <w:rPr>
                <w:rFonts w:ascii="Times New Roman" w:eastAsia="Times New Roman" w:hAnsi="Times New Roman" w:cs="Times New Roman"/>
                <w:i/>
                <w:sz w:val="24"/>
              </w:rPr>
              <w:t>Tourism Analysis</w:t>
            </w:r>
            <w:r>
              <w:rPr>
                <w:rFonts w:ascii="Times New Roman" w:eastAsia="Times New Roman" w:hAnsi="Times New Roman" w:cs="Times New Roman"/>
                <w:sz w:val="24"/>
              </w:rPr>
              <w:t xml:space="preserve">, 20(4), pp. 425–431. Available at: https://doi.org/10.3727/108354215X14400815080604. </w:t>
            </w:r>
          </w:p>
          <w:p w14:paraId="6BA4BC21" w14:textId="77777777" w:rsidR="0080154D" w:rsidRDefault="0051022C">
            <w:pPr>
              <w:spacing w:after="184" w:line="247" w:lineRule="auto"/>
            </w:pPr>
            <w:r>
              <w:rPr>
                <w:rFonts w:ascii="Times New Roman" w:eastAsia="Times New Roman" w:hAnsi="Times New Roman" w:cs="Times New Roman"/>
                <w:sz w:val="24"/>
              </w:rPr>
              <w:t xml:space="preserve">Tabari, S., Wilson, </w:t>
            </w:r>
            <w:proofErr w:type="gramStart"/>
            <w:r>
              <w:rPr>
                <w:rFonts w:ascii="Times New Roman" w:eastAsia="Times New Roman" w:hAnsi="Times New Roman" w:cs="Times New Roman"/>
                <w:sz w:val="24"/>
              </w:rPr>
              <w:t>J..</w:t>
            </w:r>
            <w:proofErr w:type="gramEnd"/>
            <w:r>
              <w:rPr>
                <w:rFonts w:ascii="Times New Roman" w:eastAsia="Times New Roman" w:hAnsi="Times New Roman" w:cs="Times New Roman"/>
                <w:sz w:val="24"/>
              </w:rPr>
              <w:t xml:space="preserve"> and Ingram, H. (2016) ‘Conceptualising the impact of culture and language upon hospitality service management’, </w:t>
            </w:r>
            <w:r>
              <w:rPr>
                <w:rFonts w:ascii="Times New Roman" w:eastAsia="Times New Roman" w:hAnsi="Times New Roman" w:cs="Times New Roman"/>
                <w:i/>
                <w:sz w:val="24"/>
              </w:rPr>
              <w:t>Worldwide Hospitality and Tourism Themes</w:t>
            </w:r>
            <w:r>
              <w:rPr>
                <w:rFonts w:ascii="Times New Roman" w:eastAsia="Times New Roman" w:hAnsi="Times New Roman" w:cs="Times New Roman"/>
                <w:sz w:val="24"/>
              </w:rPr>
              <w:t xml:space="preserve">, 8(1), pp. 12–28. Available at: https://doi.org/https://doi.org/10.1108/WHATT-102015-0037. </w:t>
            </w:r>
          </w:p>
          <w:p w14:paraId="29D24097" w14:textId="77777777" w:rsidR="0080154D" w:rsidRDefault="0051022C">
            <w:r>
              <w:rPr>
                <w:rFonts w:ascii="Times New Roman" w:eastAsia="Times New Roman" w:hAnsi="Times New Roman" w:cs="Times New Roman"/>
                <w:b/>
                <w:sz w:val="28"/>
              </w:rPr>
              <w:t xml:space="preserve"> </w:t>
            </w:r>
          </w:p>
          <w:p w14:paraId="0204AB6A" w14:textId="77777777" w:rsidR="0080154D" w:rsidRDefault="0051022C">
            <w:pPr>
              <w:spacing w:after="154"/>
            </w:pPr>
            <w:r>
              <w:rPr>
                <w:rFonts w:ascii="Times New Roman" w:eastAsia="Times New Roman" w:hAnsi="Times New Roman" w:cs="Times New Roman"/>
                <w:b/>
                <w:sz w:val="28"/>
              </w:rPr>
              <w:t xml:space="preserve"> </w:t>
            </w:r>
          </w:p>
          <w:p w14:paraId="0830AAB9" w14:textId="77777777" w:rsidR="0080154D" w:rsidRDefault="0051022C">
            <w:r>
              <w:rPr>
                <w:rFonts w:ascii="Times New Roman" w:eastAsia="Times New Roman" w:hAnsi="Times New Roman" w:cs="Times New Roman"/>
                <w:b/>
                <w:sz w:val="28"/>
              </w:rPr>
              <w:t xml:space="preserve"> </w:t>
            </w:r>
          </w:p>
          <w:p w14:paraId="4E122AF0" w14:textId="77777777" w:rsidR="0080154D" w:rsidRDefault="0051022C">
            <w:pPr>
              <w:spacing w:after="155"/>
            </w:pPr>
            <w:r>
              <w:rPr>
                <w:rFonts w:ascii="Times New Roman" w:eastAsia="Times New Roman" w:hAnsi="Times New Roman" w:cs="Times New Roman"/>
                <w:b/>
                <w:sz w:val="28"/>
              </w:rPr>
              <w:t xml:space="preserve"> </w:t>
            </w:r>
          </w:p>
          <w:p w14:paraId="2A061EB5" w14:textId="77777777" w:rsidR="0080154D" w:rsidRDefault="0051022C">
            <w:r>
              <w:rPr>
                <w:rFonts w:ascii="Times New Roman" w:eastAsia="Times New Roman" w:hAnsi="Times New Roman" w:cs="Times New Roman"/>
                <w:b/>
                <w:sz w:val="28"/>
              </w:rPr>
              <w:t xml:space="preserve"> </w:t>
            </w:r>
          </w:p>
        </w:tc>
      </w:tr>
    </w:tbl>
    <w:p w14:paraId="4AFD4E20" w14:textId="77777777" w:rsidR="0080154D" w:rsidRDefault="0080154D">
      <w:pPr>
        <w:spacing w:after="0"/>
        <w:ind w:left="-1440" w:right="2"/>
      </w:pPr>
    </w:p>
    <w:tbl>
      <w:tblPr>
        <w:tblStyle w:val="TableGrid"/>
        <w:tblW w:w="9017" w:type="dxa"/>
        <w:tblInd w:w="7" w:type="dxa"/>
        <w:tblCellMar>
          <w:top w:w="14" w:type="dxa"/>
          <w:left w:w="109" w:type="dxa"/>
          <w:right w:w="44" w:type="dxa"/>
        </w:tblCellMar>
        <w:tblLook w:val="04A0" w:firstRow="1" w:lastRow="0" w:firstColumn="1" w:lastColumn="0" w:noHBand="0" w:noVBand="1"/>
      </w:tblPr>
      <w:tblGrid>
        <w:gridCol w:w="9017"/>
      </w:tblGrid>
      <w:tr w:rsidR="0080154D" w14:paraId="1318F234" w14:textId="77777777">
        <w:trPr>
          <w:trHeight w:val="1853"/>
        </w:trPr>
        <w:tc>
          <w:tcPr>
            <w:tcW w:w="9017" w:type="dxa"/>
            <w:tcBorders>
              <w:top w:val="single" w:sz="4" w:space="0" w:color="000000"/>
              <w:left w:val="single" w:sz="4" w:space="0" w:color="000000"/>
              <w:bottom w:val="single" w:sz="4" w:space="0" w:color="000000"/>
              <w:right w:val="single" w:sz="4" w:space="0" w:color="000000"/>
            </w:tcBorders>
            <w:shd w:val="clear" w:color="auto" w:fill="EDEDED"/>
          </w:tcPr>
          <w:p w14:paraId="72AB00A2" w14:textId="77777777" w:rsidR="0080154D" w:rsidRDefault="0051022C">
            <w:pPr>
              <w:spacing w:after="155"/>
            </w:pPr>
            <w:r>
              <w:rPr>
                <w:rFonts w:ascii="Times New Roman" w:eastAsia="Times New Roman" w:hAnsi="Times New Roman" w:cs="Times New Roman"/>
                <w:b/>
                <w:sz w:val="28"/>
              </w:rPr>
              <w:lastRenderedPageBreak/>
              <w:t xml:space="preserve"> </w:t>
            </w:r>
          </w:p>
          <w:p w14:paraId="25442CFB" w14:textId="77777777" w:rsidR="0080154D" w:rsidRDefault="0051022C">
            <w:r>
              <w:rPr>
                <w:rFonts w:ascii="Times New Roman" w:eastAsia="Times New Roman" w:hAnsi="Times New Roman" w:cs="Times New Roman"/>
                <w:b/>
                <w:sz w:val="28"/>
              </w:rPr>
              <w:t xml:space="preserve">Component 3: </w:t>
            </w:r>
            <w:r>
              <w:rPr>
                <w:rFonts w:ascii="Times New Roman" w:eastAsia="Times New Roman" w:hAnsi="Times New Roman" w:cs="Times New Roman"/>
                <w:b/>
                <w:i/>
                <w:sz w:val="28"/>
              </w:rPr>
              <w:t>Student Self-Reflection</w:t>
            </w:r>
            <w:r>
              <w:rPr>
                <w:rFonts w:ascii="Times New Roman" w:eastAsia="Times New Roman" w:hAnsi="Times New Roman" w:cs="Times New Roman"/>
                <w:b/>
                <w:sz w:val="28"/>
              </w:rPr>
              <w:t xml:space="preserve"> (500 words +/- 10%) </w:t>
            </w:r>
          </w:p>
          <w:p w14:paraId="437E62D7" w14:textId="77777777" w:rsidR="0080154D" w:rsidRDefault="0051022C">
            <w:r>
              <w:rPr>
                <w:rFonts w:ascii="Times New Roman" w:eastAsia="Times New Roman" w:hAnsi="Times New Roman" w:cs="Times New Roman"/>
                <w:b/>
                <w:sz w:val="28"/>
              </w:rPr>
              <w:t xml:space="preserve"> </w:t>
            </w:r>
          </w:p>
          <w:p w14:paraId="62A29AC9" w14:textId="77777777" w:rsidR="0080154D" w:rsidRDefault="0051022C">
            <w:r>
              <w:rPr>
                <w:rFonts w:ascii="Times New Roman" w:eastAsia="Times New Roman" w:hAnsi="Times New Roman" w:cs="Times New Roman"/>
                <w:b/>
                <w:sz w:val="28"/>
              </w:rPr>
              <w:t xml:space="preserve">Weighting: 25% </w:t>
            </w:r>
          </w:p>
        </w:tc>
      </w:tr>
      <w:tr w:rsidR="0080154D" w14:paraId="222DBFB6" w14:textId="77777777">
        <w:trPr>
          <w:trHeight w:val="11400"/>
        </w:trPr>
        <w:tc>
          <w:tcPr>
            <w:tcW w:w="9017" w:type="dxa"/>
            <w:tcBorders>
              <w:top w:val="single" w:sz="4" w:space="0" w:color="000000"/>
              <w:left w:val="single" w:sz="4" w:space="0" w:color="000000"/>
              <w:bottom w:val="single" w:sz="4" w:space="0" w:color="000000"/>
              <w:right w:val="single" w:sz="4" w:space="0" w:color="000000"/>
            </w:tcBorders>
          </w:tcPr>
          <w:p w14:paraId="3F107EEC" w14:textId="77777777" w:rsidR="0080154D" w:rsidRDefault="0051022C">
            <w:pPr>
              <w:spacing w:after="157" w:line="257" w:lineRule="auto"/>
              <w:ind w:right="63"/>
              <w:jc w:val="both"/>
            </w:pPr>
            <w:r>
              <w:rPr>
                <w:rFonts w:ascii="Times New Roman" w:eastAsia="Times New Roman" w:hAnsi="Times New Roman" w:cs="Times New Roman"/>
                <w:sz w:val="24"/>
              </w:rPr>
              <w:t xml:space="preserve">The introduction highlights the key role that cultural awareness plays in the hospitality industry. It lays the foundation for a self-reflection voyage, using the Gibbs Reflective Cycle as the selected model. This </w:t>
            </w:r>
            <w:proofErr w:type="gramStart"/>
            <w:r>
              <w:rPr>
                <w:rFonts w:ascii="Times New Roman" w:eastAsia="Times New Roman" w:hAnsi="Times New Roman" w:cs="Times New Roman"/>
                <w:sz w:val="24"/>
              </w:rPr>
              <w:t>often used</w:t>
            </w:r>
            <w:proofErr w:type="gramEnd"/>
            <w:r>
              <w:rPr>
                <w:rFonts w:ascii="Times New Roman" w:eastAsia="Times New Roman" w:hAnsi="Times New Roman" w:cs="Times New Roman"/>
                <w:sz w:val="24"/>
              </w:rPr>
              <w:t xml:space="preserve"> model enables a systematic investigation of the experience, which makes it possible to </w:t>
            </w:r>
            <w:proofErr w:type="spellStart"/>
            <w:r>
              <w:rPr>
                <w:rFonts w:ascii="Times New Roman" w:eastAsia="Times New Roman" w:hAnsi="Times New Roman" w:cs="Times New Roman"/>
                <w:sz w:val="24"/>
              </w:rPr>
              <w:t>analyze</w:t>
            </w:r>
            <w:proofErr w:type="spellEnd"/>
            <w:r>
              <w:rPr>
                <w:rFonts w:ascii="Times New Roman" w:eastAsia="Times New Roman" w:hAnsi="Times New Roman" w:cs="Times New Roman"/>
                <w:sz w:val="24"/>
              </w:rPr>
              <w:t xml:space="preserve"> it in depth and to understand the role of cultural awareness in shaping perceptions amidst the dynamic and also diverse environment of the hospitality industry. </w:t>
            </w:r>
          </w:p>
          <w:p w14:paraId="76E1E8E4" w14:textId="77777777" w:rsidR="0080154D" w:rsidRDefault="0051022C">
            <w:r>
              <w:rPr>
                <w:rFonts w:ascii="Times New Roman" w:eastAsia="Times New Roman" w:hAnsi="Times New Roman" w:cs="Times New Roman"/>
                <w:b/>
                <w:i/>
                <w:sz w:val="24"/>
              </w:rPr>
              <w:t xml:space="preserve">Changing Perspectives Over Time </w:t>
            </w:r>
          </w:p>
          <w:p w14:paraId="53B065C4" w14:textId="77777777" w:rsidR="0080154D" w:rsidRDefault="0051022C">
            <w:pPr>
              <w:spacing w:after="157" w:line="257" w:lineRule="auto"/>
              <w:ind w:right="67"/>
              <w:jc w:val="both"/>
            </w:pPr>
            <w:r>
              <w:rPr>
                <w:rFonts w:ascii="Times New Roman" w:eastAsia="Times New Roman" w:hAnsi="Times New Roman" w:cs="Times New Roman"/>
                <w:sz w:val="24"/>
              </w:rPr>
              <w:t xml:space="preserve">First, my cultural awareness was based on superficial recognition. However, the observed situation led to a very profound change in the situation. Over time, my perception grew beyond the identification of the cultural differences to a much deeper understanding of their consequences. The situation became a magnifying glass through which I observed the depth of the diversity, prompting me to understand the essence of the cultural nuances. This transformative journey exposed the need for the ongoing learning, enhanced understanding of the various viewpoints, and emphasized the importance of cultural sensitivity in dealing with the numerous intricacies of the hospitality field. </w:t>
            </w:r>
          </w:p>
          <w:p w14:paraId="313D029F" w14:textId="77777777" w:rsidR="0080154D" w:rsidRDefault="0051022C">
            <w:r>
              <w:rPr>
                <w:rFonts w:ascii="Times New Roman" w:eastAsia="Times New Roman" w:hAnsi="Times New Roman" w:cs="Times New Roman"/>
                <w:b/>
                <w:i/>
                <w:sz w:val="24"/>
              </w:rPr>
              <w:t xml:space="preserve">Lesson Learned </w:t>
            </w:r>
          </w:p>
          <w:p w14:paraId="0C9A4F41" w14:textId="77777777" w:rsidR="0080154D" w:rsidRDefault="0051022C">
            <w:pPr>
              <w:spacing w:after="147" w:line="266" w:lineRule="auto"/>
              <w:ind w:right="64"/>
              <w:jc w:val="both"/>
            </w:pPr>
            <w:r>
              <w:rPr>
                <w:rFonts w:ascii="Times New Roman" w:eastAsia="Times New Roman" w:hAnsi="Times New Roman" w:cs="Times New Roman"/>
                <w:sz w:val="24"/>
              </w:rPr>
              <w:t xml:space="preserve">I have learned many useful practical lessons that surpass the theoretical knowledge with the help of cultural diversity. The need for subtle communication became very apparent while working with the guests from different social classes. For instance, the guest’s cultural norm influenced their dining requirement, which in turn has modified my kind of service. This incident underlined the fact that hospitality is not only limited to service standards; it necessitates a true understanding of personal needs (Baum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2007). On a professional level, these lessons have allowed me to shape my adaptability, which has made me a lot more culturally empathetic. It’s not only about meeting the standards; it is about building an environment that makes each guest feel respected and understood, which significantly influences not only personal development but also professional effectiveness (Cerović and Tomašević, 2006). </w:t>
            </w:r>
          </w:p>
          <w:p w14:paraId="16DF1AA7" w14:textId="77777777" w:rsidR="0080154D" w:rsidRDefault="0051022C">
            <w:r>
              <w:rPr>
                <w:rFonts w:ascii="Times New Roman" w:eastAsia="Times New Roman" w:hAnsi="Times New Roman" w:cs="Times New Roman"/>
                <w:b/>
                <w:i/>
                <w:sz w:val="24"/>
              </w:rPr>
              <w:t xml:space="preserve">Importance of Experience </w:t>
            </w:r>
          </w:p>
          <w:p w14:paraId="080E2853" w14:textId="77777777" w:rsidR="0080154D" w:rsidRDefault="0051022C">
            <w:pPr>
              <w:ind w:right="68"/>
              <w:jc w:val="both"/>
            </w:pPr>
            <w:r>
              <w:rPr>
                <w:rFonts w:ascii="Times New Roman" w:eastAsia="Times New Roman" w:hAnsi="Times New Roman" w:cs="Times New Roman"/>
                <w:sz w:val="24"/>
              </w:rPr>
              <w:t xml:space="preserve">The above cultural misinterpretation is of the utmost importance in defining my opinions, serving as a catalyst for deep self-reflection. It was a case in point whereby I was pushed beyond the surface awareness to a much deeper insight into the many different perspectives. In the hospitality sector where guest satisfaction is linked to cultural sensitivity, this transformative encounter became a pillar. It highlighted that cultural understanding, which is always evolving, is not only a personal quest but also a professional requirement. Such consciousness is very critical, it guarantees a smooth and enjoyable stay for the guest and </w:t>
            </w:r>
          </w:p>
        </w:tc>
      </w:tr>
    </w:tbl>
    <w:p w14:paraId="50206E80" w14:textId="77777777" w:rsidR="0080154D" w:rsidRDefault="0080154D">
      <w:pPr>
        <w:spacing w:after="0"/>
        <w:ind w:left="-1440"/>
      </w:pPr>
    </w:p>
    <w:tbl>
      <w:tblPr>
        <w:tblStyle w:val="TableGrid"/>
        <w:tblW w:w="9019" w:type="dxa"/>
        <w:tblInd w:w="6" w:type="dxa"/>
        <w:tblCellMar>
          <w:top w:w="21" w:type="dxa"/>
          <w:left w:w="110" w:type="dxa"/>
          <w:right w:w="45" w:type="dxa"/>
        </w:tblCellMar>
        <w:tblLook w:val="04A0" w:firstRow="1" w:lastRow="0" w:firstColumn="1" w:lastColumn="0" w:noHBand="0" w:noVBand="1"/>
      </w:tblPr>
      <w:tblGrid>
        <w:gridCol w:w="9019"/>
      </w:tblGrid>
      <w:tr w:rsidR="0080154D" w14:paraId="2F0D6F53" w14:textId="77777777">
        <w:trPr>
          <w:trHeight w:val="13759"/>
        </w:trPr>
        <w:tc>
          <w:tcPr>
            <w:tcW w:w="9019" w:type="dxa"/>
            <w:tcBorders>
              <w:top w:val="single" w:sz="4" w:space="0" w:color="000000"/>
              <w:left w:val="single" w:sz="4" w:space="0" w:color="000000"/>
              <w:bottom w:val="single" w:sz="4" w:space="0" w:color="000000"/>
              <w:right w:val="single" w:sz="4" w:space="0" w:color="000000"/>
            </w:tcBorders>
          </w:tcPr>
          <w:p w14:paraId="073C05FC" w14:textId="77777777" w:rsidR="0080154D" w:rsidRDefault="0051022C">
            <w:pPr>
              <w:spacing w:after="155"/>
              <w:jc w:val="both"/>
            </w:pPr>
            <w:r>
              <w:rPr>
                <w:rFonts w:ascii="Times New Roman" w:eastAsia="Times New Roman" w:hAnsi="Times New Roman" w:cs="Times New Roman"/>
                <w:sz w:val="24"/>
              </w:rPr>
              <w:lastRenderedPageBreak/>
              <w:t xml:space="preserve">also establishes the importance of cultural competence in the DNA of hospitality (Kim and McKercher, 2011). </w:t>
            </w:r>
          </w:p>
          <w:p w14:paraId="24BE5417" w14:textId="77777777" w:rsidR="0080154D" w:rsidRDefault="0051022C">
            <w:r>
              <w:rPr>
                <w:rFonts w:ascii="Times New Roman" w:eastAsia="Times New Roman" w:hAnsi="Times New Roman" w:cs="Times New Roman"/>
                <w:b/>
                <w:i/>
                <w:sz w:val="24"/>
              </w:rPr>
              <w:t xml:space="preserve">Conclusion </w:t>
            </w:r>
          </w:p>
          <w:p w14:paraId="34ACAB08" w14:textId="77777777" w:rsidR="0080154D" w:rsidRDefault="0051022C">
            <w:pPr>
              <w:spacing w:after="162" w:line="257" w:lineRule="auto"/>
              <w:ind w:right="62"/>
              <w:jc w:val="both"/>
            </w:pPr>
            <w:r>
              <w:rPr>
                <w:rFonts w:ascii="Times New Roman" w:eastAsia="Times New Roman" w:hAnsi="Times New Roman" w:cs="Times New Roman"/>
                <w:sz w:val="24"/>
              </w:rPr>
              <w:t xml:space="preserve">Finally, this cultural awareness journey has been very transformational. From the first few glimpses to the intricate understanding, it emphasized the complexity of cross-cultural relationships. The dedication to self-refinement is of the utmost importance, understanding that the development of cultural consciousness is a lifelong process that is essential for one’s personal and professional development. This journey is a constant reminder of the necessity to be very flexible and compassionate in the increasingly diverse world of hospitality and reaffirming my commitment to creating a culturally sensitive </w:t>
            </w:r>
            <w:proofErr w:type="gramStart"/>
            <w:r>
              <w:rPr>
                <w:rFonts w:ascii="Times New Roman" w:eastAsia="Times New Roman" w:hAnsi="Times New Roman" w:cs="Times New Roman"/>
                <w:sz w:val="24"/>
              </w:rPr>
              <w:t>and also</w:t>
            </w:r>
            <w:proofErr w:type="gramEnd"/>
            <w:r>
              <w:rPr>
                <w:rFonts w:ascii="Times New Roman" w:eastAsia="Times New Roman" w:hAnsi="Times New Roman" w:cs="Times New Roman"/>
                <w:sz w:val="24"/>
              </w:rPr>
              <w:t xml:space="preserve"> inclusive atmosphere. </w:t>
            </w:r>
          </w:p>
          <w:p w14:paraId="5F2A1FFB" w14:textId="77777777" w:rsidR="0080154D" w:rsidRDefault="0051022C">
            <w:pPr>
              <w:spacing w:after="178"/>
            </w:pPr>
            <w:r>
              <w:rPr>
                <w:rFonts w:ascii="Times New Roman" w:eastAsia="Times New Roman" w:hAnsi="Times New Roman" w:cs="Times New Roman"/>
                <w:b/>
                <w:sz w:val="24"/>
              </w:rPr>
              <w:t xml:space="preserve">References: </w:t>
            </w:r>
          </w:p>
          <w:p w14:paraId="6E19C45C" w14:textId="77777777" w:rsidR="0080154D" w:rsidRDefault="0051022C">
            <w:pPr>
              <w:spacing w:after="157"/>
            </w:pPr>
            <w:r>
              <w:rPr>
                <w:rFonts w:ascii="Times New Roman" w:eastAsia="Times New Roman" w:hAnsi="Times New Roman" w:cs="Times New Roman"/>
                <w:sz w:val="24"/>
              </w:rPr>
              <w:t xml:space="preserve">Baum, T.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(2007) ‘Cultural diversity in hospitality work’, </w:t>
            </w:r>
            <w:r>
              <w:rPr>
                <w:rFonts w:ascii="Times New Roman" w:eastAsia="Times New Roman" w:hAnsi="Times New Roman" w:cs="Times New Roman"/>
                <w:i/>
                <w:sz w:val="24"/>
              </w:rPr>
              <w:t>Cross Cultural Management: An International Journal</w:t>
            </w:r>
            <w:r>
              <w:rPr>
                <w:rFonts w:ascii="Times New Roman" w:eastAsia="Times New Roman" w:hAnsi="Times New Roman" w:cs="Times New Roman"/>
                <w:sz w:val="24"/>
              </w:rPr>
              <w:t xml:space="preserve">, 14(3), pp. 229–239. Available at: https://doi.org/10.1108/13527600710775775. </w:t>
            </w:r>
          </w:p>
          <w:p w14:paraId="6D8EF801" w14:textId="77777777" w:rsidR="0080154D" w:rsidRDefault="0051022C">
            <w:pPr>
              <w:spacing w:after="152" w:line="244" w:lineRule="auto"/>
            </w:pPr>
            <w:r>
              <w:rPr>
                <w:rFonts w:ascii="Times New Roman" w:eastAsia="Times New Roman" w:hAnsi="Times New Roman" w:cs="Times New Roman"/>
                <w:sz w:val="24"/>
              </w:rPr>
              <w:t xml:space="preserve">Kim, S.S. and McKercher, B. (2011) ‘The collective effect of national culture and tourist culture on tourist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w:t>
            </w:r>
            <w:r>
              <w:rPr>
                <w:rFonts w:ascii="Times New Roman" w:eastAsia="Times New Roman" w:hAnsi="Times New Roman" w:cs="Times New Roman"/>
                <w:i/>
                <w:sz w:val="24"/>
              </w:rPr>
              <w:t>Journal of Travel and Tourism Marketing</w:t>
            </w:r>
            <w:r>
              <w:rPr>
                <w:rFonts w:ascii="Times New Roman" w:eastAsia="Times New Roman" w:hAnsi="Times New Roman" w:cs="Times New Roman"/>
                <w:sz w:val="24"/>
              </w:rPr>
              <w:t xml:space="preserve">, 28(2), pp. 145–164. Available at: https://doi.org/10.1080/10548408.2011.545744. </w:t>
            </w:r>
          </w:p>
          <w:p w14:paraId="20CD1E80" w14:textId="77777777" w:rsidR="0080154D" w:rsidRDefault="0051022C">
            <w:pPr>
              <w:spacing w:after="156" w:line="245" w:lineRule="auto"/>
            </w:pPr>
            <w:r>
              <w:rPr>
                <w:rFonts w:ascii="Times New Roman" w:eastAsia="Times New Roman" w:hAnsi="Times New Roman" w:cs="Times New Roman"/>
                <w:sz w:val="24"/>
              </w:rPr>
              <w:t xml:space="preserve">Lee, T.J. (2015) ‘Implications of cultural differences for expatriate managers in the global hotel industry’, </w:t>
            </w:r>
            <w:r>
              <w:rPr>
                <w:rFonts w:ascii="Times New Roman" w:eastAsia="Times New Roman" w:hAnsi="Times New Roman" w:cs="Times New Roman"/>
                <w:i/>
                <w:sz w:val="24"/>
              </w:rPr>
              <w:t>Tourism Analysis</w:t>
            </w:r>
            <w:r>
              <w:rPr>
                <w:rFonts w:ascii="Times New Roman" w:eastAsia="Times New Roman" w:hAnsi="Times New Roman" w:cs="Times New Roman"/>
                <w:sz w:val="24"/>
              </w:rPr>
              <w:t xml:space="preserve">, 20(4), pp. 425–431. Available at: https://doi.org/10.3727/108354215X14400815080604. </w:t>
            </w:r>
          </w:p>
          <w:p w14:paraId="7817C9C5" w14:textId="77777777" w:rsidR="0080154D" w:rsidRDefault="0051022C">
            <w:r>
              <w:rPr>
                <w:rFonts w:ascii="Times New Roman" w:eastAsia="Times New Roman" w:hAnsi="Times New Roman" w:cs="Times New Roman"/>
                <w:sz w:val="24"/>
              </w:rPr>
              <w:t xml:space="preserve"> </w:t>
            </w:r>
          </w:p>
          <w:p w14:paraId="43A49063" w14:textId="77777777" w:rsidR="0080154D" w:rsidRDefault="0051022C">
            <w:pPr>
              <w:spacing w:after="155"/>
            </w:pPr>
            <w:r>
              <w:rPr>
                <w:rFonts w:ascii="Times New Roman" w:eastAsia="Times New Roman" w:hAnsi="Times New Roman" w:cs="Times New Roman"/>
                <w:sz w:val="24"/>
              </w:rPr>
              <w:t xml:space="preserve"> </w:t>
            </w:r>
          </w:p>
          <w:p w14:paraId="1B440FB1" w14:textId="77777777" w:rsidR="0080154D" w:rsidRDefault="0051022C">
            <w:r>
              <w:rPr>
                <w:rFonts w:ascii="Times New Roman" w:eastAsia="Times New Roman" w:hAnsi="Times New Roman" w:cs="Times New Roman"/>
                <w:sz w:val="24"/>
              </w:rPr>
              <w:t xml:space="preserve"> </w:t>
            </w:r>
          </w:p>
          <w:p w14:paraId="1D1AB818" w14:textId="77777777" w:rsidR="0080154D" w:rsidRDefault="0051022C">
            <w:pPr>
              <w:spacing w:after="155"/>
            </w:pPr>
            <w:r>
              <w:rPr>
                <w:rFonts w:ascii="Times New Roman" w:eastAsia="Times New Roman" w:hAnsi="Times New Roman" w:cs="Times New Roman"/>
                <w:sz w:val="24"/>
              </w:rPr>
              <w:t xml:space="preserve"> </w:t>
            </w:r>
          </w:p>
          <w:p w14:paraId="25152C70" w14:textId="77777777" w:rsidR="0080154D" w:rsidRDefault="0051022C">
            <w:r>
              <w:rPr>
                <w:rFonts w:ascii="Times New Roman" w:eastAsia="Times New Roman" w:hAnsi="Times New Roman" w:cs="Times New Roman"/>
                <w:sz w:val="24"/>
              </w:rPr>
              <w:t xml:space="preserve"> </w:t>
            </w:r>
          </w:p>
          <w:p w14:paraId="3856959C" w14:textId="77777777" w:rsidR="0080154D" w:rsidRDefault="0051022C">
            <w:pPr>
              <w:spacing w:after="155"/>
            </w:pPr>
            <w:r>
              <w:rPr>
                <w:rFonts w:ascii="Times New Roman" w:eastAsia="Times New Roman" w:hAnsi="Times New Roman" w:cs="Times New Roman"/>
                <w:sz w:val="24"/>
              </w:rPr>
              <w:t xml:space="preserve"> </w:t>
            </w:r>
          </w:p>
          <w:p w14:paraId="6CB6621A" w14:textId="77777777" w:rsidR="0080154D" w:rsidRDefault="0051022C">
            <w:r>
              <w:rPr>
                <w:rFonts w:ascii="Times New Roman" w:eastAsia="Times New Roman" w:hAnsi="Times New Roman" w:cs="Times New Roman"/>
                <w:sz w:val="24"/>
              </w:rPr>
              <w:t xml:space="preserve"> </w:t>
            </w:r>
          </w:p>
          <w:p w14:paraId="2BDE76E2" w14:textId="77777777" w:rsidR="0080154D" w:rsidRDefault="0051022C">
            <w:r>
              <w:rPr>
                <w:rFonts w:ascii="Times New Roman" w:eastAsia="Times New Roman" w:hAnsi="Times New Roman" w:cs="Times New Roman"/>
                <w:sz w:val="24"/>
              </w:rPr>
              <w:t xml:space="preserve"> </w:t>
            </w:r>
          </w:p>
          <w:p w14:paraId="10838443" w14:textId="77777777" w:rsidR="0080154D" w:rsidRDefault="0051022C">
            <w:pPr>
              <w:spacing w:after="155"/>
            </w:pPr>
            <w:r>
              <w:rPr>
                <w:rFonts w:ascii="Times New Roman" w:eastAsia="Times New Roman" w:hAnsi="Times New Roman" w:cs="Times New Roman"/>
                <w:sz w:val="24"/>
              </w:rPr>
              <w:t xml:space="preserve"> </w:t>
            </w:r>
          </w:p>
          <w:p w14:paraId="2075AEBF" w14:textId="77777777" w:rsidR="0080154D" w:rsidRDefault="0051022C">
            <w:r>
              <w:rPr>
                <w:rFonts w:ascii="Times New Roman" w:eastAsia="Times New Roman" w:hAnsi="Times New Roman" w:cs="Times New Roman"/>
                <w:sz w:val="24"/>
              </w:rPr>
              <w:t xml:space="preserve"> </w:t>
            </w:r>
          </w:p>
          <w:p w14:paraId="5DBD95E6" w14:textId="77777777" w:rsidR="0080154D" w:rsidRDefault="0051022C">
            <w:pPr>
              <w:spacing w:after="155"/>
            </w:pPr>
            <w:r>
              <w:rPr>
                <w:rFonts w:ascii="Times New Roman" w:eastAsia="Times New Roman" w:hAnsi="Times New Roman" w:cs="Times New Roman"/>
                <w:sz w:val="24"/>
              </w:rPr>
              <w:t xml:space="preserve"> </w:t>
            </w:r>
          </w:p>
          <w:p w14:paraId="4D2C8174" w14:textId="77777777" w:rsidR="0080154D" w:rsidRDefault="0051022C">
            <w:r>
              <w:rPr>
                <w:rFonts w:ascii="Times New Roman" w:eastAsia="Times New Roman" w:hAnsi="Times New Roman" w:cs="Times New Roman"/>
                <w:sz w:val="24"/>
              </w:rPr>
              <w:t xml:space="preserve"> </w:t>
            </w:r>
          </w:p>
          <w:p w14:paraId="3F6F245E" w14:textId="77777777" w:rsidR="0080154D" w:rsidRDefault="0051022C">
            <w:pPr>
              <w:spacing w:after="155"/>
            </w:pPr>
            <w:r>
              <w:rPr>
                <w:rFonts w:ascii="Times New Roman" w:eastAsia="Times New Roman" w:hAnsi="Times New Roman" w:cs="Times New Roman"/>
                <w:sz w:val="24"/>
              </w:rPr>
              <w:t xml:space="preserve"> </w:t>
            </w:r>
          </w:p>
          <w:p w14:paraId="25D31333" w14:textId="77777777" w:rsidR="0080154D" w:rsidRDefault="0051022C">
            <w:r>
              <w:rPr>
                <w:rFonts w:ascii="Times New Roman" w:eastAsia="Times New Roman" w:hAnsi="Times New Roman" w:cs="Times New Roman"/>
                <w:sz w:val="24"/>
              </w:rPr>
              <w:t xml:space="preserve"> </w:t>
            </w:r>
          </w:p>
          <w:p w14:paraId="2D945855" w14:textId="77777777" w:rsidR="0080154D" w:rsidRDefault="0051022C">
            <w:r>
              <w:rPr>
                <w:rFonts w:ascii="Times New Roman" w:eastAsia="Times New Roman" w:hAnsi="Times New Roman" w:cs="Times New Roman"/>
                <w:sz w:val="24"/>
              </w:rPr>
              <w:t xml:space="preserve"> </w:t>
            </w:r>
          </w:p>
        </w:tc>
      </w:tr>
    </w:tbl>
    <w:p w14:paraId="317490B4" w14:textId="77777777" w:rsidR="0080154D" w:rsidRDefault="0080154D">
      <w:pPr>
        <w:spacing w:after="0"/>
        <w:ind w:left="-1440" w:right="2"/>
      </w:pPr>
    </w:p>
    <w:tbl>
      <w:tblPr>
        <w:tblStyle w:val="TableGrid"/>
        <w:tblW w:w="9017" w:type="dxa"/>
        <w:tblInd w:w="7" w:type="dxa"/>
        <w:tblCellMar>
          <w:top w:w="7" w:type="dxa"/>
          <w:left w:w="106" w:type="dxa"/>
          <w:right w:w="8" w:type="dxa"/>
        </w:tblCellMar>
        <w:tblLook w:val="04A0" w:firstRow="1" w:lastRow="0" w:firstColumn="1" w:lastColumn="0" w:noHBand="0" w:noVBand="1"/>
      </w:tblPr>
      <w:tblGrid>
        <w:gridCol w:w="9018"/>
      </w:tblGrid>
      <w:tr w:rsidR="0080154D" w14:paraId="18915B4F" w14:textId="77777777">
        <w:trPr>
          <w:trHeight w:val="1847"/>
        </w:trPr>
        <w:tc>
          <w:tcPr>
            <w:tcW w:w="9017" w:type="dxa"/>
            <w:tcBorders>
              <w:top w:val="single" w:sz="4" w:space="0" w:color="000000"/>
              <w:left w:val="single" w:sz="4" w:space="0" w:color="000000"/>
              <w:bottom w:val="single" w:sz="4" w:space="0" w:color="000000"/>
              <w:right w:val="single" w:sz="4" w:space="0" w:color="000000"/>
            </w:tcBorders>
          </w:tcPr>
          <w:p w14:paraId="5FE02327" w14:textId="77777777" w:rsidR="0080154D" w:rsidRDefault="0051022C">
            <w:pPr>
              <w:ind w:left="3"/>
            </w:pPr>
            <w:r>
              <w:rPr>
                <w:rFonts w:ascii="Times New Roman" w:eastAsia="Times New Roman" w:hAnsi="Times New Roman" w:cs="Times New Roman"/>
                <w:sz w:val="24"/>
              </w:rPr>
              <w:t xml:space="preserve"> </w:t>
            </w:r>
          </w:p>
          <w:p w14:paraId="34B1803C" w14:textId="77777777" w:rsidR="0080154D" w:rsidRDefault="0051022C">
            <w:pPr>
              <w:ind w:left="3"/>
            </w:pPr>
            <w:r>
              <w:rPr>
                <w:rFonts w:ascii="Times New Roman" w:eastAsia="Times New Roman" w:hAnsi="Times New Roman" w:cs="Times New Roman"/>
                <w:sz w:val="24"/>
              </w:rPr>
              <w:t xml:space="preserve"> </w:t>
            </w:r>
          </w:p>
        </w:tc>
      </w:tr>
      <w:tr w:rsidR="0080154D" w14:paraId="27A29953" w14:textId="77777777">
        <w:trPr>
          <w:trHeight w:val="1848"/>
        </w:trPr>
        <w:tc>
          <w:tcPr>
            <w:tcW w:w="9017" w:type="dxa"/>
            <w:tcBorders>
              <w:top w:val="single" w:sz="4" w:space="0" w:color="000000"/>
              <w:left w:val="single" w:sz="4" w:space="0" w:color="000000"/>
              <w:bottom w:val="single" w:sz="4" w:space="0" w:color="000000"/>
              <w:right w:val="single" w:sz="4" w:space="0" w:color="000000"/>
            </w:tcBorders>
            <w:shd w:val="clear" w:color="auto" w:fill="EDEDED"/>
          </w:tcPr>
          <w:p w14:paraId="1B68B38D" w14:textId="77777777" w:rsidR="0080154D" w:rsidRDefault="0051022C">
            <w:pPr>
              <w:spacing w:after="155"/>
              <w:ind w:left="3"/>
            </w:pPr>
            <w:r>
              <w:rPr>
                <w:rFonts w:ascii="Times New Roman" w:eastAsia="Times New Roman" w:hAnsi="Times New Roman" w:cs="Times New Roman"/>
                <w:b/>
                <w:sz w:val="28"/>
              </w:rPr>
              <w:t xml:space="preserve"> </w:t>
            </w:r>
          </w:p>
          <w:p w14:paraId="1ABCF780" w14:textId="77777777" w:rsidR="0080154D" w:rsidRDefault="0051022C">
            <w:pPr>
              <w:ind w:left="3"/>
            </w:pPr>
            <w:r>
              <w:rPr>
                <w:rFonts w:ascii="Times New Roman" w:eastAsia="Times New Roman" w:hAnsi="Times New Roman" w:cs="Times New Roman"/>
                <w:b/>
                <w:sz w:val="28"/>
              </w:rPr>
              <w:t xml:space="preserve">Component 4: </w:t>
            </w:r>
            <w:r>
              <w:rPr>
                <w:rFonts w:ascii="Times New Roman" w:eastAsia="Times New Roman" w:hAnsi="Times New Roman" w:cs="Times New Roman"/>
                <w:b/>
                <w:i/>
                <w:sz w:val="28"/>
              </w:rPr>
              <w:t xml:space="preserve">Training Presentation </w:t>
            </w:r>
            <w:r>
              <w:rPr>
                <w:rFonts w:ascii="Times New Roman" w:eastAsia="Times New Roman" w:hAnsi="Times New Roman" w:cs="Times New Roman"/>
                <w:b/>
                <w:sz w:val="28"/>
              </w:rPr>
              <w:t xml:space="preserve">(6 Slides) </w:t>
            </w:r>
          </w:p>
          <w:p w14:paraId="5E6FA3B8" w14:textId="77777777" w:rsidR="0080154D" w:rsidRDefault="0051022C">
            <w:pPr>
              <w:ind w:left="3"/>
            </w:pPr>
            <w:r>
              <w:rPr>
                <w:rFonts w:ascii="Times New Roman" w:eastAsia="Times New Roman" w:hAnsi="Times New Roman" w:cs="Times New Roman"/>
                <w:b/>
                <w:sz w:val="28"/>
              </w:rPr>
              <w:t xml:space="preserve"> </w:t>
            </w:r>
          </w:p>
          <w:p w14:paraId="7BE8A8D9" w14:textId="77777777" w:rsidR="0080154D" w:rsidRDefault="0051022C">
            <w:pPr>
              <w:ind w:left="3"/>
            </w:pPr>
            <w:r>
              <w:rPr>
                <w:rFonts w:ascii="Times New Roman" w:eastAsia="Times New Roman" w:hAnsi="Times New Roman" w:cs="Times New Roman"/>
                <w:b/>
                <w:sz w:val="28"/>
              </w:rPr>
              <w:t xml:space="preserve">Weighting: 25% </w:t>
            </w:r>
          </w:p>
        </w:tc>
      </w:tr>
      <w:tr w:rsidR="0080154D" w14:paraId="026AA3E2" w14:textId="77777777">
        <w:trPr>
          <w:trHeight w:val="5278"/>
        </w:trPr>
        <w:tc>
          <w:tcPr>
            <w:tcW w:w="9017" w:type="dxa"/>
            <w:tcBorders>
              <w:top w:val="single" w:sz="4" w:space="0" w:color="000000"/>
              <w:left w:val="single" w:sz="4" w:space="0" w:color="000000"/>
              <w:bottom w:val="single" w:sz="4" w:space="0" w:color="000000"/>
              <w:right w:val="single" w:sz="4" w:space="0" w:color="000000"/>
            </w:tcBorders>
          </w:tcPr>
          <w:p w14:paraId="23E0CECF" w14:textId="77777777" w:rsidR="0080154D" w:rsidRDefault="0051022C">
            <w:r>
              <w:rPr>
                <w:noProof/>
              </w:rPr>
              <w:drawing>
                <wp:inline distT="0" distB="0" distL="0" distR="0" wp14:anchorId="72F1FF47" wp14:editId="48DB499E">
                  <wp:extent cx="5654040" cy="3224784"/>
                  <wp:effectExtent l="0" t="0" r="0" b="0"/>
                  <wp:docPr id="7752" name="Picture 7752"/>
                  <wp:cNvGraphicFramePr/>
                  <a:graphic xmlns:a="http://schemas.openxmlformats.org/drawingml/2006/main">
                    <a:graphicData uri="http://schemas.openxmlformats.org/drawingml/2006/picture">
                      <pic:pic xmlns:pic="http://schemas.openxmlformats.org/drawingml/2006/picture">
                        <pic:nvPicPr>
                          <pic:cNvPr id="7752" name="Picture 7752"/>
                          <pic:cNvPicPr/>
                        </pic:nvPicPr>
                        <pic:blipFill>
                          <a:blip r:embed="rId8"/>
                          <a:stretch>
                            <a:fillRect/>
                          </a:stretch>
                        </pic:blipFill>
                        <pic:spPr>
                          <a:xfrm>
                            <a:off x="0" y="0"/>
                            <a:ext cx="5654040" cy="3224784"/>
                          </a:xfrm>
                          <a:prstGeom prst="rect">
                            <a:avLst/>
                          </a:prstGeom>
                        </pic:spPr>
                      </pic:pic>
                    </a:graphicData>
                  </a:graphic>
                </wp:inline>
              </w:drawing>
            </w:r>
          </w:p>
        </w:tc>
      </w:tr>
    </w:tbl>
    <w:p w14:paraId="501DCFEB" w14:textId="77777777" w:rsidR="0080154D" w:rsidRDefault="0051022C">
      <w:pPr>
        <w:spacing w:after="0"/>
        <w:ind w:left="1" w:right="-5"/>
      </w:pPr>
      <w:r>
        <w:rPr>
          <w:noProof/>
        </w:rPr>
        <w:lastRenderedPageBreak/>
        <mc:AlternateContent>
          <mc:Choice Requires="wpg">
            <w:drawing>
              <wp:inline distT="0" distB="0" distL="0" distR="0" wp14:anchorId="1FA411EF" wp14:editId="7450C800">
                <wp:extent cx="5733479" cy="6704203"/>
                <wp:effectExtent l="0" t="0" r="0" b="0"/>
                <wp:docPr id="7246" name="Group 7246"/>
                <wp:cNvGraphicFramePr/>
                <a:graphic xmlns:a="http://schemas.openxmlformats.org/drawingml/2006/main">
                  <a:graphicData uri="http://schemas.microsoft.com/office/word/2010/wordprocessingGroup">
                    <wpg:wgp>
                      <wpg:cNvGrpSpPr/>
                      <wpg:grpSpPr>
                        <a:xfrm>
                          <a:off x="0" y="0"/>
                          <a:ext cx="5733479" cy="6704203"/>
                          <a:chOff x="0" y="0"/>
                          <a:chExt cx="5733479" cy="6704203"/>
                        </a:xfrm>
                      </wpg:grpSpPr>
                      <wps:wsp>
                        <wps:cNvPr id="8041" name="Shape 804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2" name="Shape 8042"/>
                        <wps:cNvSpPr/>
                        <wps:spPr>
                          <a:xfrm>
                            <a:off x="6350" y="0"/>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3" name="Shape 8043"/>
                        <wps:cNvSpPr/>
                        <wps:spPr>
                          <a:xfrm>
                            <a:off x="572712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4" name="Shape 8044"/>
                        <wps:cNvSpPr/>
                        <wps:spPr>
                          <a:xfrm>
                            <a:off x="0" y="6223"/>
                            <a:ext cx="9144" cy="3341116"/>
                          </a:xfrm>
                          <a:custGeom>
                            <a:avLst/>
                            <a:gdLst/>
                            <a:ahLst/>
                            <a:cxnLst/>
                            <a:rect l="0" t="0" r="0" b="0"/>
                            <a:pathLst>
                              <a:path w="9144" h="3341116">
                                <a:moveTo>
                                  <a:pt x="0" y="0"/>
                                </a:moveTo>
                                <a:lnTo>
                                  <a:pt x="9144" y="0"/>
                                </a:lnTo>
                                <a:lnTo>
                                  <a:pt x="9144" y="3341116"/>
                                </a:lnTo>
                                <a:lnTo>
                                  <a:pt x="0" y="3341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5" name="Shape 8045"/>
                        <wps:cNvSpPr/>
                        <wps:spPr>
                          <a:xfrm>
                            <a:off x="5727129" y="6223"/>
                            <a:ext cx="9144" cy="3341116"/>
                          </a:xfrm>
                          <a:custGeom>
                            <a:avLst/>
                            <a:gdLst/>
                            <a:ahLst/>
                            <a:cxnLst/>
                            <a:rect l="0" t="0" r="0" b="0"/>
                            <a:pathLst>
                              <a:path w="9144" h="3341116">
                                <a:moveTo>
                                  <a:pt x="0" y="0"/>
                                </a:moveTo>
                                <a:lnTo>
                                  <a:pt x="9144" y="0"/>
                                </a:lnTo>
                                <a:lnTo>
                                  <a:pt x="9144" y="3341116"/>
                                </a:lnTo>
                                <a:lnTo>
                                  <a:pt x="0" y="3341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6" name="Shape 8046"/>
                        <wps:cNvSpPr/>
                        <wps:spPr>
                          <a:xfrm>
                            <a:off x="0" y="334733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7" name="Shape 8047"/>
                        <wps:cNvSpPr/>
                        <wps:spPr>
                          <a:xfrm>
                            <a:off x="6350" y="3347339"/>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8" name="Shape 8048"/>
                        <wps:cNvSpPr/>
                        <wps:spPr>
                          <a:xfrm>
                            <a:off x="5727129" y="334733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49" name="Shape 8049"/>
                        <wps:cNvSpPr/>
                        <wps:spPr>
                          <a:xfrm>
                            <a:off x="0" y="3353688"/>
                            <a:ext cx="9144" cy="3344164"/>
                          </a:xfrm>
                          <a:custGeom>
                            <a:avLst/>
                            <a:gdLst/>
                            <a:ahLst/>
                            <a:cxnLst/>
                            <a:rect l="0" t="0" r="0" b="0"/>
                            <a:pathLst>
                              <a:path w="9144" h="3344164">
                                <a:moveTo>
                                  <a:pt x="0" y="0"/>
                                </a:moveTo>
                                <a:lnTo>
                                  <a:pt x="9144" y="0"/>
                                </a:lnTo>
                                <a:lnTo>
                                  <a:pt x="9144" y="3344164"/>
                                </a:lnTo>
                                <a:lnTo>
                                  <a:pt x="0" y="33441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50" name="Shape 8050"/>
                        <wps:cNvSpPr/>
                        <wps:spPr>
                          <a:xfrm>
                            <a:off x="0" y="66978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51" name="Shape 8051"/>
                        <wps:cNvSpPr/>
                        <wps:spPr>
                          <a:xfrm>
                            <a:off x="6350" y="6697853"/>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52" name="Shape 8052"/>
                        <wps:cNvSpPr/>
                        <wps:spPr>
                          <a:xfrm>
                            <a:off x="5727129" y="3353688"/>
                            <a:ext cx="9144" cy="3344164"/>
                          </a:xfrm>
                          <a:custGeom>
                            <a:avLst/>
                            <a:gdLst/>
                            <a:ahLst/>
                            <a:cxnLst/>
                            <a:rect l="0" t="0" r="0" b="0"/>
                            <a:pathLst>
                              <a:path w="9144" h="3344164">
                                <a:moveTo>
                                  <a:pt x="0" y="0"/>
                                </a:moveTo>
                                <a:lnTo>
                                  <a:pt x="9144" y="0"/>
                                </a:lnTo>
                                <a:lnTo>
                                  <a:pt x="9144" y="3344164"/>
                                </a:lnTo>
                                <a:lnTo>
                                  <a:pt x="0" y="33441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53" name="Shape 8053"/>
                        <wps:cNvSpPr/>
                        <wps:spPr>
                          <a:xfrm>
                            <a:off x="5727129" y="66978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756" name="Picture 7756"/>
                          <pic:cNvPicPr/>
                        </pic:nvPicPr>
                        <pic:blipFill>
                          <a:blip r:embed="rId9"/>
                          <a:stretch>
                            <a:fillRect/>
                          </a:stretch>
                        </pic:blipFill>
                        <pic:spPr>
                          <a:xfrm>
                            <a:off x="68771" y="1651"/>
                            <a:ext cx="5654040" cy="3227832"/>
                          </a:xfrm>
                          <a:prstGeom prst="rect">
                            <a:avLst/>
                          </a:prstGeom>
                        </pic:spPr>
                      </pic:pic>
                      <pic:pic xmlns:pic="http://schemas.openxmlformats.org/drawingml/2006/picture">
                        <pic:nvPicPr>
                          <pic:cNvPr id="7757" name="Picture 7757"/>
                          <pic:cNvPicPr/>
                        </pic:nvPicPr>
                        <pic:blipFill>
                          <a:blip r:embed="rId10"/>
                          <a:stretch>
                            <a:fillRect/>
                          </a:stretch>
                        </pic:blipFill>
                        <pic:spPr>
                          <a:xfrm>
                            <a:off x="68771" y="3351403"/>
                            <a:ext cx="5654040" cy="3227832"/>
                          </a:xfrm>
                          <a:prstGeom prst="rect">
                            <a:avLst/>
                          </a:prstGeom>
                        </pic:spPr>
                      </pic:pic>
                    </wpg:wgp>
                  </a:graphicData>
                </a:graphic>
              </wp:inline>
            </w:drawing>
          </mc:Choice>
          <mc:Fallback xmlns:a="http://schemas.openxmlformats.org/drawingml/2006/main">
            <w:pict>
              <v:group id="Group 7246" style="width:451.455pt;height:527.89pt;mso-position-horizontal-relative:char;mso-position-vertical-relative:line" coordsize="57334,67042">
                <v:shape id="Shape 8054" style="position:absolute;width:91;height:91;left:0;top:0;" coordsize="9144,9144" path="m0,0l9144,0l9144,9144l0,9144l0,0">
                  <v:stroke weight="0pt" endcap="flat" joinstyle="miter" miterlimit="10" on="false" color="#000000" opacity="0"/>
                  <v:fill on="true" color="#000000"/>
                </v:shape>
                <v:shape id="Shape 8055" style="position:absolute;width:57207;height:91;left:63;top:0;" coordsize="5720716,9144" path="m0,0l5720716,0l5720716,9144l0,9144l0,0">
                  <v:stroke weight="0pt" endcap="flat" joinstyle="miter" miterlimit="10" on="false" color="#000000" opacity="0"/>
                  <v:fill on="true" color="#000000"/>
                </v:shape>
                <v:shape id="Shape 8056" style="position:absolute;width:91;height:91;left:57271;top:0;" coordsize="9144,9144" path="m0,0l9144,0l9144,9144l0,9144l0,0">
                  <v:stroke weight="0pt" endcap="flat" joinstyle="miter" miterlimit="10" on="false" color="#000000" opacity="0"/>
                  <v:fill on="true" color="#000000"/>
                </v:shape>
                <v:shape id="Shape 8057" style="position:absolute;width:91;height:33411;left:0;top:62;" coordsize="9144,3341116" path="m0,0l9144,0l9144,3341116l0,3341116l0,0">
                  <v:stroke weight="0pt" endcap="flat" joinstyle="miter" miterlimit="10" on="false" color="#000000" opacity="0"/>
                  <v:fill on="true" color="#000000"/>
                </v:shape>
                <v:shape id="Shape 8058" style="position:absolute;width:91;height:33411;left:57271;top:62;" coordsize="9144,3341116" path="m0,0l9144,0l9144,3341116l0,3341116l0,0">
                  <v:stroke weight="0pt" endcap="flat" joinstyle="miter" miterlimit="10" on="false" color="#000000" opacity="0"/>
                  <v:fill on="true" color="#000000"/>
                </v:shape>
                <v:shape id="Shape 8059" style="position:absolute;width:91;height:91;left:0;top:33473;" coordsize="9144,9144" path="m0,0l9144,0l9144,9144l0,9144l0,0">
                  <v:stroke weight="0pt" endcap="flat" joinstyle="miter" miterlimit="10" on="false" color="#000000" opacity="0"/>
                  <v:fill on="true" color="#000000"/>
                </v:shape>
                <v:shape id="Shape 8060" style="position:absolute;width:57207;height:91;left:63;top:33473;" coordsize="5720716,9144" path="m0,0l5720716,0l5720716,9144l0,9144l0,0">
                  <v:stroke weight="0pt" endcap="flat" joinstyle="miter" miterlimit="10" on="false" color="#000000" opacity="0"/>
                  <v:fill on="true" color="#000000"/>
                </v:shape>
                <v:shape id="Shape 8061" style="position:absolute;width:91;height:91;left:57271;top:33473;" coordsize="9144,9144" path="m0,0l9144,0l9144,9144l0,9144l0,0">
                  <v:stroke weight="0pt" endcap="flat" joinstyle="miter" miterlimit="10" on="false" color="#000000" opacity="0"/>
                  <v:fill on="true" color="#000000"/>
                </v:shape>
                <v:shape id="Shape 8062" style="position:absolute;width:91;height:33441;left:0;top:33536;" coordsize="9144,3344164" path="m0,0l9144,0l9144,3344164l0,3344164l0,0">
                  <v:stroke weight="0pt" endcap="flat" joinstyle="miter" miterlimit="10" on="false" color="#000000" opacity="0"/>
                  <v:fill on="true" color="#000000"/>
                </v:shape>
                <v:shape id="Shape 8063" style="position:absolute;width:91;height:91;left:0;top:66978;" coordsize="9144,9144" path="m0,0l9144,0l9144,9144l0,9144l0,0">
                  <v:stroke weight="0pt" endcap="flat" joinstyle="miter" miterlimit="10" on="false" color="#000000" opacity="0"/>
                  <v:fill on="true" color="#000000"/>
                </v:shape>
                <v:shape id="Shape 8064" style="position:absolute;width:57207;height:91;left:63;top:66978;" coordsize="5720716,9144" path="m0,0l5720716,0l5720716,9144l0,9144l0,0">
                  <v:stroke weight="0pt" endcap="flat" joinstyle="miter" miterlimit="10" on="false" color="#000000" opacity="0"/>
                  <v:fill on="true" color="#000000"/>
                </v:shape>
                <v:shape id="Shape 8065" style="position:absolute;width:91;height:33441;left:57271;top:33536;" coordsize="9144,3344164" path="m0,0l9144,0l9144,3344164l0,3344164l0,0">
                  <v:stroke weight="0pt" endcap="flat" joinstyle="miter" miterlimit="10" on="false" color="#000000" opacity="0"/>
                  <v:fill on="true" color="#000000"/>
                </v:shape>
                <v:shape id="Shape 8066" style="position:absolute;width:91;height:91;left:57271;top:66978;" coordsize="9144,9144" path="m0,0l9144,0l9144,9144l0,9144l0,0">
                  <v:stroke weight="0pt" endcap="flat" joinstyle="miter" miterlimit="10" on="false" color="#000000" opacity="0"/>
                  <v:fill on="true" color="#000000"/>
                </v:shape>
                <v:shape id="Picture 7756" style="position:absolute;width:56540;height:32278;left:687;top:16;" filled="f">
                  <v:imagedata r:id="rId11"/>
                </v:shape>
                <v:shape id="Picture 7757" style="position:absolute;width:56540;height:32278;left:687;top:33514;" filled="f">
                  <v:imagedata r:id="rId12"/>
                </v:shape>
              </v:group>
            </w:pict>
          </mc:Fallback>
        </mc:AlternateContent>
      </w:r>
    </w:p>
    <w:p w14:paraId="22BE5AC5" w14:textId="77777777" w:rsidR="0080154D" w:rsidRDefault="0051022C">
      <w:pPr>
        <w:spacing w:after="0"/>
        <w:ind w:left="1" w:right="-5"/>
      </w:pPr>
      <w:r>
        <w:rPr>
          <w:noProof/>
        </w:rPr>
        <w:lastRenderedPageBreak/>
        <mc:AlternateContent>
          <mc:Choice Requires="wpg">
            <w:drawing>
              <wp:inline distT="0" distB="0" distL="0" distR="0" wp14:anchorId="5A15A175" wp14:editId="0ADFF048">
                <wp:extent cx="5733479" cy="6704203"/>
                <wp:effectExtent l="0" t="0" r="0" b="0"/>
                <wp:docPr id="7167" name="Group 7167"/>
                <wp:cNvGraphicFramePr/>
                <a:graphic xmlns:a="http://schemas.openxmlformats.org/drawingml/2006/main">
                  <a:graphicData uri="http://schemas.microsoft.com/office/word/2010/wordprocessingGroup">
                    <wpg:wgp>
                      <wpg:cNvGrpSpPr/>
                      <wpg:grpSpPr>
                        <a:xfrm>
                          <a:off x="0" y="0"/>
                          <a:ext cx="5733479" cy="6704203"/>
                          <a:chOff x="0" y="0"/>
                          <a:chExt cx="5733479" cy="6704203"/>
                        </a:xfrm>
                      </wpg:grpSpPr>
                      <wps:wsp>
                        <wps:cNvPr id="8067" name="Shape 8067"/>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68" name="Shape 8068"/>
                        <wps:cNvSpPr/>
                        <wps:spPr>
                          <a:xfrm>
                            <a:off x="6350" y="0"/>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69" name="Shape 8069"/>
                        <wps:cNvSpPr/>
                        <wps:spPr>
                          <a:xfrm>
                            <a:off x="572712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0" name="Shape 8070"/>
                        <wps:cNvSpPr/>
                        <wps:spPr>
                          <a:xfrm>
                            <a:off x="0" y="6223"/>
                            <a:ext cx="9144" cy="3341116"/>
                          </a:xfrm>
                          <a:custGeom>
                            <a:avLst/>
                            <a:gdLst/>
                            <a:ahLst/>
                            <a:cxnLst/>
                            <a:rect l="0" t="0" r="0" b="0"/>
                            <a:pathLst>
                              <a:path w="9144" h="3341116">
                                <a:moveTo>
                                  <a:pt x="0" y="0"/>
                                </a:moveTo>
                                <a:lnTo>
                                  <a:pt x="9144" y="0"/>
                                </a:lnTo>
                                <a:lnTo>
                                  <a:pt x="9144" y="3341116"/>
                                </a:lnTo>
                                <a:lnTo>
                                  <a:pt x="0" y="3341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1" name="Shape 8071"/>
                        <wps:cNvSpPr/>
                        <wps:spPr>
                          <a:xfrm>
                            <a:off x="5727129" y="6223"/>
                            <a:ext cx="9144" cy="3341116"/>
                          </a:xfrm>
                          <a:custGeom>
                            <a:avLst/>
                            <a:gdLst/>
                            <a:ahLst/>
                            <a:cxnLst/>
                            <a:rect l="0" t="0" r="0" b="0"/>
                            <a:pathLst>
                              <a:path w="9144" h="3341116">
                                <a:moveTo>
                                  <a:pt x="0" y="0"/>
                                </a:moveTo>
                                <a:lnTo>
                                  <a:pt x="9144" y="0"/>
                                </a:lnTo>
                                <a:lnTo>
                                  <a:pt x="9144" y="3341116"/>
                                </a:lnTo>
                                <a:lnTo>
                                  <a:pt x="0" y="3341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2" name="Shape 8072"/>
                        <wps:cNvSpPr/>
                        <wps:spPr>
                          <a:xfrm>
                            <a:off x="0" y="334733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3" name="Shape 8073"/>
                        <wps:cNvSpPr/>
                        <wps:spPr>
                          <a:xfrm>
                            <a:off x="6350" y="3347339"/>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4" name="Shape 8074"/>
                        <wps:cNvSpPr/>
                        <wps:spPr>
                          <a:xfrm>
                            <a:off x="5727129" y="334733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5" name="Shape 8075"/>
                        <wps:cNvSpPr/>
                        <wps:spPr>
                          <a:xfrm>
                            <a:off x="0" y="3353688"/>
                            <a:ext cx="9144" cy="3344164"/>
                          </a:xfrm>
                          <a:custGeom>
                            <a:avLst/>
                            <a:gdLst/>
                            <a:ahLst/>
                            <a:cxnLst/>
                            <a:rect l="0" t="0" r="0" b="0"/>
                            <a:pathLst>
                              <a:path w="9144" h="3344164">
                                <a:moveTo>
                                  <a:pt x="0" y="0"/>
                                </a:moveTo>
                                <a:lnTo>
                                  <a:pt x="9144" y="0"/>
                                </a:lnTo>
                                <a:lnTo>
                                  <a:pt x="9144" y="3344164"/>
                                </a:lnTo>
                                <a:lnTo>
                                  <a:pt x="0" y="33441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6" name="Shape 8076"/>
                        <wps:cNvSpPr/>
                        <wps:spPr>
                          <a:xfrm>
                            <a:off x="0" y="66978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7" name="Shape 8077"/>
                        <wps:cNvSpPr/>
                        <wps:spPr>
                          <a:xfrm>
                            <a:off x="6350" y="6697853"/>
                            <a:ext cx="5720716" cy="9144"/>
                          </a:xfrm>
                          <a:custGeom>
                            <a:avLst/>
                            <a:gdLst/>
                            <a:ahLst/>
                            <a:cxnLst/>
                            <a:rect l="0" t="0" r="0" b="0"/>
                            <a:pathLst>
                              <a:path w="5720716" h="9144">
                                <a:moveTo>
                                  <a:pt x="0" y="0"/>
                                </a:moveTo>
                                <a:lnTo>
                                  <a:pt x="5720716" y="0"/>
                                </a:lnTo>
                                <a:lnTo>
                                  <a:pt x="57207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8" name="Shape 8078"/>
                        <wps:cNvSpPr/>
                        <wps:spPr>
                          <a:xfrm>
                            <a:off x="5727129" y="3353688"/>
                            <a:ext cx="9144" cy="3344164"/>
                          </a:xfrm>
                          <a:custGeom>
                            <a:avLst/>
                            <a:gdLst/>
                            <a:ahLst/>
                            <a:cxnLst/>
                            <a:rect l="0" t="0" r="0" b="0"/>
                            <a:pathLst>
                              <a:path w="9144" h="3344164">
                                <a:moveTo>
                                  <a:pt x="0" y="0"/>
                                </a:moveTo>
                                <a:lnTo>
                                  <a:pt x="9144" y="0"/>
                                </a:lnTo>
                                <a:lnTo>
                                  <a:pt x="9144" y="3344164"/>
                                </a:lnTo>
                                <a:lnTo>
                                  <a:pt x="0" y="33441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79" name="Shape 8079"/>
                        <wps:cNvSpPr/>
                        <wps:spPr>
                          <a:xfrm>
                            <a:off x="5727129" y="66978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761" name="Picture 7761"/>
                          <pic:cNvPicPr/>
                        </pic:nvPicPr>
                        <pic:blipFill>
                          <a:blip r:embed="rId13"/>
                          <a:stretch>
                            <a:fillRect/>
                          </a:stretch>
                        </pic:blipFill>
                        <pic:spPr>
                          <a:xfrm>
                            <a:off x="68771" y="1651"/>
                            <a:ext cx="5654040" cy="3227832"/>
                          </a:xfrm>
                          <a:prstGeom prst="rect">
                            <a:avLst/>
                          </a:prstGeom>
                        </pic:spPr>
                      </pic:pic>
                      <pic:pic xmlns:pic="http://schemas.openxmlformats.org/drawingml/2006/picture">
                        <pic:nvPicPr>
                          <pic:cNvPr id="7762" name="Picture 7762"/>
                          <pic:cNvPicPr/>
                        </pic:nvPicPr>
                        <pic:blipFill>
                          <a:blip r:embed="rId14"/>
                          <a:stretch>
                            <a:fillRect/>
                          </a:stretch>
                        </pic:blipFill>
                        <pic:spPr>
                          <a:xfrm>
                            <a:off x="68771" y="3351403"/>
                            <a:ext cx="5654040" cy="3227832"/>
                          </a:xfrm>
                          <a:prstGeom prst="rect">
                            <a:avLst/>
                          </a:prstGeom>
                        </pic:spPr>
                      </pic:pic>
                    </wpg:wgp>
                  </a:graphicData>
                </a:graphic>
              </wp:inline>
            </w:drawing>
          </mc:Choice>
          <mc:Fallback xmlns:a="http://schemas.openxmlformats.org/drawingml/2006/main">
            <w:pict>
              <v:group id="Group 7167" style="width:451.455pt;height:527.89pt;mso-position-horizontal-relative:char;mso-position-vertical-relative:line" coordsize="57334,67042">
                <v:shape id="Shape 8080" style="position:absolute;width:91;height:91;left:0;top:0;" coordsize="9144,9144" path="m0,0l9144,0l9144,9144l0,9144l0,0">
                  <v:stroke weight="0pt" endcap="flat" joinstyle="miter" miterlimit="10" on="false" color="#000000" opacity="0"/>
                  <v:fill on="true" color="#000000"/>
                </v:shape>
                <v:shape id="Shape 8081" style="position:absolute;width:57207;height:91;left:63;top:0;" coordsize="5720716,9144" path="m0,0l5720716,0l5720716,9144l0,9144l0,0">
                  <v:stroke weight="0pt" endcap="flat" joinstyle="miter" miterlimit="10" on="false" color="#000000" opacity="0"/>
                  <v:fill on="true" color="#000000"/>
                </v:shape>
                <v:shape id="Shape 8082" style="position:absolute;width:91;height:91;left:57271;top:0;" coordsize="9144,9144" path="m0,0l9144,0l9144,9144l0,9144l0,0">
                  <v:stroke weight="0pt" endcap="flat" joinstyle="miter" miterlimit="10" on="false" color="#000000" opacity="0"/>
                  <v:fill on="true" color="#000000"/>
                </v:shape>
                <v:shape id="Shape 8083" style="position:absolute;width:91;height:33411;left:0;top:62;" coordsize="9144,3341116" path="m0,0l9144,0l9144,3341116l0,3341116l0,0">
                  <v:stroke weight="0pt" endcap="flat" joinstyle="miter" miterlimit="10" on="false" color="#000000" opacity="0"/>
                  <v:fill on="true" color="#000000"/>
                </v:shape>
                <v:shape id="Shape 8084" style="position:absolute;width:91;height:33411;left:57271;top:62;" coordsize="9144,3341116" path="m0,0l9144,0l9144,3341116l0,3341116l0,0">
                  <v:stroke weight="0pt" endcap="flat" joinstyle="miter" miterlimit="10" on="false" color="#000000" opacity="0"/>
                  <v:fill on="true" color="#000000"/>
                </v:shape>
                <v:shape id="Shape 8085" style="position:absolute;width:91;height:91;left:0;top:33473;" coordsize="9144,9144" path="m0,0l9144,0l9144,9144l0,9144l0,0">
                  <v:stroke weight="0pt" endcap="flat" joinstyle="miter" miterlimit="10" on="false" color="#000000" opacity="0"/>
                  <v:fill on="true" color="#000000"/>
                </v:shape>
                <v:shape id="Shape 8086" style="position:absolute;width:57207;height:91;left:63;top:33473;" coordsize="5720716,9144" path="m0,0l5720716,0l5720716,9144l0,9144l0,0">
                  <v:stroke weight="0pt" endcap="flat" joinstyle="miter" miterlimit="10" on="false" color="#000000" opacity="0"/>
                  <v:fill on="true" color="#000000"/>
                </v:shape>
                <v:shape id="Shape 8087" style="position:absolute;width:91;height:91;left:57271;top:33473;" coordsize="9144,9144" path="m0,0l9144,0l9144,9144l0,9144l0,0">
                  <v:stroke weight="0pt" endcap="flat" joinstyle="miter" miterlimit="10" on="false" color="#000000" opacity="0"/>
                  <v:fill on="true" color="#000000"/>
                </v:shape>
                <v:shape id="Shape 8088" style="position:absolute;width:91;height:33441;left:0;top:33536;" coordsize="9144,3344164" path="m0,0l9144,0l9144,3344164l0,3344164l0,0">
                  <v:stroke weight="0pt" endcap="flat" joinstyle="miter" miterlimit="10" on="false" color="#000000" opacity="0"/>
                  <v:fill on="true" color="#000000"/>
                </v:shape>
                <v:shape id="Shape 8089" style="position:absolute;width:91;height:91;left:0;top:66978;" coordsize="9144,9144" path="m0,0l9144,0l9144,9144l0,9144l0,0">
                  <v:stroke weight="0pt" endcap="flat" joinstyle="miter" miterlimit="10" on="false" color="#000000" opacity="0"/>
                  <v:fill on="true" color="#000000"/>
                </v:shape>
                <v:shape id="Shape 8090" style="position:absolute;width:57207;height:91;left:63;top:66978;" coordsize="5720716,9144" path="m0,0l5720716,0l5720716,9144l0,9144l0,0">
                  <v:stroke weight="0pt" endcap="flat" joinstyle="miter" miterlimit="10" on="false" color="#000000" opacity="0"/>
                  <v:fill on="true" color="#000000"/>
                </v:shape>
                <v:shape id="Shape 8091" style="position:absolute;width:91;height:33441;left:57271;top:33536;" coordsize="9144,3344164" path="m0,0l9144,0l9144,3344164l0,3344164l0,0">
                  <v:stroke weight="0pt" endcap="flat" joinstyle="miter" miterlimit="10" on="false" color="#000000" opacity="0"/>
                  <v:fill on="true" color="#000000"/>
                </v:shape>
                <v:shape id="Shape 8092" style="position:absolute;width:91;height:91;left:57271;top:66978;" coordsize="9144,9144" path="m0,0l9144,0l9144,9144l0,9144l0,0">
                  <v:stroke weight="0pt" endcap="flat" joinstyle="miter" miterlimit="10" on="false" color="#000000" opacity="0"/>
                  <v:fill on="true" color="#000000"/>
                </v:shape>
                <v:shape id="Picture 7761" style="position:absolute;width:56540;height:32278;left:687;top:16;" filled="f">
                  <v:imagedata r:id="rId15"/>
                </v:shape>
                <v:shape id="Picture 7762" style="position:absolute;width:56540;height:32278;left:687;top:33514;" filled="f">
                  <v:imagedata r:id="rId16"/>
                </v:shape>
              </v:group>
            </w:pict>
          </mc:Fallback>
        </mc:AlternateContent>
      </w:r>
    </w:p>
    <w:p w14:paraId="7BACED5D" w14:textId="77777777" w:rsidR="0080154D" w:rsidRDefault="0080154D">
      <w:pPr>
        <w:spacing w:after="0"/>
        <w:ind w:left="-1440" w:right="10"/>
      </w:pPr>
    </w:p>
    <w:tbl>
      <w:tblPr>
        <w:tblStyle w:val="TableGrid"/>
        <w:tblW w:w="9009" w:type="dxa"/>
        <w:tblInd w:w="6" w:type="dxa"/>
        <w:tblCellMar>
          <w:top w:w="4" w:type="dxa"/>
          <w:left w:w="108" w:type="dxa"/>
          <w:right w:w="10" w:type="dxa"/>
        </w:tblCellMar>
        <w:tblLook w:val="04A0" w:firstRow="1" w:lastRow="0" w:firstColumn="1" w:lastColumn="0" w:noHBand="0" w:noVBand="1"/>
      </w:tblPr>
      <w:tblGrid>
        <w:gridCol w:w="9009"/>
      </w:tblGrid>
      <w:tr w:rsidR="0080154D" w14:paraId="08DC0A33" w14:textId="77777777" w:rsidTr="004C4E3F">
        <w:trPr>
          <w:trHeight w:val="4683"/>
        </w:trPr>
        <w:tc>
          <w:tcPr>
            <w:tcW w:w="9009" w:type="dxa"/>
            <w:tcBorders>
              <w:top w:val="single" w:sz="4" w:space="0" w:color="000000"/>
              <w:left w:val="single" w:sz="4" w:space="0" w:color="000000"/>
              <w:bottom w:val="single" w:sz="4" w:space="0" w:color="000000"/>
              <w:right w:val="single" w:sz="4" w:space="0" w:color="000000"/>
            </w:tcBorders>
          </w:tcPr>
          <w:p w14:paraId="341AF2A9" w14:textId="77777777" w:rsidR="0080154D" w:rsidRDefault="0051022C">
            <w:r>
              <w:rPr>
                <w:noProof/>
              </w:rPr>
              <w:lastRenderedPageBreak/>
              <w:drawing>
                <wp:inline distT="0" distB="0" distL="0" distR="0" wp14:anchorId="4C11A76A" wp14:editId="5C505C42">
                  <wp:extent cx="5654040" cy="3227832"/>
                  <wp:effectExtent l="0" t="0" r="0" b="0"/>
                  <wp:docPr id="7766" name="Picture 7766"/>
                  <wp:cNvGraphicFramePr/>
                  <a:graphic xmlns:a="http://schemas.openxmlformats.org/drawingml/2006/main">
                    <a:graphicData uri="http://schemas.openxmlformats.org/drawingml/2006/picture">
                      <pic:pic xmlns:pic="http://schemas.openxmlformats.org/drawingml/2006/picture">
                        <pic:nvPicPr>
                          <pic:cNvPr id="7766" name="Picture 7766"/>
                          <pic:cNvPicPr/>
                        </pic:nvPicPr>
                        <pic:blipFill>
                          <a:blip r:embed="rId17"/>
                          <a:stretch>
                            <a:fillRect/>
                          </a:stretch>
                        </pic:blipFill>
                        <pic:spPr>
                          <a:xfrm>
                            <a:off x="0" y="0"/>
                            <a:ext cx="5654040" cy="3227832"/>
                          </a:xfrm>
                          <a:prstGeom prst="rect">
                            <a:avLst/>
                          </a:prstGeom>
                        </pic:spPr>
                      </pic:pic>
                    </a:graphicData>
                  </a:graphic>
                </wp:inline>
              </w:drawing>
            </w:r>
          </w:p>
        </w:tc>
      </w:tr>
      <w:tr w:rsidR="0080154D" w14:paraId="2D42574F" w14:textId="77777777" w:rsidTr="004C4E3F">
        <w:trPr>
          <w:trHeight w:val="7558"/>
        </w:trPr>
        <w:tc>
          <w:tcPr>
            <w:tcW w:w="9009" w:type="dxa"/>
            <w:tcBorders>
              <w:top w:val="single" w:sz="4" w:space="0" w:color="000000"/>
              <w:left w:val="single" w:sz="4" w:space="0" w:color="000000"/>
              <w:bottom w:val="single" w:sz="4" w:space="0" w:color="000000"/>
              <w:right w:val="single" w:sz="4" w:space="0" w:color="000000"/>
            </w:tcBorders>
          </w:tcPr>
          <w:p w14:paraId="7C8000F8" w14:textId="77777777" w:rsidR="0080154D" w:rsidRDefault="0051022C">
            <w:pPr>
              <w:spacing w:after="162"/>
              <w:ind w:left="3"/>
            </w:pPr>
            <w:r>
              <w:rPr>
                <w:rFonts w:ascii="Times New Roman" w:eastAsia="Times New Roman" w:hAnsi="Times New Roman" w:cs="Times New Roman"/>
                <w:b/>
                <w:sz w:val="28"/>
              </w:rPr>
              <w:t xml:space="preserve">References: </w:t>
            </w:r>
          </w:p>
          <w:p w14:paraId="55B21E02" w14:textId="77777777" w:rsidR="0080154D" w:rsidRDefault="0051022C">
            <w:pPr>
              <w:spacing w:after="155" w:line="246" w:lineRule="auto"/>
              <w:ind w:left="3" w:right="101"/>
              <w:jc w:val="both"/>
            </w:pPr>
            <w:r>
              <w:rPr>
                <w:rFonts w:ascii="Times New Roman" w:eastAsia="Times New Roman" w:hAnsi="Times New Roman" w:cs="Times New Roman"/>
                <w:sz w:val="24"/>
              </w:rPr>
              <w:t xml:space="preserve">de Carlos, P.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(2019) ‘Cultural differences, language attitudes and tourist satisfaction: a study in the Barcelona hotel sector’, </w:t>
            </w:r>
            <w:r>
              <w:rPr>
                <w:rFonts w:ascii="Times New Roman" w:eastAsia="Times New Roman" w:hAnsi="Times New Roman" w:cs="Times New Roman"/>
                <w:i/>
                <w:sz w:val="24"/>
              </w:rPr>
              <w:t>Journal of Multilingual and Multicultural Development</w:t>
            </w:r>
            <w:r>
              <w:rPr>
                <w:rFonts w:ascii="Times New Roman" w:eastAsia="Times New Roman" w:hAnsi="Times New Roman" w:cs="Times New Roman"/>
                <w:sz w:val="24"/>
              </w:rPr>
              <w:t xml:space="preserve">, 40(2), pp. 133–147. Available at: https://doi.org/10.1080/01434632.2018.1493114. </w:t>
            </w:r>
          </w:p>
          <w:p w14:paraId="2D360C91" w14:textId="77777777" w:rsidR="0080154D" w:rsidRDefault="0051022C">
            <w:pPr>
              <w:spacing w:after="9"/>
              <w:ind w:left="3"/>
            </w:pPr>
            <w:r>
              <w:rPr>
                <w:rFonts w:ascii="Times New Roman" w:eastAsia="Times New Roman" w:hAnsi="Times New Roman" w:cs="Times New Roman"/>
                <w:sz w:val="24"/>
              </w:rPr>
              <w:t xml:space="preserve">Mariani, M.M., Borghi, M. and Kazakov, S. (2019) ‘The role of language in the online </w:t>
            </w:r>
          </w:p>
          <w:p w14:paraId="0D8CE85A" w14:textId="77777777" w:rsidR="0080154D" w:rsidRDefault="0051022C">
            <w:pPr>
              <w:spacing w:line="238" w:lineRule="auto"/>
              <w:ind w:left="3" w:right="101"/>
              <w:jc w:val="both"/>
            </w:pPr>
            <w:r>
              <w:rPr>
                <w:rFonts w:ascii="Times New Roman" w:eastAsia="Times New Roman" w:hAnsi="Times New Roman" w:cs="Times New Roman"/>
                <w:sz w:val="24"/>
              </w:rPr>
              <w:t xml:space="preserve">evaluation of hospitality service encounters: An empirical study’, </w:t>
            </w:r>
            <w:r>
              <w:rPr>
                <w:rFonts w:ascii="Times New Roman" w:eastAsia="Times New Roman" w:hAnsi="Times New Roman" w:cs="Times New Roman"/>
                <w:i/>
                <w:sz w:val="24"/>
              </w:rPr>
              <w:t>International Journal of Hospitality Management</w:t>
            </w:r>
            <w:r>
              <w:rPr>
                <w:rFonts w:ascii="Times New Roman" w:eastAsia="Times New Roman" w:hAnsi="Times New Roman" w:cs="Times New Roman"/>
                <w:sz w:val="24"/>
              </w:rPr>
              <w:t xml:space="preserve">, 78(June 2018), pp. 50–58. Available at: https://doi.org/10.1016/j.ijhm.2018.11.012. </w:t>
            </w:r>
          </w:p>
          <w:p w14:paraId="71BA77B8" w14:textId="77777777" w:rsidR="0080154D" w:rsidRDefault="0051022C">
            <w:pPr>
              <w:spacing w:after="155" w:line="242" w:lineRule="auto"/>
              <w:ind w:left="3"/>
              <w:jc w:val="both"/>
            </w:pPr>
            <w:r>
              <w:rPr>
                <w:rFonts w:ascii="Times New Roman" w:eastAsia="Times New Roman" w:hAnsi="Times New Roman" w:cs="Times New Roman"/>
                <w:sz w:val="24"/>
              </w:rPr>
              <w:t xml:space="preserve">Martin, A. and Davies, S. (2006) ‘An evaluation of the language skills in Scottish hotels’, </w:t>
            </w:r>
            <w:r>
              <w:rPr>
                <w:rFonts w:ascii="Times New Roman" w:eastAsia="Times New Roman" w:hAnsi="Times New Roman" w:cs="Times New Roman"/>
                <w:i/>
                <w:sz w:val="24"/>
              </w:rPr>
              <w:t>Journal of Hospitality, Leisure, Sport &amp; Tourism Education</w:t>
            </w:r>
            <w:r>
              <w:rPr>
                <w:rFonts w:ascii="Times New Roman" w:eastAsia="Times New Roman" w:hAnsi="Times New Roman" w:cs="Times New Roman"/>
                <w:sz w:val="24"/>
              </w:rPr>
              <w:t xml:space="preserve">, 5(1). </w:t>
            </w:r>
          </w:p>
          <w:p w14:paraId="198FC26F" w14:textId="77777777" w:rsidR="0080154D" w:rsidRDefault="0051022C">
            <w:pPr>
              <w:spacing w:after="158" w:line="239" w:lineRule="auto"/>
              <w:ind w:left="3" w:right="101"/>
              <w:jc w:val="both"/>
            </w:pPr>
            <w:r>
              <w:rPr>
                <w:rFonts w:ascii="Times New Roman" w:eastAsia="Times New Roman" w:hAnsi="Times New Roman" w:cs="Times New Roman"/>
                <w:sz w:val="24"/>
              </w:rPr>
              <w:t xml:space="preserve">Tamburelli, M. (2014) ‘Uncovering the “hidden” multilingualism of Europe: An Italian case study’, </w:t>
            </w:r>
            <w:r>
              <w:rPr>
                <w:rFonts w:ascii="Times New Roman" w:eastAsia="Times New Roman" w:hAnsi="Times New Roman" w:cs="Times New Roman"/>
                <w:i/>
                <w:sz w:val="24"/>
              </w:rPr>
              <w:t>Journal of Multilingual and Multicultural Development</w:t>
            </w:r>
            <w:r>
              <w:rPr>
                <w:rFonts w:ascii="Times New Roman" w:eastAsia="Times New Roman" w:hAnsi="Times New Roman" w:cs="Times New Roman"/>
                <w:sz w:val="24"/>
              </w:rPr>
              <w:t xml:space="preserve">, 35(3), pp. 252–270. Available at: https://doi.org/10.1080/01434632.2013.860149. </w:t>
            </w:r>
          </w:p>
          <w:p w14:paraId="3B22E814" w14:textId="77777777" w:rsidR="0080154D" w:rsidRDefault="0051022C">
            <w:pPr>
              <w:spacing w:after="184" w:line="247" w:lineRule="auto"/>
              <w:ind w:left="3" w:right="101"/>
              <w:jc w:val="both"/>
            </w:pPr>
            <w:r>
              <w:rPr>
                <w:rFonts w:ascii="Times New Roman" w:eastAsia="Times New Roman" w:hAnsi="Times New Roman" w:cs="Times New Roman"/>
                <w:sz w:val="24"/>
              </w:rPr>
              <w:t xml:space="preserve">Yang, H., Cheung, C. and Li, W. (2022) ‘Intercultural Communication Competency Practices in the Hotel Industry’, </w:t>
            </w:r>
            <w:r>
              <w:rPr>
                <w:rFonts w:ascii="Times New Roman" w:eastAsia="Times New Roman" w:hAnsi="Times New Roman" w:cs="Times New Roman"/>
                <w:i/>
                <w:sz w:val="24"/>
              </w:rPr>
              <w:t>Journal of China Tourism Research</w:t>
            </w:r>
            <w:r>
              <w:rPr>
                <w:rFonts w:ascii="Times New Roman" w:eastAsia="Times New Roman" w:hAnsi="Times New Roman" w:cs="Times New Roman"/>
                <w:sz w:val="24"/>
              </w:rPr>
              <w:t xml:space="preserve">, 18(1), pp. 162–184. Available at: https://doi.org/10.1080/19388160.2020.1807432. </w:t>
            </w:r>
          </w:p>
          <w:p w14:paraId="452E133E" w14:textId="77777777" w:rsidR="0080154D" w:rsidRDefault="0051022C">
            <w:pPr>
              <w:spacing w:after="155"/>
              <w:ind w:left="3"/>
            </w:pPr>
            <w:r>
              <w:rPr>
                <w:rFonts w:ascii="Times New Roman" w:eastAsia="Times New Roman" w:hAnsi="Times New Roman" w:cs="Times New Roman"/>
                <w:b/>
                <w:sz w:val="28"/>
              </w:rPr>
              <w:t xml:space="preserve"> </w:t>
            </w:r>
          </w:p>
          <w:p w14:paraId="13A51269" w14:textId="77777777" w:rsidR="0080154D" w:rsidRDefault="0051022C">
            <w:pPr>
              <w:ind w:left="3"/>
            </w:pPr>
            <w:r>
              <w:rPr>
                <w:rFonts w:ascii="Times New Roman" w:eastAsia="Times New Roman" w:hAnsi="Times New Roman" w:cs="Times New Roman"/>
                <w:b/>
                <w:sz w:val="28"/>
              </w:rPr>
              <w:t xml:space="preserve"> </w:t>
            </w:r>
          </w:p>
          <w:p w14:paraId="3EBFF44D" w14:textId="77777777" w:rsidR="0080154D" w:rsidRDefault="0051022C">
            <w:pPr>
              <w:spacing w:after="155"/>
              <w:ind w:left="3"/>
            </w:pPr>
            <w:r>
              <w:rPr>
                <w:rFonts w:ascii="Times New Roman" w:eastAsia="Times New Roman" w:hAnsi="Times New Roman" w:cs="Times New Roman"/>
                <w:b/>
                <w:sz w:val="28"/>
              </w:rPr>
              <w:t xml:space="preserve"> </w:t>
            </w:r>
          </w:p>
          <w:p w14:paraId="650C039D" w14:textId="77777777" w:rsidR="0080154D" w:rsidRDefault="0051022C">
            <w:pPr>
              <w:ind w:left="3"/>
            </w:pPr>
            <w:r>
              <w:rPr>
                <w:rFonts w:ascii="Times New Roman" w:eastAsia="Times New Roman" w:hAnsi="Times New Roman" w:cs="Times New Roman"/>
                <w:b/>
                <w:sz w:val="28"/>
              </w:rPr>
              <w:t xml:space="preserve"> </w:t>
            </w:r>
          </w:p>
          <w:p w14:paraId="18F38F7B" w14:textId="77777777" w:rsidR="0080154D" w:rsidRDefault="0051022C">
            <w:pPr>
              <w:spacing w:after="155"/>
              <w:ind w:left="3"/>
            </w:pPr>
            <w:r>
              <w:rPr>
                <w:rFonts w:ascii="Times New Roman" w:eastAsia="Times New Roman" w:hAnsi="Times New Roman" w:cs="Times New Roman"/>
                <w:b/>
                <w:sz w:val="28"/>
              </w:rPr>
              <w:t xml:space="preserve"> </w:t>
            </w:r>
          </w:p>
          <w:p w14:paraId="52D4154F" w14:textId="77777777" w:rsidR="0080154D" w:rsidRDefault="0051022C">
            <w:pPr>
              <w:ind w:left="3"/>
            </w:pPr>
            <w:r>
              <w:rPr>
                <w:rFonts w:ascii="Times New Roman" w:eastAsia="Times New Roman" w:hAnsi="Times New Roman" w:cs="Times New Roman"/>
                <w:b/>
                <w:sz w:val="28"/>
              </w:rPr>
              <w:t xml:space="preserve"> </w:t>
            </w:r>
          </w:p>
        </w:tc>
      </w:tr>
    </w:tbl>
    <w:p w14:paraId="18FE8F8E" w14:textId="77777777" w:rsidR="0080154D" w:rsidRDefault="0051022C">
      <w:pPr>
        <w:spacing w:after="0"/>
        <w:ind w:left="1"/>
        <w:jc w:val="both"/>
      </w:pPr>
      <w:r>
        <w:rPr>
          <w:rFonts w:ascii="Times New Roman" w:eastAsia="Times New Roman" w:hAnsi="Times New Roman" w:cs="Times New Roman"/>
          <w:sz w:val="24"/>
        </w:rPr>
        <w:t xml:space="preserve"> </w:t>
      </w:r>
    </w:p>
    <w:sectPr w:rsidR="0080154D">
      <w:footerReference w:type="even" r:id="rId18"/>
      <w:footerReference w:type="default" r:id="rId19"/>
      <w:footerReference w:type="first" r:id="rId20"/>
      <w:pgSz w:w="11905" w:h="16840"/>
      <w:pgMar w:top="1440" w:right="1440" w:bottom="1440" w:left="1440"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155DB" w14:textId="77777777" w:rsidR="00583C67" w:rsidRDefault="00583C67">
      <w:pPr>
        <w:spacing w:after="0" w:line="240" w:lineRule="auto"/>
      </w:pPr>
      <w:r>
        <w:separator/>
      </w:r>
    </w:p>
  </w:endnote>
  <w:endnote w:type="continuationSeparator" w:id="0">
    <w:p w14:paraId="0FAEA0A2" w14:textId="77777777" w:rsidR="00583C67" w:rsidRDefault="00583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E36F3" w14:textId="77777777" w:rsidR="0080154D" w:rsidRDefault="0051022C">
    <w:pPr>
      <w:spacing w:after="0"/>
      <w:ind w:right="60"/>
      <w:jc w:val="right"/>
    </w:pPr>
    <w:r>
      <w:rPr>
        <w:noProof/>
      </w:rPr>
      <mc:AlternateContent>
        <mc:Choice Requires="wpg">
          <w:drawing>
            <wp:anchor distT="0" distB="0" distL="114300" distR="114300" simplePos="0" relativeHeight="251658240" behindDoc="0" locked="0" layoutInCell="1" allowOverlap="1" wp14:anchorId="7C9CE291" wp14:editId="29ACCF8F">
              <wp:simplePos x="0" y="0"/>
              <wp:positionH relativeFrom="page">
                <wp:posOffset>895668</wp:posOffset>
              </wp:positionH>
              <wp:positionV relativeFrom="page">
                <wp:posOffset>9877107</wp:posOffset>
              </wp:positionV>
              <wp:extent cx="5771516" cy="6350"/>
              <wp:effectExtent l="0" t="0" r="0" b="0"/>
              <wp:wrapSquare wrapText="bothSides"/>
              <wp:docPr id="7811" name="Group 781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8097" name="Shape 8097"/>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7811" style="width:454.45pt;height:0.5pt;position:absolute;mso-position-horizontal-relative:page;mso-position-horizontal:absolute;margin-left:70.525pt;mso-position-vertical-relative:page;margin-top:777.725pt;" coordsize="57715,63">
              <v:shape id="Shape 8098"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F7F7F"/>
        <w:sz w:val="24"/>
      </w:rPr>
      <w:t>P a g e</w:t>
    </w:r>
    <w:r>
      <w:rPr>
        <w:rFonts w:ascii="Times New Roman" w:eastAsia="Times New Roman" w:hAnsi="Times New Roman" w:cs="Times New Roman"/>
        <w:sz w:val="24"/>
      </w:rPr>
      <w:t xml:space="preserve"> </w:t>
    </w:r>
  </w:p>
  <w:p w14:paraId="017EF17B" w14:textId="77777777" w:rsidR="0080154D" w:rsidRDefault="0051022C">
    <w:pPr>
      <w:spacing w:after="0"/>
      <w:ind w:left="1"/>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90804" w14:textId="77777777" w:rsidR="0080154D" w:rsidRDefault="0051022C">
    <w:pPr>
      <w:spacing w:after="0"/>
      <w:ind w:right="60"/>
      <w:jc w:val="right"/>
    </w:pPr>
    <w:r>
      <w:rPr>
        <w:noProof/>
      </w:rPr>
      <mc:AlternateContent>
        <mc:Choice Requires="wpg">
          <w:drawing>
            <wp:anchor distT="0" distB="0" distL="114300" distR="114300" simplePos="0" relativeHeight="251659264" behindDoc="0" locked="0" layoutInCell="1" allowOverlap="1" wp14:anchorId="65A37697" wp14:editId="4B09704C">
              <wp:simplePos x="0" y="0"/>
              <wp:positionH relativeFrom="page">
                <wp:posOffset>895668</wp:posOffset>
              </wp:positionH>
              <wp:positionV relativeFrom="page">
                <wp:posOffset>9877107</wp:posOffset>
              </wp:positionV>
              <wp:extent cx="5771516" cy="6350"/>
              <wp:effectExtent l="0" t="0" r="0" b="0"/>
              <wp:wrapSquare wrapText="bothSides"/>
              <wp:docPr id="7796" name="Group 7796"/>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8095" name="Shape 8095"/>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7796" style="width:454.45pt;height:0.5pt;position:absolute;mso-position-horizontal-relative:page;mso-position-horizontal:absolute;margin-left:70.525pt;mso-position-vertical-relative:page;margin-top:777.725pt;" coordsize="57715,63">
              <v:shape id="Shape 8096"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F7F7F"/>
        <w:sz w:val="24"/>
      </w:rPr>
      <w:t>P a g e</w:t>
    </w:r>
    <w:r>
      <w:rPr>
        <w:rFonts w:ascii="Times New Roman" w:eastAsia="Times New Roman" w:hAnsi="Times New Roman" w:cs="Times New Roman"/>
        <w:sz w:val="24"/>
      </w:rPr>
      <w:t xml:space="preserve"> </w:t>
    </w:r>
  </w:p>
  <w:p w14:paraId="69255B4A" w14:textId="77777777" w:rsidR="0080154D" w:rsidRDefault="0051022C">
    <w:pPr>
      <w:spacing w:after="0"/>
      <w:ind w:left="1"/>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499C4" w14:textId="77777777" w:rsidR="0080154D" w:rsidRDefault="0051022C">
    <w:pPr>
      <w:spacing w:after="0"/>
      <w:ind w:right="60"/>
      <w:jc w:val="right"/>
    </w:pPr>
    <w:r>
      <w:rPr>
        <w:noProof/>
      </w:rPr>
      <mc:AlternateContent>
        <mc:Choice Requires="wpg">
          <w:drawing>
            <wp:anchor distT="0" distB="0" distL="114300" distR="114300" simplePos="0" relativeHeight="251660288" behindDoc="0" locked="0" layoutInCell="1" allowOverlap="1" wp14:anchorId="4425ED99" wp14:editId="7E18E630">
              <wp:simplePos x="0" y="0"/>
              <wp:positionH relativeFrom="page">
                <wp:posOffset>895668</wp:posOffset>
              </wp:positionH>
              <wp:positionV relativeFrom="page">
                <wp:posOffset>9877107</wp:posOffset>
              </wp:positionV>
              <wp:extent cx="5771516" cy="6350"/>
              <wp:effectExtent l="0" t="0" r="0" b="0"/>
              <wp:wrapSquare wrapText="bothSides"/>
              <wp:docPr id="7781" name="Group 778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8093" name="Shape 8093"/>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7781" style="width:454.45pt;height:0.5pt;position:absolute;mso-position-horizontal-relative:page;mso-position-horizontal:absolute;margin-left:70.525pt;mso-position-vertical-relative:page;margin-top:777.725pt;" coordsize="57715,63">
              <v:shape id="Shape 8094"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F7F7F"/>
        <w:sz w:val="24"/>
      </w:rPr>
      <w:t>P a g e</w:t>
    </w:r>
    <w:r>
      <w:rPr>
        <w:rFonts w:ascii="Times New Roman" w:eastAsia="Times New Roman" w:hAnsi="Times New Roman" w:cs="Times New Roman"/>
        <w:sz w:val="24"/>
      </w:rPr>
      <w:t xml:space="preserve"> </w:t>
    </w:r>
  </w:p>
  <w:p w14:paraId="560B9C10" w14:textId="77777777" w:rsidR="0080154D" w:rsidRDefault="0051022C">
    <w:pPr>
      <w:spacing w:after="0"/>
      <w:ind w:left="1"/>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3A01E" w14:textId="77777777" w:rsidR="00583C67" w:rsidRDefault="00583C67">
      <w:pPr>
        <w:spacing w:after="0" w:line="240" w:lineRule="auto"/>
      </w:pPr>
      <w:r>
        <w:separator/>
      </w:r>
    </w:p>
  </w:footnote>
  <w:footnote w:type="continuationSeparator" w:id="0">
    <w:p w14:paraId="43A7FF95" w14:textId="77777777" w:rsidR="00583C67" w:rsidRDefault="00583C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54D"/>
    <w:rsid w:val="00184503"/>
    <w:rsid w:val="004C4E3F"/>
    <w:rsid w:val="0051022C"/>
    <w:rsid w:val="00583C67"/>
    <w:rsid w:val="00681D91"/>
    <w:rsid w:val="0080154D"/>
    <w:rsid w:val="008B5881"/>
    <w:rsid w:val="00C061F1"/>
    <w:rsid w:val="00D65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E5753"/>
  <w15:docId w15:val="{3E9F7FC2-996E-4084-BD63-CF616708A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0.jpg"/><Relationship Id="rId12" Type="http://schemas.openxmlformats.org/officeDocument/2006/relationships/image" Target="media/image9.png"/><Relationship Id="rId17"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8.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cp:lastModifiedBy>Madalin Liviu Noada</cp:lastModifiedBy>
  <cp:revision>7</cp:revision>
  <dcterms:created xsi:type="dcterms:W3CDTF">2024-01-30T10:49:00Z</dcterms:created>
  <dcterms:modified xsi:type="dcterms:W3CDTF">2024-02-06T09:58:00Z</dcterms:modified>
</cp:coreProperties>
</file>