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004952" w14:textId="3F560074" w:rsidR="001E58E5" w:rsidRPr="008D57B9" w:rsidRDefault="0073147F" w:rsidP="008D57B9">
      <w:pPr>
        <w:spacing w:line="276" w:lineRule="auto"/>
        <w:rPr>
          <w:rFonts w:ascii="Arial" w:hAnsi="Arial" w:cs="Arial"/>
        </w:rPr>
      </w:pPr>
      <w:r w:rsidRPr="008D57B9">
        <w:rPr>
          <w:rFonts w:ascii="Arial" w:hAnsi="Arial" w:cs="Arial"/>
          <w:noProof/>
          <w:lang w:val="en-US"/>
        </w:rPr>
        <w:drawing>
          <wp:inline distT="0" distB="0" distL="0" distR="0" wp14:anchorId="038089A1" wp14:editId="5554F7A8">
            <wp:extent cx="6088380" cy="9119870"/>
            <wp:effectExtent l="0" t="0" r="7620" b="5080"/>
            <wp:docPr id="91858800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31399" cy="9184309"/>
                    </a:xfrm>
                    <a:prstGeom prst="rect">
                      <a:avLst/>
                    </a:prstGeom>
                    <a:noFill/>
                    <a:ln>
                      <a:noFill/>
                    </a:ln>
                  </pic:spPr>
                </pic:pic>
              </a:graphicData>
            </a:graphic>
          </wp:inline>
        </w:drawing>
      </w:r>
    </w:p>
    <w:p w14:paraId="27115F02" w14:textId="77777777" w:rsidR="00713000" w:rsidRPr="008D57B9" w:rsidRDefault="00713000" w:rsidP="008D57B9">
      <w:pPr>
        <w:spacing w:line="276" w:lineRule="auto"/>
        <w:jc w:val="both"/>
        <w:rPr>
          <w:rFonts w:ascii="Arial" w:hAnsi="Arial" w:cs="Arial"/>
          <w:b/>
          <w:bCs/>
        </w:rPr>
      </w:pPr>
    </w:p>
    <w:p w14:paraId="6B87706B" w14:textId="322DEE07" w:rsidR="006E4214" w:rsidRPr="008D57B9" w:rsidRDefault="006E4214" w:rsidP="008D57B9">
      <w:pPr>
        <w:spacing w:line="276" w:lineRule="auto"/>
        <w:jc w:val="both"/>
        <w:rPr>
          <w:rFonts w:ascii="Arial" w:hAnsi="Arial" w:cs="Arial"/>
          <w:b/>
          <w:bCs/>
        </w:rPr>
      </w:pPr>
      <w:r w:rsidRPr="008D57B9">
        <w:rPr>
          <w:rFonts w:ascii="Arial" w:hAnsi="Arial" w:cs="Arial"/>
          <w:b/>
          <w:bCs/>
        </w:rPr>
        <w:t>Part B: Critical Reflection Using Gibbs’ Reflective Cycle</w:t>
      </w:r>
    </w:p>
    <w:p w14:paraId="45F09C60" w14:textId="77777777" w:rsidR="006E4214" w:rsidRPr="008D57B9" w:rsidRDefault="006E4214" w:rsidP="008D57B9">
      <w:pPr>
        <w:spacing w:line="276" w:lineRule="auto"/>
        <w:jc w:val="both"/>
        <w:rPr>
          <w:rFonts w:ascii="Arial" w:hAnsi="Arial" w:cs="Arial"/>
        </w:rPr>
      </w:pPr>
      <w:r w:rsidRPr="008D57B9">
        <w:rPr>
          <w:rFonts w:ascii="Arial" w:hAnsi="Arial" w:cs="Arial"/>
          <w:b/>
          <w:bCs/>
        </w:rPr>
        <w:t>Description</w:t>
      </w:r>
    </w:p>
    <w:p w14:paraId="3AABF11B" w14:textId="36D801D3" w:rsidR="006E4214" w:rsidRPr="008D57B9" w:rsidRDefault="006E4214" w:rsidP="008D57B9">
      <w:pPr>
        <w:spacing w:line="276" w:lineRule="auto"/>
        <w:jc w:val="both"/>
        <w:rPr>
          <w:rFonts w:ascii="Arial" w:hAnsi="Arial" w:cs="Arial"/>
        </w:rPr>
      </w:pPr>
      <w:r w:rsidRPr="008D57B9">
        <w:rPr>
          <w:rFonts w:ascii="Arial" w:hAnsi="Arial" w:cs="Arial"/>
        </w:rPr>
        <w:tab/>
        <w:t xml:space="preserve">I used Gibbs’ six-stage reflective cycle to structure this reflection: description, feelings, evaluation, analysis, conclusion and action plan (University of Edinburgh, 2024). I presented my poster, “Sustainable Redesign of the Central Transport Hub for Net-Zero Objectives,” to my tutor and classmates. It included a Quad Chart, stakeholder mapping, </w:t>
      </w:r>
      <w:r w:rsidR="00B60100">
        <w:rPr>
          <w:rFonts w:ascii="Arial" w:hAnsi="Arial" w:cs="Arial"/>
        </w:rPr>
        <w:t xml:space="preserve">a Gantt Chart, a Work Breakdown Structure, a RACI Matrix, a Project Triangle, and a </w:t>
      </w:r>
      <w:r w:rsidRPr="008D57B9">
        <w:rPr>
          <w:rFonts w:ascii="Arial" w:hAnsi="Arial" w:cs="Arial"/>
        </w:rPr>
        <w:t>risk assessment. The aim was to explain my project and receive feedback. Afterwards, my teacher emailed me and recommended changing the Quad Chart. A friend also told me that I forgot to say my name at the beginning. This feedback showed that the poster content was generally good, but specific improvements were needed.</w:t>
      </w:r>
    </w:p>
    <w:p w14:paraId="714D77AA" w14:textId="60EAC378" w:rsidR="006E4214" w:rsidRPr="008D57B9" w:rsidRDefault="006E4214" w:rsidP="008D57B9">
      <w:pPr>
        <w:spacing w:line="276" w:lineRule="auto"/>
        <w:jc w:val="both"/>
        <w:rPr>
          <w:rFonts w:ascii="Arial" w:hAnsi="Arial" w:cs="Arial"/>
        </w:rPr>
      </w:pPr>
      <w:r w:rsidRPr="008D57B9">
        <w:rPr>
          <w:rFonts w:ascii="Arial" w:hAnsi="Arial" w:cs="Arial"/>
          <w:b/>
          <w:bCs/>
        </w:rPr>
        <w:t>Feelings</w:t>
      </w:r>
    </w:p>
    <w:p w14:paraId="43F4B350" w14:textId="2959CD41" w:rsidR="006E4214" w:rsidRPr="008D57B9" w:rsidRDefault="00DD1C2F" w:rsidP="008D57B9">
      <w:pPr>
        <w:spacing w:line="276" w:lineRule="auto"/>
        <w:jc w:val="both"/>
        <w:rPr>
          <w:rFonts w:ascii="Arial" w:hAnsi="Arial" w:cs="Arial"/>
        </w:rPr>
      </w:pPr>
      <w:r w:rsidRPr="008D57B9">
        <w:rPr>
          <w:rFonts w:ascii="Arial" w:hAnsi="Arial" w:cs="Arial"/>
        </w:rPr>
        <w:tab/>
        <w:t>Before the presentation, I felt nervous because speaking in front of others is challenging for me. I was confident about the poster because I had prepared it carefully, but I was less confident about explaining it verbally. After receiving the feedback, I was pleased that the content was considered good. I felt disappointed about forgetting my introduction and needing to change the Quad Chart, but I accepted both comments positively.</w:t>
      </w:r>
    </w:p>
    <w:p w14:paraId="1D8FD5F6" w14:textId="77777777" w:rsidR="006E4214" w:rsidRPr="008D57B9" w:rsidRDefault="006E4214" w:rsidP="008D57B9">
      <w:pPr>
        <w:spacing w:line="276" w:lineRule="auto"/>
        <w:jc w:val="both"/>
        <w:rPr>
          <w:rFonts w:ascii="Arial" w:hAnsi="Arial" w:cs="Arial"/>
        </w:rPr>
      </w:pPr>
      <w:r w:rsidRPr="008D57B9">
        <w:rPr>
          <w:rFonts w:ascii="Arial" w:hAnsi="Arial" w:cs="Arial"/>
          <w:b/>
          <w:bCs/>
        </w:rPr>
        <w:t>Evaluation</w:t>
      </w:r>
    </w:p>
    <w:p w14:paraId="3210064D" w14:textId="7523F759" w:rsidR="006E4214" w:rsidRPr="008D57B9" w:rsidRDefault="00DD1C2F" w:rsidP="008D57B9">
      <w:pPr>
        <w:spacing w:line="276" w:lineRule="auto"/>
        <w:jc w:val="both"/>
        <w:rPr>
          <w:rFonts w:ascii="Arial" w:hAnsi="Arial" w:cs="Arial"/>
        </w:rPr>
      </w:pPr>
      <w:r w:rsidRPr="008D57B9">
        <w:rPr>
          <w:rFonts w:ascii="Arial" w:hAnsi="Arial" w:cs="Arial"/>
        </w:rPr>
        <w:tab/>
        <w:t>A key strength was the organisation of my poster. Its purpose, stakeholders, schedule, responsibilities and risks were presented in separate sections. The images, colours and tables communicated the sustainable transport concept. The poster also demonstrated my understanding of project management tools and how they can support the delivery of a net-zero transport hub.</w:t>
      </w:r>
    </w:p>
    <w:p w14:paraId="226D8CFC" w14:textId="615C3409" w:rsidR="00DD1C2F" w:rsidRPr="008D57B9" w:rsidRDefault="00DD1C2F" w:rsidP="008D57B9">
      <w:pPr>
        <w:spacing w:line="276" w:lineRule="auto"/>
        <w:jc w:val="both"/>
        <w:rPr>
          <w:rFonts w:ascii="Arial" w:hAnsi="Arial" w:cs="Arial"/>
        </w:rPr>
      </w:pPr>
      <w:r w:rsidRPr="008D57B9">
        <w:rPr>
          <w:rFonts w:ascii="Arial" w:hAnsi="Arial" w:cs="Arial"/>
        </w:rPr>
        <w:tab/>
        <w:t>The main areas for improvement were the Quad Chart and my opening. My teacher’s email showed that the Quad Chart needed to communicate the project information more clearly. My friend’s comment showed that I should introduce myself before explaining the poster. I also need greater confidence and clarity because a good poster is insufficient if its main points are not explained effectively.</w:t>
      </w:r>
    </w:p>
    <w:p w14:paraId="2B24D39F" w14:textId="2FB3DE8D" w:rsidR="006E4214" w:rsidRPr="008D57B9" w:rsidRDefault="006E4214" w:rsidP="008D57B9">
      <w:pPr>
        <w:spacing w:line="276" w:lineRule="auto"/>
        <w:jc w:val="both"/>
        <w:rPr>
          <w:rFonts w:ascii="Arial" w:hAnsi="Arial" w:cs="Arial"/>
        </w:rPr>
      </w:pPr>
      <w:r w:rsidRPr="008D57B9">
        <w:rPr>
          <w:rFonts w:ascii="Arial" w:hAnsi="Arial" w:cs="Arial"/>
          <w:b/>
          <w:bCs/>
        </w:rPr>
        <w:t>Analysis</w:t>
      </w:r>
    </w:p>
    <w:p w14:paraId="3ED73C2D" w14:textId="51221F45" w:rsidR="006E4214" w:rsidRPr="008D57B9" w:rsidRDefault="00DD1C2F" w:rsidP="008D57B9">
      <w:pPr>
        <w:spacing w:line="276" w:lineRule="auto"/>
        <w:jc w:val="both"/>
        <w:rPr>
          <w:rFonts w:ascii="Arial" w:hAnsi="Arial" w:cs="Arial"/>
        </w:rPr>
      </w:pPr>
      <w:r w:rsidRPr="008D57B9">
        <w:rPr>
          <w:rFonts w:ascii="Arial" w:hAnsi="Arial" w:cs="Arial"/>
        </w:rPr>
        <w:tab/>
        <w:t>This feedback helped me understand that communication is an essential project management skill. A project manager must present information clearly to sponsors, contractors, local authorities and community members. Forgetting my name may seem like a small mistake, but it made my opening less professional and weakened my connection with the audience. Unclear communication could also cause misunderstandings about objectives, schedules, costs or responsibilities.</w:t>
      </w:r>
    </w:p>
    <w:p w14:paraId="622C53C7" w14:textId="5709F7BD" w:rsidR="006E4214" w:rsidRPr="008D57B9" w:rsidRDefault="00DD1C2F" w:rsidP="008D57B9">
      <w:pPr>
        <w:spacing w:line="276" w:lineRule="auto"/>
        <w:jc w:val="both"/>
        <w:rPr>
          <w:rFonts w:ascii="Arial" w:hAnsi="Arial" w:cs="Arial"/>
        </w:rPr>
      </w:pPr>
      <w:r w:rsidRPr="008D57B9">
        <w:rPr>
          <w:rFonts w:ascii="Arial" w:hAnsi="Arial" w:cs="Arial"/>
        </w:rPr>
        <w:lastRenderedPageBreak/>
        <w:tab/>
        <w:t>The recommendation to change the Quad Chart showed that visual tools must be clear, accurate and consistent with the project plan. Preparation involves more than designing the poster. I must check each tool, practise how I will explain every section, manage my speaking time and answer questions. Short notes could help me remember important points without reading directly from the poster.</w:t>
      </w:r>
    </w:p>
    <w:p w14:paraId="5996D36E" w14:textId="77777777" w:rsidR="006E4214" w:rsidRPr="008D57B9" w:rsidRDefault="006E4214" w:rsidP="008D57B9">
      <w:pPr>
        <w:spacing w:line="276" w:lineRule="auto"/>
        <w:jc w:val="both"/>
        <w:rPr>
          <w:rFonts w:ascii="Arial" w:hAnsi="Arial" w:cs="Arial"/>
        </w:rPr>
      </w:pPr>
      <w:r w:rsidRPr="008D57B9">
        <w:rPr>
          <w:rFonts w:ascii="Arial" w:hAnsi="Arial" w:cs="Arial"/>
          <w:b/>
          <w:bCs/>
        </w:rPr>
        <w:t>Conclusion</w:t>
      </w:r>
    </w:p>
    <w:p w14:paraId="0A3A1082" w14:textId="0A33569B" w:rsidR="006E4214" w:rsidRPr="008D57B9" w:rsidRDefault="00DD1C2F" w:rsidP="008D57B9">
      <w:pPr>
        <w:spacing w:line="276" w:lineRule="auto"/>
        <w:jc w:val="both"/>
        <w:rPr>
          <w:rFonts w:ascii="Arial" w:hAnsi="Arial" w:cs="Arial"/>
        </w:rPr>
      </w:pPr>
      <w:r w:rsidRPr="008D57B9">
        <w:rPr>
          <w:rFonts w:ascii="Arial" w:hAnsi="Arial" w:cs="Arial"/>
        </w:rPr>
        <w:tab/>
        <w:t>I learned that my poster demonstrated a good understanding of project management, but I must revise the Quad Chart and improve my public speaking. In future presentations, I need to introduce myself and explain the project confidently because these are important leadership and management skills.</w:t>
      </w:r>
    </w:p>
    <w:p w14:paraId="70981421" w14:textId="77777777" w:rsidR="006E4214" w:rsidRPr="008D57B9" w:rsidRDefault="006E4214" w:rsidP="008D57B9">
      <w:pPr>
        <w:spacing w:line="276" w:lineRule="auto"/>
        <w:jc w:val="both"/>
        <w:rPr>
          <w:rFonts w:ascii="Arial" w:hAnsi="Arial" w:cs="Arial"/>
        </w:rPr>
      </w:pPr>
      <w:r w:rsidRPr="008D57B9">
        <w:rPr>
          <w:rFonts w:ascii="Arial" w:hAnsi="Arial" w:cs="Arial"/>
          <w:b/>
          <w:bCs/>
        </w:rPr>
        <w:t>Action Plan</w:t>
      </w:r>
    </w:p>
    <w:p w14:paraId="15492C14" w14:textId="1140C5DF" w:rsidR="006E4214" w:rsidRPr="008D57B9" w:rsidRDefault="00DD1C2F" w:rsidP="008D57B9">
      <w:pPr>
        <w:spacing w:line="276" w:lineRule="auto"/>
        <w:jc w:val="both"/>
        <w:rPr>
          <w:rFonts w:ascii="Arial" w:hAnsi="Arial" w:cs="Arial"/>
        </w:rPr>
      </w:pPr>
      <w:r w:rsidRPr="008D57B9">
        <w:rPr>
          <w:rFonts w:ascii="Arial" w:hAnsi="Arial" w:cs="Arial"/>
        </w:rPr>
        <w:tab/>
        <w:t>For my final project plan, I will revise the Quad Chart following my teacher’s email and check that it matches the project objectives and success measures. I will prepare an opening that includes my name and presentation title. I will also make short notes, practise several times, record myself and check my voice, pace and timing. Finally, I will practise eye contact and possible questions so I can present professionally and confidently.</w:t>
      </w:r>
    </w:p>
    <w:p w14:paraId="332CB8EF" w14:textId="77777777" w:rsidR="006E4214" w:rsidRDefault="006E4214" w:rsidP="008D57B9">
      <w:pPr>
        <w:spacing w:line="276" w:lineRule="auto"/>
        <w:jc w:val="both"/>
        <w:rPr>
          <w:rFonts w:ascii="Arial" w:hAnsi="Arial" w:cs="Arial"/>
        </w:rPr>
      </w:pPr>
      <w:r w:rsidRPr="008D57B9">
        <w:rPr>
          <w:rFonts w:ascii="Arial" w:hAnsi="Arial" w:cs="Arial"/>
          <w:b/>
        </w:rPr>
        <w:t>Reference:</w:t>
      </w:r>
      <w:r w:rsidRPr="008D57B9">
        <w:rPr>
          <w:rFonts w:ascii="Arial" w:hAnsi="Arial" w:cs="Arial"/>
        </w:rPr>
        <w:t xml:space="preserve"> University of Edinburgh (2024) </w:t>
      </w:r>
      <w:r w:rsidRPr="008D57B9">
        <w:rPr>
          <w:rFonts w:ascii="Arial" w:hAnsi="Arial" w:cs="Arial"/>
          <w:i/>
        </w:rPr>
        <w:t>Gibbs’ Reflective Cycle</w:t>
      </w:r>
      <w:r w:rsidRPr="008D57B9">
        <w:rPr>
          <w:rFonts w:ascii="Arial" w:hAnsi="Arial" w:cs="Arial"/>
        </w:rPr>
        <w:t>. Available at: https://reflection.ed.ac.uk/reflectors-toolkit/reflecting-on-experience/gibbs-reflective-cycle (Accessed: 26 July 2026).</w:t>
      </w:r>
    </w:p>
    <w:p w14:paraId="00166A7F" w14:textId="77777777" w:rsidR="007D725F" w:rsidRDefault="007D725F" w:rsidP="008D57B9">
      <w:pPr>
        <w:spacing w:line="276" w:lineRule="auto"/>
        <w:jc w:val="both"/>
        <w:rPr>
          <w:rFonts w:ascii="Arial" w:hAnsi="Arial" w:cs="Arial"/>
        </w:rPr>
      </w:pPr>
    </w:p>
    <w:p w14:paraId="5DCD12C7" w14:textId="77777777" w:rsidR="007D725F" w:rsidRDefault="007D725F" w:rsidP="008D57B9">
      <w:pPr>
        <w:spacing w:line="276" w:lineRule="auto"/>
        <w:jc w:val="both"/>
        <w:rPr>
          <w:rFonts w:ascii="Arial" w:hAnsi="Arial" w:cs="Arial"/>
        </w:rPr>
      </w:pPr>
    </w:p>
    <w:p w14:paraId="4C6FA51B" w14:textId="77777777" w:rsidR="007D725F" w:rsidRDefault="007D725F" w:rsidP="008D57B9">
      <w:pPr>
        <w:spacing w:line="276" w:lineRule="auto"/>
        <w:jc w:val="both"/>
        <w:rPr>
          <w:rFonts w:ascii="Arial" w:hAnsi="Arial" w:cs="Arial"/>
        </w:rPr>
      </w:pPr>
    </w:p>
    <w:p w14:paraId="7DA97102" w14:textId="77777777" w:rsidR="007D725F" w:rsidRDefault="007D725F" w:rsidP="008D57B9">
      <w:pPr>
        <w:spacing w:line="276" w:lineRule="auto"/>
        <w:jc w:val="both"/>
        <w:rPr>
          <w:rFonts w:ascii="Arial" w:hAnsi="Arial" w:cs="Arial"/>
        </w:rPr>
      </w:pPr>
    </w:p>
    <w:p w14:paraId="78E95B09" w14:textId="77777777" w:rsidR="007D725F" w:rsidRDefault="007D725F" w:rsidP="008D57B9">
      <w:pPr>
        <w:spacing w:line="276" w:lineRule="auto"/>
        <w:jc w:val="both"/>
        <w:rPr>
          <w:rFonts w:ascii="Arial" w:hAnsi="Arial" w:cs="Arial"/>
        </w:rPr>
      </w:pPr>
    </w:p>
    <w:p w14:paraId="291E87E1" w14:textId="77777777" w:rsidR="007D725F" w:rsidRDefault="007D725F" w:rsidP="008D57B9">
      <w:pPr>
        <w:spacing w:line="276" w:lineRule="auto"/>
        <w:jc w:val="both"/>
        <w:rPr>
          <w:rFonts w:ascii="Arial" w:hAnsi="Arial" w:cs="Arial"/>
        </w:rPr>
      </w:pPr>
    </w:p>
    <w:p w14:paraId="145657CC" w14:textId="77777777" w:rsidR="007D725F" w:rsidRDefault="007D725F" w:rsidP="008D57B9">
      <w:pPr>
        <w:spacing w:line="276" w:lineRule="auto"/>
        <w:jc w:val="both"/>
        <w:rPr>
          <w:rFonts w:ascii="Arial" w:hAnsi="Arial" w:cs="Arial"/>
        </w:rPr>
      </w:pPr>
    </w:p>
    <w:p w14:paraId="042D3708" w14:textId="77777777" w:rsidR="007D725F" w:rsidRDefault="007D725F" w:rsidP="008D57B9">
      <w:pPr>
        <w:spacing w:line="276" w:lineRule="auto"/>
        <w:jc w:val="both"/>
        <w:rPr>
          <w:rFonts w:ascii="Arial" w:hAnsi="Arial" w:cs="Arial"/>
        </w:rPr>
      </w:pPr>
    </w:p>
    <w:p w14:paraId="31787D80" w14:textId="77777777" w:rsidR="007D725F" w:rsidRPr="008D57B9" w:rsidRDefault="007D725F" w:rsidP="008D57B9">
      <w:pPr>
        <w:spacing w:line="276" w:lineRule="auto"/>
        <w:jc w:val="both"/>
        <w:rPr>
          <w:rFonts w:ascii="Arial" w:hAnsi="Arial" w:cs="Arial"/>
        </w:rPr>
      </w:pPr>
    </w:p>
    <w:p w14:paraId="7569D5B8" w14:textId="77777777" w:rsidR="001009B3" w:rsidRPr="008D57B9" w:rsidRDefault="001009B3" w:rsidP="008D57B9">
      <w:pPr>
        <w:spacing w:line="276" w:lineRule="auto"/>
        <w:jc w:val="both"/>
        <w:rPr>
          <w:rFonts w:ascii="Arial" w:hAnsi="Arial" w:cs="Arial"/>
        </w:rPr>
      </w:pPr>
    </w:p>
    <w:p w14:paraId="3AAF90DA" w14:textId="77777777" w:rsidR="001009B3" w:rsidRPr="008D57B9" w:rsidRDefault="001009B3" w:rsidP="008D57B9">
      <w:pPr>
        <w:spacing w:line="276" w:lineRule="auto"/>
        <w:jc w:val="both"/>
        <w:rPr>
          <w:rFonts w:ascii="Arial" w:hAnsi="Arial" w:cs="Arial"/>
        </w:rPr>
      </w:pPr>
    </w:p>
    <w:p w14:paraId="5A24F27B" w14:textId="77777777" w:rsidR="001009B3" w:rsidRPr="008D57B9" w:rsidRDefault="001009B3" w:rsidP="008D57B9">
      <w:pPr>
        <w:spacing w:line="276" w:lineRule="auto"/>
        <w:rPr>
          <w:rFonts w:ascii="Arial" w:hAnsi="Arial" w:cs="Arial"/>
        </w:rPr>
      </w:pPr>
    </w:p>
    <w:p w14:paraId="1F4345C9" w14:textId="77777777" w:rsidR="00B2299A" w:rsidRPr="008D57B9" w:rsidRDefault="005F6349" w:rsidP="008D57B9">
      <w:pPr>
        <w:spacing w:after="60" w:line="276" w:lineRule="auto"/>
        <w:rPr>
          <w:rFonts w:ascii="Arial" w:hAnsi="Arial" w:cs="Arial"/>
          <w:b/>
          <w:color w:val="0B2545"/>
        </w:rPr>
      </w:pPr>
      <w:r w:rsidRPr="008D57B9">
        <w:rPr>
          <w:rFonts w:ascii="Arial" w:hAnsi="Arial" w:cs="Arial"/>
          <w:noProof/>
          <w:lang w:val="en-US"/>
        </w:rPr>
        <w:lastRenderedPageBreak/>
        <w:drawing>
          <wp:inline distT="0" distB="0" distL="0" distR="0" wp14:anchorId="731252B0" wp14:editId="20FB0DAB">
            <wp:extent cx="5585460" cy="944880"/>
            <wp:effectExtent l="0" t="0" r="0" b="7620"/>
            <wp:docPr id="10" name="Picture 9">
              <a:extLst xmlns:a="http://schemas.openxmlformats.org/drawingml/2006/main">
                <a:ext uri="{FF2B5EF4-FFF2-40B4-BE49-F238E27FC236}">
                  <a16:creationId xmlns:a16="http://schemas.microsoft.com/office/drawing/2014/main" id="{02165C2E-FD46-8C7D-7B38-C33C8996B25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9">
                      <a:extLst>
                        <a:ext uri="{FF2B5EF4-FFF2-40B4-BE49-F238E27FC236}">
                          <a16:creationId xmlns:a16="http://schemas.microsoft.com/office/drawing/2014/main" id="{02165C2E-FD46-8C7D-7B38-C33C8996B258}"/>
                        </a:ext>
                      </a:extLst>
                    </pic:cNvPr>
                    <pic:cNvPicPr>
                      <a:picLocks noChangeAspect="1"/>
                    </pic:cNvPicPr>
                  </pic:nvPicPr>
                  <pic:blipFill>
                    <a:blip r:embed="rId9">
                      <a:alphaModFix/>
                      <a:extLst>
                        <a:ext uri="{28A0092B-C50C-407E-A947-70E740481C1C}">
                          <a14:useLocalDpi xmlns:a14="http://schemas.microsoft.com/office/drawing/2010/main" val="0"/>
                        </a:ext>
                        <a:ext uri="{837473B0-CC2E-450A-ABE3-18F120FF3D39}">
                          <a1611:picAttrSrcUrl xmlns:a1611="http://schemas.microsoft.com/office/drawing/2016/11/main" r:id="rId10"/>
                        </a:ext>
                      </a:extLst>
                    </a:blip>
                    <a:stretch>
                      <a:fillRect/>
                    </a:stretch>
                  </pic:blipFill>
                  <pic:spPr>
                    <a:xfrm>
                      <a:off x="0" y="0"/>
                      <a:ext cx="5588392" cy="945376"/>
                    </a:xfrm>
                    <a:prstGeom prst="rect">
                      <a:avLst/>
                    </a:prstGeom>
                  </pic:spPr>
                </pic:pic>
              </a:graphicData>
            </a:graphic>
          </wp:inline>
        </w:drawing>
      </w:r>
    </w:p>
    <w:p w14:paraId="2B9B4631" w14:textId="77777777" w:rsidR="00B2299A" w:rsidRPr="008D57B9" w:rsidRDefault="00B2299A" w:rsidP="008D57B9">
      <w:pPr>
        <w:spacing w:after="280" w:line="276" w:lineRule="auto"/>
        <w:jc w:val="center"/>
        <w:rPr>
          <w:rFonts w:ascii="Arial" w:hAnsi="Arial" w:cs="Arial"/>
          <w:b/>
          <w:color w:val="000000" w:themeColor="text1"/>
        </w:rPr>
      </w:pPr>
      <w:r w:rsidRPr="008D57B9">
        <w:rPr>
          <w:rFonts w:ascii="Arial" w:hAnsi="Arial" w:cs="Arial"/>
          <w:b/>
          <w:color w:val="000000" w:themeColor="text1"/>
        </w:rPr>
        <w:t>PART C  |  PROJECT MANAGEMENT PLAN</w:t>
      </w:r>
    </w:p>
    <w:p w14:paraId="7EE09047" w14:textId="77777777" w:rsidR="00B2299A" w:rsidRPr="008D57B9" w:rsidRDefault="00B2299A" w:rsidP="008D57B9">
      <w:pPr>
        <w:spacing w:after="180" w:line="276" w:lineRule="auto"/>
        <w:jc w:val="center"/>
        <w:rPr>
          <w:rFonts w:ascii="Arial" w:hAnsi="Arial" w:cs="Arial"/>
          <w:b/>
          <w:color w:val="000000" w:themeColor="text1"/>
        </w:rPr>
      </w:pPr>
      <w:r w:rsidRPr="008D57B9">
        <w:rPr>
          <w:rFonts w:ascii="Arial" w:hAnsi="Arial" w:cs="Arial"/>
          <w:b/>
          <w:color w:val="000000" w:themeColor="text1"/>
        </w:rPr>
        <w:t>SUSTAINABLE REDESIGN OF THE</w:t>
      </w:r>
      <w:r w:rsidRPr="008D57B9">
        <w:rPr>
          <w:rFonts w:ascii="Arial" w:hAnsi="Arial" w:cs="Arial"/>
          <w:b/>
          <w:color w:val="000000" w:themeColor="text1"/>
        </w:rPr>
        <w:br/>
        <w:t>CENTRAL TRANSPORT HUB</w:t>
      </w:r>
    </w:p>
    <w:p w14:paraId="080BE2C4" w14:textId="77777777" w:rsidR="00B2299A" w:rsidRPr="008D57B9" w:rsidRDefault="00B2299A" w:rsidP="008D57B9">
      <w:pPr>
        <w:pBdr>
          <w:bottom w:val="single" w:sz="16" w:space="8" w:color="146B4D"/>
        </w:pBdr>
        <w:spacing w:after="440" w:line="276" w:lineRule="auto"/>
        <w:jc w:val="center"/>
        <w:rPr>
          <w:rFonts w:ascii="Arial" w:hAnsi="Arial" w:cs="Arial"/>
        </w:rPr>
      </w:pPr>
      <w:r w:rsidRPr="008D57B9">
        <w:rPr>
          <w:rFonts w:ascii="Arial" w:hAnsi="Arial" w:cs="Arial"/>
          <w:b/>
          <w:color w:val="000000" w:themeColor="text1"/>
        </w:rPr>
        <w:t>For Net-Zero Objectives</w:t>
      </w:r>
    </w:p>
    <w:p w14:paraId="40C0E7E2" w14:textId="77777777" w:rsidR="00B2299A" w:rsidRPr="00865060" w:rsidRDefault="00B2299A" w:rsidP="00387E87">
      <w:pPr>
        <w:spacing w:after="60" w:line="276" w:lineRule="auto"/>
        <w:jc w:val="both"/>
        <w:rPr>
          <w:rFonts w:ascii="Arial" w:hAnsi="Arial" w:cs="Arial"/>
          <w:b/>
          <w:color w:val="0B2545"/>
          <w:sz w:val="28"/>
          <w:szCs w:val="28"/>
        </w:rPr>
      </w:pPr>
    </w:p>
    <w:p w14:paraId="05370A85" w14:textId="77777777" w:rsidR="00B2299A" w:rsidRPr="00865060" w:rsidRDefault="00B2299A" w:rsidP="00387E87">
      <w:pPr>
        <w:spacing w:after="60" w:line="276" w:lineRule="auto"/>
        <w:jc w:val="both"/>
        <w:rPr>
          <w:rFonts w:ascii="Arial" w:hAnsi="Arial" w:cs="Arial"/>
          <w:b/>
          <w:color w:val="0B2545"/>
          <w:sz w:val="28"/>
          <w:szCs w:val="28"/>
        </w:rPr>
      </w:pPr>
    </w:p>
    <w:p w14:paraId="5752187D" w14:textId="73376ADE" w:rsidR="00173FA8" w:rsidRPr="00865060" w:rsidRDefault="00173FA8" w:rsidP="00387E87">
      <w:pPr>
        <w:spacing w:after="60" w:line="276" w:lineRule="auto"/>
        <w:jc w:val="both"/>
        <w:rPr>
          <w:rFonts w:ascii="Arial" w:hAnsi="Arial" w:cs="Arial"/>
          <w:sz w:val="28"/>
          <w:szCs w:val="28"/>
        </w:rPr>
      </w:pPr>
      <w:r w:rsidRPr="00865060">
        <w:rPr>
          <w:rFonts w:ascii="Arial" w:hAnsi="Arial" w:cs="Arial"/>
          <w:b/>
          <w:color w:val="0B2545"/>
          <w:sz w:val="28"/>
          <w:szCs w:val="28"/>
        </w:rPr>
        <w:t>Student</w:t>
      </w:r>
      <w:r w:rsidR="00BC4B5A" w:rsidRPr="00865060">
        <w:rPr>
          <w:rFonts w:ascii="Arial" w:hAnsi="Arial" w:cs="Arial"/>
          <w:b/>
          <w:color w:val="0B2545"/>
          <w:sz w:val="28"/>
          <w:szCs w:val="28"/>
        </w:rPr>
        <w:tab/>
      </w:r>
      <w:r w:rsidR="00BC4B5A" w:rsidRPr="00865060">
        <w:rPr>
          <w:rFonts w:ascii="Arial" w:hAnsi="Arial" w:cs="Arial"/>
          <w:b/>
          <w:color w:val="0B2545"/>
          <w:sz w:val="28"/>
          <w:szCs w:val="28"/>
        </w:rPr>
        <w:tab/>
      </w:r>
      <w:r w:rsidR="00255A85" w:rsidRPr="00865060">
        <w:rPr>
          <w:rFonts w:ascii="Arial" w:hAnsi="Arial" w:cs="Arial"/>
          <w:b/>
          <w:color w:val="0B2545"/>
          <w:sz w:val="28"/>
          <w:szCs w:val="28"/>
        </w:rPr>
        <w:tab/>
      </w:r>
      <w:r w:rsidRPr="00865060">
        <w:rPr>
          <w:rFonts w:ascii="Arial" w:hAnsi="Arial" w:cs="Arial"/>
          <w:b/>
          <w:color w:val="0B2545"/>
          <w:sz w:val="28"/>
          <w:szCs w:val="28"/>
        </w:rPr>
        <w:t xml:space="preserve">: </w:t>
      </w:r>
      <w:r w:rsidRPr="00865060">
        <w:rPr>
          <w:rFonts w:ascii="Arial" w:hAnsi="Arial" w:cs="Arial"/>
          <w:color w:val="000000"/>
          <w:sz w:val="28"/>
          <w:szCs w:val="28"/>
        </w:rPr>
        <w:t>Yustina Da Costa</w:t>
      </w:r>
    </w:p>
    <w:p w14:paraId="7033B8AB" w14:textId="6611B35D" w:rsidR="00076BEC" w:rsidRPr="00865060" w:rsidRDefault="00173FA8" w:rsidP="00387E87">
      <w:pPr>
        <w:spacing w:after="60" w:line="276" w:lineRule="auto"/>
        <w:jc w:val="both"/>
        <w:rPr>
          <w:rFonts w:ascii="Arial" w:hAnsi="Arial" w:cs="Arial"/>
          <w:sz w:val="28"/>
          <w:szCs w:val="28"/>
        </w:rPr>
      </w:pPr>
      <w:r w:rsidRPr="00865060">
        <w:rPr>
          <w:rFonts w:ascii="Arial" w:hAnsi="Arial" w:cs="Arial"/>
          <w:b/>
          <w:color w:val="0B2545"/>
          <w:sz w:val="28"/>
          <w:szCs w:val="28"/>
        </w:rPr>
        <w:t>Student ID</w:t>
      </w:r>
      <w:r w:rsidR="00BC4B5A" w:rsidRPr="00865060">
        <w:rPr>
          <w:rFonts w:ascii="Arial" w:hAnsi="Arial" w:cs="Arial"/>
          <w:b/>
          <w:color w:val="0B2545"/>
          <w:sz w:val="28"/>
          <w:szCs w:val="28"/>
        </w:rPr>
        <w:tab/>
      </w:r>
      <w:r w:rsidR="00BC4B5A" w:rsidRPr="00865060">
        <w:rPr>
          <w:rFonts w:ascii="Arial" w:hAnsi="Arial" w:cs="Arial"/>
          <w:b/>
          <w:color w:val="0B2545"/>
          <w:sz w:val="28"/>
          <w:szCs w:val="28"/>
        </w:rPr>
        <w:tab/>
      </w:r>
      <w:r w:rsidR="007D725F" w:rsidRPr="00865060">
        <w:rPr>
          <w:rFonts w:ascii="Arial" w:hAnsi="Arial" w:cs="Arial"/>
          <w:b/>
          <w:color w:val="0B2545"/>
          <w:sz w:val="28"/>
          <w:szCs w:val="28"/>
        </w:rPr>
        <w:tab/>
      </w:r>
      <w:r w:rsidRPr="00865060">
        <w:rPr>
          <w:rFonts w:ascii="Arial" w:hAnsi="Arial" w:cs="Arial"/>
          <w:b/>
          <w:color w:val="0B2545"/>
          <w:sz w:val="28"/>
          <w:szCs w:val="28"/>
        </w:rPr>
        <w:t xml:space="preserve">: </w:t>
      </w:r>
      <w:r w:rsidRPr="00865060">
        <w:rPr>
          <w:rFonts w:ascii="Arial" w:hAnsi="Arial" w:cs="Arial"/>
          <w:color w:val="000000"/>
          <w:sz w:val="28"/>
          <w:szCs w:val="28"/>
        </w:rPr>
        <w:t>2430457</w:t>
      </w:r>
    </w:p>
    <w:p w14:paraId="3C301B83" w14:textId="583A4003" w:rsidR="00173FA8" w:rsidRPr="00865060" w:rsidRDefault="00173FA8" w:rsidP="00387E87">
      <w:pPr>
        <w:spacing w:after="60" w:line="276" w:lineRule="auto"/>
        <w:jc w:val="both"/>
        <w:rPr>
          <w:rFonts w:ascii="Arial" w:hAnsi="Arial" w:cs="Arial"/>
          <w:sz w:val="28"/>
          <w:szCs w:val="28"/>
        </w:rPr>
      </w:pPr>
      <w:r w:rsidRPr="00865060">
        <w:rPr>
          <w:rFonts w:ascii="Arial" w:hAnsi="Arial" w:cs="Arial"/>
          <w:b/>
          <w:color w:val="0B2545"/>
          <w:sz w:val="28"/>
          <w:szCs w:val="28"/>
        </w:rPr>
        <w:t>Course</w:t>
      </w:r>
      <w:r w:rsidR="00BC4B5A" w:rsidRPr="00865060">
        <w:rPr>
          <w:rFonts w:ascii="Arial" w:hAnsi="Arial" w:cs="Arial"/>
          <w:b/>
          <w:color w:val="0B2545"/>
          <w:sz w:val="28"/>
          <w:szCs w:val="28"/>
        </w:rPr>
        <w:tab/>
      </w:r>
      <w:r w:rsidR="00BC4B5A" w:rsidRPr="00865060">
        <w:rPr>
          <w:rFonts w:ascii="Arial" w:hAnsi="Arial" w:cs="Arial"/>
          <w:b/>
          <w:color w:val="0B2545"/>
          <w:sz w:val="28"/>
          <w:szCs w:val="28"/>
        </w:rPr>
        <w:tab/>
      </w:r>
      <w:r w:rsidR="00255A85" w:rsidRPr="00865060">
        <w:rPr>
          <w:rFonts w:ascii="Arial" w:hAnsi="Arial" w:cs="Arial"/>
          <w:b/>
          <w:color w:val="0B2545"/>
          <w:sz w:val="28"/>
          <w:szCs w:val="28"/>
        </w:rPr>
        <w:tab/>
      </w:r>
      <w:r w:rsidRPr="00865060">
        <w:rPr>
          <w:rFonts w:ascii="Arial" w:hAnsi="Arial" w:cs="Arial"/>
          <w:b/>
          <w:color w:val="0B2545"/>
          <w:sz w:val="28"/>
          <w:szCs w:val="28"/>
        </w:rPr>
        <w:t xml:space="preserve">: </w:t>
      </w:r>
      <w:r w:rsidRPr="00865060">
        <w:rPr>
          <w:rFonts w:ascii="Arial" w:hAnsi="Arial" w:cs="Arial"/>
          <w:color w:val="000000"/>
          <w:sz w:val="28"/>
          <w:szCs w:val="28"/>
        </w:rPr>
        <w:t>BA Leadership and Management Skills for the</w:t>
      </w:r>
      <w:r w:rsidR="00076BEC" w:rsidRPr="00865060">
        <w:rPr>
          <w:rFonts w:ascii="Arial" w:hAnsi="Arial" w:cs="Arial"/>
          <w:color w:val="000000"/>
          <w:sz w:val="28"/>
          <w:szCs w:val="28"/>
        </w:rPr>
        <w:t xml:space="preserve"> </w:t>
      </w:r>
      <w:r w:rsidRPr="00865060">
        <w:rPr>
          <w:rFonts w:ascii="Arial" w:hAnsi="Arial" w:cs="Arial"/>
          <w:color w:val="000000"/>
          <w:sz w:val="28"/>
          <w:szCs w:val="28"/>
        </w:rPr>
        <w:t>Workplace</w:t>
      </w:r>
    </w:p>
    <w:p w14:paraId="1C9C4DA7" w14:textId="4DB6A727" w:rsidR="00173FA8" w:rsidRPr="00865060" w:rsidRDefault="00173FA8" w:rsidP="00387E87">
      <w:pPr>
        <w:spacing w:after="60" w:line="276" w:lineRule="auto"/>
        <w:jc w:val="both"/>
        <w:rPr>
          <w:rFonts w:ascii="Arial" w:hAnsi="Arial" w:cs="Arial"/>
          <w:color w:val="000000"/>
          <w:sz w:val="28"/>
          <w:szCs w:val="28"/>
        </w:rPr>
      </w:pPr>
      <w:r w:rsidRPr="00865060">
        <w:rPr>
          <w:rFonts w:ascii="Arial" w:hAnsi="Arial" w:cs="Arial"/>
          <w:b/>
          <w:color w:val="0B2545"/>
          <w:sz w:val="28"/>
          <w:szCs w:val="28"/>
        </w:rPr>
        <w:t>Module</w:t>
      </w:r>
      <w:r w:rsidR="00BC4B5A" w:rsidRPr="00865060">
        <w:rPr>
          <w:rFonts w:ascii="Arial" w:hAnsi="Arial" w:cs="Arial"/>
          <w:b/>
          <w:color w:val="0B2545"/>
          <w:sz w:val="28"/>
          <w:szCs w:val="28"/>
        </w:rPr>
        <w:tab/>
      </w:r>
      <w:r w:rsidR="00BC4B5A" w:rsidRPr="00865060">
        <w:rPr>
          <w:rFonts w:ascii="Arial" w:hAnsi="Arial" w:cs="Arial"/>
          <w:b/>
          <w:color w:val="0B2545"/>
          <w:sz w:val="28"/>
          <w:szCs w:val="28"/>
        </w:rPr>
        <w:tab/>
      </w:r>
      <w:r w:rsidR="00255A85" w:rsidRPr="00865060">
        <w:rPr>
          <w:rFonts w:ascii="Arial" w:hAnsi="Arial" w:cs="Arial"/>
          <w:b/>
          <w:color w:val="0B2545"/>
          <w:sz w:val="28"/>
          <w:szCs w:val="28"/>
        </w:rPr>
        <w:tab/>
      </w:r>
      <w:r w:rsidRPr="00865060">
        <w:rPr>
          <w:rFonts w:ascii="Arial" w:hAnsi="Arial" w:cs="Arial"/>
          <w:b/>
          <w:color w:val="0B2545"/>
          <w:sz w:val="28"/>
          <w:szCs w:val="28"/>
        </w:rPr>
        <w:t xml:space="preserve">: </w:t>
      </w:r>
      <w:r w:rsidRPr="00865060">
        <w:rPr>
          <w:rFonts w:ascii="Arial" w:hAnsi="Arial" w:cs="Arial"/>
          <w:color w:val="000000"/>
          <w:sz w:val="28"/>
          <w:szCs w:val="28"/>
        </w:rPr>
        <w:t>Project Management</w:t>
      </w:r>
    </w:p>
    <w:p w14:paraId="7F9E5F86" w14:textId="450AE14C" w:rsidR="008C127D" w:rsidRPr="00865060" w:rsidRDefault="00510A51" w:rsidP="00387E87">
      <w:pPr>
        <w:spacing w:after="60" w:line="276" w:lineRule="auto"/>
        <w:jc w:val="both"/>
        <w:rPr>
          <w:rFonts w:ascii="Arial" w:hAnsi="Arial" w:cs="Arial"/>
          <w:sz w:val="28"/>
          <w:szCs w:val="28"/>
        </w:rPr>
      </w:pPr>
      <w:r w:rsidRPr="00865060">
        <w:rPr>
          <w:rFonts w:ascii="Arial" w:hAnsi="Arial" w:cs="Arial"/>
          <w:color w:val="000000"/>
          <w:sz w:val="28"/>
          <w:szCs w:val="28"/>
        </w:rPr>
        <w:t>Module code</w:t>
      </w:r>
      <w:r w:rsidR="00AB56D7" w:rsidRPr="00865060">
        <w:rPr>
          <w:rFonts w:ascii="Arial" w:hAnsi="Arial" w:cs="Arial"/>
          <w:color w:val="000000"/>
          <w:sz w:val="28"/>
          <w:szCs w:val="28"/>
        </w:rPr>
        <w:tab/>
      </w:r>
      <w:r w:rsidRPr="00865060">
        <w:rPr>
          <w:rFonts w:ascii="Arial" w:hAnsi="Arial" w:cs="Arial"/>
          <w:color w:val="000000"/>
          <w:sz w:val="28"/>
          <w:szCs w:val="28"/>
        </w:rPr>
        <w:tab/>
        <w:t>:</w:t>
      </w:r>
      <w:r w:rsidR="00183979" w:rsidRPr="00865060">
        <w:rPr>
          <w:rFonts w:ascii="Arial" w:hAnsi="Arial" w:cs="Arial"/>
          <w:color w:val="000000"/>
          <w:sz w:val="28"/>
          <w:szCs w:val="28"/>
        </w:rPr>
        <w:t>LCLM5003</w:t>
      </w:r>
    </w:p>
    <w:p w14:paraId="335BCA13" w14:textId="33153584" w:rsidR="00173FA8" w:rsidRPr="00865060" w:rsidRDefault="00173FA8" w:rsidP="00387E87">
      <w:pPr>
        <w:spacing w:after="60" w:line="276" w:lineRule="auto"/>
        <w:jc w:val="both"/>
        <w:rPr>
          <w:rFonts w:ascii="Arial" w:hAnsi="Arial" w:cs="Arial"/>
          <w:sz w:val="28"/>
          <w:szCs w:val="28"/>
        </w:rPr>
      </w:pPr>
      <w:r w:rsidRPr="00865060">
        <w:rPr>
          <w:rFonts w:ascii="Arial" w:hAnsi="Arial" w:cs="Arial"/>
          <w:b/>
          <w:color w:val="0B2545"/>
          <w:sz w:val="28"/>
          <w:szCs w:val="28"/>
        </w:rPr>
        <w:t>Lecturer</w:t>
      </w:r>
      <w:r w:rsidR="00BC4B5A" w:rsidRPr="00865060">
        <w:rPr>
          <w:rFonts w:ascii="Arial" w:hAnsi="Arial" w:cs="Arial"/>
          <w:b/>
          <w:color w:val="0B2545"/>
          <w:sz w:val="28"/>
          <w:szCs w:val="28"/>
        </w:rPr>
        <w:tab/>
      </w:r>
      <w:r w:rsidR="00BC4B5A" w:rsidRPr="00865060">
        <w:rPr>
          <w:rFonts w:ascii="Arial" w:hAnsi="Arial" w:cs="Arial"/>
          <w:b/>
          <w:color w:val="0B2545"/>
          <w:sz w:val="28"/>
          <w:szCs w:val="28"/>
        </w:rPr>
        <w:tab/>
      </w:r>
      <w:r w:rsidR="007D725F" w:rsidRPr="00865060">
        <w:rPr>
          <w:rFonts w:ascii="Arial" w:hAnsi="Arial" w:cs="Arial"/>
          <w:b/>
          <w:color w:val="0B2545"/>
          <w:sz w:val="28"/>
          <w:szCs w:val="28"/>
        </w:rPr>
        <w:tab/>
      </w:r>
      <w:r w:rsidRPr="00865060">
        <w:rPr>
          <w:rFonts w:ascii="Arial" w:hAnsi="Arial" w:cs="Arial"/>
          <w:b/>
          <w:color w:val="0B2545"/>
          <w:sz w:val="28"/>
          <w:szCs w:val="28"/>
        </w:rPr>
        <w:t xml:space="preserve">: </w:t>
      </w:r>
      <w:r w:rsidRPr="00865060">
        <w:rPr>
          <w:rFonts w:ascii="Arial" w:hAnsi="Arial" w:cs="Arial"/>
          <w:color w:val="000000"/>
          <w:sz w:val="28"/>
          <w:szCs w:val="28"/>
        </w:rPr>
        <w:t>Xavier Matieni</w:t>
      </w:r>
    </w:p>
    <w:p w14:paraId="6363FC8A" w14:textId="3F5EFA1C" w:rsidR="00173FA8" w:rsidRPr="00865060" w:rsidRDefault="00173FA8" w:rsidP="00387E87">
      <w:pPr>
        <w:spacing w:after="60" w:line="276" w:lineRule="auto"/>
        <w:jc w:val="both"/>
        <w:rPr>
          <w:rFonts w:ascii="Arial" w:hAnsi="Arial" w:cs="Arial"/>
          <w:color w:val="000000"/>
          <w:sz w:val="28"/>
          <w:szCs w:val="28"/>
        </w:rPr>
      </w:pPr>
      <w:r w:rsidRPr="00865060">
        <w:rPr>
          <w:rFonts w:ascii="Arial" w:hAnsi="Arial" w:cs="Arial"/>
          <w:b/>
          <w:color w:val="0B2545"/>
          <w:sz w:val="28"/>
          <w:szCs w:val="28"/>
        </w:rPr>
        <w:t xml:space="preserve">Submission date: </w:t>
      </w:r>
      <w:r w:rsidR="00D237E4" w:rsidRPr="00865060">
        <w:rPr>
          <w:rFonts w:ascii="Arial" w:hAnsi="Arial" w:cs="Arial"/>
          <w:color w:val="000000"/>
          <w:sz w:val="28"/>
          <w:szCs w:val="28"/>
        </w:rPr>
        <w:t>18/August</w:t>
      </w:r>
      <w:r w:rsidR="000D1831" w:rsidRPr="00865060">
        <w:rPr>
          <w:rFonts w:ascii="Arial" w:hAnsi="Arial" w:cs="Arial"/>
          <w:color w:val="000000"/>
          <w:sz w:val="28"/>
          <w:szCs w:val="28"/>
        </w:rPr>
        <w:t>/</w:t>
      </w:r>
      <w:r w:rsidRPr="00865060">
        <w:rPr>
          <w:rFonts w:ascii="Arial" w:hAnsi="Arial" w:cs="Arial"/>
          <w:color w:val="000000"/>
          <w:sz w:val="28"/>
          <w:szCs w:val="28"/>
        </w:rPr>
        <w:t>2026</w:t>
      </w:r>
    </w:p>
    <w:p w14:paraId="21DEC441" w14:textId="77777777" w:rsidR="001D2073" w:rsidRPr="00865060" w:rsidRDefault="001D2073" w:rsidP="00387E87">
      <w:pPr>
        <w:spacing w:after="60" w:line="276" w:lineRule="auto"/>
        <w:jc w:val="both"/>
        <w:rPr>
          <w:rFonts w:ascii="Arial" w:hAnsi="Arial" w:cs="Arial"/>
          <w:color w:val="000000"/>
          <w:sz w:val="28"/>
          <w:szCs w:val="28"/>
        </w:rPr>
      </w:pPr>
    </w:p>
    <w:p w14:paraId="16B23A51" w14:textId="77777777" w:rsidR="001D2073" w:rsidRPr="00865060" w:rsidRDefault="001D2073" w:rsidP="00387E87">
      <w:pPr>
        <w:spacing w:after="60" w:line="276" w:lineRule="auto"/>
        <w:jc w:val="both"/>
        <w:rPr>
          <w:rFonts w:ascii="Arial" w:hAnsi="Arial" w:cs="Arial"/>
          <w:color w:val="000000"/>
          <w:sz w:val="28"/>
          <w:szCs w:val="28"/>
        </w:rPr>
      </w:pPr>
    </w:p>
    <w:p w14:paraId="420A13BB" w14:textId="77777777" w:rsidR="007D725F" w:rsidRPr="00865060" w:rsidRDefault="007D725F" w:rsidP="00387E87">
      <w:pPr>
        <w:spacing w:after="60" w:line="276" w:lineRule="auto"/>
        <w:jc w:val="both"/>
        <w:rPr>
          <w:rFonts w:ascii="Arial" w:hAnsi="Arial" w:cs="Arial"/>
          <w:color w:val="000000"/>
          <w:sz w:val="28"/>
          <w:szCs w:val="28"/>
        </w:rPr>
      </w:pPr>
    </w:p>
    <w:p w14:paraId="018BE5EA" w14:textId="77777777" w:rsidR="007D725F" w:rsidRPr="00865060" w:rsidRDefault="007D725F" w:rsidP="00387E87">
      <w:pPr>
        <w:spacing w:after="60" w:line="276" w:lineRule="auto"/>
        <w:jc w:val="both"/>
        <w:rPr>
          <w:rFonts w:ascii="Arial" w:hAnsi="Arial" w:cs="Arial"/>
          <w:color w:val="000000"/>
          <w:sz w:val="28"/>
          <w:szCs w:val="28"/>
        </w:rPr>
      </w:pPr>
    </w:p>
    <w:p w14:paraId="6DFA9663" w14:textId="77777777" w:rsidR="007D725F" w:rsidRDefault="007D725F" w:rsidP="008D57B9">
      <w:pPr>
        <w:spacing w:after="60" w:line="276" w:lineRule="auto"/>
        <w:rPr>
          <w:rFonts w:ascii="Arial" w:hAnsi="Arial" w:cs="Arial"/>
          <w:color w:val="000000"/>
        </w:rPr>
      </w:pPr>
    </w:p>
    <w:p w14:paraId="59D68E5A" w14:textId="77777777" w:rsidR="007D725F" w:rsidRDefault="007D725F" w:rsidP="008D57B9">
      <w:pPr>
        <w:spacing w:after="60" w:line="276" w:lineRule="auto"/>
        <w:rPr>
          <w:rFonts w:ascii="Arial" w:hAnsi="Arial" w:cs="Arial"/>
          <w:color w:val="000000"/>
        </w:rPr>
      </w:pPr>
    </w:p>
    <w:p w14:paraId="3E96F762" w14:textId="77777777" w:rsidR="007D725F" w:rsidRDefault="007D725F" w:rsidP="008D57B9">
      <w:pPr>
        <w:spacing w:after="60" w:line="276" w:lineRule="auto"/>
        <w:rPr>
          <w:rFonts w:ascii="Arial" w:hAnsi="Arial" w:cs="Arial"/>
          <w:color w:val="000000"/>
        </w:rPr>
      </w:pPr>
    </w:p>
    <w:p w14:paraId="6A0A2F3B" w14:textId="77777777" w:rsidR="007D725F" w:rsidRDefault="007D725F" w:rsidP="008D57B9">
      <w:pPr>
        <w:spacing w:after="60" w:line="276" w:lineRule="auto"/>
        <w:rPr>
          <w:rFonts w:ascii="Arial" w:hAnsi="Arial" w:cs="Arial"/>
          <w:color w:val="000000"/>
        </w:rPr>
      </w:pPr>
    </w:p>
    <w:p w14:paraId="07BEA03E" w14:textId="77777777" w:rsidR="007D725F" w:rsidRDefault="007D725F" w:rsidP="008D57B9">
      <w:pPr>
        <w:spacing w:after="60" w:line="276" w:lineRule="auto"/>
        <w:rPr>
          <w:rFonts w:ascii="Arial" w:hAnsi="Arial" w:cs="Arial"/>
          <w:color w:val="000000"/>
        </w:rPr>
      </w:pPr>
    </w:p>
    <w:p w14:paraId="6921B9CC" w14:textId="77777777" w:rsidR="007D725F" w:rsidRDefault="007D725F" w:rsidP="008D57B9">
      <w:pPr>
        <w:spacing w:after="60" w:line="276" w:lineRule="auto"/>
        <w:rPr>
          <w:rFonts w:ascii="Arial" w:hAnsi="Arial" w:cs="Arial"/>
          <w:color w:val="000000"/>
        </w:rPr>
      </w:pPr>
    </w:p>
    <w:p w14:paraId="64E83070" w14:textId="77777777" w:rsidR="007D725F" w:rsidRDefault="007D725F" w:rsidP="008D57B9">
      <w:pPr>
        <w:spacing w:after="60" w:line="276" w:lineRule="auto"/>
        <w:rPr>
          <w:rFonts w:ascii="Arial" w:hAnsi="Arial" w:cs="Arial"/>
          <w:color w:val="000000"/>
        </w:rPr>
      </w:pPr>
    </w:p>
    <w:p w14:paraId="53241A64" w14:textId="77777777" w:rsidR="007D725F" w:rsidRDefault="007D725F" w:rsidP="008D57B9">
      <w:pPr>
        <w:spacing w:after="60" w:line="276" w:lineRule="auto"/>
        <w:rPr>
          <w:rFonts w:ascii="Arial" w:hAnsi="Arial" w:cs="Arial"/>
          <w:color w:val="000000"/>
        </w:rPr>
      </w:pPr>
    </w:p>
    <w:p w14:paraId="6D27ACA4" w14:textId="77777777" w:rsidR="007D725F" w:rsidRDefault="007D725F" w:rsidP="008D57B9">
      <w:pPr>
        <w:spacing w:after="60" w:line="276" w:lineRule="auto"/>
        <w:rPr>
          <w:rFonts w:ascii="Arial" w:hAnsi="Arial" w:cs="Arial"/>
          <w:color w:val="000000"/>
        </w:rPr>
      </w:pPr>
    </w:p>
    <w:p w14:paraId="5B107CA5" w14:textId="77777777" w:rsidR="007D725F" w:rsidRDefault="007D725F" w:rsidP="008D57B9">
      <w:pPr>
        <w:spacing w:after="60" w:line="276" w:lineRule="auto"/>
        <w:rPr>
          <w:rFonts w:ascii="Arial" w:hAnsi="Arial" w:cs="Arial"/>
          <w:color w:val="000000"/>
        </w:rPr>
      </w:pPr>
    </w:p>
    <w:p w14:paraId="3C821D6C" w14:textId="77777777" w:rsidR="007D725F" w:rsidRDefault="007D725F" w:rsidP="008D57B9">
      <w:pPr>
        <w:spacing w:after="60" w:line="276" w:lineRule="auto"/>
        <w:rPr>
          <w:rFonts w:ascii="Arial" w:hAnsi="Arial" w:cs="Arial"/>
          <w:color w:val="000000"/>
        </w:rPr>
      </w:pPr>
    </w:p>
    <w:p w14:paraId="77392372" w14:textId="77777777" w:rsidR="007D725F" w:rsidRPr="008D57B9" w:rsidRDefault="007D725F" w:rsidP="008D57B9">
      <w:pPr>
        <w:spacing w:after="60" w:line="276" w:lineRule="auto"/>
        <w:rPr>
          <w:rFonts w:ascii="Arial" w:hAnsi="Arial" w:cs="Arial"/>
          <w:color w:val="000000"/>
        </w:rPr>
      </w:pPr>
    </w:p>
    <w:p w14:paraId="00DA7A38" w14:textId="77777777" w:rsidR="006D3AA4" w:rsidRPr="008D57B9" w:rsidRDefault="006D3AA4" w:rsidP="008D57B9">
      <w:pPr>
        <w:pStyle w:val="Heading1"/>
        <w:spacing w:line="276" w:lineRule="auto"/>
        <w:rPr>
          <w:rFonts w:ascii="Arial" w:hAnsi="Arial" w:cs="Arial"/>
          <w:b/>
          <w:bCs/>
          <w:color w:val="000000" w:themeColor="text1"/>
          <w:sz w:val="24"/>
          <w:szCs w:val="24"/>
        </w:rPr>
      </w:pPr>
      <w:r w:rsidRPr="008D57B9">
        <w:rPr>
          <w:rFonts w:ascii="Arial" w:hAnsi="Arial" w:cs="Arial"/>
          <w:b/>
          <w:bCs/>
          <w:color w:val="000000" w:themeColor="text1"/>
          <w:sz w:val="24"/>
          <w:szCs w:val="24"/>
        </w:rPr>
        <w:t>Table of Contents</w:t>
      </w:r>
    </w:p>
    <w:p w14:paraId="588F6DB7" w14:textId="0FE0F2F9" w:rsidR="006D3AA4" w:rsidRPr="008D57B9" w:rsidRDefault="006D3AA4" w:rsidP="008D57B9">
      <w:pPr>
        <w:tabs>
          <w:tab w:val="right" w:leader="dot" w:pos="9072"/>
        </w:tabs>
        <w:spacing w:after="60" w:line="276" w:lineRule="auto"/>
        <w:rPr>
          <w:rFonts w:ascii="Arial" w:hAnsi="Arial" w:cs="Arial"/>
        </w:rPr>
      </w:pPr>
      <w:r w:rsidRPr="008D57B9">
        <w:rPr>
          <w:rFonts w:ascii="Arial" w:hAnsi="Arial" w:cs="Arial"/>
          <w:b/>
          <w:color w:val="000000"/>
        </w:rPr>
        <w:t>1. Introduction</w:t>
      </w:r>
      <w:r w:rsidRPr="008D57B9">
        <w:rPr>
          <w:rFonts w:ascii="Arial" w:hAnsi="Arial" w:cs="Arial"/>
          <w:b/>
          <w:color w:val="000000"/>
        </w:rPr>
        <w:tab/>
      </w:r>
      <w:r w:rsidR="005D54E8" w:rsidRPr="008D57B9">
        <w:rPr>
          <w:rFonts w:ascii="Arial" w:hAnsi="Arial" w:cs="Arial"/>
          <w:b/>
          <w:color w:val="000000"/>
        </w:rPr>
        <w:t>1</w:t>
      </w:r>
    </w:p>
    <w:p w14:paraId="1170E83E" w14:textId="03492227" w:rsidR="006D3AA4" w:rsidRPr="008D57B9" w:rsidRDefault="006D3AA4" w:rsidP="008D57B9">
      <w:pPr>
        <w:tabs>
          <w:tab w:val="right" w:leader="dot" w:pos="9072"/>
        </w:tabs>
        <w:spacing w:after="60" w:line="276" w:lineRule="auto"/>
        <w:rPr>
          <w:rFonts w:ascii="Arial" w:hAnsi="Arial" w:cs="Arial"/>
        </w:rPr>
      </w:pPr>
      <w:r w:rsidRPr="008D57B9">
        <w:rPr>
          <w:rFonts w:ascii="Arial" w:hAnsi="Arial" w:cs="Arial"/>
          <w:b/>
          <w:color w:val="000000"/>
        </w:rPr>
        <w:t>2. Project Description</w:t>
      </w:r>
      <w:r w:rsidRPr="008D57B9">
        <w:rPr>
          <w:rFonts w:ascii="Arial" w:hAnsi="Arial" w:cs="Arial"/>
          <w:b/>
          <w:color w:val="000000"/>
        </w:rPr>
        <w:tab/>
      </w:r>
      <w:r w:rsidR="005D54E8" w:rsidRPr="008D57B9">
        <w:rPr>
          <w:rFonts w:ascii="Arial" w:hAnsi="Arial" w:cs="Arial"/>
          <w:b/>
          <w:color w:val="000000"/>
        </w:rPr>
        <w:t>1</w:t>
      </w:r>
    </w:p>
    <w:p w14:paraId="338A3A89" w14:textId="2B4CB544" w:rsidR="006D3AA4" w:rsidRPr="008D57B9" w:rsidRDefault="006D3AA4" w:rsidP="008D57B9">
      <w:pPr>
        <w:tabs>
          <w:tab w:val="right" w:leader="dot" w:pos="9072"/>
        </w:tabs>
        <w:spacing w:after="60" w:line="276" w:lineRule="auto"/>
        <w:ind w:left="360"/>
        <w:rPr>
          <w:rFonts w:ascii="Arial" w:hAnsi="Arial" w:cs="Arial"/>
        </w:rPr>
      </w:pPr>
      <w:r w:rsidRPr="008D57B9">
        <w:rPr>
          <w:rFonts w:ascii="Arial" w:hAnsi="Arial" w:cs="Arial"/>
          <w:color w:val="000000"/>
        </w:rPr>
        <w:t>2.1 Business Need and Objectives</w:t>
      </w:r>
      <w:r w:rsidRPr="008D57B9">
        <w:rPr>
          <w:rFonts w:ascii="Arial" w:hAnsi="Arial" w:cs="Arial"/>
          <w:color w:val="000000"/>
        </w:rPr>
        <w:tab/>
      </w:r>
      <w:r w:rsidR="00420276" w:rsidRPr="008D57B9">
        <w:rPr>
          <w:rFonts w:ascii="Arial" w:hAnsi="Arial" w:cs="Arial"/>
          <w:color w:val="000000"/>
        </w:rPr>
        <w:t>1-2</w:t>
      </w:r>
    </w:p>
    <w:p w14:paraId="58F47375" w14:textId="248220FD" w:rsidR="006D3AA4" w:rsidRPr="008D57B9" w:rsidRDefault="006D3AA4" w:rsidP="008D57B9">
      <w:pPr>
        <w:tabs>
          <w:tab w:val="right" w:leader="dot" w:pos="9072"/>
        </w:tabs>
        <w:spacing w:after="60" w:line="276" w:lineRule="auto"/>
        <w:ind w:left="360"/>
        <w:rPr>
          <w:rFonts w:ascii="Arial" w:hAnsi="Arial" w:cs="Arial"/>
        </w:rPr>
      </w:pPr>
      <w:r w:rsidRPr="008D57B9">
        <w:rPr>
          <w:rFonts w:ascii="Arial" w:hAnsi="Arial" w:cs="Arial"/>
          <w:color w:val="000000"/>
        </w:rPr>
        <w:t>2.2 Delivery and Governance Approach</w:t>
      </w:r>
      <w:r w:rsidRPr="008D57B9">
        <w:rPr>
          <w:rFonts w:ascii="Arial" w:hAnsi="Arial" w:cs="Arial"/>
          <w:color w:val="000000"/>
        </w:rPr>
        <w:tab/>
      </w:r>
      <w:r w:rsidR="00420276" w:rsidRPr="008D57B9">
        <w:rPr>
          <w:rFonts w:ascii="Arial" w:hAnsi="Arial" w:cs="Arial"/>
          <w:color w:val="000000"/>
        </w:rPr>
        <w:t>2</w:t>
      </w:r>
    </w:p>
    <w:p w14:paraId="34FE399A" w14:textId="1DFEF4F7" w:rsidR="006D3AA4" w:rsidRPr="008D57B9" w:rsidRDefault="006D3AA4" w:rsidP="008D57B9">
      <w:pPr>
        <w:tabs>
          <w:tab w:val="right" w:leader="dot" w:pos="9072"/>
        </w:tabs>
        <w:spacing w:after="60" w:line="276" w:lineRule="auto"/>
        <w:rPr>
          <w:rFonts w:ascii="Arial" w:hAnsi="Arial" w:cs="Arial"/>
        </w:rPr>
      </w:pPr>
      <w:r w:rsidRPr="008D57B9">
        <w:rPr>
          <w:rFonts w:ascii="Arial" w:hAnsi="Arial" w:cs="Arial"/>
          <w:b/>
          <w:color w:val="000000"/>
        </w:rPr>
        <w:t>3. Scope</w:t>
      </w:r>
      <w:r w:rsidRPr="008D57B9">
        <w:rPr>
          <w:rFonts w:ascii="Arial" w:hAnsi="Arial" w:cs="Arial"/>
          <w:b/>
          <w:color w:val="000000"/>
        </w:rPr>
        <w:tab/>
      </w:r>
      <w:r w:rsidR="006B2AEB">
        <w:rPr>
          <w:rFonts w:ascii="Arial" w:hAnsi="Arial" w:cs="Arial"/>
          <w:b/>
          <w:color w:val="000000"/>
        </w:rPr>
        <w:t>2</w:t>
      </w:r>
    </w:p>
    <w:p w14:paraId="17F4AA94" w14:textId="309FD1ED" w:rsidR="006D3AA4" w:rsidRPr="008D57B9" w:rsidRDefault="006D3AA4" w:rsidP="008D57B9">
      <w:pPr>
        <w:tabs>
          <w:tab w:val="right" w:leader="dot" w:pos="9072"/>
        </w:tabs>
        <w:spacing w:after="60" w:line="276" w:lineRule="auto"/>
        <w:ind w:left="360"/>
        <w:rPr>
          <w:rFonts w:ascii="Arial" w:hAnsi="Arial" w:cs="Arial"/>
        </w:rPr>
      </w:pPr>
      <w:r w:rsidRPr="008D57B9">
        <w:rPr>
          <w:rFonts w:ascii="Arial" w:hAnsi="Arial" w:cs="Arial"/>
          <w:color w:val="000000"/>
        </w:rPr>
        <w:t>3.1 Scope Statement and Deliverables</w:t>
      </w:r>
      <w:r w:rsidRPr="008D57B9">
        <w:rPr>
          <w:rFonts w:ascii="Arial" w:hAnsi="Arial" w:cs="Arial"/>
          <w:color w:val="000000"/>
        </w:rPr>
        <w:tab/>
      </w:r>
      <w:r w:rsidR="006B2AEB">
        <w:rPr>
          <w:rFonts w:ascii="Arial" w:hAnsi="Arial" w:cs="Arial"/>
          <w:color w:val="000000"/>
        </w:rPr>
        <w:t>2</w:t>
      </w:r>
    </w:p>
    <w:p w14:paraId="2040BD3E" w14:textId="43476BA3" w:rsidR="006D3AA4" w:rsidRPr="008D57B9" w:rsidRDefault="006D3AA4" w:rsidP="008D57B9">
      <w:pPr>
        <w:tabs>
          <w:tab w:val="right" w:leader="dot" w:pos="9072"/>
        </w:tabs>
        <w:spacing w:after="60" w:line="276" w:lineRule="auto"/>
        <w:ind w:left="360"/>
        <w:rPr>
          <w:rFonts w:ascii="Arial" w:hAnsi="Arial" w:cs="Arial"/>
        </w:rPr>
      </w:pPr>
      <w:r w:rsidRPr="008D57B9">
        <w:rPr>
          <w:rFonts w:ascii="Arial" w:hAnsi="Arial" w:cs="Arial"/>
          <w:color w:val="000000"/>
        </w:rPr>
        <w:t>3.2 Constraints, Assumptions and Control</w:t>
      </w:r>
      <w:r w:rsidRPr="008D57B9">
        <w:rPr>
          <w:rFonts w:ascii="Arial" w:hAnsi="Arial" w:cs="Arial"/>
          <w:color w:val="000000"/>
        </w:rPr>
        <w:tab/>
      </w:r>
      <w:r w:rsidR="006B2AEB">
        <w:rPr>
          <w:rFonts w:ascii="Arial" w:hAnsi="Arial" w:cs="Arial"/>
          <w:color w:val="000000"/>
        </w:rPr>
        <w:t>3</w:t>
      </w:r>
    </w:p>
    <w:p w14:paraId="6EA8C651" w14:textId="235FB1DD" w:rsidR="006D3AA4" w:rsidRPr="008D57B9" w:rsidRDefault="006D3AA4" w:rsidP="008D57B9">
      <w:pPr>
        <w:tabs>
          <w:tab w:val="right" w:leader="dot" w:pos="9072"/>
        </w:tabs>
        <w:spacing w:after="60" w:line="276" w:lineRule="auto"/>
        <w:rPr>
          <w:rFonts w:ascii="Arial" w:hAnsi="Arial" w:cs="Arial"/>
        </w:rPr>
      </w:pPr>
      <w:r w:rsidRPr="008D57B9">
        <w:rPr>
          <w:rFonts w:ascii="Arial" w:hAnsi="Arial" w:cs="Arial"/>
          <w:b/>
          <w:color w:val="000000"/>
        </w:rPr>
        <w:t>4. Work Breakdown Structure (WBS)</w:t>
      </w:r>
      <w:r w:rsidRPr="008D57B9">
        <w:rPr>
          <w:rFonts w:ascii="Arial" w:hAnsi="Arial" w:cs="Arial"/>
          <w:b/>
          <w:color w:val="000000"/>
        </w:rPr>
        <w:tab/>
      </w:r>
      <w:r w:rsidR="007968E0">
        <w:rPr>
          <w:rFonts w:ascii="Arial" w:hAnsi="Arial" w:cs="Arial"/>
          <w:b/>
          <w:color w:val="000000"/>
        </w:rPr>
        <w:t>3-</w:t>
      </w:r>
      <w:r w:rsidR="00420276" w:rsidRPr="008D57B9">
        <w:rPr>
          <w:rFonts w:ascii="Arial" w:hAnsi="Arial" w:cs="Arial"/>
          <w:b/>
          <w:color w:val="000000"/>
        </w:rPr>
        <w:t>4</w:t>
      </w:r>
    </w:p>
    <w:p w14:paraId="5BCD069D" w14:textId="5488EFED" w:rsidR="006D3AA4" w:rsidRPr="008D57B9" w:rsidRDefault="006D3AA4" w:rsidP="008D57B9">
      <w:pPr>
        <w:tabs>
          <w:tab w:val="right" w:leader="dot" w:pos="9072"/>
        </w:tabs>
        <w:spacing w:after="60" w:line="276" w:lineRule="auto"/>
        <w:rPr>
          <w:rFonts w:ascii="Arial" w:hAnsi="Arial" w:cs="Arial"/>
        </w:rPr>
      </w:pPr>
      <w:r w:rsidRPr="008D57B9">
        <w:rPr>
          <w:rFonts w:ascii="Arial" w:hAnsi="Arial" w:cs="Arial"/>
          <w:b/>
          <w:color w:val="000000"/>
        </w:rPr>
        <w:t>5. Quad Chart</w:t>
      </w:r>
      <w:r w:rsidRPr="008D57B9">
        <w:rPr>
          <w:rFonts w:ascii="Arial" w:hAnsi="Arial" w:cs="Arial"/>
          <w:b/>
          <w:color w:val="000000"/>
        </w:rPr>
        <w:tab/>
      </w:r>
      <w:r w:rsidR="001F3B1C">
        <w:rPr>
          <w:rFonts w:ascii="Arial" w:hAnsi="Arial" w:cs="Arial"/>
          <w:b/>
          <w:color w:val="000000"/>
        </w:rPr>
        <w:t>5</w:t>
      </w:r>
    </w:p>
    <w:p w14:paraId="6383922B" w14:textId="3CC8DE76" w:rsidR="006D3AA4" w:rsidRPr="008D57B9" w:rsidRDefault="006D3AA4" w:rsidP="008D57B9">
      <w:pPr>
        <w:tabs>
          <w:tab w:val="right" w:leader="dot" w:pos="9072"/>
        </w:tabs>
        <w:spacing w:after="60" w:line="276" w:lineRule="auto"/>
        <w:rPr>
          <w:rFonts w:ascii="Arial" w:hAnsi="Arial" w:cs="Arial"/>
        </w:rPr>
      </w:pPr>
      <w:r w:rsidRPr="008D57B9">
        <w:rPr>
          <w:rFonts w:ascii="Arial" w:hAnsi="Arial" w:cs="Arial"/>
          <w:b/>
          <w:color w:val="000000"/>
        </w:rPr>
        <w:t>6. Gantt Chart</w:t>
      </w:r>
      <w:r w:rsidRPr="008D57B9">
        <w:rPr>
          <w:rFonts w:ascii="Arial" w:hAnsi="Arial" w:cs="Arial"/>
          <w:b/>
          <w:color w:val="000000"/>
        </w:rPr>
        <w:tab/>
      </w:r>
      <w:r w:rsidR="00A66FED">
        <w:rPr>
          <w:rFonts w:ascii="Arial" w:hAnsi="Arial" w:cs="Arial"/>
          <w:b/>
          <w:color w:val="000000"/>
        </w:rPr>
        <w:t>5-</w:t>
      </w:r>
      <w:r w:rsidR="00420276" w:rsidRPr="008D57B9">
        <w:rPr>
          <w:rFonts w:ascii="Arial" w:hAnsi="Arial" w:cs="Arial"/>
          <w:b/>
          <w:color w:val="000000"/>
        </w:rPr>
        <w:t>6</w:t>
      </w:r>
    </w:p>
    <w:p w14:paraId="498B735B" w14:textId="731E57C5" w:rsidR="006D3AA4" w:rsidRPr="008D57B9" w:rsidRDefault="006D3AA4" w:rsidP="008D57B9">
      <w:pPr>
        <w:tabs>
          <w:tab w:val="right" w:leader="dot" w:pos="9072"/>
        </w:tabs>
        <w:spacing w:after="60" w:line="276" w:lineRule="auto"/>
        <w:rPr>
          <w:rFonts w:ascii="Arial" w:hAnsi="Arial" w:cs="Arial"/>
        </w:rPr>
      </w:pPr>
      <w:r w:rsidRPr="008D57B9">
        <w:rPr>
          <w:rFonts w:ascii="Arial" w:hAnsi="Arial" w:cs="Arial"/>
          <w:b/>
          <w:color w:val="000000"/>
        </w:rPr>
        <w:t>7. Stakeholders' Involvement</w:t>
      </w:r>
      <w:r w:rsidRPr="008D57B9">
        <w:rPr>
          <w:rFonts w:ascii="Arial" w:hAnsi="Arial" w:cs="Arial"/>
          <w:b/>
          <w:color w:val="000000"/>
        </w:rPr>
        <w:tab/>
      </w:r>
      <w:r w:rsidR="00212457">
        <w:rPr>
          <w:rFonts w:ascii="Arial" w:hAnsi="Arial" w:cs="Arial"/>
          <w:b/>
          <w:color w:val="000000"/>
        </w:rPr>
        <w:t>6-</w:t>
      </w:r>
      <w:r w:rsidR="00420276" w:rsidRPr="008D57B9">
        <w:rPr>
          <w:rFonts w:ascii="Arial" w:hAnsi="Arial" w:cs="Arial"/>
          <w:b/>
          <w:color w:val="000000"/>
        </w:rPr>
        <w:t>8</w:t>
      </w:r>
    </w:p>
    <w:p w14:paraId="7A6E2FCE" w14:textId="0A579526" w:rsidR="00E8712A" w:rsidRPr="00E8712A" w:rsidRDefault="006D3AA4" w:rsidP="008D57B9">
      <w:pPr>
        <w:tabs>
          <w:tab w:val="right" w:leader="dot" w:pos="9072"/>
        </w:tabs>
        <w:spacing w:after="60" w:line="276" w:lineRule="auto"/>
        <w:rPr>
          <w:rFonts w:ascii="Arial" w:hAnsi="Arial" w:cs="Arial"/>
          <w:b/>
          <w:color w:val="000000"/>
        </w:rPr>
      </w:pPr>
      <w:r w:rsidRPr="008D57B9">
        <w:rPr>
          <w:rFonts w:ascii="Arial" w:hAnsi="Arial" w:cs="Arial"/>
          <w:b/>
          <w:color w:val="000000"/>
        </w:rPr>
        <w:t>8. Allocation of Resources</w:t>
      </w:r>
      <w:r w:rsidRPr="008D57B9">
        <w:rPr>
          <w:rFonts w:ascii="Arial" w:hAnsi="Arial" w:cs="Arial"/>
          <w:b/>
          <w:color w:val="000000"/>
        </w:rPr>
        <w:tab/>
      </w:r>
      <w:r w:rsidR="00212457">
        <w:rPr>
          <w:rFonts w:ascii="Arial" w:hAnsi="Arial" w:cs="Arial"/>
          <w:b/>
          <w:color w:val="000000"/>
        </w:rPr>
        <w:t>8</w:t>
      </w:r>
    </w:p>
    <w:p w14:paraId="631BCEE5" w14:textId="365A0832" w:rsidR="006D3AA4" w:rsidRPr="008D57B9" w:rsidRDefault="006D3AA4" w:rsidP="008D57B9">
      <w:pPr>
        <w:tabs>
          <w:tab w:val="right" w:leader="dot" w:pos="9072"/>
        </w:tabs>
        <w:spacing w:after="60" w:line="276" w:lineRule="auto"/>
        <w:ind w:left="360"/>
        <w:rPr>
          <w:rFonts w:ascii="Arial" w:hAnsi="Arial" w:cs="Arial"/>
        </w:rPr>
      </w:pPr>
      <w:r w:rsidRPr="008D57B9">
        <w:rPr>
          <w:rFonts w:ascii="Arial" w:hAnsi="Arial" w:cs="Arial"/>
          <w:color w:val="000000"/>
        </w:rPr>
        <w:t>8.1 Financial and Physical Resources</w:t>
      </w:r>
      <w:r w:rsidRPr="008D57B9">
        <w:rPr>
          <w:rFonts w:ascii="Arial" w:hAnsi="Arial" w:cs="Arial"/>
          <w:color w:val="000000"/>
        </w:rPr>
        <w:tab/>
      </w:r>
      <w:r w:rsidR="000931DA">
        <w:rPr>
          <w:rFonts w:ascii="Arial" w:hAnsi="Arial" w:cs="Arial"/>
          <w:color w:val="000000"/>
        </w:rPr>
        <w:t>8</w:t>
      </w:r>
    </w:p>
    <w:p w14:paraId="2FD1DC7E" w14:textId="717E0C71" w:rsidR="00086E0B" w:rsidRPr="00E8712A" w:rsidRDefault="006D3AA4" w:rsidP="008D57B9">
      <w:pPr>
        <w:tabs>
          <w:tab w:val="right" w:leader="dot" w:pos="9072"/>
        </w:tabs>
        <w:spacing w:after="60" w:line="276" w:lineRule="auto"/>
        <w:ind w:left="360"/>
        <w:rPr>
          <w:rFonts w:ascii="Arial" w:hAnsi="Arial" w:cs="Arial"/>
          <w:color w:val="000000"/>
        </w:rPr>
      </w:pPr>
      <w:r w:rsidRPr="008D57B9">
        <w:rPr>
          <w:rFonts w:ascii="Arial" w:hAnsi="Arial" w:cs="Arial"/>
          <w:color w:val="000000"/>
        </w:rPr>
        <w:t>8.2 People, Technology and Accountability</w:t>
      </w:r>
      <w:r w:rsidRPr="008D57B9">
        <w:rPr>
          <w:rFonts w:ascii="Arial" w:hAnsi="Arial" w:cs="Arial"/>
          <w:color w:val="000000"/>
        </w:rPr>
        <w:tab/>
      </w:r>
      <w:r w:rsidR="00086E0B">
        <w:rPr>
          <w:rFonts w:ascii="Arial" w:hAnsi="Arial" w:cs="Arial"/>
          <w:color w:val="000000"/>
        </w:rPr>
        <w:t xml:space="preserve">8 </w:t>
      </w:r>
    </w:p>
    <w:p w14:paraId="761CE59F" w14:textId="1F240884" w:rsidR="00015C57" w:rsidRDefault="00015C57" w:rsidP="008D57B9">
      <w:pPr>
        <w:tabs>
          <w:tab w:val="right" w:leader="dot" w:pos="9072"/>
        </w:tabs>
        <w:spacing w:after="60" w:line="276" w:lineRule="auto"/>
        <w:rPr>
          <w:rFonts w:ascii="Arial" w:hAnsi="Arial" w:cs="Arial"/>
          <w:b/>
          <w:color w:val="000000"/>
        </w:rPr>
      </w:pPr>
      <w:r>
        <w:rPr>
          <w:rFonts w:ascii="Arial" w:hAnsi="Arial" w:cs="Arial"/>
          <w:b/>
          <w:color w:val="000000"/>
        </w:rPr>
        <w:t>9. Raci Matrix………………………………………………………………………………..9</w:t>
      </w:r>
    </w:p>
    <w:p w14:paraId="08E73A44" w14:textId="087B4FD4" w:rsidR="006D3AA4" w:rsidRPr="008D57B9" w:rsidRDefault="006D3AA4" w:rsidP="008D57B9">
      <w:pPr>
        <w:tabs>
          <w:tab w:val="right" w:leader="dot" w:pos="9072"/>
        </w:tabs>
        <w:spacing w:after="60" w:line="276" w:lineRule="auto"/>
        <w:rPr>
          <w:rFonts w:ascii="Arial" w:hAnsi="Arial" w:cs="Arial"/>
        </w:rPr>
      </w:pPr>
      <w:r w:rsidRPr="008D57B9">
        <w:rPr>
          <w:rFonts w:ascii="Arial" w:hAnsi="Arial" w:cs="Arial"/>
          <w:b/>
          <w:color w:val="000000"/>
        </w:rPr>
        <w:t>9. Risk Analysis</w:t>
      </w:r>
      <w:r w:rsidRPr="008D57B9">
        <w:rPr>
          <w:rFonts w:ascii="Arial" w:hAnsi="Arial" w:cs="Arial"/>
          <w:b/>
          <w:color w:val="000000"/>
        </w:rPr>
        <w:tab/>
      </w:r>
      <w:r w:rsidR="00D73C46">
        <w:rPr>
          <w:rFonts w:ascii="Arial" w:hAnsi="Arial" w:cs="Arial"/>
          <w:b/>
          <w:color w:val="000000"/>
        </w:rPr>
        <w:t>9-10</w:t>
      </w:r>
    </w:p>
    <w:p w14:paraId="29B302EB" w14:textId="3E4AD581" w:rsidR="006D3AA4" w:rsidRPr="008D57B9" w:rsidRDefault="006D3AA4" w:rsidP="008D57B9">
      <w:pPr>
        <w:tabs>
          <w:tab w:val="right" w:leader="dot" w:pos="9072"/>
        </w:tabs>
        <w:spacing w:after="60" w:line="276" w:lineRule="auto"/>
        <w:rPr>
          <w:rFonts w:ascii="Arial" w:hAnsi="Arial" w:cs="Arial"/>
        </w:rPr>
      </w:pPr>
      <w:r w:rsidRPr="008D57B9">
        <w:rPr>
          <w:rFonts w:ascii="Arial" w:hAnsi="Arial" w:cs="Arial"/>
          <w:b/>
          <w:color w:val="000000"/>
        </w:rPr>
        <w:t>10. Conclusion</w:t>
      </w:r>
      <w:r w:rsidRPr="008D57B9">
        <w:rPr>
          <w:rFonts w:ascii="Arial" w:hAnsi="Arial" w:cs="Arial"/>
          <w:b/>
          <w:color w:val="000000"/>
        </w:rPr>
        <w:tab/>
      </w:r>
      <w:r w:rsidR="00D73C46">
        <w:rPr>
          <w:rFonts w:ascii="Arial" w:hAnsi="Arial" w:cs="Arial"/>
          <w:b/>
          <w:color w:val="000000"/>
        </w:rPr>
        <w:t>11</w:t>
      </w:r>
    </w:p>
    <w:p w14:paraId="002C1E68" w14:textId="091869B0" w:rsidR="006D3AA4" w:rsidRPr="00616190" w:rsidRDefault="006D3AA4" w:rsidP="008D57B9">
      <w:pPr>
        <w:tabs>
          <w:tab w:val="right" w:leader="dot" w:pos="9072"/>
        </w:tabs>
        <w:spacing w:after="60" w:line="276" w:lineRule="auto"/>
        <w:rPr>
          <w:rFonts w:ascii="Arial" w:hAnsi="Arial" w:cs="Arial"/>
        </w:rPr>
      </w:pPr>
      <w:r w:rsidRPr="008D57B9">
        <w:rPr>
          <w:rFonts w:ascii="Arial" w:hAnsi="Arial" w:cs="Arial"/>
          <w:b/>
          <w:color w:val="000000"/>
        </w:rPr>
        <w:t>References</w:t>
      </w:r>
      <w:r w:rsidRPr="008D57B9">
        <w:rPr>
          <w:rFonts w:ascii="Arial" w:hAnsi="Arial" w:cs="Arial"/>
          <w:b/>
          <w:color w:val="000000"/>
        </w:rPr>
        <w:tab/>
      </w:r>
      <w:r w:rsidR="00D73C46">
        <w:rPr>
          <w:rFonts w:ascii="Arial" w:hAnsi="Arial" w:cs="Arial"/>
          <w:b/>
          <w:color w:val="000000"/>
        </w:rPr>
        <w:t>1</w:t>
      </w:r>
      <w:r w:rsidR="00616190">
        <w:rPr>
          <w:rFonts w:ascii="Arial" w:hAnsi="Arial" w:cs="Arial"/>
          <w:b/>
          <w:color w:val="000000"/>
        </w:rPr>
        <w:t>2</w:t>
      </w:r>
      <w:r w:rsidR="00616190">
        <w:rPr>
          <w:rFonts w:ascii="Arial" w:hAnsi="Arial" w:cs="Arial"/>
        </w:rPr>
        <w:t>-13</w:t>
      </w:r>
    </w:p>
    <w:p w14:paraId="15C14DD0" w14:textId="77777777" w:rsidR="00E44684" w:rsidRPr="008D57B9" w:rsidRDefault="00E44684" w:rsidP="008D57B9">
      <w:pPr>
        <w:pStyle w:val="Heading1"/>
        <w:spacing w:line="276" w:lineRule="auto"/>
        <w:rPr>
          <w:rFonts w:ascii="Arial" w:hAnsi="Arial" w:cs="Arial"/>
          <w:color w:val="auto"/>
          <w:sz w:val="24"/>
          <w:szCs w:val="24"/>
        </w:rPr>
      </w:pPr>
      <w:r w:rsidRPr="008D57B9">
        <w:rPr>
          <w:rFonts w:ascii="Arial" w:hAnsi="Arial" w:cs="Arial"/>
          <w:b/>
          <w:color w:val="auto"/>
          <w:sz w:val="24"/>
          <w:szCs w:val="24"/>
        </w:rPr>
        <w:t>List of Tables</w:t>
      </w:r>
    </w:p>
    <w:p w14:paraId="33D2DBA3" w14:textId="2B30E286" w:rsidR="00E44684" w:rsidRPr="008D57B9" w:rsidRDefault="00E44684" w:rsidP="008D57B9">
      <w:pPr>
        <w:tabs>
          <w:tab w:val="right" w:leader="dot" w:pos="9072"/>
        </w:tabs>
        <w:spacing w:after="100" w:line="276" w:lineRule="auto"/>
        <w:rPr>
          <w:rFonts w:ascii="Arial" w:hAnsi="Arial" w:cs="Arial"/>
        </w:rPr>
      </w:pPr>
      <w:r w:rsidRPr="008D57B9">
        <w:rPr>
          <w:rFonts w:ascii="Arial" w:hAnsi="Arial" w:cs="Arial"/>
          <w:color w:val="000000"/>
        </w:rPr>
        <w:t>Table 1. Scope boundaries</w:t>
      </w:r>
      <w:r w:rsidRPr="008D57B9">
        <w:rPr>
          <w:rFonts w:ascii="Arial" w:hAnsi="Arial" w:cs="Arial"/>
          <w:color w:val="000000"/>
        </w:rPr>
        <w:tab/>
      </w:r>
      <w:r w:rsidR="00856002" w:rsidRPr="008D57B9">
        <w:rPr>
          <w:rFonts w:ascii="Arial" w:hAnsi="Arial" w:cs="Arial"/>
          <w:color w:val="000000"/>
        </w:rPr>
        <w:t>3</w:t>
      </w:r>
    </w:p>
    <w:p w14:paraId="3B40C319" w14:textId="784F22FE" w:rsidR="00E44684" w:rsidRPr="008D57B9" w:rsidRDefault="00E44684" w:rsidP="008D57B9">
      <w:pPr>
        <w:tabs>
          <w:tab w:val="right" w:leader="dot" w:pos="9072"/>
        </w:tabs>
        <w:spacing w:after="100" w:line="276" w:lineRule="auto"/>
        <w:rPr>
          <w:rFonts w:ascii="Arial" w:hAnsi="Arial" w:cs="Arial"/>
        </w:rPr>
      </w:pPr>
      <w:r w:rsidRPr="008D57B9">
        <w:rPr>
          <w:rFonts w:ascii="Arial" w:hAnsi="Arial" w:cs="Arial"/>
          <w:color w:val="000000"/>
        </w:rPr>
        <w:t>Table 2. Project Quad Chart</w:t>
      </w:r>
      <w:r w:rsidRPr="008D57B9">
        <w:rPr>
          <w:rFonts w:ascii="Arial" w:hAnsi="Arial" w:cs="Arial"/>
          <w:color w:val="000000"/>
        </w:rPr>
        <w:tab/>
      </w:r>
      <w:r w:rsidR="00425CD0">
        <w:rPr>
          <w:rFonts w:ascii="Arial" w:hAnsi="Arial" w:cs="Arial"/>
          <w:color w:val="000000"/>
        </w:rPr>
        <w:t>5</w:t>
      </w:r>
    </w:p>
    <w:p w14:paraId="3E89697A" w14:textId="04DF0629" w:rsidR="00E44684" w:rsidRPr="008D57B9" w:rsidRDefault="00E44684" w:rsidP="008D57B9">
      <w:pPr>
        <w:tabs>
          <w:tab w:val="right" w:leader="dot" w:pos="9072"/>
        </w:tabs>
        <w:spacing w:after="100" w:line="276" w:lineRule="auto"/>
        <w:rPr>
          <w:rFonts w:ascii="Arial" w:hAnsi="Arial" w:cs="Arial"/>
        </w:rPr>
      </w:pPr>
      <w:r w:rsidRPr="008D57B9">
        <w:rPr>
          <w:rFonts w:ascii="Arial" w:hAnsi="Arial" w:cs="Arial"/>
          <w:color w:val="000000"/>
        </w:rPr>
        <w:t>Table 3. Stakeholder involvement plan</w:t>
      </w:r>
      <w:r w:rsidRPr="008D57B9">
        <w:rPr>
          <w:rFonts w:ascii="Arial" w:hAnsi="Arial" w:cs="Arial"/>
          <w:color w:val="000000"/>
        </w:rPr>
        <w:tab/>
      </w:r>
      <w:r w:rsidR="00425CD0">
        <w:rPr>
          <w:rFonts w:ascii="Arial" w:hAnsi="Arial" w:cs="Arial"/>
          <w:color w:val="000000"/>
        </w:rPr>
        <w:t>7</w:t>
      </w:r>
    </w:p>
    <w:p w14:paraId="38A04D87" w14:textId="327331D7" w:rsidR="00E44684" w:rsidRPr="008D57B9" w:rsidRDefault="00E44684" w:rsidP="008D57B9">
      <w:pPr>
        <w:tabs>
          <w:tab w:val="right" w:leader="dot" w:pos="9072"/>
        </w:tabs>
        <w:spacing w:after="100" w:line="276" w:lineRule="auto"/>
        <w:rPr>
          <w:rFonts w:ascii="Arial" w:hAnsi="Arial" w:cs="Arial"/>
        </w:rPr>
      </w:pPr>
      <w:r w:rsidRPr="008D57B9">
        <w:rPr>
          <w:rFonts w:ascii="Arial" w:hAnsi="Arial" w:cs="Arial"/>
          <w:color w:val="000000"/>
        </w:rPr>
        <w:t>Table 4. Financial resource allocation</w:t>
      </w:r>
      <w:r w:rsidRPr="008D57B9">
        <w:rPr>
          <w:rFonts w:ascii="Arial" w:hAnsi="Arial" w:cs="Arial"/>
          <w:color w:val="000000"/>
        </w:rPr>
        <w:tab/>
      </w:r>
      <w:r w:rsidR="00425CD0">
        <w:rPr>
          <w:rFonts w:ascii="Arial" w:hAnsi="Arial" w:cs="Arial"/>
          <w:color w:val="000000"/>
        </w:rPr>
        <w:t>8</w:t>
      </w:r>
    </w:p>
    <w:p w14:paraId="78CB1692" w14:textId="40D5DC8F" w:rsidR="00E44684" w:rsidRPr="008D57B9" w:rsidRDefault="00E44684" w:rsidP="008D57B9">
      <w:pPr>
        <w:tabs>
          <w:tab w:val="right" w:leader="dot" w:pos="9072"/>
        </w:tabs>
        <w:spacing w:after="100" w:line="276" w:lineRule="auto"/>
        <w:rPr>
          <w:rFonts w:ascii="Arial" w:hAnsi="Arial" w:cs="Arial"/>
        </w:rPr>
      </w:pPr>
      <w:r w:rsidRPr="008D57B9">
        <w:rPr>
          <w:rFonts w:ascii="Arial" w:hAnsi="Arial" w:cs="Arial"/>
          <w:color w:val="000000"/>
        </w:rPr>
        <w:t>Table 5. RACI responsibility matrix</w:t>
      </w:r>
      <w:r w:rsidRPr="008D57B9">
        <w:rPr>
          <w:rFonts w:ascii="Arial" w:hAnsi="Arial" w:cs="Arial"/>
          <w:color w:val="000000"/>
        </w:rPr>
        <w:tab/>
      </w:r>
      <w:r w:rsidR="00425CD0">
        <w:rPr>
          <w:rFonts w:ascii="Arial" w:hAnsi="Arial" w:cs="Arial"/>
          <w:color w:val="000000"/>
        </w:rPr>
        <w:t>9</w:t>
      </w:r>
    </w:p>
    <w:p w14:paraId="222DD9C6" w14:textId="7AB5929D" w:rsidR="00E44684" w:rsidRPr="008D57B9" w:rsidRDefault="00E44684" w:rsidP="008D57B9">
      <w:pPr>
        <w:tabs>
          <w:tab w:val="right" w:leader="dot" w:pos="9072"/>
        </w:tabs>
        <w:spacing w:after="100" w:line="276" w:lineRule="auto"/>
        <w:rPr>
          <w:rFonts w:ascii="Arial" w:hAnsi="Arial" w:cs="Arial"/>
          <w:color w:val="000000"/>
        </w:rPr>
      </w:pPr>
      <w:r w:rsidRPr="008D57B9">
        <w:rPr>
          <w:rFonts w:ascii="Arial" w:hAnsi="Arial" w:cs="Arial"/>
          <w:color w:val="000000"/>
        </w:rPr>
        <w:t>Table 6. Prioritised risk register</w:t>
      </w:r>
      <w:r w:rsidRPr="008D57B9">
        <w:rPr>
          <w:rFonts w:ascii="Arial" w:hAnsi="Arial" w:cs="Arial"/>
          <w:color w:val="000000"/>
        </w:rPr>
        <w:tab/>
        <w:t>1</w:t>
      </w:r>
      <w:r w:rsidR="00425CD0">
        <w:rPr>
          <w:rFonts w:ascii="Arial" w:hAnsi="Arial" w:cs="Arial"/>
          <w:color w:val="000000"/>
        </w:rPr>
        <w:t>0</w:t>
      </w:r>
    </w:p>
    <w:p w14:paraId="70DBCDEB" w14:textId="77777777" w:rsidR="00DB65A9" w:rsidRPr="008D57B9" w:rsidRDefault="00DB65A9" w:rsidP="008D57B9">
      <w:pPr>
        <w:pStyle w:val="Heading1"/>
        <w:spacing w:line="276" w:lineRule="auto"/>
        <w:rPr>
          <w:rFonts w:ascii="Arial" w:hAnsi="Arial" w:cs="Arial"/>
          <w:color w:val="auto"/>
          <w:sz w:val="24"/>
          <w:szCs w:val="24"/>
        </w:rPr>
      </w:pPr>
      <w:r w:rsidRPr="008D57B9">
        <w:rPr>
          <w:rFonts w:ascii="Arial" w:hAnsi="Arial" w:cs="Arial"/>
          <w:b/>
          <w:color w:val="auto"/>
          <w:sz w:val="24"/>
          <w:szCs w:val="24"/>
        </w:rPr>
        <w:t>List of Figures</w:t>
      </w:r>
    </w:p>
    <w:p w14:paraId="3B77B3DF" w14:textId="19CC2909" w:rsidR="00DB65A9" w:rsidRPr="008D57B9" w:rsidRDefault="00DB65A9" w:rsidP="008D57B9">
      <w:pPr>
        <w:tabs>
          <w:tab w:val="right" w:leader="dot" w:pos="9072"/>
        </w:tabs>
        <w:spacing w:after="100" w:line="276" w:lineRule="auto"/>
        <w:rPr>
          <w:rFonts w:ascii="Arial" w:hAnsi="Arial" w:cs="Arial"/>
        </w:rPr>
      </w:pPr>
      <w:r w:rsidRPr="008D57B9">
        <w:rPr>
          <w:rFonts w:ascii="Arial" w:hAnsi="Arial" w:cs="Arial"/>
          <w:color w:val="000000"/>
        </w:rPr>
        <w:t>Figure 1. Work breakdown structure</w:t>
      </w:r>
      <w:r w:rsidRPr="008D57B9">
        <w:rPr>
          <w:rFonts w:ascii="Arial" w:hAnsi="Arial" w:cs="Arial"/>
          <w:color w:val="000000"/>
        </w:rPr>
        <w:tab/>
      </w:r>
      <w:r w:rsidR="004F2514">
        <w:rPr>
          <w:rFonts w:ascii="Arial" w:hAnsi="Arial" w:cs="Arial"/>
          <w:color w:val="000000"/>
        </w:rPr>
        <w:t>4</w:t>
      </w:r>
    </w:p>
    <w:p w14:paraId="7A3C4375" w14:textId="3DC21A3B" w:rsidR="00DB65A9" w:rsidRPr="008D57B9" w:rsidRDefault="00DB65A9" w:rsidP="008D57B9">
      <w:pPr>
        <w:tabs>
          <w:tab w:val="right" w:leader="dot" w:pos="9072"/>
        </w:tabs>
        <w:spacing w:after="100" w:line="276" w:lineRule="auto"/>
        <w:rPr>
          <w:rFonts w:ascii="Arial" w:hAnsi="Arial" w:cs="Arial"/>
        </w:rPr>
      </w:pPr>
      <w:r w:rsidRPr="008D57B9">
        <w:rPr>
          <w:rFonts w:ascii="Arial" w:hAnsi="Arial" w:cs="Arial"/>
          <w:color w:val="000000"/>
        </w:rPr>
        <w:t>Figure 2. Thirty-six-month baseline Gantt chart</w:t>
      </w:r>
      <w:r w:rsidRPr="008D57B9">
        <w:rPr>
          <w:rFonts w:ascii="Arial" w:hAnsi="Arial" w:cs="Arial"/>
          <w:color w:val="000000"/>
        </w:rPr>
        <w:tab/>
      </w:r>
      <w:r w:rsidR="004F2514">
        <w:rPr>
          <w:rFonts w:ascii="Arial" w:hAnsi="Arial" w:cs="Arial"/>
          <w:color w:val="000000"/>
        </w:rPr>
        <w:t>6</w:t>
      </w:r>
    </w:p>
    <w:p w14:paraId="74F4CA59" w14:textId="77777777" w:rsidR="00DB65A9" w:rsidRPr="008D57B9" w:rsidRDefault="00DB65A9" w:rsidP="008D57B9">
      <w:pPr>
        <w:tabs>
          <w:tab w:val="right" w:leader="dot" w:pos="9072"/>
        </w:tabs>
        <w:spacing w:after="100" w:line="276" w:lineRule="auto"/>
        <w:rPr>
          <w:rFonts w:ascii="Arial" w:hAnsi="Arial" w:cs="Arial"/>
        </w:rPr>
      </w:pPr>
    </w:p>
    <w:p w14:paraId="7E21C6FD" w14:textId="77777777" w:rsidR="00DB65A9" w:rsidRPr="008D57B9" w:rsidRDefault="00DB65A9" w:rsidP="008D57B9">
      <w:pPr>
        <w:tabs>
          <w:tab w:val="right" w:leader="dot" w:pos="9072"/>
        </w:tabs>
        <w:spacing w:after="100" w:line="276" w:lineRule="auto"/>
        <w:rPr>
          <w:rFonts w:ascii="Arial" w:hAnsi="Arial" w:cs="Arial"/>
          <w:color w:val="000000"/>
        </w:rPr>
      </w:pPr>
    </w:p>
    <w:p w14:paraId="1C80D6E8" w14:textId="77777777" w:rsidR="00E44684" w:rsidRPr="008D57B9" w:rsidRDefault="00E44684" w:rsidP="008D57B9">
      <w:pPr>
        <w:tabs>
          <w:tab w:val="right" w:leader="dot" w:pos="9072"/>
        </w:tabs>
        <w:spacing w:after="60" w:line="276" w:lineRule="auto"/>
        <w:rPr>
          <w:rFonts w:ascii="Arial" w:hAnsi="Arial" w:cs="Arial"/>
          <w:b/>
          <w:color w:val="000000"/>
        </w:rPr>
      </w:pPr>
    </w:p>
    <w:p w14:paraId="6A214655" w14:textId="77777777" w:rsidR="00E44684" w:rsidRPr="008D57B9" w:rsidRDefault="00E44684" w:rsidP="008D57B9">
      <w:pPr>
        <w:tabs>
          <w:tab w:val="right" w:leader="dot" w:pos="9072"/>
        </w:tabs>
        <w:spacing w:after="60" w:line="276" w:lineRule="auto"/>
        <w:rPr>
          <w:rFonts w:ascii="Arial" w:hAnsi="Arial" w:cs="Arial"/>
        </w:rPr>
      </w:pPr>
    </w:p>
    <w:p w14:paraId="2D62F022" w14:textId="49A9D740" w:rsidR="00BA50D9" w:rsidRPr="008D57B9" w:rsidRDefault="009113F8" w:rsidP="00D73C46">
      <w:pPr>
        <w:spacing w:line="276" w:lineRule="auto"/>
        <w:rPr>
          <w:rFonts w:ascii="Arial" w:hAnsi="Arial" w:cs="Arial"/>
        </w:rPr>
      </w:pPr>
      <w:r w:rsidRPr="008D57B9">
        <w:rPr>
          <w:rFonts w:ascii="Arial" w:hAnsi="Arial" w:cs="Arial"/>
          <w:b/>
        </w:rPr>
        <w:t>Executive</w:t>
      </w:r>
      <w:r w:rsidR="00BA50D9" w:rsidRPr="008D57B9">
        <w:rPr>
          <w:rFonts w:ascii="Arial" w:hAnsi="Arial" w:cs="Arial"/>
          <w:b/>
        </w:rPr>
        <w:t xml:space="preserve"> Summary</w:t>
      </w:r>
    </w:p>
    <w:p w14:paraId="1306A30A" w14:textId="77777777" w:rsidR="00FA1FF3" w:rsidRPr="008D57B9" w:rsidRDefault="00BA50D9" w:rsidP="008D57B9">
      <w:pPr>
        <w:spacing w:line="276" w:lineRule="auto"/>
        <w:jc w:val="both"/>
        <w:rPr>
          <w:rFonts w:ascii="Arial" w:hAnsi="Arial" w:cs="Arial"/>
          <w:color w:val="000000"/>
        </w:rPr>
      </w:pPr>
      <w:r w:rsidRPr="008D57B9">
        <w:rPr>
          <w:rFonts w:ascii="Arial" w:hAnsi="Arial" w:cs="Arial"/>
          <w:color w:val="000000"/>
        </w:rPr>
        <w:tab/>
        <w:t xml:space="preserve">This project management plan sets out a controlled 36-month programme for redesigning the city's central transport hub after its closure in November 2025. </w:t>
      </w:r>
    </w:p>
    <w:p w14:paraId="660997E5" w14:textId="77777777" w:rsidR="00911F58" w:rsidRPr="008D57B9" w:rsidRDefault="00FA1FF3" w:rsidP="008D57B9">
      <w:pPr>
        <w:spacing w:line="276" w:lineRule="auto"/>
        <w:jc w:val="both"/>
        <w:rPr>
          <w:rFonts w:ascii="Arial" w:hAnsi="Arial" w:cs="Arial"/>
          <w:color w:val="000000"/>
        </w:rPr>
      </w:pPr>
      <w:r w:rsidRPr="008D57B9">
        <w:rPr>
          <w:rFonts w:ascii="Arial" w:hAnsi="Arial" w:cs="Arial"/>
          <w:color w:val="000000"/>
        </w:rPr>
        <w:tab/>
      </w:r>
      <w:r w:rsidR="00BA50D9" w:rsidRPr="008D57B9">
        <w:rPr>
          <w:rFonts w:ascii="Arial" w:hAnsi="Arial" w:cs="Arial"/>
          <w:color w:val="000000"/>
        </w:rPr>
        <w:t>The proposed investment is capped at GBP 25 million and combines safety renewal with step-free accessibility, renewable energy, smart systems, active-travel facilities and lower operational energy demand.</w:t>
      </w:r>
    </w:p>
    <w:p w14:paraId="0B5E3C81" w14:textId="19151146" w:rsidR="00FA1FF3" w:rsidRPr="008D57B9" w:rsidRDefault="00911F58" w:rsidP="008D57B9">
      <w:pPr>
        <w:spacing w:line="276" w:lineRule="auto"/>
        <w:jc w:val="both"/>
        <w:rPr>
          <w:rFonts w:ascii="Arial" w:hAnsi="Arial" w:cs="Arial"/>
          <w:color w:val="000000"/>
        </w:rPr>
      </w:pPr>
      <w:r w:rsidRPr="008D57B9">
        <w:rPr>
          <w:rFonts w:ascii="Arial" w:hAnsi="Arial" w:cs="Arial"/>
          <w:color w:val="000000"/>
        </w:rPr>
        <w:tab/>
      </w:r>
      <w:r w:rsidR="00BA50D9" w:rsidRPr="008D57B9">
        <w:rPr>
          <w:rFonts w:ascii="Arial" w:hAnsi="Arial" w:cs="Arial"/>
          <w:color w:val="000000"/>
        </w:rPr>
        <w:t xml:space="preserve"> A mainly predictive, stage-gated approach is selected because construction, statutory approval and commissioning activities require clear sequencing; structured design reviews and stakeholder consultation provide controlled adaptation. </w:t>
      </w:r>
    </w:p>
    <w:p w14:paraId="52043CC1" w14:textId="33226136" w:rsidR="00911F58" w:rsidRPr="008D57B9" w:rsidRDefault="00FA1FF3" w:rsidP="008D57B9">
      <w:pPr>
        <w:spacing w:line="276" w:lineRule="auto"/>
        <w:jc w:val="both"/>
        <w:rPr>
          <w:rFonts w:ascii="Arial" w:hAnsi="Arial" w:cs="Arial"/>
          <w:color w:val="000000"/>
        </w:rPr>
      </w:pPr>
      <w:r w:rsidRPr="008D57B9">
        <w:rPr>
          <w:rFonts w:ascii="Arial" w:hAnsi="Arial" w:cs="Arial"/>
          <w:color w:val="000000"/>
        </w:rPr>
        <w:tab/>
      </w:r>
      <w:r w:rsidR="00BA50D9" w:rsidRPr="008D57B9">
        <w:rPr>
          <w:rFonts w:ascii="Arial" w:hAnsi="Arial" w:cs="Arial"/>
          <w:color w:val="000000"/>
        </w:rPr>
        <w:t>The plan defines scope boundaries, a six-phase work breakdown structure, a baseline Gantt schedule, a Quad Chart, stakeholder engagement, resource allocation, RACI accountability and a scored risk register</w:t>
      </w:r>
      <w:r w:rsidR="000B2543" w:rsidRPr="008D57B9">
        <w:rPr>
          <w:rFonts w:ascii="Arial" w:hAnsi="Arial" w:cs="Arial"/>
          <w:color w:val="000000"/>
        </w:rPr>
        <w:t>, all aimed at ensuring stakeholder understanding and alignment</w:t>
      </w:r>
      <w:r w:rsidR="00BA50D9" w:rsidRPr="008D57B9">
        <w:rPr>
          <w:rFonts w:ascii="Arial" w:hAnsi="Arial" w:cs="Arial"/>
          <w:color w:val="000000"/>
        </w:rPr>
        <w:t xml:space="preserve">. </w:t>
      </w:r>
    </w:p>
    <w:p w14:paraId="7729A493" w14:textId="1FD57827" w:rsidR="00911F58" w:rsidRPr="008D57B9" w:rsidRDefault="00BA50D9" w:rsidP="008D57B9">
      <w:pPr>
        <w:spacing w:line="276" w:lineRule="auto"/>
        <w:jc w:val="both"/>
        <w:rPr>
          <w:rFonts w:ascii="Arial" w:hAnsi="Arial" w:cs="Arial"/>
          <w:color w:val="000000"/>
        </w:rPr>
      </w:pPr>
      <w:r w:rsidRPr="008D57B9">
        <w:rPr>
          <w:rFonts w:ascii="Arial" w:hAnsi="Arial" w:cs="Arial"/>
          <w:color w:val="000000"/>
        </w:rPr>
        <w:tab/>
        <w:t>Success is measured through completion within 36 months and budget, at least a 30% carbon-emission reduction by Year 3, a 30% reduction in operational energy use, full accessibility acceptance, passenger satisfaction of at least 80% and no major safety incident.</w:t>
      </w:r>
      <w:r w:rsidR="000B2543" w:rsidRPr="008D57B9">
        <w:rPr>
          <w:rFonts w:ascii="Arial" w:hAnsi="Arial" w:cs="Arial"/>
          <w:color w:val="000000"/>
        </w:rPr>
        <w:t xml:space="preserve"> Clarifying these success criteria helps the audience feel assured and motivated about the project's goals.</w:t>
      </w:r>
    </w:p>
    <w:p w14:paraId="47A31707" w14:textId="1D9077CB" w:rsidR="00BA50D9" w:rsidRPr="008D57B9" w:rsidRDefault="00911F58" w:rsidP="008D57B9">
      <w:pPr>
        <w:spacing w:line="276" w:lineRule="auto"/>
        <w:jc w:val="both"/>
        <w:rPr>
          <w:rFonts w:ascii="Arial" w:hAnsi="Arial" w:cs="Arial"/>
        </w:rPr>
      </w:pPr>
      <w:r w:rsidRPr="008D57B9">
        <w:rPr>
          <w:rFonts w:ascii="Arial" w:hAnsi="Arial" w:cs="Arial"/>
          <w:color w:val="000000"/>
        </w:rPr>
        <w:tab/>
      </w:r>
      <w:r w:rsidR="00BA50D9" w:rsidRPr="008D57B9">
        <w:rPr>
          <w:rFonts w:ascii="Arial" w:hAnsi="Arial" w:cs="Arial"/>
          <w:color w:val="000000"/>
        </w:rPr>
        <w:t xml:space="preserve"> </w:t>
      </w:r>
      <w:r w:rsidR="000B2543" w:rsidRPr="008D57B9">
        <w:rPr>
          <w:rFonts w:ascii="Arial" w:hAnsi="Arial" w:cs="Arial"/>
          <w:color w:val="000000"/>
        </w:rPr>
        <w:t>The plan defines scope boundaries, a six-phase work breakdown structure, a baseline Gantt schedule, a Quad Chart, stakeholder engagement, resource allocation, RACI accountability and a scored risk register. Emphasising stakeholder involvement helps the audience feel included and confident in the project's collaborative management</w:t>
      </w:r>
      <w:r w:rsidR="00BA50D9" w:rsidRPr="008D57B9">
        <w:rPr>
          <w:rFonts w:ascii="Arial" w:hAnsi="Arial" w:cs="Arial"/>
          <w:color w:val="000000"/>
        </w:rPr>
        <w:t>.</w:t>
      </w:r>
    </w:p>
    <w:p w14:paraId="4DAB7913" w14:textId="77777777" w:rsidR="00C76260" w:rsidRPr="008D57B9" w:rsidRDefault="00BA50D9" w:rsidP="008D57B9">
      <w:pPr>
        <w:spacing w:line="276" w:lineRule="auto"/>
        <w:jc w:val="both"/>
        <w:rPr>
          <w:rFonts w:ascii="Arial" w:hAnsi="Arial" w:cs="Arial"/>
        </w:rPr>
        <w:sectPr w:rsidR="00C76260" w:rsidRPr="008D57B9">
          <w:headerReference w:type="default" r:id="rId11"/>
          <w:pgSz w:w="11906" w:h="16838"/>
          <w:pgMar w:top="1440" w:right="1440" w:bottom="1440" w:left="1440" w:header="708" w:footer="708" w:gutter="0"/>
          <w:cols w:space="708"/>
          <w:docGrid w:linePitch="360"/>
        </w:sectPr>
      </w:pPr>
      <w:r w:rsidRPr="008D57B9">
        <w:rPr>
          <w:rFonts w:ascii="Arial" w:hAnsi="Arial" w:cs="Arial"/>
        </w:rPr>
        <w:br w:type="page"/>
      </w:r>
    </w:p>
    <w:p w14:paraId="3836CB0F" w14:textId="77777777" w:rsidR="00767E40" w:rsidRPr="008D57B9" w:rsidRDefault="00767E40" w:rsidP="008D57B9">
      <w:pPr>
        <w:pStyle w:val="Heading1"/>
        <w:numPr>
          <w:ilvl w:val="0"/>
          <w:numId w:val="1"/>
        </w:numPr>
        <w:spacing w:line="276" w:lineRule="auto"/>
        <w:jc w:val="both"/>
        <w:rPr>
          <w:rFonts w:ascii="Arial" w:hAnsi="Arial" w:cs="Arial"/>
          <w:color w:val="auto"/>
          <w:sz w:val="24"/>
          <w:szCs w:val="24"/>
        </w:rPr>
      </w:pPr>
      <w:r w:rsidRPr="008D57B9">
        <w:rPr>
          <w:rFonts w:ascii="Arial" w:hAnsi="Arial" w:cs="Arial"/>
          <w:b/>
          <w:color w:val="auto"/>
          <w:sz w:val="24"/>
          <w:szCs w:val="24"/>
        </w:rPr>
        <w:lastRenderedPageBreak/>
        <w:t>Introduction</w:t>
      </w:r>
    </w:p>
    <w:p w14:paraId="2918DA03" w14:textId="351B24F0" w:rsidR="00767E40" w:rsidRPr="008D57B9" w:rsidRDefault="00F202A9" w:rsidP="008D57B9">
      <w:pPr>
        <w:spacing w:line="276" w:lineRule="auto"/>
        <w:jc w:val="both"/>
        <w:rPr>
          <w:rFonts w:ascii="Arial" w:hAnsi="Arial" w:cs="Arial"/>
        </w:rPr>
      </w:pPr>
      <w:r w:rsidRPr="008D57B9">
        <w:rPr>
          <w:rFonts w:ascii="Arial" w:hAnsi="Arial" w:cs="Arial"/>
          <w:color w:val="000000"/>
        </w:rPr>
        <w:tab/>
      </w:r>
      <w:r w:rsidR="00767E40" w:rsidRPr="008D57B9">
        <w:rPr>
          <w:rFonts w:ascii="Arial" w:hAnsi="Arial" w:cs="Arial"/>
          <w:color w:val="000000"/>
        </w:rPr>
        <w:t>The closure of the central transport hub in November 2025 exposes material weaknesses in safety, accessibility and environmental performance. The proposed redesign responds through an integrated public-infrastructure project rather than a like-for-like repair. National policy expects transport investment to support the transition to net zero while improving the attractiveness of public and active travel (Department for Transport, 2021; HM Government, 2021). The plan therefore treats carbon, energy, inclusion and passenger experience as controlled project outcomes alongside time, cost and quality.</w:t>
      </w:r>
    </w:p>
    <w:p w14:paraId="39707D95" w14:textId="6D64E9BF" w:rsidR="00767E40" w:rsidRPr="008D57B9" w:rsidRDefault="00F202A9" w:rsidP="008D57B9">
      <w:pPr>
        <w:spacing w:line="276" w:lineRule="auto"/>
        <w:jc w:val="both"/>
        <w:rPr>
          <w:rFonts w:ascii="Arial" w:hAnsi="Arial" w:cs="Arial"/>
        </w:rPr>
      </w:pPr>
      <w:r w:rsidRPr="008D57B9">
        <w:rPr>
          <w:rFonts w:ascii="Arial" w:hAnsi="Arial" w:cs="Arial"/>
        </w:rPr>
        <w:tab/>
        <w:t>A project management plan translates those outcomes into governable work, decision rights, resources, controls and acceptance measures. The Project Management Institute (2025) emphasises value delivery, adaptability, accountability, stakeholders, risk and tailoring; these principles suit a transport hub whose construction, operational and community systems are interdependent. Sustainable project management also extends decisions beyond delivery to whole-life environmental, social and economic impacts (UK Green Building Council, 2021; Wu et al., 2023). Accordingly, this report applies a tailored predictive approach with controlled consultation and design iteration, supported by a WBS, Gantt schedule, Quad Chart, stakeholder analysis, resource plan and risk register.</w:t>
      </w:r>
    </w:p>
    <w:p w14:paraId="11B7FBF8" w14:textId="10748E92" w:rsidR="00586E9C" w:rsidRPr="00425CD0" w:rsidRDefault="00F202A9" w:rsidP="008D57B9">
      <w:pPr>
        <w:spacing w:line="276" w:lineRule="auto"/>
        <w:jc w:val="both"/>
        <w:rPr>
          <w:rFonts w:ascii="Arial" w:hAnsi="Arial" w:cs="Arial"/>
          <w:color w:val="000000"/>
        </w:rPr>
      </w:pPr>
      <w:r w:rsidRPr="008D57B9">
        <w:rPr>
          <w:rFonts w:ascii="Arial" w:hAnsi="Arial" w:cs="Arial"/>
          <w:color w:val="000000"/>
        </w:rPr>
        <w:tab/>
      </w:r>
      <w:r w:rsidR="00767E40" w:rsidRPr="008D57B9">
        <w:rPr>
          <w:rFonts w:ascii="Arial" w:hAnsi="Arial" w:cs="Arial"/>
          <w:color w:val="000000"/>
        </w:rPr>
        <w:t>The plan is intended for the project sponsor, local authority, delivery team, regulators, operators</w:t>
      </w:r>
      <w:r w:rsidR="000B2543" w:rsidRPr="008D57B9">
        <w:rPr>
          <w:rFonts w:ascii="Arial" w:hAnsi="Arial" w:cs="Arial"/>
          <w:color w:val="000000"/>
        </w:rPr>
        <w:t>, and community representatives, emphasising the need for consistent communication about decisions, progress, cost, risk, and expected benefits to keep stakeholders engaged and aligned</w:t>
      </w:r>
      <w:r w:rsidR="00767E40" w:rsidRPr="008D57B9">
        <w:rPr>
          <w:rFonts w:ascii="Arial" w:hAnsi="Arial" w:cs="Arial"/>
          <w:color w:val="000000"/>
        </w:rPr>
        <w:t>.</w:t>
      </w:r>
    </w:p>
    <w:p w14:paraId="157C79B6" w14:textId="77777777" w:rsidR="00767E40" w:rsidRPr="008D57B9" w:rsidRDefault="00767E40" w:rsidP="008D57B9">
      <w:pPr>
        <w:pStyle w:val="Heading1"/>
        <w:numPr>
          <w:ilvl w:val="0"/>
          <w:numId w:val="1"/>
        </w:numPr>
        <w:spacing w:line="276" w:lineRule="auto"/>
        <w:jc w:val="both"/>
        <w:rPr>
          <w:rFonts w:ascii="Arial" w:hAnsi="Arial" w:cs="Arial"/>
          <w:color w:val="auto"/>
          <w:sz w:val="24"/>
          <w:szCs w:val="24"/>
        </w:rPr>
      </w:pPr>
      <w:r w:rsidRPr="008D57B9">
        <w:rPr>
          <w:rFonts w:ascii="Arial" w:hAnsi="Arial" w:cs="Arial"/>
          <w:b/>
          <w:color w:val="auto"/>
          <w:sz w:val="24"/>
          <w:szCs w:val="24"/>
        </w:rPr>
        <w:t>Project Description</w:t>
      </w:r>
    </w:p>
    <w:p w14:paraId="63560299" w14:textId="77777777" w:rsidR="00767E40" w:rsidRPr="008D57B9" w:rsidRDefault="00767E40" w:rsidP="008D57B9">
      <w:pPr>
        <w:pStyle w:val="Heading2"/>
        <w:numPr>
          <w:ilvl w:val="1"/>
          <w:numId w:val="1"/>
        </w:numPr>
        <w:spacing w:line="276" w:lineRule="auto"/>
        <w:jc w:val="both"/>
        <w:rPr>
          <w:rFonts w:ascii="Arial" w:hAnsi="Arial" w:cs="Arial"/>
          <w:color w:val="000000" w:themeColor="text1"/>
          <w:sz w:val="24"/>
          <w:szCs w:val="24"/>
        </w:rPr>
      </w:pPr>
      <w:r w:rsidRPr="008D57B9">
        <w:rPr>
          <w:rFonts w:ascii="Arial" w:hAnsi="Arial" w:cs="Arial"/>
          <w:b/>
          <w:color w:val="000000" w:themeColor="text1"/>
          <w:sz w:val="24"/>
          <w:szCs w:val="24"/>
        </w:rPr>
        <w:t>Business Need and Objectives</w:t>
      </w:r>
    </w:p>
    <w:p w14:paraId="75AE8C5C" w14:textId="36A9BE14" w:rsidR="00767E40" w:rsidRPr="008D57B9" w:rsidRDefault="00767E40" w:rsidP="008D57B9">
      <w:pPr>
        <w:spacing w:line="276" w:lineRule="auto"/>
        <w:jc w:val="both"/>
        <w:rPr>
          <w:rFonts w:ascii="Arial" w:hAnsi="Arial" w:cs="Arial"/>
        </w:rPr>
      </w:pPr>
      <w:r w:rsidRPr="008D57B9">
        <w:rPr>
          <w:rFonts w:ascii="Arial" w:hAnsi="Arial" w:cs="Arial"/>
          <w:color w:val="000000"/>
        </w:rPr>
        <w:t xml:space="preserve">The project redesigns the existing central interchange as a safe, resilient and inclusive gateway for bus, pedestrian and cycling movements. Core outputs comprise renewed passenger and operational areas, step-free routes, accessible facilities, </w:t>
      </w:r>
      <w:r w:rsidR="008B2319" w:rsidRPr="008D57B9">
        <w:rPr>
          <w:rFonts w:ascii="Arial" w:hAnsi="Arial" w:cs="Arial"/>
          <w:color w:val="000000"/>
        </w:rPr>
        <w:t>renewable energy generation, electric-vehicle support, smart energy and passenger information systems, secure cycle provision,</w:t>
      </w:r>
      <w:r w:rsidRPr="008D57B9">
        <w:rPr>
          <w:rFonts w:ascii="Arial" w:hAnsi="Arial" w:cs="Arial"/>
          <w:color w:val="000000"/>
        </w:rPr>
        <w:t xml:space="preserve"> and improved pedestrian connections. Construction is planned around temporary access and service-continuity arrangements so that disruption remains proportionate.</w:t>
      </w:r>
    </w:p>
    <w:p w14:paraId="444B8B06" w14:textId="63C6EC5D" w:rsidR="00767E40" w:rsidRPr="008D57B9" w:rsidRDefault="00F202A9" w:rsidP="008D57B9">
      <w:pPr>
        <w:spacing w:line="276" w:lineRule="auto"/>
        <w:jc w:val="both"/>
        <w:rPr>
          <w:rFonts w:ascii="Arial" w:hAnsi="Arial" w:cs="Arial"/>
        </w:rPr>
      </w:pPr>
      <w:r w:rsidRPr="008D57B9">
        <w:rPr>
          <w:rFonts w:ascii="Arial" w:hAnsi="Arial" w:cs="Arial"/>
        </w:rPr>
        <w:tab/>
        <w:t xml:space="preserve">The approved parameters are a maximum budget of GBP 25 million and completion within 36 months. Outcome targets are at least a 30% reduction in carbon emissions by Year 3, a 30% reduction in operational energy use, compliance with applicable net-zero and accessibility requirements, passenger satisfaction of at least 80%, and zero major safety incidents. Current guidance assesses success across value, benefits, sustainability, time, cost, risk, scope and quality rather than relying </w:t>
      </w:r>
      <w:r w:rsidRPr="008D57B9">
        <w:rPr>
          <w:rFonts w:ascii="Arial" w:hAnsi="Arial" w:cs="Arial"/>
        </w:rPr>
        <w:lastRenderedPageBreak/>
        <w:t>only on the traditional iron triangle (PeopleCert, 2023; Project Management Institute, 2025).</w:t>
      </w:r>
    </w:p>
    <w:p w14:paraId="3318238A" w14:textId="77777777" w:rsidR="00586E9C" w:rsidRPr="008D57B9" w:rsidRDefault="00586E9C" w:rsidP="008D57B9">
      <w:pPr>
        <w:spacing w:line="276" w:lineRule="auto"/>
        <w:jc w:val="both"/>
        <w:rPr>
          <w:rFonts w:ascii="Arial" w:hAnsi="Arial" w:cs="Arial"/>
        </w:rPr>
      </w:pPr>
    </w:p>
    <w:p w14:paraId="21214AB6" w14:textId="77777777" w:rsidR="00767E40" w:rsidRPr="008D57B9" w:rsidRDefault="00767E40" w:rsidP="008D57B9">
      <w:pPr>
        <w:pStyle w:val="Heading2"/>
        <w:numPr>
          <w:ilvl w:val="1"/>
          <w:numId w:val="1"/>
        </w:numPr>
        <w:spacing w:line="276" w:lineRule="auto"/>
        <w:jc w:val="both"/>
        <w:rPr>
          <w:rFonts w:ascii="Arial" w:hAnsi="Arial" w:cs="Arial"/>
          <w:color w:val="000000" w:themeColor="text1"/>
          <w:sz w:val="24"/>
          <w:szCs w:val="24"/>
        </w:rPr>
      </w:pPr>
      <w:r w:rsidRPr="008D57B9">
        <w:rPr>
          <w:rFonts w:ascii="Arial" w:hAnsi="Arial" w:cs="Arial"/>
          <w:b/>
          <w:color w:val="000000" w:themeColor="text1"/>
          <w:sz w:val="24"/>
          <w:szCs w:val="24"/>
        </w:rPr>
        <w:t>Delivery and Governance Approach</w:t>
      </w:r>
    </w:p>
    <w:p w14:paraId="153BE051" w14:textId="43EF6F5B" w:rsidR="00767E40" w:rsidRPr="008D57B9" w:rsidRDefault="00683424" w:rsidP="008D57B9">
      <w:pPr>
        <w:spacing w:line="276" w:lineRule="auto"/>
        <w:jc w:val="both"/>
        <w:rPr>
          <w:rFonts w:ascii="Arial" w:hAnsi="Arial" w:cs="Arial"/>
        </w:rPr>
      </w:pPr>
      <w:r w:rsidRPr="008D57B9">
        <w:rPr>
          <w:rFonts w:ascii="Arial" w:hAnsi="Arial" w:cs="Arial"/>
        </w:rPr>
        <w:tab/>
        <w:t>A predictive, stage-gated lifecycle is appropriate for feasibility, planning approval, detailed design, procurement, construction, commissioning and handover. Each gate requires sponsor approval of scope, cost, risk and readiness before further commitment. Adaptive elements operate within design packages: accessibility users, operations staff and community representatives review prototypes and layouts before design freeze. This combination preserves baseline control while allowing learning where stakeholder needs and technical interfaces are uncertain. Governance separates direction from delivery through a sponsor-led project board, a responsible project manager, specialist assurance and formal change control. This tailored structure is consistent with current guidance on project context, governance and delivery capability (International Organisation for Standardisation, 2021; Infrastructure and Projects Authority, 2022).</w:t>
      </w:r>
    </w:p>
    <w:p w14:paraId="35193FBE" w14:textId="538FC867" w:rsidR="00767E40" w:rsidRPr="008D57B9" w:rsidRDefault="00683424" w:rsidP="008D57B9">
      <w:pPr>
        <w:spacing w:line="276" w:lineRule="auto"/>
        <w:jc w:val="both"/>
        <w:rPr>
          <w:rFonts w:ascii="Arial" w:hAnsi="Arial" w:cs="Arial"/>
        </w:rPr>
      </w:pPr>
      <w:r w:rsidRPr="008D57B9">
        <w:rPr>
          <w:rFonts w:ascii="Arial" w:hAnsi="Arial" w:cs="Arial"/>
          <w:color w:val="000000"/>
        </w:rPr>
        <w:tab/>
      </w:r>
      <w:r w:rsidR="00767E40" w:rsidRPr="008D57B9">
        <w:rPr>
          <w:rFonts w:ascii="Arial" w:hAnsi="Arial" w:cs="Arial"/>
          <w:color w:val="000000"/>
        </w:rPr>
        <w:t>Governance information flows from work-package leads to the project manager and then to the project board. The board reviews the schedule, cost forecast, major risks, quality results, carbon performance and stakeholder issues each month. Decisions and actions are recorded in controlled logs with owners and completion dates. Independent assurance is used at design freeze, construction readiness and final acceptance to test whether evidence is complete. This structure supports accountability without removing the contractor's responsibility for safe and compliant delivery.</w:t>
      </w:r>
    </w:p>
    <w:p w14:paraId="24AF3E55" w14:textId="77777777" w:rsidR="00767E40" w:rsidRPr="008D57B9" w:rsidRDefault="00767E40" w:rsidP="008D57B9">
      <w:pPr>
        <w:pStyle w:val="Heading1"/>
        <w:numPr>
          <w:ilvl w:val="0"/>
          <w:numId w:val="1"/>
        </w:numPr>
        <w:spacing w:line="276" w:lineRule="auto"/>
        <w:jc w:val="both"/>
        <w:rPr>
          <w:rFonts w:ascii="Arial" w:hAnsi="Arial" w:cs="Arial"/>
          <w:color w:val="auto"/>
          <w:sz w:val="24"/>
          <w:szCs w:val="24"/>
        </w:rPr>
      </w:pPr>
      <w:r w:rsidRPr="008D57B9">
        <w:rPr>
          <w:rFonts w:ascii="Arial" w:hAnsi="Arial" w:cs="Arial"/>
          <w:b/>
          <w:color w:val="auto"/>
          <w:sz w:val="24"/>
          <w:szCs w:val="24"/>
        </w:rPr>
        <w:t>Scope</w:t>
      </w:r>
    </w:p>
    <w:p w14:paraId="71F70257" w14:textId="77777777" w:rsidR="00767E40" w:rsidRPr="008D57B9" w:rsidRDefault="00767E40" w:rsidP="008D57B9">
      <w:pPr>
        <w:pStyle w:val="Heading2"/>
        <w:numPr>
          <w:ilvl w:val="1"/>
          <w:numId w:val="1"/>
        </w:numPr>
        <w:spacing w:line="276" w:lineRule="auto"/>
        <w:jc w:val="both"/>
        <w:rPr>
          <w:rFonts w:ascii="Arial" w:hAnsi="Arial" w:cs="Arial"/>
          <w:color w:val="000000" w:themeColor="text1"/>
          <w:sz w:val="24"/>
          <w:szCs w:val="24"/>
        </w:rPr>
      </w:pPr>
      <w:r w:rsidRPr="008D57B9">
        <w:rPr>
          <w:rFonts w:ascii="Arial" w:hAnsi="Arial" w:cs="Arial"/>
          <w:b/>
          <w:color w:val="000000" w:themeColor="text1"/>
          <w:sz w:val="24"/>
          <w:szCs w:val="24"/>
        </w:rPr>
        <w:t>Scope Statement and Deliverables</w:t>
      </w:r>
    </w:p>
    <w:p w14:paraId="2B2AA6D1" w14:textId="77777777" w:rsidR="00683424" w:rsidRPr="008D57B9" w:rsidRDefault="00683424" w:rsidP="008D57B9">
      <w:pPr>
        <w:spacing w:line="276" w:lineRule="auto"/>
        <w:jc w:val="both"/>
        <w:rPr>
          <w:rFonts w:ascii="Arial" w:hAnsi="Arial" w:cs="Arial"/>
          <w:color w:val="000000"/>
        </w:rPr>
      </w:pPr>
      <w:r w:rsidRPr="008D57B9">
        <w:rPr>
          <w:rFonts w:ascii="Arial" w:hAnsi="Arial" w:cs="Arial"/>
          <w:color w:val="000000"/>
        </w:rPr>
        <w:tab/>
      </w:r>
      <w:r w:rsidR="00767E40" w:rsidRPr="008D57B9">
        <w:rPr>
          <w:rFonts w:ascii="Arial" w:hAnsi="Arial" w:cs="Arial"/>
          <w:color w:val="000000"/>
        </w:rPr>
        <w:t>The scope covers design and delivery inside the defined hub boundary, including enabling works, passenger areas, transport interfaces, accessibility upgrades, renewable and smart-energy systems, active-travel facilities, testing, staff training and operational handover. The product scope is expressed as measurable deliverables, while the project scope includes the management work needed to produce and accept them.</w:t>
      </w:r>
    </w:p>
    <w:p w14:paraId="2C21BE0A" w14:textId="7A14F527" w:rsidR="00767E40" w:rsidRPr="008D57B9" w:rsidRDefault="00683424" w:rsidP="008D57B9">
      <w:pPr>
        <w:spacing w:line="276" w:lineRule="auto"/>
        <w:jc w:val="both"/>
        <w:rPr>
          <w:rFonts w:ascii="Arial" w:hAnsi="Arial" w:cs="Arial"/>
        </w:rPr>
      </w:pPr>
      <w:r w:rsidRPr="008D57B9">
        <w:rPr>
          <w:rFonts w:ascii="Arial" w:hAnsi="Arial" w:cs="Arial"/>
        </w:rPr>
        <w:tab/>
        <w:t>Configuration control links each deliverable to requirements, design approval, testing evidence and an accountable owner. Whole-life thinking is necessary because environmental performance during construction may differ from performance during operation (UK Green Building Council, 2021).</w:t>
      </w:r>
    </w:p>
    <w:p w14:paraId="5A61F56F" w14:textId="77777777" w:rsidR="007D725F" w:rsidRDefault="00683424" w:rsidP="008D57B9">
      <w:pPr>
        <w:spacing w:line="276" w:lineRule="auto"/>
        <w:jc w:val="both"/>
        <w:rPr>
          <w:rFonts w:ascii="Arial" w:hAnsi="Arial" w:cs="Arial"/>
          <w:color w:val="000000"/>
        </w:rPr>
      </w:pPr>
      <w:r w:rsidRPr="008D57B9">
        <w:rPr>
          <w:rFonts w:ascii="Arial" w:hAnsi="Arial" w:cs="Arial"/>
          <w:color w:val="000000"/>
        </w:rPr>
        <w:tab/>
      </w:r>
    </w:p>
    <w:p w14:paraId="146D33E3" w14:textId="5E22068B" w:rsidR="006A7CAC" w:rsidRPr="008D57B9" w:rsidRDefault="00767E40" w:rsidP="008D57B9">
      <w:pPr>
        <w:spacing w:line="276" w:lineRule="auto"/>
        <w:jc w:val="both"/>
        <w:rPr>
          <w:rFonts w:ascii="Arial" w:hAnsi="Arial" w:cs="Arial"/>
          <w:color w:val="000000"/>
        </w:rPr>
      </w:pPr>
      <w:r w:rsidRPr="008D57B9">
        <w:rPr>
          <w:rFonts w:ascii="Arial" w:hAnsi="Arial" w:cs="Arial"/>
          <w:b/>
          <w:bCs/>
          <w:color w:val="000000"/>
        </w:rPr>
        <w:lastRenderedPageBreak/>
        <w:t>Table 1</w:t>
      </w:r>
      <w:r w:rsidRPr="008D57B9">
        <w:rPr>
          <w:rFonts w:ascii="Arial" w:hAnsi="Arial" w:cs="Arial"/>
          <w:color w:val="000000"/>
        </w:rPr>
        <w:t xml:space="preserve"> clarifies what the baseline includes and excludes. The boundary prevents unapproved expansion while retaining the work needed to realise the approved benefits.</w:t>
      </w:r>
    </w:p>
    <w:tbl>
      <w:tblPr>
        <w:tblStyle w:val="TableGrid"/>
        <w:tblW w:w="9360" w:type="dxa"/>
        <w:tblInd w:w="120" w:type="dxa"/>
        <w:tblLayout w:type="fixed"/>
        <w:tblLook w:val="04A0" w:firstRow="1" w:lastRow="0" w:firstColumn="1" w:lastColumn="0" w:noHBand="0" w:noVBand="1"/>
      </w:tblPr>
      <w:tblGrid>
        <w:gridCol w:w="4680"/>
        <w:gridCol w:w="4680"/>
      </w:tblGrid>
      <w:tr w:rsidR="00767E40" w:rsidRPr="008D57B9" w14:paraId="0F454CB1" w14:textId="77777777" w:rsidTr="00090BCE">
        <w:trPr>
          <w:tblHeader/>
        </w:trPr>
        <w:tc>
          <w:tcPr>
            <w:tcW w:w="4680" w:type="dxa"/>
            <w:shd w:val="clear" w:color="auto" w:fill="CAEDFB" w:themeFill="accent4" w:themeFillTint="33"/>
            <w:tcMar>
              <w:top w:w="80" w:type="dxa"/>
              <w:left w:w="120" w:type="dxa"/>
              <w:bottom w:w="80" w:type="dxa"/>
              <w:right w:w="120" w:type="dxa"/>
            </w:tcMar>
            <w:vAlign w:val="center"/>
          </w:tcPr>
          <w:p w14:paraId="6130038F" w14:textId="77777777" w:rsidR="00767E40" w:rsidRPr="008D57B9" w:rsidRDefault="00767E40" w:rsidP="008D57B9">
            <w:pPr>
              <w:spacing w:line="276" w:lineRule="auto"/>
              <w:jc w:val="center"/>
              <w:rPr>
                <w:rFonts w:ascii="Arial" w:hAnsi="Arial" w:cs="Arial"/>
                <w:sz w:val="24"/>
                <w:szCs w:val="24"/>
              </w:rPr>
            </w:pPr>
            <w:r w:rsidRPr="008D57B9">
              <w:rPr>
                <w:rFonts w:ascii="Arial" w:hAnsi="Arial" w:cs="Arial"/>
                <w:b/>
                <w:color w:val="0B2545"/>
                <w:sz w:val="24"/>
                <w:szCs w:val="24"/>
              </w:rPr>
              <w:t>Included in baseline</w:t>
            </w:r>
          </w:p>
        </w:tc>
        <w:tc>
          <w:tcPr>
            <w:tcW w:w="4680" w:type="dxa"/>
            <w:shd w:val="clear" w:color="auto" w:fill="CAEDFB" w:themeFill="accent4" w:themeFillTint="33"/>
            <w:tcMar>
              <w:top w:w="80" w:type="dxa"/>
              <w:left w:w="120" w:type="dxa"/>
              <w:bottom w:w="80" w:type="dxa"/>
              <w:right w:w="120" w:type="dxa"/>
            </w:tcMar>
            <w:vAlign w:val="center"/>
          </w:tcPr>
          <w:p w14:paraId="0A057AD1" w14:textId="77777777" w:rsidR="00767E40" w:rsidRPr="008D57B9" w:rsidRDefault="00767E40" w:rsidP="008D57B9">
            <w:pPr>
              <w:spacing w:line="276" w:lineRule="auto"/>
              <w:jc w:val="center"/>
              <w:rPr>
                <w:rFonts w:ascii="Arial" w:hAnsi="Arial" w:cs="Arial"/>
                <w:sz w:val="24"/>
                <w:szCs w:val="24"/>
              </w:rPr>
            </w:pPr>
            <w:r w:rsidRPr="008D57B9">
              <w:rPr>
                <w:rFonts w:ascii="Arial" w:hAnsi="Arial" w:cs="Arial"/>
                <w:b/>
                <w:color w:val="0B2545"/>
                <w:sz w:val="24"/>
                <w:szCs w:val="24"/>
              </w:rPr>
              <w:t>Excluded from baseline</w:t>
            </w:r>
          </w:p>
        </w:tc>
      </w:tr>
      <w:tr w:rsidR="00767E40" w:rsidRPr="008D57B9" w14:paraId="55149BC4" w14:textId="77777777" w:rsidTr="00090BCE">
        <w:tc>
          <w:tcPr>
            <w:tcW w:w="4680" w:type="dxa"/>
          </w:tcPr>
          <w:p w14:paraId="709BCE95" w14:textId="77777777" w:rsidR="00767E40" w:rsidRPr="008D57B9" w:rsidRDefault="00767E40" w:rsidP="008D57B9">
            <w:pPr>
              <w:spacing w:line="276" w:lineRule="auto"/>
              <w:rPr>
                <w:rFonts w:ascii="Arial" w:hAnsi="Arial" w:cs="Arial"/>
                <w:sz w:val="24"/>
                <w:szCs w:val="24"/>
              </w:rPr>
            </w:pPr>
            <w:r w:rsidRPr="008D57B9">
              <w:rPr>
                <w:rFonts w:ascii="Arial" w:hAnsi="Arial" w:cs="Arial"/>
                <w:color w:val="000000"/>
                <w:sz w:val="24"/>
                <w:szCs w:val="24"/>
              </w:rPr>
              <w:t>Hub building, platforms and passenger circulation</w:t>
            </w:r>
          </w:p>
        </w:tc>
        <w:tc>
          <w:tcPr>
            <w:tcW w:w="4680" w:type="dxa"/>
          </w:tcPr>
          <w:p w14:paraId="24511162" w14:textId="77777777" w:rsidR="00767E40" w:rsidRPr="008D57B9" w:rsidRDefault="00767E40" w:rsidP="008D57B9">
            <w:pPr>
              <w:spacing w:line="276" w:lineRule="auto"/>
              <w:rPr>
                <w:rFonts w:ascii="Arial" w:hAnsi="Arial" w:cs="Arial"/>
                <w:sz w:val="24"/>
                <w:szCs w:val="24"/>
              </w:rPr>
            </w:pPr>
            <w:r w:rsidRPr="008D57B9">
              <w:rPr>
                <w:rFonts w:ascii="Arial" w:hAnsi="Arial" w:cs="Arial"/>
                <w:color w:val="000000"/>
                <w:sz w:val="24"/>
                <w:szCs w:val="24"/>
              </w:rPr>
              <w:t>Purchase of buses or other rolling stock</w:t>
            </w:r>
          </w:p>
        </w:tc>
      </w:tr>
      <w:tr w:rsidR="00767E40" w:rsidRPr="008D57B9" w14:paraId="43208B9F" w14:textId="77777777" w:rsidTr="00090BCE">
        <w:tc>
          <w:tcPr>
            <w:tcW w:w="4680" w:type="dxa"/>
          </w:tcPr>
          <w:p w14:paraId="12A88CC4" w14:textId="77777777" w:rsidR="00767E40" w:rsidRPr="008D57B9" w:rsidRDefault="00767E40" w:rsidP="008D57B9">
            <w:pPr>
              <w:spacing w:line="276" w:lineRule="auto"/>
              <w:rPr>
                <w:rFonts w:ascii="Arial" w:hAnsi="Arial" w:cs="Arial"/>
                <w:sz w:val="24"/>
                <w:szCs w:val="24"/>
              </w:rPr>
            </w:pPr>
            <w:r w:rsidRPr="008D57B9">
              <w:rPr>
                <w:rFonts w:ascii="Arial" w:hAnsi="Arial" w:cs="Arial"/>
                <w:color w:val="000000"/>
                <w:sz w:val="24"/>
                <w:szCs w:val="24"/>
              </w:rPr>
              <w:t>Step-free access, tactile routes and accessible facilities</w:t>
            </w:r>
          </w:p>
        </w:tc>
        <w:tc>
          <w:tcPr>
            <w:tcW w:w="4680" w:type="dxa"/>
          </w:tcPr>
          <w:p w14:paraId="672CF785" w14:textId="77777777" w:rsidR="00767E40" w:rsidRPr="008D57B9" w:rsidRDefault="00767E40" w:rsidP="008D57B9">
            <w:pPr>
              <w:spacing w:line="276" w:lineRule="auto"/>
              <w:rPr>
                <w:rFonts w:ascii="Arial" w:hAnsi="Arial" w:cs="Arial"/>
                <w:sz w:val="24"/>
                <w:szCs w:val="24"/>
              </w:rPr>
            </w:pPr>
            <w:r w:rsidRPr="008D57B9">
              <w:rPr>
                <w:rFonts w:ascii="Arial" w:hAnsi="Arial" w:cs="Arial"/>
                <w:color w:val="000000"/>
                <w:sz w:val="24"/>
                <w:szCs w:val="24"/>
              </w:rPr>
              <w:t>City-wide road works outside the hub boundary</w:t>
            </w:r>
          </w:p>
        </w:tc>
      </w:tr>
      <w:tr w:rsidR="00767E40" w:rsidRPr="008D57B9" w14:paraId="7AEE724A" w14:textId="77777777" w:rsidTr="00090BCE">
        <w:tc>
          <w:tcPr>
            <w:tcW w:w="4680" w:type="dxa"/>
          </w:tcPr>
          <w:p w14:paraId="52993897" w14:textId="77777777" w:rsidR="00767E40" w:rsidRPr="008D57B9" w:rsidRDefault="00767E40" w:rsidP="008D57B9">
            <w:pPr>
              <w:spacing w:line="276" w:lineRule="auto"/>
              <w:rPr>
                <w:rFonts w:ascii="Arial" w:hAnsi="Arial" w:cs="Arial"/>
                <w:sz w:val="24"/>
                <w:szCs w:val="24"/>
              </w:rPr>
            </w:pPr>
            <w:r w:rsidRPr="008D57B9">
              <w:rPr>
                <w:rFonts w:ascii="Arial" w:hAnsi="Arial" w:cs="Arial"/>
                <w:color w:val="000000"/>
                <w:sz w:val="24"/>
                <w:szCs w:val="24"/>
              </w:rPr>
              <w:t>Solar generation, charging and smart-energy controls</w:t>
            </w:r>
          </w:p>
        </w:tc>
        <w:tc>
          <w:tcPr>
            <w:tcW w:w="4680" w:type="dxa"/>
          </w:tcPr>
          <w:p w14:paraId="5B1CCCEC" w14:textId="77777777" w:rsidR="00767E40" w:rsidRPr="008D57B9" w:rsidRDefault="00767E40" w:rsidP="008D57B9">
            <w:pPr>
              <w:spacing w:line="276" w:lineRule="auto"/>
              <w:rPr>
                <w:rFonts w:ascii="Arial" w:hAnsi="Arial" w:cs="Arial"/>
                <w:sz w:val="24"/>
                <w:szCs w:val="24"/>
              </w:rPr>
            </w:pPr>
            <w:r w:rsidRPr="008D57B9">
              <w:rPr>
                <w:rFonts w:ascii="Arial" w:hAnsi="Arial" w:cs="Arial"/>
                <w:color w:val="000000"/>
                <w:sz w:val="24"/>
                <w:szCs w:val="24"/>
              </w:rPr>
              <w:t>Long-term operating subsidy after handover</w:t>
            </w:r>
          </w:p>
        </w:tc>
      </w:tr>
      <w:tr w:rsidR="00767E40" w:rsidRPr="008D57B9" w14:paraId="7C81289A" w14:textId="77777777" w:rsidTr="00090BCE">
        <w:tc>
          <w:tcPr>
            <w:tcW w:w="4680" w:type="dxa"/>
          </w:tcPr>
          <w:p w14:paraId="28A38B0D" w14:textId="77777777" w:rsidR="00767E40" w:rsidRPr="008D57B9" w:rsidRDefault="00767E40" w:rsidP="008D57B9">
            <w:pPr>
              <w:spacing w:line="276" w:lineRule="auto"/>
              <w:rPr>
                <w:rFonts w:ascii="Arial" w:hAnsi="Arial" w:cs="Arial"/>
                <w:sz w:val="24"/>
                <w:szCs w:val="24"/>
              </w:rPr>
            </w:pPr>
            <w:r w:rsidRPr="008D57B9">
              <w:rPr>
                <w:rFonts w:ascii="Arial" w:hAnsi="Arial" w:cs="Arial"/>
                <w:color w:val="000000"/>
                <w:sz w:val="24"/>
                <w:szCs w:val="24"/>
              </w:rPr>
              <w:t>Cycle parking, pedestrian links and passenger information</w:t>
            </w:r>
          </w:p>
        </w:tc>
        <w:tc>
          <w:tcPr>
            <w:tcW w:w="4680" w:type="dxa"/>
          </w:tcPr>
          <w:p w14:paraId="251A4977" w14:textId="77777777" w:rsidR="00767E40" w:rsidRPr="008D57B9" w:rsidRDefault="00767E40" w:rsidP="008D57B9">
            <w:pPr>
              <w:spacing w:line="276" w:lineRule="auto"/>
              <w:rPr>
                <w:rFonts w:ascii="Arial" w:hAnsi="Arial" w:cs="Arial"/>
                <w:sz w:val="24"/>
                <w:szCs w:val="24"/>
              </w:rPr>
            </w:pPr>
            <w:r w:rsidRPr="008D57B9">
              <w:rPr>
                <w:rFonts w:ascii="Arial" w:hAnsi="Arial" w:cs="Arial"/>
                <w:color w:val="000000"/>
                <w:sz w:val="24"/>
                <w:szCs w:val="24"/>
              </w:rPr>
              <w:t>Unrelated commercial property development</w:t>
            </w:r>
          </w:p>
        </w:tc>
      </w:tr>
      <w:tr w:rsidR="00767E40" w:rsidRPr="008D57B9" w14:paraId="7F9E40CC" w14:textId="77777777" w:rsidTr="00090BCE">
        <w:tc>
          <w:tcPr>
            <w:tcW w:w="4680" w:type="dxa"/>
          </w:tcPr>
          <w:p w14:paraId="01FF9C00" w14:textId="77777777" w:rsidR="00767E40" w:rsidRPr="008D57B9" w:rsidRDefault="00767E40" w:rsidP="008D57B9">
            <w:pPr>
              <w:spacing w:line="276" w:lineRule="auto"/>
              <w:rPr>
                <w:rFonts w:ascii="Arial" w:hAnsi="Arial" w:cs="Arial"/>
                <w:sz w:val="24"/>
                <w:szCs w:val="24"/>
              </w:rPr>
            </w:pPr>
            <w:r w:rsidRPr="008D57B9">
              <w:rPr>
                <w:rFonts w:ascii="Arial" w:hAnsi="Arial" w:cs="Arial"/>
                <w:color w:val="000000"/>
                <w:sz w:val="24"/>
                <w:szCs w:val="24"/>
              </w:rPr>
              <w:t>Commissioning, training and handover documentation</w:t>
            </w:r>
          </w:p>
        </w:tc>
        <w:tc>
          <w:tcPr>
            <w:tcW w:w="4680" w:type="dxa"/>
          </w:tcPr>
          <w:p w14:paraId="46106FCF" w14:textId="77777777" w:rsidR="00767E40" w:rsidRPr="008D57B9" w:rsidRDefault="00767E40" w:rsidP="008D57B9">
            <w:pPr>
              <w:spacing w:line="276" w:lineRule="auto"/>
              <w:rPr>
                <w:rFonts w:ascii="Arial" w:hAnsi="Arial" w:cs="Arial"/>
                <w:sz w:val="24"/>
                <w:szCs w:val="24"/>
              </w:rPr>
            </w:pPr>
            <w:r w:rsidRPr="008D57B9">
              <w:rPr>
                <w:rFonts w:ascii="Arial" w:hAnsi="Arial" w:cs="Arial"/>
                <w:color w:val="000000"/>
                <w:sz w:val="24"/>
                <w:szCs w:val="24"/>
              </w:rPr>
              <w:t>Routine maintenance after the defects period</w:t>
            </w:r>
          </w:p>
        </w:tc>
      </w:tr>
    </w:tbl>
    <w:p w14:paraId="7528D8D4" w14:textId="50F74B0C" w:rsidR="00767E40" w:rsidRPr="008D57B9" w:rsidRDefault="00767E40" w:rsidP="008D57B9">
      <w:pPr>
        <w:pStyle w:val="Caption"/>
        <w:spacing w:before="60" w:after="180" w:line="276" w:lineRule="auto"/>
        <w:rPr>
          <w:rFonts w:ascii="Arial" w:hAnsi="Arial" w:cs="Arial"/>
          <w:sz w:val="24"/>
          <w:szCs w:val="24"/>
        </w:rPr>
      </w:pPr>
    </w:p>
    <w:p w14:paraId="3B132DA2" w14:textId="77777777" w:rsidR="00767E40" w:rsidRPr="008D57B9" w:rsidRDefault="00767E40" w:rsidP="008D57B9">
      <w:pPr>
        <w:pStyle w:val="Heading2"/>
        <w:numPr>
          <w:ilvl w:val="1"/>
          <w:numId w:val="1"/>
        </w:numPr>
        <w:spacing w:line="276" w:lineRule="auto"/>
        <w:jc w:val="both"/>
        <w:rPr>
          <w:rFonts w:ascii="Arial" w:hAnsi="Arial" w:cs="Arial"/>
          <w:color w:val="000000" w:themeColor="text1"/>
          <w:sz w:val="24"/>
          <w:szCs w:val="24"/>
        </w:rPr>
      </w:pPr>
      <w:r w:rsidRPr="008D57B9">
        <w:rPr>
          <w:rFonts w:ascii="Arial" w:hAnsi="Arial" w:cs="Arial"/>
          <w:b/>
          <w:color w:val="000000" w:themeColor="text1"/>
          <w:sz w:val="24"/>
          <w:szCs w:val="24"/>
        </w:rPr>
        <w:t>Constraints, Assumptions and Control</w:t>
      </w:r>
    </w:p>
    <w:p w14:paraId="18B26413" w14:textId="77777777" w:rsidR="00683424" w:rsidRPr="008D57B9" w:rsidRDefault="00683424" w:rsidP="008D57B9">
      <w:pPr>
        <w:spacing w:line="276" w:lineRule="auto"/>
        <w:jc w:val="both"/>
        <w:rPr>
          <w:rFonts w:ascii="Arial" w:hAnsi="Arial" w:cs="Arial"/>
          <w:color w:val="000000"/>
        </w:rPr>
      </w:pPr>
      <w:r w:rsidRPr="008D57B9">
        <w:rPr>
          <w:rFonts w:ascii="Arial" w:hAnsi="Arial" w:cs="Arial"/>
          <w:color w:val="000000"/>
        </w:rPr>
        <w:tab/>
      </w:r>
      <w:r w:rsidR="00767E40" w:rsidRPr="008D57B9">
        <w:rPr>
          <w:rFonts w:ascii="Arial" w:hAnsi="Arial" w:cs="Arial"/>
          <w:color w:val="000000"/>
        </w:rPr>
        <w:t>Primary constraints are the GBP 25 million ceiling, 36-month deadline, statutory approvals, safe work in a constrained urban location, supply availability and continued access for surrounding users. Assumptions include sponsor funding at agreed gates, access to the site, timely utility coordination, availability of specialist suppliers and participation by regulators and user groups.</w:t>
      </w:r>
    </w:p>
    <w:p w14:paraId="69CA79FD" w14:textId="0EB5FA88" w:rsidR="00767E40" w:rsidRPr="008D57B9" w:rsidRDefault="00683424" w:rsidP="008D57B9">
      <w:pPr>
        <w:spacing w:line="276" w:lineRule="auto"/>
        <w:jc w:val="both"/>
        <w:rPr>
          <w:rFonts w:ascii="Arial" w:hAnsi="Arial" w:cs="Arial"/>
        </w:rPr>
      </w:pPr>
      <w:r w:rsidRPr="008D57B9">
        <w:rPr>
          <w:rFonts w:ascii="Arial" w:hAnsi="Arial" w:cs="Arial"/>
        </w:rPr>
        <w:tab/>
        <w:t>Scope change requires a documented request, impact analysis and project-board decision. Only approved changes update the scope, schedule, cost and benefit baselines. This discipline supports the Construction Playbook’s emphasis on outcomes, early planning, effective contracting, safety and better, faster and greener public-works delivery (Cabinet Office, 2022).</w:t>
      </w:r>
    </w:p>
    <w:p w14:paraId="17B6CC75" w14:textId="398086BD" w:rsidR="00767E40" w:rsidRPr="008D57B9" w:rsidRDefault="00683424" w:rsidP="008D57B9">
      <w:pPr>
        <w:spacing w:line="276" w:lineRule="auto"/>
        <w:jc w:val="both"/>
        <w:rPr>
          <w:rFonts w:ascii="Arial" w:hAnsi="Arial" w:cs="Arial"/>
        </w:rPr>
      </w:pPr>
      <w:r w:rsidRPr="008D57B9">
        <w:rPr>
          <w:rFonts w:ascii="Arial" w:hAnsi="Arial" w:cs="Arial"/>
          <w:color w:val="000000"/>
        </w:rPr>
        <w:tab/>
      </w:r>
      <w:r w:rsidR="00767E40" w:rsidRPr="008D57B9">
        <w:rPr>
          <w:rFonts w:ascii="Arial" w:hAnsi="Arial" w:cs="Arial"/>
          <w:color w:val="000000"/>
        </w:rPr>
        <w:t xml:space="preserve">Quality management converts the scope into acceptance criteria. Design reviews confirm compliance with safety, accessibility, planning and sustainability requirements before construction information is released. Inspection and test plans define what is checked, who witnesses the check and what evidence is retained. </w:t>
      </w:r>
      <w:r w:rsidR="009F6183" w:rsidRPr="008D57B9">
        <w:rPr>
          <w:rFonts w:ascii="Arial" w:hAnsi="Arial" w:cs="Arial"/>
          <w:color w:val="000000"/>
        </w:rPr>
        <w:tab/>
      </w:r>
      <w:r w:rsidR="00767E40" w:rsidRPr="008D57B9">
        <w:rPr>
          <w:rFonts w:ascii="Arial" w:hAnsi="Arial" w:cs="Arial"/>
          <w:color w:val="000000"/>
        </w:rPr>
        <w:t>Non-conforming work is recorded, corrected and verified before closure. At handover, the operations team receives training, asset information, warranties, maintenance instructions and commissioning records. These controls reduce the risk of achieving physical completion without delivering a usable and supportable transport hub.</w:t>
      </w:r>
    </w:p>
    <w:p w14:paraId="5ACE6D68" w14:textId="77777777" w:rsidR="00767E40" w:rsidRPr="008D57B9" w:rsidRDefault="00767E40" w:rsidP="008D57B9">
      <w:pPr>
        <w:pStyle w:val="Heading1"/>
        <w:numPr>
          <w:ilvl w:val="0"/>
          <w:numId w:val="1"/>
        </w:numPr>
        <w:spacing w:line="276" w:lineRule="auto"/>
        <w:jc w:val="both"/>
        <w:rPr>
          <w:rFonts w:ascii="Arial" w:hAnsi="Arial" w:cs="Arial"/>
          <w:color w:val="auto"/>
          <w:sz w:val="24"/>
          <w:szCs w:val="24"/>
        </w:rPr>
      </w:pPr>
      <w:r w:rsidRPr="008D57B9">
        <w:rPr>
          <w:rFonts w:ascii="Arial" w:hAnsi="Arial" w:cs="Arial"/>
          <w:b/>
          <w:color w:val="auto"/>
          <w:sz w:val="24"/>
          <w:szCs w:val="24"/>
        </w:rPr>
        <w:t>Work Breakdown Structure (WBS)</w:t>
      </w:r>
    </w:p>
    <w:p w14:paraId="3C4824DE" w14:textId="3AEE7998" w:rsidR="00767E40" w:rsidRPr="008D57B9" w:rsidRDefault="009F6183" w:rsidP="008D57B9">
      <w:pPr>
        <w:spacing w:line="276" w:lineRule="auto"/>
        <w:jc w:val="both"/>
        <w:rPr>
          <w:rFonts w:ascii="Arial" w:hAnsi="Arial" w:cs="Arial"/>
        </w:rPr>
      </w:pPr>
      <w:r w:rsidRPr="008D57B9">
        <w:rPr>
          <w:rFonts w:ascii="Arial" w:hAnsi="Arial" w:cs="Arial"/>
        </w:rPr>
        <w:tab/>
        <w:t xml:space="preserve">The WBS decomposes the project into six control accounts: initiation; planning; design; construction; monitoring and control; and closure. Decomposition creates manageable packages that can be estimated, assigned, scheduled and verified. The </w:t>
      </w:r>
      <w:r w:rsidRPr="008D57B9">
        <w:rPr>
          <w:rFonts w:ascii="Arial" w:hAnsi="Arial" w:cs="Arial"/>
        </w:rPr>
        <w:lastRenderedPageBreak/>
        <w:t>hierarchy also strengthens traceability: the scope statement defines required outputs, the WBS defines the work, the Gantt chart defines timing, the RACI matrix defines responsibility, and the risk register defines uncertainty. The Project Management Institute (2025) treats scope, schedule, resources, stakeholders and risk as connected areas of project performance.</w:t>
      </w:r>
    </w:p>
    <w:p w14:paraId="36BB3CAE" w14:textId="589291FE" w:rsidR="00767E40" w:rsidRPr="008D57B9" w:rsidRDefault="004A3675" w:rsidP="008D57B9">
      <w:pPr>
        <w:spacing w:line="276" w:lineRule="auto"/>
        <w:jc w:val="both"/>
        <w:rPr>
          <w:rFonts w:ascii="Arial" w:hAnsi="Arial" w:cs="Arial"/>
        </w:rPr>
      </w:pPr>
      <w:r w:rsidRPr="008D57B9">
        <w:rPr>
          <w:rFonts w:ascii="Arial" w:hAnsi="Arial" w:cs="Arial"/>
          <w:color w:val="000000"/>
        </w:rPr>
        <w:tab/>
      </w:r>
      <w:r w:rsidR="00767E40" w:rsidRPr="008D57B9">
        <w:rPr>
          <w:rFonts w:ascii="Arial" w:hAnsi="Arial" w:cs="Arial"/>
          <w:b/>
          <w:bCs/>
          <w:color w:val="000000"/>
        </w:rPr>
        <w:t>Figure 1</w:t>
      </w:r>
      <w:r w:rsidR="00767E40" w:rsidRPr="008D57B9">
        <w:rPr>
          <w:rFonts w:ascii="Arial" w:hAnsi="Arial" w:cs="Arial"/>
          <w:color w:val="000000"/>
        </w:rPr>
        <w:t xml:space="preserve"> contains four work packages under each phase. Initiation confirms feasibility and authority; planning establishes the baselines; design integrates technical, sustainability and accessibility requirements; construction creates and commissions the asset; monitoring and control operate throughout delivery; and closure verifies acceptance, transfers records and evaluates performance. Work-package owners develop detailed method statements and estimates, but additions outside this hierarchy require change approval. The WBS therefore functions as both a planning model and a governance boundary.</w:t>
      </w:r>
    </w:p>
    <w:p w14:paraId="5C656AB0" w14:textId="77777777" w:rsidR="004A3675" w:rsidRPr="008D57B9" w:rsidRDefault="004A3675" w:rsidP="008D57B9">
      <w:pPr>
        <w:spacing w:line="276" w:lineRule="auto"/>
        <w:jc w:val="both"/>
        <w:rPr>
          <w:rFonts w:ascii="Arial" w:hAnsi="Arial" w:cs="Arial"/>
          <w:color w:val="000000"/>
        </w:rPr>
      </w:pPr>
      <w:r w:rsidRPr="008D57B9">
        <w:rPr>
          <w:rFonts w:ascii="Arial" w:hAnsi="Arial" w:cs="Arial"/>
          <w:color w:val="000000"/>
        </w:rPr>
        <w:tab/>
      </w:r>
      <w:r w:rsidR="00767E40" w:rsidRPr="008D57B9">
        <w:rPr>
          <w:rFonts w:ascii="Arial" w:hAnsi="Arial" w:cs="Arial"/>
          <w:color w:val="000000"/>
        </w:rPr>
        <w:t>A WBS dictionary supports the diagram by defining the description, owner, deliverables, dependencies, resources, assumptions and acceptance criteria for each package. Control-account owners estimate cost and duration at the lowest practical level and report progress against measurable completion evidence.</w:t>
      </w:r>
    </w:p>
    <w:p w14:paraId="4813A57E" w14:textId="39BABBC7" w:rsidR="00767E40" w:rsidRPr="008D57B9" w:rsidRDefault="004A3675" w:rsidP="008D57B9">
      <w:pPr>
        <w:spacing w:line="276" w:lineRule="auto"/>
        <w:jc w:val="both"/>
        <w:rPr>
          <w:rFonts w:ascii="Arial" w:hAnsi="Arial" w:cs="Arial"/>
        </w:rPr>
      </w:pPr>
      <w:r w:rsidRPr="008D57B9">
        <w:rPr>
          <w:rFonts w:ascii="Arial" w:hAnsi="Arial" w:cs="Arial"/>
          <w:color w:val="000000"/>
        </w:rPr>
        <w:tab/>
      </w:r>
      <w:r w:rsidR="00767E40" w:rsidRPr="008D57B9">
        <w:rPr>
          <w:rFonts w:ascii="Arial" w:hAnsi="Arial" w:cs="Arial"/>
          <w:color w:val="000000"/>
        </w:rPr>
        <w:t xml:space="preserve"> This prevents subjective percentage reporting and improves consolidation into the overall dashboard. Package boundaries also clarify interfaces between civil works, renewable systems, accessibility installations and operational commissioning, where unclear ownership could otherwise create delay, rework or gaps in testing.</w:t>
      </w:r>
    </w:p>
    <w:p w14:paraId="34C0BB26" w14:textId="77777777" w:rsidR="00767E40" w:rsidRPr="008D57B9" w:rsidRDefault="00767E40" w:rsidP="008D57B9">
      <w:pPr>
        <w:spacing w:line="276" w:lineRule="auto"/>
        <w:rPr>
          <w:rFonts w:ascii="Arial" w:hAnsi="Arial" w:cs="Arial"/>
        </w:rPr>
      </w:pPr>
      <w:r w:rsidRPr="008D57B9">
        <w:rPr>
          <w:rFonts w:ascii="Arial" w:hAnsi="Arial" w:cs="Arial"/>
          <w:noProof/>
          <w:lang w:val="en-US"/>
        </w:rPr>
        <w:drawing>
          <wp:inline distT="0" distB="0" distL="0" distR="0" wp14:anchorId="12F81F46" wp14:editId="53D48C7B">
            <wp:extent cx="5715000" cy="3241172"/>
            <wp:effectExtent l="0" t="0" r="0" b="0"/>
            <wp:docPr id="1" name="Picture 1" descr="Work breakdown structure showing six project phases and four work packages within each phase." title="Work breakdown structure showing six project phases and four work packages within each pha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bs.png"/>
                    <pic:cNvPicPr/>
                  </pic:nvPicPr>
                  <pic:blipFill>
                    <a:blip r:embed="rId12"/>
                    <a:stretch>
                      <a:fillRect/>
                    </a:stretch>
                  </pic:blipFill>
                  <pic:spPr>
                    <a:xfrm>
                      <a:off x="0" y="0"/>
                      <a:ext cx="5715000" cy="3241172"/>
                    </a:xfrm>
                    <a:prstGeom prst="rect">
                      <a:avLst/>
                    </a:prstGeom>
                  </pic:spPr>
                </pic:pic>
              </a:graphicData>
            </a:graphic>
          </wp:inline>
        </w:drawing>
      </w:r>
    </w:p>
    <w:p w14:paraId="60D87B9E" w14:textId="2E39C327" w:rsidR="00767E40" w:rsidRDefault="00767E40" w:rsidP="008D57B9">
      <w:pPr>
        <w:pStyle w:val="Caption"/>
        <w:spacing w:before="60" w:after="180" w:line="276" w:lineRule="auto"/>
        <w:rPr>
          <w:rFonts w:ascii="Arial" w:hAnsi="Arial" w:cs="Arial"/>
          <w:b w:val="0"/>
          <w:sz w:val="24"/>
          <w:szCs w:val="24"/>
        </w:rPr>
      </w:pPr>
    </w:p>
    <w:p w14:paraId="44A14FEE" w14:textId="77777777" w:rsidR="008D57B9" w:rsidRPr="008D57B9" w:rsidRDefault="008D57B9" w:rsidP="008D57B9">
      <w:pPr>
        <w:rPr>
          <w:lang w:val="en-US"/>
        </w:rPr>
      </w:pPr>
    </w:p>
    <w:p w14:paraId="186870A1" w14:textId="77777777" w:rsidR="00EA1D85" w:rsidRPr="008D57B9" w:rsidRDefault="00EA1D85" w:rsidP="008D57B9">
      <w:pPr>
        <w:spacing w:line="276" w:lineRule="auto"/>
        <w:rPr>
          <w:rFonts w:ascii="Arial" w:hAnsi="Arial" w:cs="Arial"/>
          <w:lang w:val="en-US"/>
        </w:rPr>
      </w:pPr>
    </w:p>
    <w:p w14:paraId="6C0B3BEE" w14:textId="77777777" w:rsidR="00767E40" w:rsidRPr="008D57B9" w:rsidRDefault="00767E40" w:rsidP="008D57B9">
      <w:pPr>
        <w:pStyle w:val="Heading1"/>
        <w:numPr>
          <w:ilvl w:val="0"/>
          <w:numId w:val="1"/>
        </w:numPr>
        <w:spacing w:line="276" w:lineRule="auto"/>
        <w:rPr>
          <w:rFonts w:ascii="Arial" w:hAnsi="Arial" w:cs="Arial"/>
          <w:color w:val="auto"/>
          <w:sz w:val="24"/>
          <w:szCs w:val="24"/>
        </w:rPr>
      </w:pPr>
      <w:r w:rsidRPr="008D57B9">
        <w:rPr>
          <w:rFonts w:ascii="Arial" w:hAnsi="Arial" w:cs="Arial"/>
          <w:b/>
          <w:color w:val="auto"/>
          <w:sz w:val="24"/>
          <w:szCs w:val="24"/>
        </w:rPr>
        <w:lastRenderedPageBreak/>
        <w:t>Quad Chart</w:t>
      </w:r>
    </w:p>
    <w:p w14:paraId="0EFA05A4" w14:textId="61D9FAEF" w:rsidR="006A7CAC" w:rsidRPr="008D57B9" w:rsidRDefault="00EA1D85" w:rsidP="008D57B9">
      <w:pPr>
        <w:spacing w:line="276" w:lineRule="auto"/>
        <w:jc w:val="both"/>
        <w:rPr>
          <w:rFonts w:ascii="Arial" w:hAnsi="Arial" w:cs="Arial"/>
        </w:rPr>
      </w:pPr>
      <w:r w:rsidRPr="008D57B9">
        <w:rPr>
          <w:rFonts w:ascii="Arial" w:hAnsi="Arial" w:cs="Arial"/>
        </w:rPr>
        <w:tab/>
        <w:t>The Quad Chart condenses the project's purpose, customers, intended results and success measures into one governance view. Table 2 supports rapid alignment at sponsor reviews: the upper cells explain why the investment exists and who must receive value, while the lower cells define the expected change and the evidence required for acceptance. Linking outcomes to evidence supports public-sector appraisal and stakeholder alignment (HM Treasury, 2026; Ngampravatdee et al.</w:t>
      </w:r>
      <w:r w:rsidR="00090BCE" w:rsidRPr="008D57B9">
        <w:rPr>
          <w:rFonts w:ascii="Arial" w:hAnsi="Arial" w:cs="Arial"/>
        </w:rPr>
        <w:t xml:space="preserve">, </w:t>
      </w:r>
      <w:r w:rsidRPr="008D57B9">
        <w:rPr>
          <w:rFonts w:ascii="Arial" w:hAnsi="Arial" w:cs="Arial"/>
        </w:rPr>
        <w:t>2023).</w:t>
      </w:r>
    </w:p>
    <w:p w14:paraId="7920D98F" w14:textId="2EC7C093" w:rsidR="00713000" w:rsidRPr="008D57B9" w:rsidRDefault="00713000" w:rsidP="008D57B9">
      <w:pPr>
        <w:pStyle w:val="Caption"/>
        <w:spacing w:before="60" w:after="180" w:line="276" w:lineRule="auto"/>
        <w:rPr>
          <w:rFonts w:ascii="Arial" w:hAnsi="Arial" w:cs="Arial"/>
          <w:bCs w:val="0"/>
          <w:i w:val="0"/>
          <w:iCs/>
          <w:color w:val="auto"/>
          <w:sz w:val="24"/>
          <w:szCs w:val="24"/>
        </w:rPr>
      </w:pPr>
      <w:r w:rsidRPr="008D57B9">
        <w:rPr>
          <w:rFonts w:ascii="Arial" w:hAnsi="Arial" w:cs="Arial"/>
          <w:bCs w:val="0"/>
          <w:i w:val="0"/>
          <w:iCs/>
          <w:color w:val="auto"/>
          <w:sz w:val="24"/>
          <w:szCs w:val="24"/>
        </w:rPr>
        <w:t>Table 2. Project Quad Chart</w:t>
      </w:r>
    </w:p>
    <w:tbl>
      <w:tblPr>
        <w:tblStyle w:val="TableGrid"/>
        <w:tblW w:w="9360" w:type="dxa"/>
        <w:tblInd w:w="120" w:type="dxa"/>
        <w:tblLayout w:type="fixed"/>
        <w:tblLook w:val="04A0" w:firstRow="1" w:lastRow="0" w:firstColumn="1" w:lastColumn="0" w:noHBand="0" w:noVBand="1"/>
      </w:tblPr>
      <w:tblGrid>
        <w:gridCol w:w="4680"/>
        <w:gridCol w:w="4680"/>
      </w:tblGrid>
      <w:tr w:rsidR="00767E40" w:rsidRPr="008D57B9" w14:paraId="4ABAE553" w14:textId="77777777" w:rsidTr="00090BCE">
        <w:trPr>
          <w:tblHeader/>
        </w:trPr>
        <w:tc>
          <w:tcPr>
            <w:tcW w:w="4680" w:type="dxa"/>
            <w:shd w:val="clear" w:color="auto" w:fill="CAEDFB" w:themeFill="accent4" w:themeFillTint="33"/>
            <w:tcMar>
              <w:top w:w="80" w:type="dxa"/>
              <w:left w:w="120" w:type="dxa"/>
              <w:bottom w:w="80" w:type="dxa"/>
              <w:right w:w="120" w:type="dxa"/>
            </w:tcMar>
            <w:vAlign w:val="center"/>
          </w:tcPr>
          <w:p w14:paraId="57179B9C" w14:textId="77777777" w:rsidR="00767E40" w:rsidRPr="008D57B9" w:rsidRDefault="00767E40" w:rsidP="008D57B9">
            <w:pPr>
              <w:spacing w:line="276" w:lineRule="auto"/>
              <w:jc w:val="center"/>
              <w:rPr>
                <w:rFonts w:ascii="Arial" w:hAnsi="Arial" w:cs="Arial"/>
                <w:sz w:val="24"/>
                <w:szCs w:val="24"/>
              </w:rPr>
            </w:pPr>
            <w:r w:rsidRPr="008D57B9">
              <w:rPr>
                <w:rFonts w:ascii="Arial" w:hAnsi="Arial" w:cs="Arial"/>
                <w:b/>
                <w:color w:val="0B2545"/>
                <w:sz w:val="24"/>
                <w:szCs w:val="24"/>
              </w:rPr>
              <w:t>Purpose</w:t>
            </w:r>
          </w:p>
        </w:tc>
        <w:tc>
          <w:tcPr>
            <w:tcW w:w="4680" w:type="dxa"/>
            <w:shd w:val="clear" w:color="auto" w:fill="CAEDFB" w:themeFill="accent4" w:themeFillTint="33"/>
            <w:tcMar>
              <w:top w:w="80" w:type="dxa"/>
              <w:left w:w="120" w:type="dxa"/>
              <w:bottom w:w="80" w:type="dxa"/>
              <w:right w:w="120" w:type="dxa"/>
            </w:tcMar>
            <w:vAlign w:val="center"/>
          </w:tcPr>
          <w:p w14:paraId="3FB981F2" w14:textId="77777777" w:rsidR="00767E40" w:rsidRPr="008D57B9" w:rsidRDefault="00767E40" w:rsidP="008D57B9">
            <w:pPr>
              <w:spacing w:line="276" w:lineRule="auto"/>
              <w:jc w:val="center"/>
              <w:rPr>
                <w:rFonts w:ascii="Arial" w:hAnsi="Arial" w:cs="Arial"/>
                <w:sz w:val="24"/>
                <w:szCs w:val="24"/>
              </w:rPr>
            </w:pPr>
            <w:r w:rsidRPr="008D57B9">
              <w:rPr>
                <w:rFonts w:ascii="Arial" w:hAnsi="Arial" w:cs="Arial"/>
                <w:b/>
                <w:color w:val="0B2545"/>
                <w:sz w:val="24"/>
                <w:szCs w:val="24"/>
              </w:rPr>
              <w:t>Customers and stakeholders</w:t>
            </w:r>
          </w:p>
        </w:tc>
      </w:tr>
      <w:tr w:rsidR="00767E40" w:rsidRPr="008D57B9" w14:paraId="698C4F74" w14:textId="77777777" w:rsidTr="00090BCE">
        <w:tc>
          <w:tcPr>
            <w:tcW w:w="4680" w:type="dxa"/>
          </w:tcPr>
          <w:p w14:paraId="7EFC74C5" w14:textId="77777777" w:rsidR="00767E40" w:rsidRPr="008D57B9" w:rsidRDefault="00767E40" w:rsidP="008D57B9">
            <w:pPr>
              <w:spacing w:line="276" w:lineRule="auto"/>
              <w:rPr>
                <w:rFonts w:ascii="Arial" w:hAnsi="Arial" w:cs="Arial"/>
                <w:sz w:val="24"/>
                <w:szCs w:val="24"/>
              </w:rPr>
            </w:pPr>
            <w:r w:rsidRPr="008D57B9">
              <w:rPr>
                <w:rFonts w:ascii="Arial" w:hAnsi="Arial" w:cs="Arial"/>
                <w:color w:val="000000"/>
                <w:sz w:val="24"/>
                <w:szCs w:val="24"/>
              </w:rPr>
              <w:t>Create a safe, accessible, resilient and lower-carbon hub using renewable energy, smart systems and active-travel connections.</w:t>
            </w:r>
          </w:p>
        </w:tc>
        <w:tc>
          <w:tcPr>
            <w:tcW w:w="4680" w:type="dxa"/>
          </w:tcPr>
          <w:p w14:paraId="36189EAE" w14:textId="77777777" w:rsidR="00767E40" w:rsidRPr="008D57B9" w:rsidRDefault="00767E40" w:rsidP="008D57B9">
            <w:pPr>
              <w:spacing w:line="276" w:lineRule="auto"/>
              <w:rPr>
                <w:rFonts w:ascii="Arial" w:hAnsi="Arial" w:cs="Arial"/>
                <w:sz w:val="24"/>
                <w:szCs w:val="24"/>
              </w:rPr>
            </w:pPr>
            <w:r w:rsidRPr="008D57B9">
              <w:rPr>
                <w:rFonts w:ascii="Arial" w:hAnsi="Arial" w:cs="Arial"/>
                <w:color w:val="000000"/>
                <w:sz w:val="24"/>
                <w:szCs w:val="24"/>
              </w:rPr>
              <w:t>Sponsor; local authority; Department for Transport; regulators; operations team; passengers; community; local businesses; users of all abilities.</w:t>
            </w:r>
          </w:p>
        </w:tc>
      </w:tr>
      <w:tr w:rsidR="00767E40" w:rsidRPr="008D57B9" w14:paraId="7834F91E" w14:textId="77777777" w:rsidTr="00090BCE">
        <w:trPr>
          <w:tblHeader/>
        </w:trPr>
        <w:tc>
          <w:tcPr>
            <w:tcW w:w="4680" w:type="dxa"/>
            <w:shd w:val="clear" w:color="auto" w:fill="F2F4F7"/>
            <w:tcMar>
              <w:top w:w="80" w:type="dxa"/>
              <w:left w:w="120" w:type="dxa"/>
              <w:bottom w:w="80" w:type="dxa"/>
              <w:right w:w="120" w:type="dxa"/>
            </w:tcMar>
            <w:vAlign w:val="center"/>
          </w:tcPr>
          <w:p w14:paraId="46D0F19A" w14:textId="77777777" w:rsidR="00767E40" w:rsidRPr="008D57B9" w:rsidRDefault="00767E40" w:rsidP="008D57B9">
            <w:pPr>
              <w:spacing w:line="276" w:lineRule="auto"/>
              <w:jc w:val="center"/>
              <w:rPr>
                <w:rFonts w:ascii="Arial" w:hAnsi="Arial" w:cs="Arial"/>
                <w:sz w:val="24"/>
                <w:szCs w:val="24"/>
              </w:rPr>
            </w:pPr>
            <w:r w:rsidRPr="008D57B9">
              <w:rPr>
                <w:rFonts w:ascii="Arial" w:hAnsi="Arial" w:cs="Arial"/>
                <w:b/>
                <w:color w:val="0B2545"/>
                <w:sz w:val="24"/>
                <w:szCs w:val="24"/>
              </w:rPr>
              <w:t>Desired results</w:t>
            </w:r>
          </w:p>
        </w:tc>
        <w:tc>
          <w:tcPr>
            <w:tcW w:w="4680" w:type="dxa"/>
            <w:shd w:val="clear" w:color="auto" w:fill="F2F4F7"/>
            <w:tcMar>
              <w:top w:w="80" w:type="dxa"/>
              <w:left w:w="120" w:type="dxa"/>
              <w:bottom w:w="80" w:type="dxa"/>
              <w:right w:w="120" w:type="dxa"/>
            </w:tcMar>
            <w:vAlign w:val="center"/>
          </w:tcPr>
          <w:p w14:paraId="58D18054" w14:textId="77777777" w:rsidR="00767E40" w:rsidRPr="008D57B9" w:rsidRDefault="00767E40" w:rsidP="008D57B9">
            <w:pPr>
              <w:spacing w:line="276" w:lineRule="auto"/>
              <w:jc w:val="center"/>
              <w:rPr>
                <w:rFonts w:ascii="Arial" w:hAnsi="Arial" w:cs="Arial"/>
                <w:sz w:val="24"/>
                <w:szCs w:val="24"/>
              </w:rPr>
            </w:pPr>
            <w:r w:rsidRPr="008D57B9">
              <w:rPr>
                <w:rFonts w:ascii="Arial" w:hAnsi="Arial" w:cs="Arial"/>
                <w:b/>
                <w:color w:val="0B2545"/>
                <w:sz w:val="24"/>
                <w:szCs w:val="24"/>
              </w:rPr>
              <w:t>Measures of success</w:t>
            </w:r>
          </w:p>
        </w:tc>
      </w:tr>
      <w:tr w:rsidR="00767E40" w:rsidRPr="008D57B9" w14:paraId="6BE18CF8" w14:textId="77777777" w:rsidTr="00090BCE">
        <w:tc>
          <w:tcPr>
            <w:tcW w:w="4680" w:type="dxa"/>
          </w:tcPr>
          <w:p w14:paraId="2345F59A" w14:textId="77777777" w:rsidR="00767E40" w:rsidRPr="008D57B9" w:rsidRDefault="00767E40" w:rsidP="008D57B9">
            <w:pPr>
              <w:spacing w:line="276" w:lineRule="auto"/>
              <w:rPr>
                <w:rFonts w:ascii="Arial" w:hAnsi="Arial" w:cs="Arial"/>
                <w:sz w:val="24"/>
                <w:szCs w:val="24"/>
              </w:rPr>
            </w:pPr>
            <w:r w:rsidRPr="008D57B9">
              <w:rPr>
                <w:rFonts w:ascii="Arial" w:hAnsi="Arial" w:cs="Arial"/>
                <w:color w:val="000000"/>
                <w:sz w:val="24"/>
                <w:szCs w:val="24"/>
              </w:rPr>
              <w:t>Operational hub within 36 months; compliant net-zero and accessibility performance; improved passenger experience; lower carbon, energy use and operating cost.</w:t>
            </w:r>
          </w:p>
        </w:tc>
        <w:tc>
          <w:tcPr>
            <w:tcW w:w="4680" w:type="dxa"/>
          </w:tcPr>
          <w:p w14:paraId="4DEBD89B" w14:textId="77777777" w:rsidR="00767E40" w:rsidRPr="008D57B9" w:rsidRDefault="00767E40" w:rsidP="008D57B9">
            <w:pPr>
              <w:spacing w:line="276" w:lineRule="auto"/>
              <w:rPr>
                <w:rFonts w:ascii="Arial" w:hAnsi="Arial" w:cs="Arial"/>
                <w:sz w:val="24"/>
                <w:szCs w:val="24"/>
              </w:rPr>
            </w:pPr>
            <w:r w:rsidRPr="008D57B9">
              <w:rPr>
                <w:rFonts w:ascii="Arial" w:hAnsi="Arial" w:cs="Arial"/>
                <w:color w:val="000000"/>
                <w:sz w:val="24"/>
                <w:szCs w:val="24"/>
              </w:rPr>
              <w:t>Cost at or below GBP 25m; at least 30% carbon reduction by Year 3; 30% lower operational energy use; satisfaction at least 80%; no major safety incident.</w:t>
            </w:r>
          </w:p>
        </w:tc>
      </w:tr>
    </w:tbl>
    <w:p w14:paraId="19C43196" w14:textId="77777777" w:rsidR="00767E40" w:rsidRPr="008D57B9" w:rsidRDefault="00767E40" w:rsidP="008D57B9">
      <w:pPr>
        <w:pStyle w:val="Heading1"/>
        <w:numPr>
          <w:ilvl w:val="0"/>
          <w:numId w:val="1"/>
        </w:numPr>
        <w:spacing w:line="276" w:lineRule="auto"/>
        <w:jc w:val="both"/>
        <w:rPr>
          <w:rFonts w:ascii="Arial" w:hAnsi="Arial" w:cs="Arial"/>
          <w:color w:val="auto"/>
          <w:sz w:val="24"/>
          <w:szCs w:val="24"/>
        </w:rPr>
      </w:pPr>
      <w:r w:rsidRPr="008D57B9">
        <w:rPr>
          <w:rFonts w:ascii="Arial" w:hAnsi="Arial" w:cs="Arial"/>
          <w:b/>
          <w:color w:val="auto"/>
          <w:sz w:val="24"/>
          <w:szCs w:val="24"/>
        </w:rPr>
        <w:t>Gantt Chart</w:t>
      </w:r>
    </w:p>
    <w:p w14:paraId="16AEFA72" w14:textId="77777777" w:rsidR="00767E40" w:rsidRPr="008D57B9" w:rsidRDefault="00767E40" w:rsidP="008D57B9">
      <w:pPr>
        <w:spacing w:line="276" w:lineRule="auto"/>
        <w:jc w:val="both"/>
        <w:rPr>
          <w:rFonts w:ascii="Arial" w:hAnsi="Arial" w:cs="Arial"/>
          <w:color w:val="000000"/>
        </w:rPr>
      </w:pPr>
      <w:r w:rsidRPr="008D57B9">
        <w:rPr>
          <w:rFonts w:ascii="Arial" w:hAnsi="Arial" w:cs="Arial"/>
          <w:color w:val="000000"/>
        </w:rPr>
        <w:t>The baseline schedule in Figure 2 converts the WBS into a 36-month sequence. Initiation occupies Months 1-3 and planning Months 4-6. Design runs from Months 7-13. Construction begins in Month 12 after release of approved early-work packages and continues to Month 30, creating a controlled overlap that protects the completion date without authorising unresolved design. Closure and handover occupy Months 31-36. Monitoring and control span all months because cost, quality, carbon, safety, interfaces and benefits require continuous evidence rather than an end-stage inspection.</w:t>
      </w:r>
    </w:p>
    <w:p w14:paraId="484A825C" w14:textId="77777777" w:rsidR="00713000" w:rsidRPr="008D57B9" w:rsidRDefault="00713000" w:rsidP="008D57B9">
      <w:pPr>
        <w:pStyle w:val="Caption"/>
        <w:spacing w:before="60" w:after="180" w:line="276" w:lineRule="auto"/>
        <w:jc w:val="center"/>
        <w:rPr>
          <w:rFonts w:ascii="Arial" w:hAnsi="Arial" w:cs="Arial"/>
          <w:b w:val="0"/>
          <w:sz w:val="24"/>
          <w:szCs w:val="24"/>
        </w:rPr>
      </w:pPr>
    </w:p>
    <w:p w14:paraId="1C136216" w14:textId="77777777" w:rsidR="008D57B9" w:rsidRDefault="008D57B9" w:rsidP="008D57B9">
      <w:pPr>
        <w:pStyle w:val="Caption"/>
        <w:spacing w:before="60" w:after="180" w:line="276" w:lineRule="auto"/>
        <w:rPr>
          <w:rFonts w:ascii="Arial" w:hAnsi="Arial" w:cs="Arial"/>
          <w:bCs w:val="0"/>
          <w:i w:val="0"/>
          <w:iCs/>
          <w:color w:val="auto"/>
          <w:sz w:val="24"/>
          <w:szCs w:val="24"/>
        </w:rPr>
      </w:pPr>
    </w:p>
    <w:p w14:paraId="47D62837" w14:textId="77777777" w:rsidR="008D57B9" w:rsidRDefault="008D57B9" w:rsidP="008D57B9">
      <w:pPr>
        <w:pStyle w:val="Caption"/>
        <w:spacing w:before="60" w:after="180" w:line="276" w:lineRule="auto"/>
        <w:rPr>
          <w:rFonts w:ascii="Arial" w:hAnsi="Arial" w:cs="Arial"/>
          <w:bCs w:val="0"/>
          <w:i w:val="0"/>
          <w:iCs/>
          <w:color w:val="auto"/>
          <w:sz w:val="24"/>
          <w:szCs w:val="24"/>
        </w:rPr>
      </w:pPr>
    </w:p>
    <w:p w14:paraId="6D85919D" w14:textId="77777777" w:rsidR="008D57B9" w:rsidRDefault="008D57B9" w:rsidP="008D57B9">
      <w:pPr>
        <w:pStyle w:val="Caption"/>
        <w:spacing w:before="60" w:after="180" w:line="276" w:lineRule="auto"/>
        <w:rPr>
          <w:rFonts w:ascii="Arial" w:hAnsi="Arial" w:cs="Arial"/>
          <w:bCs w:val="0"/>
          <w:i w:val="0"/>
          <w:iCs/>
          <w:color w:val="auto"/>
          <w:sz w:val="24"/>
          <w:szCs w:val="24"/>
        </w:rPr>
      </w:pPr>
    </w:p>
    <w:p w14:paraId="2B81E338" w14:textId="77777777" w:rsidR="008D57B9" w:rsidRDefault="008D57B9" w:rsidP="008D57B9">
      <w:pPr>
        <w:pStyle w:val="Caption"/>
        <w:spacing w:before="60" w:after="180" w:line="276" w:lineRule="auto"/>
        <w:rPr>
          <w:rFonts w:ascii="Arial" w:hAnsi="Arial" w:cs="Arial"/>
          <w:bCs w:val="0"/>
          <w:i w:val="0"/>
          <w:iCs/>
          <w:color w:val="auto"/>
          <w:sz w:val="24"/>
          <w:szCs w:val="24"/>
        </w:rPr>
      </w:pPr>
    </w:p>
    <w:p w14:paraId="0304C416" w14:textId="77777777" w:rsidR="008D57B9" w:rsidRDefault="008D57B9" w:rsidP="008D57B9">
      <w:pPr>
        <w:pStyle w:val="Caption"/>
        <w:spacing w:before="60" w:after="180" w:line="276" w:lineRule="auto"/>
        <w:rPr>
          <w:rFonts w:ascii="Arial" w:hAnsi="Arial" w:cs="Arial"/>
          <w:bCs w:val="0"/>
          <w:i w:val="0"/>
          <w:iCs/>
          <w:color w:val="auto"/>
          <w:sz w:val="24"/>
          <w:szCs w:val="24"/>
        </w:rPr>
      </w:pPr>
    </w:p>
    <w:p w14:paraId="70AD2395" w14:textId="77777777" w:rsidR="008D57B9" w:rsidRDefault="008D57B9" w:rsidP="008D57B9">
      <w:pPr>
        <w:pStyle w:val="Caption"/>
        <w:spacing w:before="60" w:after="180" w:line="276" w:lineRule="auto"/>
        <w:rPr>
          <w:rFonts w:ascii="Arial" w:hAnsi="Arial" w:cs="Arial"/>
          <w:bCs w:val="0"/>
          <w:i w:val="0"/>
          <w:iCs/>
          <w:color w:val="auto"/>
          <w:sz w:val="24"/>
          <w:szCs w:val="24"/>
        </w:rPr>
      </w:pPr>
    </w:p>
    <w:p w14:paraId="139BBD75" w14:textId="68E33D22" w:rsidR="00713000" w:rsidRPr="008D57B9" w:rsidRDefault="00713000" w:rsidP="008D57B9">
      <w:pPr>
        <w:pStyle w:val="Caption"/>
        <w:spacing w:before="60" w:after="180" w:line="276" w:lineRule="auto"/>
        <w:rPr>
          <w:rFonts w:ascii="Arial" w:hAnsi="Arial" w:cs="Arial"/>
          <w:bCs w:val="0"/>
          <w:i w:val="0"/>
          <w:iCs/>
          <w:color w:val="auto"/>
          <w:sz w:val="24"/>
          <w:szCs w:val="24"/>
        </w:rPr>
      </w:pPr>
      <w:r w:rsidRPr="008D57B9">
        <w:rPr>
          <w:rFonts w:ascii="Arial" w:hAnsi="Arial" w:cs="Arial"/>
          <w:bCs w:val="0"/>
          <w:i w:val="0"/>
          <w:iCs/>
          <w:color w:val="auto"/>
          <w:sz w:val="24"/>
          <w:szCs w:val="24"/>
        </w:rPr>
        <w:lastRenderedPageBreak/>
        <w:t>Figure 2. Thirty-six-month baseline Gantt chart</w:t>
      </w:r>
    </w:p>
    <w:p w14:paraId="05045E21" w14:textId="77777777" w:rsidR="00713000" w:rsidRPr="008D57B9" w:rsidRDefault="00713000" w:rsidP="008D57B9">
      <w:pPr>
        <w:spacing w:line="276" w:lineRule="auto"/>
        <w:jc w:val="both"/>
        <w:rPr>
          <w:rFonts w:ascii="Arial" w:hAnsi="Arial" w:cs="Arial"/>
        </w:rPr>
      </w:pPr>
    </w:p>
    <w:p w14:paraId="51CAAEAC" w14:textId="77777777" w:rsidR="00767E40" w:rsidRPr="008D57B9" w:rsidRDefault="00767E40" w:rsidP="008D57B9">
      <w:pPr>
        <w:spacing w:line="276" w:lineRule="auto"/>
        <w:rPr>
          <w:rFonts w:ascii="Arial" w:hAnsi="Arial" w:cs="Arial"/>
        </w:rPr>
      </w:pPr>
      <w:r w:rsidRPr="008D57B9">
        <w:rPr>
          <w:rFonts w:ascii="Arial" w:hAnsi="Arial" w:cs="Arial"/>
          <w:noProof/>
          <w:lang w:val="en-US"/>
        </w:rPr>
        <w:drawing>
          <wp:inline distT="0" distB="0" distL="0" distR="0" wp14:anchorId="1C1E3289" wp14:editId="4D85822B">
            <wp:extent cx="5440680" cy="2064087"/>
            <wp:effectExtent l="0" t="0" r="0" b="0"/>
            <wp:docPr id="2" name="Picture 2" descr="Thirty-six-month Gantt chart covering initiation, planning, design, construction, monitoring and control, and project closure." title="Thirty-six-month Gantt chart covering initiation, planning, design, construction, monitoring and control, and project clos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antt.png"/>
                    <pic:cNvPicPr/>
                  </pic:nvPicPr>
                  <pic:blipFill>
                    <a:blip r:embed="rId13"/>
                    <a:stretch>
                      <a:fillRect/>
                    </a:stretch>
                  </pic:blipFill>
                  <pic:spPr>
                    <a:xfrm>
                      <a:off x="0" y="0"/>
                      <a:ext cx="5440680" cy="2064087"/>
                    </a:xfrm>
                    <a:prstGeom prst="rect">
                      <a:avLst/>
                    </a:prstGeom>
                  </pic:spPr>
                </pic:pic>
              </a:graphicData>
            </a:graphic>
          </wp:inline>
        </w:drawing>
      </w:r>
    </w:p>
    <w:p w14:paraId="2BB3E003" w14:textId="77777777" w:rsidR="00EA1D85" w:rsidRPr="008D57B9" w:rsidRDefault="00EA1D85" w:rsidP="008D57B9">
      <w:pPr>
        <w:spacing w:line="276" w:lineRule="auto"/>
        <w:jc w:val="both"/>
        <w:rPr>
          <w:rFonts w:ascii="Arial" w:hAnsi="Arial" w:cs="Arial"/>
          <w:color w:val="000000"/>
        </w:rPr>
      </w:pPr>
      <w:r w:rsidRPr="008D57B9">
        <w:rPr>
          <w:rFonts w:ascii="Arial" w:hAnsi="Arial" w:cs="Arial"/>
          <w:color w:val="000000"/>
        </w:rPr>
        <w:tab/>
      </w:r>
      <w:r w:rsidR="00767E40" w:rsidRPr="008D57B9">
        <w:rPr>
          <w:rFonts w:ascii="Arial" w:hAnsi="Arial" w:cs="Arial"/>
          <w:color w:val="000000"/>
        </w:rPr>
        <w:t xml:space="preserve">Milestone reviews occur at charter approval, baseline approval, design freeze, construction readiness, commissioning completion and final acceptance. The project manager maintains the integrated schedule and reports variance monthly. </w:t>
      </w:r>
    </w:p>
    <w:p w14:paraId="5EFBB106" w14:textId="2EA5A79C" w:rsidR="00767E40" w:rsidRPr="008D57B9" w:rsidRDefault="00EA1D85" w:rsidP="008D57B9">
      <w:pPr>
        <w:spacing w:line="276" w:lineRule="auto"/>
        <w:jc w:val="both"/>
        <w:rPr>
          <w:rFonts w:ascii="Arial" w:hAnsi="Arial" w:cs="Arial"/>
        </w:rPr>
      </w:pPr>
      <w:r w:rsidRPr="008D57B9">
        <w:rPr>
          <w:rFonts w:ascii="Arial" w:hAnsi="Arial" w:cs="Arial"/>
        </w:rPr>
        <w:tab/>
        <w:t>Critical or near-critical activities receive corrective action, while proposed acceleration is assessed for cost, safety and carbon consequences. Current guidance for complex projects combines formal controls with capable governance, transparent performance information and timely decisions (Infrastructure and Projects Authority, 2022; Project Management Institute, 2025). Schedule changes affecting a gate, approved completion date or contingency require project-board approval.</w:t>
      </w:r>
    </w:p>
    <w:p w14:paraId="2571F323" w14:textId="77777777" w:rsidR="003E5B1F" w:rsidRPr="008D57B9" w:rsidRDefault="00E27CE5" w:rsidP="008D57B9">
      <w:pPr>
        <w:spacing w:line="276" w:lineRule="auto"/>
        <w:jc w:val="both"/>
        <w:rPr>
          <w:rFonts w:ascii="Arial" w:hAnsi="Arial" w:cs="Arial"/>
          <w:color w:val="000000"/>
        </w:rPr>
      </w:pPr>
      <w:r w:rsidRPr="008D57B9">
        <w:rPr>
          <w:rFonts w:ascii="Arial" w:hAnsi="Arial" w:cs="Arial"/>
          <w:color w:val="000000"/>
        </w:rPr>
        <w:tab/>
      </w:r>
      <w:r w:rsidR="00767E40" w:rsidRPr="008D57B9">
        <w:rPr>
          <w:rFonts w:ascii="Arial" w:hAnsi="Arial" w:cs="Arial"/>
          <w:color w:val="000000"/>
        </w:rPr>
        <w:t>Schedule control begins with clear dependencies and realistic resource assumptions. The planner updates actual starts, finishes, remaining duration and milestone forecasts using information approved by package owners. A rolling twelve-week look-ahead identifies access constraints, design information, procurement dates and approvals needed for upcoming work.</w:t>
      </w:r>
    </w:p>
    <w:p w14:paraId="78C31795" w14:textId="1F895DE8" w:rsidR="00767E40" w:rsidRPr="008D57B9" w:rsidRDefault="003E5B1F" w:rsidP="008D57B9">
      <w:pPr>
        <w:spacing w:line="276" w:lineRule="auto"/>
        <w:jc w:val="both"/>
        <w:rPr>
          <w:rFonts w:ascii="Arial" w:hAnsi="Arial" w:cs="Arial"/>
        </w:rPr>
      </w:pPr>
      <w:r w:rsidRPr="008D57B9">
        <w:rPr>
          <w:rFonts w:ascii="Arial" w:hAnsi="Arial" w:cs="Arial"/>
          <w:color w:val="000000"/>
        </w:rPr>
        <w:tab/>
      </w:r>
      <w:r w:rsidR="00767E40" w:rsidRPr="008D57B9">
        <w:rPr>
          <w:rFonts w:ascii="Arial" w:hAnsi="Arial" w:cs="Arial"/>
          <w:color w:val="000000"/>
        </w:rPr>
        <w:t xml:space="preserve"> Variance analysis distinguishes isolated delay from movement on the critical path. Recovery options may include resequencing, additional resources or alternative suppliers, but every option is reviewed for cost, quality, safety, accessibility and environmental effects before approval.</w:t>
      </w:r>
    </w:p>
    <w:p w14:paraId="6F6C9840" w14:textId="77777777" w:rsidR="00767E40" w:rsidRPr="008D57B9" w:rsidRDefault="00767E40" w:rsidP="008D57B9">
      <w:pPr>
        <w:pStyle w:val="Heading1"/>
        <w:numPr>
          <w:ilvl w:val="0"/>
          <w:numId w:val="1"/>
        </w:numPr>
        <w:spacing w:line="276" w:lineRule="auto"/>
        <w:jc w:val="both"/>
        <w:rPr>
          <w:rFonts w:ascii="Arial" w:hAnsi="Arial" w:cs="Arial"/>
          <w:color w:val="auto"/>
          <w:sz w:val="24"/>
          <w:szCs w:val="24"/>
        </w:rPr>
      </w:pPr>
      <w:r w:rsidRPr="008D57B9">
        <w:rPr>
          <w:rFonts w:ascii="Arial" w:hAnsi="Arial" w:cs="Arial"/>
          <w:b/>
          <w:color w:val="auto"/>
          <w:sz w:val="24"/>
          <w:szCs w:val="24"/>
        </w:rPr>
        <w:t>Stakeholders' Involvement</w:t>
      </w:r>
    </w:p>
    <w:p w14:paraId="3419C976" w14:textId="60DBB8AC" w:rsidR="00767E40" w:rsidRPr="008D57B9" w:rsidRDefault="003E5B1F" w:rsidP="008D57B9">
      <w:pPr>
        <w:spacing w:line="276" w:lineRule="auto"/>
        <w:jc w:val="both"/>
        <w:rPr>
          <w:rFonts w:ascii="Arial" w:hAnsi="Arial" w:cs="Arial"/>
        </w:rPr>
      </w:pPr>
      <w:r w:rsidRPr="008D57B9">
        <w:rPr>
          <w:rFonts w:ascii="Arial" w:hAnsi="Arial" w:cs="Arial"/>
        </w:rPr>
        <w:tab/>
        <w:t xml:space="preserve">Stakeholder analysis is continuous because stakeholder power, interest, needs and influence can change across the lifecycle. Research on large transport infrastructure and sustainable construction shows that structured engagement supports planning quality, sustainability and project success (Ngampravatdee et al., 2023; Wu et al., 2023). The sponsor, local authority, project manager and operations team remain closely involved because they control funding, approvals, delivery and acceptance. Government bodies, regulators and major contractors require satisfaction through assurance and timely decisions. Passengers, community groups and local </w:t>
      </w:r>
      <w:r w:rsidRPr="008D57B9">
        <w:rPr>
          <w:rFonts w:ascii="Arial" w:hAnsi="Arial" w:cs="Arial"/>
        </w:rPr>
        <w:lastRenderedPageBreak/>
        <w:t>businesses require accessible information and meaningful consultation. Utilities, media and environmental groups are monitored for emerging issues.</w:t>
      </w:r>
    </w:p>
    <w:p w14:paraId="5C52713B" w14:textId="12E42800" w:rsidR="00767E40" w:rsidRPr="008D57B9" w:rsidRDefault="003E5B1F" w:rsidP="008D57B9">
      <w:pPr>
        <w:spacing w:line="276" w:lineRule="auto"/>
        <w:jc w:val="both"/>
        <w:rPr>
          <w:rFonts w:ascii="Arial" w:hAnsi="Arial" w:cs="Arial"/>
        </w:rPr>
      </w:pPr>
      <w:r w:rsidRPr="008D57B9">
        <w:rPr>
          <w:rFonts w:ascii="Arial" w:hAnsi="Arial" w:cs="Arial"/>
        </w:rPr>
        <w:tab/>
        <w:t>Table 3 translates the power-interest matrix into specific involvement, frequency and ownership. The approach avoids treating communication as one-way publicity; feedback is recorded, assessed and closed through the decision log. This systematic approach helps integrate stakeholder knowledge and sustainability considerations into project decisions (Ngampravatdee et al., 2023; Wu et al., 2023).</w:t>
      </w:r>
    </w:p>
    <w:p w14:paraId="7FE7148B" w14:textId="6B4FABF5" w:rsidR="00713000" w:rsidRPr="008D57B9" w:rsidRDefault="00713000" w:rsidP="008D57B9">
      <w:pPr>
        <w:pStyle w:val="Caption"/>
        <w:spacing w:before="60" w:after="180" w:line="276" w:lineRule="auto"/>
        <w:rPr>
          <w:rFonts w:ascii="Arial" w:hAnsi="Arial" w:cs="Arial"/>
          <w:bCs w:val="0"/>
          <w:i w:val="0"/>
          <w:iCs/>
          <w:color w:val="auto"/>
          <w:sz w:val="24"/>
          <w:szCs w:val="24"/>
        </w:rPr>
      </w:pPr>
      <w:r w:rsidRPr="008D57B9">
        <w:rPr>
          <w:rFonts w:ascii="Arial" w:hAnsi="Arial" w:cs="Arial"/>
          <w:bCs w:val="0"/>
          <w:i w:val="0"/>
          <w:iCs/>
          <w:color w:val="auto"/>
          <w:sz w:val="24"/>
          <w:szCs w:val="24"/>
        </w:rPr>
        <w:t>Table 3. Stakeholder involvement plan</w:t>
      </w:r>
    </w:p>
    <w:tbl>
      <w:tblPr>
        <w:tblStyle w:val="TableGrid"/>
        <w:tblW w:w="9360" w:type="dxa"/>
        <w:tblInd w:w="120" w:type="dxa"/>
        <w:tblLayout w:type="fixed"/>
        <w:tblLook w:val="04A0" w:firstRow="1" w:lastRow="0" w:firstColumn="1" w:lastColumn="0" w:noHBand="0" w:noVBand="1"/>
      </w:tblPr>
      <w:tblGrid>
        <w:gridCol w:w="2350"/>
        <w:gridCol w:w="4510"/>
        <w:gridCol w:w="2500"/>
      </w:tblGrid>
      <w:tr w:rsidR="00767E40" w:rsidRPr="008D57B9" w14:paraId="691E223F" w14:textId="77777777" w:rsidTr="00090BCE">
        <w:trPr>
          <w:tblHeader/>
        </w:trPr>
        <w:tc>
          <w:tcPr>
            <w:tcW w:w="2350" w:type="dxa"/>
            <w:shd w:val="clear" w:color="auto" w:fill="CAEDFB" w:themeFill="accent4" w:themeFillTint="33"/>
            <w:tcMar>
              <w:top w:w="80" w:type="dxa"/>
              <w:left w:w="120" w:type="dxa"/>
              <w:bottom w:w="80" w:type="dxa"/>
              <w:right w:w="120" w:type="dxa"/>
            </w:tcMar>
            <w:vAlign w:val="center"/>
          </w:tcPr>
          <w:p w14:paraId="61CEDB91" w14:textId="77777777" w:rsidR="00767E40" w:rsidRPr="008D57B9" w:rsidRDefault="00767E40" w:rsidP="008D57B9">
            <w:pPr>
              <w:spacing w:line="276" w:lineRule="auto"/>
              <w:jc w:val="center"/>
              <w:rPr>
                <w:rFonts w:ascii="Arial" w:hAnsi="Arial" w:cs="Arial"/>
                <w:sz w:val="24"/>
                <w:szCs w:val="24"/>
              </w:rPr>
            </w:pPr>
            <w:r w:rsidRPr="008D57B9">
              <w:rPr>
                <w:rFonts w:ascii="Arial" w:hAnsi="Arial" w:cs="Arial"/>
                <w:b/>
                <w:color w:val="0B2545"/>
                <w:sz w:val="24"/>
                <w:szCs w:val="24"/>
              </w:rPr>
              <w:t>Group and position</w:t>
            </w:r>
          </w:p>
        </w:tc>
        <w:tc>
          <w:tcPr>
            <w:tcW w:w="4510" w:type="dxa"/>
            <w:shd w:val="clear" w:color="auto" w:fill="CAEDFB" w:themeFill="accent4" w:themeFillTint="33"/>
            <w:tcMar>
              <w:top w:w="80" w:type="dxa"/>
              <w:left w:w="120" w:type="dxa"/>
              <w:bottom w:w="80" w:type="dxa"/>
              <w:right w:w="120" w:type="dxa"/>
            </w:tcMar>
            <w:vAlign w:val="center"/>
          </w:tcPr>
          <w:p w14:paraId="57CA4289" w14:textId="77777777" w:rsidR="00767E40" w:rsidRPr="008D57B9" w:rsidRDefault="00767E40" w:rsidP="008D57B9">
            <w:pPr>
              <w:spacing w:line="276" w:lineRule="auto"/>
              <w:jc w:val="center"/>
              <w:rPr>
                <w:rFonts w:ascii="Arial" w:hAnsi="Arial" w:cs="Arial"/>
                <w:sz w:val="24"/>
                <w:szCs w:val="24"/>
              </w:rPr>
            </w:pPr>
            <w:r w:rsidRPr="008D57B9">
              <w:rPr>
                <w:rFonts w:ascii="Arial" w:hAnsi="Arial" w:cs="Arial"/>
                <w:b/>
                <w:color w:val="0B2545"/>
                <w:sz w:val="24"/>
                <w:szCs w:val="24"/>
              </w:rPr>
              <w:t>Involvement method</w:t>
            </w:r>
          </w:p>
        </w:tc>
        <w:tc>
          <w:tcPr>
            <w:tcW w:w="2500" w:type="dxa"/>
            <w:shd w:val="clear" w:color="auto" w:fill="CAEDFB" w:themeFill="accent4" w:themeFillTint="33"/>
            <w:tcMar>
              <w:top w:w="80" w:type="dxa"/>
              <w:left w:w="120" w:type="dxa"/>
              <w:bottom w:w="80" w:type="dxa"/>
              <w:right w:w="120" w:type="dxa"/>
            </w:tcMar>
            <w:vAlign w:val="center"/>
          </w:tcPr>
          <w:p w14:paraId="05675B17" w14:textId="153630BD" w:rsidR="00767E40" w:rsidRPr="008D57B9" w:rsidRDefault="001125B1" w:rsidP="008D57B9">
            <w:pPr>
              <w:spacing w:line="276" w:lineRule="auto"/>
              <w:jc w:val="center"/>
              <w:rPr>
                <w:rFonts w:ascii="Arial" w:hAnsi="Arial" w:cs="Arial"/>
                <w:sz w:val="24"/>
                <w:szCs w:val="24"/>
              </w:rPr>
            </w:pPr>
            <w:r w:rsidRPr="008D57B9">
              <w:rPr>
                <w:rFonts w:ascii="Arial" w:hAnsi="Arial" w:cs="Arial"/>
                <w:b/>
                <w:color w:val="0B2545"/>
                <w:sz w:val="24"/>
                <w:szCs w:val="24"/>
              </w:rPr>
              <w:t>Frequency/owner</w:t>
            </w:r>
          </w:p>
        </w:tc>
      </w:tr>
      <w:tr w:rsidR="00767E40" w:rsidRPr="008D57B9" w14:paraId="2A8E8015" w14:textId="77777777" w:rsidTr="00090BCE">
        <w:tc>
          <w:tcPr>
            <w:tcW w:w="2350" w:type="dxa"/>
          </w:tcPr>
          <w:p w14:paraId="4414C120" w14:textId="77777777" w:rsidR="00767E40" w:rsidRPr="008D57B9" w:rsidRDefault="00767E40" w:rsidP="008D57B9">
            <w:pPr>
              <w:spacing w:line="276" w:lineRule="auto"/>
              <w:rPr>
                <w:rFonts w:ascii="Arial" w:hAnsi="Arial" w:cs="Arial"/>
                <w:sz w:val="24"/>
                <w:szCs w:val="24"/>
              </w:rPr>
            </w:pPr>
            <w:r w:rsidRPr="008D57B9">
              <w:rPr>
                <w:rFonts w:ascii="Arial" w:hAnsi="Arial" w:cs="Arial"/>
                <w:color w:val="000000"/>
                <w:sz w:val="24"/>
                <w:szCs w:val="24"/>
              </w:rPr>
              <w:t>Manage closely: sponsor, local authority, PM, operations</w:t>
            </w:r>
          </w:p>
        </w:tc>
        <w:tc>
          <w:tcPr>
            <w:tcW w:w="4510" w:type="dxa"/>
          </w:tcPr>
          <w:p w14:paraId="6B41B43A" w14:textId="77777777" w:rsidR="00767E40" w:rsidRPr="008D57B9" w:rsidRDefault="00767E40" w:rsidP="008D57B9">
            <w:pPr>
              <w:spacing w:line="276" w:lineRule="auto"/>
              <w:rPr>
                <w:rFonts w:ascii="Arial" w:hAnsi="Arial" w:cs="Arial"/>
                <w:sz w:val="24"/>
                <w:szCs w:val="24"/>
              </w:rPr>
            </w:pPr>
            <w:r w:rsidRPr="008D57B9">
              <w:rPr>
                <w:rFonts w:ascii="Arial" w:hAnsi="Arial" w:cs="Arial"/>
                <w:color w:val="000000"/>
                <w:sz w:val="24"/>
                <w:szCs w:val="24"/>
              </w:rPr>
              <w:t>Board decisions, design reviews, cost-risk reports and acceptance gates</w:t>
            </w:r>
          </w:p>
        </w:tc>
        <w:tc>
          <w:tcPr>
            <w:tcW w:w="2500" w:type="dxa"/>
          </w:tcPr>
          <w:p w14:paraId="52ABF979" w14:textId="77777777" w:rsidR="00767E40" w:rsidRPr="008D57B9" w:rsidRDefault="00767E40" w:rsidP="008D57B9">
            <w:pPr>
              <w:spacing w:line="276" w:lineRule="auto"/>
              <w:rPr>
                <w:rFonts w:ascii="Arial" w:hAnsi="Arial" w:cs="Arial"/>
                <w:sz w:val="24"/>
                <w:szCs w:val="24"/>
              </w:rPr>
            </w:pPr>
            <w:r w:rsidRPr="008D57B9">
              <w:rPr>
                <w:rFonts w:ascii="Arial" w:hAnsi="Arial" w:cs="Arial"/>
                <w:color w:val="000000"/>
                <w:sz w:val="24"/>
                <w:szCs w:val="24"/>
              </w:rPr>
              <w:t>Monthly and at gates / PM</w:t>
            </w:r>
          </w:p>
        </w:tc>
      </w:tr>
      <w:tr w:rsidR="00767E40" w:rsidRPr="008D57B9" w14:paraId="15AC1886" w14:textId="77777777" w:rsidTr="00090BCE">
        <w:tc>
          <w:tcPr>
            <w:tcW w:w="2350" w:type="dxa"/>
          </w:tcPr>
          <w:p w14:paraId="37D47966" w14:textId="43EDE6D5" w:rsidR="00767E40" w:rsidRPr="008D57B9" w:rsidRDefault="00767E40" w:rsidP="008D57B9">
            <w:pPr>
              <w:spacing w:line="276" w:lineRule="auto"/>
              <w:rPr>
                <w:rFonts w:ascii="Arial" w:hAnsi="Arial" w:cs="Arial"/>
                <w:sz w:val="24"/>
                <w:szCs w:val="24"/>
              </w:rPr>
            </w:pPr>
            <w:r w:rsidRPr="008D57B9">
              <w:rPr>
                <w:rFonts w:ascii="Arial" w:hAnsi="Arial" w:cs="Arial"/>
                <w:color w:val="000000"/>
                <w:sz w:val="24"/>
                <w:szCs w:val="24"/>
              </w:rPr>
              <w:t>Keep satisfied: government, regulators, major contractors</w:t>
            </w:r>
            <w:r w:rsidR="001125B1" w:rsidRPr="008D57B9">
              <w:rPr>
                <w:rFonts w:ascii="Arial" w:hAnsi="Arial" w:cs="Arial"/>
                <w:color w:val="000000"/>
                <w:sz w:val="24"/>
                <w:szCs w:val="24"/>
              </w:rPr>
              <w:t>.</w:t>
            </w:r>
          </w:p>
        </w:tc>
        <w:tc>
          <w:tcPr>
            <w:tcW w:w="4510" w:type="dxa"/>
          </w:tcPr>
          <w:p w14:paraId="6D421ABD" w14:textId="77777777" w:rsidR="00767E40" w:rsidRPr="008D57B9" w:rsidRDefault="00767E40" w:rsidP="008D57B9">
            <w:pPr>
              <w:spacing w:line="276" w:lineRule="auto"/>
              <w:rPr>
                <w:rFonts w:ascii="Arial" w:hAnsi="Arial" w:cs="Arial"/>
                <w:sz w:val="24"/>
                <w:szCs w:val="24"/>
              </w:rPr>
            </w:pPr>
            <w:r w:rsidRPr="008D57B9">
              <w:rPr>
                <w:rFonts w:ascii="Arial" w:hAnsi="Arial" w:cs="Arial"/>
                <w:color w:val="000000"/>
                <w:sz w:val="24"/>
                <w:szCs w:val="24"/>
              </w:rPr>
              <w:t>Compliance submissions, assurance meetings and commercial reviews</w:t>
            </w:r>
          </w:p>
        </w:tc>
        <w:tc>
          <w:tcPr>
            <w:tcW w:w="2500" w:type="dxa"/>
          </w:tcPr>
          <w:p w14:paraId="1C08B8F4" w14:textId="72D92278" w:rsidR="00767E40" w:rsidRPr="008D57B9" w:rsidRDefault="00767E40" w:rsidP="008D57B9">
            <w:pPr>
              <w:spacing w:line="276" w:lineRule="auto"/>
              <w:rPr>
                <w:rFonts w:ascii="Arial" w:hAnsi="Arial" w:cs="Arial"/>
                <w:sz w:val="24"/>
                <w:szCs w:val="24"/>
              </w:rPr>
            </w:pPr>
            <w:r w:rsidRPr="008D57B9">
              <w:rPr>
                <w:rFonts w:ascii="Arial" w:hAnsi="Arial" w:cs="Arial"/>
                <w:color w:val="000000"/>
                <w:sz w:val="24"/>
                <w:szCs w:val="24"/>
              </w:rPr>
              <w:t xml:space="preserve">At </w:t>
            </w:r>
            <w:r w:rsidR="001125B1" w:rsidRPr="008D57B9">
              <w:rPr>
                <w:rFonts w:ascii="Arial" w:hAnsi="Arial" w:cs="Arial"/>
                <w:color w:val="000000"/>
                <w:sz w:val="24"/>
                <w:szCs w:val="24"/>
              </w:rPr>
              <w:t>milestones/sponsor</w:t>
            </w:r>
            <w:r w:rsidRPr="008D57B9">
              <w:rPr>
                <w:rFonts w:ascii="Arial" w:hAnsi="Arial" w:cs="Arial"/>
                <w:color w:val="000000"/>
                <w:sz w:val="24"/>
                <w:szCs w:val="24"/>
              </w:rPr>
              <w:t xml:space="preserve"> and PM</w:t>
            </w:r>
          </w:p>
        </w:tc>
      </w:tr>
      <w:tr w:rsidR="00767E40" w:rsidRPr="008D57B9" w14:paraId="35BEF37B" w14:textId="77777777" w:rsidTr="00090BCE">
        <w:tc>
          <w:tcPr>
            <w:tcW w:w="2350" w:type="dxa"/>
          </w:tcPr>
          <w:p w14:paraId="063582C8" w14:textId="4A167581" w:rsidR="00767E40" w:rsidRPr="008D57B9" w:rsidRDefault="00767E40" w:rsidP="008D57B9">
            <w:pPr>
              <w:spacing w:line="276" w:lineRule="auto"/>
              <w:rPr>
                <w:rFonts w:ascii="Arial" w:hAnsi="Arial" w:cs="Arial"/>
                <w:sz w:val="24"/>
                <w:szCs w:val="24"/>
              </w:rPr>
            </w:pPr>
            <w:r w:rsidRPr="008D57B9">
              <w:rPr>
                <w:rFonts w:ascii="Arial" w:hAnsi="Arial" w:cs="Arial"/>
                <w:color w:val="000000"/>
                <w:sz w:val="24"/>
                <w:szCs w:val="24"/>
              </w:rPr>
              <w:t>Keep informed: passengers, community, local businesses</w:t>
            </w:r>
            <w:r w:rsidR="001125B1" w:rsidRPr="008D57B9">
              <w:rPr>
                <w:rFonts w:ascii="Arial" w:hAnsi="Arial" w:cs="Arial"/>
                <w:color w:val="000000"/>
                <w:sz w:val="24"/>
                <w:szCs w:val="24"/>
              </w:rPr>
              <w:t>.</w:t>
            </w:r>
          </w:p>
        </w:tc>
        <w:tc>
          <w:tcPr>
            <w:tcW w:w="4510" w:type="dxa"/>
          </w:tcPr>
          <w:p w14:paraId="4DE6EBAD" w14:textId="77777777" w:rsidR="00767E40" w:rsidRPr="008D57B9" w:rsidRDefault="00767E40" w:rsidP="008D57B9">
            <w:pPr>
              <w:spacing w:line="276" w:lineRule="auto"/>
              <w:rPr>
                <w:rFonts w:ascii="Arial" w:hAnsi="Arial" w:cs="Arial"/>
                <w:sz w:val="24"/>
                <w:szCs w:val="24"/>
              </w:rPr>
            </w:pPr>
            <w:r w:rsidRPr="008D57B9">
              <w:rPr>
                <w:rFonts w:ascii="Arial" w:hAnsi="Arial" w:cs="Arial"/>
                <w:color w:val="000000"/>
                <w:sz w:val="24"/>
                <w:szCs w:val="24"/>
              </w:rPr>
              <w:t>Accessible briefings, workshops, surveys, disruption notices and feedback log</w:t>
            </w:r>
          </w:p>
        </w:tc>
        <w:tc>
          <w:tcPr>
            <w:tcW w:w="2500" w:type="dxa"/>
          </w:tcPr>
          <w:p w14:paraId="2EEC2E74" w14:textId="52308F3C" w:rsidR="00767E40" w:rsidRPr="008D57B9" w:rsidRDefault="00767E40" w:rsidP="008D57B9">
            <w:pPr>
              <w:spacing w:line="276" w:lineRule="auto"/>
              <w:rPr>
                <w:rFonts w:ascii="Arial" w:hAnsi="Arial" w:cs="Arial"/>
                <w:sz w:val="24"/>
                <w:szCs w:val="24"/>
              </w:rPr>
            </w:pPr>
            <w:r w:rsidRPr="008D57B9">
              <w:rPr>
                <w:rFonts w:ascii="Arial" w:hAnsi="Arial" w:cs="Arial"/>
                <w:color w:val="000000"/>
                <w:sz w:val="24"/>
                <w:szCs w:val="24"/>
              </w:rPr>
              <w:t xml:space="preserve">Monthly; fortnightly during disruptive </w:t>
            </w:r>
            <w:r w:rsidR="001125B1" w:rsidRPr="008D57B9">
              <w:rPr>
                <w:rFonts w:ascii="Arial" w:hAnsi="Arial" w:cs="Arial"/>
                <w:color w:val="000000"/>
                <w:sz w:val="24"/>
                <w:szCs w:val="24"/>
              </w:rPr>
              <w:t>works/engagement</w:t>
            </w:r>
            <w:r w:rsidRPr="008D57B9">
              <w:rPr>
                <w:rFonts w:ascii="Arial" w:hAnsi="Arial" w:cs="Arial"/>
                <w:color w:val="000000"/>
                <w:sz w:val="24"/>
                <w:szCs w:val="24"/>
              </w:rPr>
              <w:t xml:space="preserve"> lead</w:t>
            </w:r>
          </w:p>
        </w:tc>
      </w:tr>
      <w:tr w:rsidR="00767E40" w:rsidRPr="008D57B9" w14:paraId="1E078CDE" w14:textId="77777777" w:rsidTr="00090BCE">
        <w:tc>
          <w:tcPr>
            <w:tcW w:w="2350" w:type="dxa"/>
          </w:tcPr>
          <w:p w14:paraId="798F7944" w14:textId="77777777" w:rsidR="00767E40" w:rsidRPr="008D57B9" w:rsidRDefault="00767E40" w:rsidP="008D57B9">
            <w:pPr>
              <w:spacing w:line="276" w:lineRule="auto"/>
              <w:rPr>
                <w:rFonts w:ascii="Arial" w:hAnsi="Arial" w:cs="Arial"/>
                <w:sz w:val="24"/>
                <w:szCs w:val="24"/>
              </w:rPr>
            </w:pPr>
            <w:r w:rsidRPr="008D57B9">
              <w:rPr>
                <w:rFonts w:ascii="Arial" w:hAnsi="Arial" w:cs="Arial"/>
                <w:color w:val="000000"/>
                <w:sz w:val="24"/>
                <w:szCs w:val="24"/>
              </w:rPr>
              <w:t>Monitor: utilities, media, environmental groups</w:t>
            </w:r>
          </w:p>
        </w:tc>
        <w:tc>
          <w:tcPr>
            <w:tcW w:w="4510" w:type="dxa"/>
          </w:tcPr>
          <w:p w14:paraId="102C1FC4" w14:textId="77777777" w:rsidR="00767E40" w:rsidRPr="008D57B9" w:rsidRDefault="00767E40" w:rsidP="008D57B9">
            <w:pPr>
              <w:spacing w:line="276" w:lineRule="auto"/>
              <w:rPr>
                <w:rFonts w:ascii="Arial" w:hAnsi="Arial" w:cs="Arial"/>
                <w:sz w:val="24"/>
                <w:szCs w:val="24"/>
              </w:rPr>
            </w:pPr>
            <w:r w:rsidRPr="008D57B9">
              <w:rPr>
                <w:rFonts w:ascii="Arial" w:hAnsi="Arial" w:cs="Arial"/>
                <w:color w:val="000000"/>
                <w:sz w:val="24"/>
                <w:szCs w:val="24"/>
              </w:rPr>
              <w:t>Interface coordination, published updates and issue-based consultation</w:t>
            </w:r>
          </w:p>
        </w:tc>
        <w:tc>
          <w:tcPr>
            <w:tcW w:w="2500" w:type="dxa"/>
          </w:tcPr>
          <w:p w14:paraId="07CB51A3" w14:textId="77777777" w:rsidR="00767E40" w:rsidRPr="008D57B9" w:rsidRDefault="00767E40" w:rsidP="008D57B9">
            <w:pPr>
              <w:spacing w:line="276" w:lineRule="auto"/>
              <w:rPr>
                <w:rFonts w:ascii="Arial" w:hAnsi="Arial" w:cs="Arial"/>
                <w:sz w:val="24"/>
                <w:szCs w:val="24"/>
              </w:rPr>
            </w:pPr>
            <w:r w:rsidRPr="008D57B9">
              <w:rPr>
                <w:rFonts w:ascii="Arial" w:hAnsi="Arial" w:cs="Arial"/>
                <w:color w:val="000000"/>
                <w:sz w:val="24"/>
                <w:szCs w:val="24"/>
              </w:rPr>
              <w:t>Quarterly or by trigger / PM</w:t>
            </w:r>
          </w:p>
        </w:tc>
      </w:tr>
    </w:tbl>
    <w:p w14:paraId="7EBB80EC" w14:textId="77777777" w:rsidR="00090BCE" w:rsidRPr="008D57B9" w:rsidRDefault="00090BCE" w:rsidP="008D57B9">
      <w:pPr>
        <w:spacing w:line="276" w:lineRule="auto"/>
        <w:rPr>
          <w:rFonts w:ascii="Arial" w:hAnsi="Arial" w:cs="Arial"/>
          <w:lang w:val="en-US"/>
        </w:rPr>
      </w:pPr>
    </w:p>
    <w:p w14:paraId="6C66ED0C" w14:textId="3EA78C60" w:rsidR="00767E40" w:rsidRPr="008D57B9" w:rsidRDefault="009D4BC4" w:rsidP="008D57B9">
      <w:pPr>
        <w:spacing w:line="276" w:lineRule="auto"/>
        <w:jc w:val="both"/>
        <w:rPr>
          <w:rFonts w:ascii="Arial" w:hAnsi="Arial" w:cs="Arial"/>
        </w:rPr>
      </w:pPr>
      <w:r w:rsidRPr="008D57B9">
        <w:rPr>
          <w:rFonts w:ascii="Arial" w:hAnsi="Arial" w:cs="Arial"/>
        </w:rPr>
        <w:tab/>
        <w:t>Accessibility representatives participate during concept design, detailed design, mock-up review and acceptance testing. Operations personnel confirm maintainability, safe operating procedures and training needs before handover. Recent UK evaluation evidence reinforces the importance of accessible information, staff capability and measuring disabled passengers’ confidence and experience (Department for Transport, 2025). Community feedback may refine circulation, working hours or temporary access, but any change remains subject to scope and cost control. Escalation routes are published so urgent safety, equality or service-continuity concerns reach the project manager and sponsor promptly.</w:t>
      </w:r>
    </w:p>
    <w:p w14:paraId="43A0D5D4" w14:textId="3CC11079" w:rsidR="00767E40" w:rsidRPr="008D57B9" w:rsidRDefault="009D4BC4" w:rsidP="008D57B9">
      <w:pPr>
        <w:spacing w:line="276" w:lineRule="auto"/>
        <w:jc w:val="both"/>
        <w:rPr>
          <w:rFonts w:ascii="Arial" w:hAnsi="Arial" w:cs="Arial"/>
        </w:rPr>
      </w:pPr>
      <w:r w:rsidRPr="008D57B9">
        <w:rPr>
          <w:rFonts w:ascii="Arial" w:hAnsi="Arial" w:cs="Arial"/>
          <w:color w:val="000000"/>
        </w:rPr>
        <w:tab/>
      </w:r>
      <w:r w:rsidR="00767E40" w:rsidRPr="008D57B9">
        <w:rPr>
          <w:rFonts w:ascii="Arial" w:hAnsi="Arial" w:cs="Arial"/>
          <w:color w:val="000000"/>
        </w:rPr>
        <w:t xml:space="preserve">The communication plan specifies the message, audience, channel, timing, owner and method for confirming understanding. Information is provided in accessible formats and plain language where public participation is required. Consultation results are summarised without disclosing personal information, and responses explain </w:t>
      </w:r>
      <w:r w:rsidR="00767E40" w:rsidRPr="008D57B9">
        <w:rPr>
          <w:rFonts w:ascii="Arial" w:hAnsi="Arial" w:cs="Arial"/>
          <w:color w:val="000000"/>
        </w:rPr>
        <w:lastRenderedPageBreak/>
        <w:t>whether a proposal is accepted, rejected or referred for further study. Attendance, survey results, complaints and response times provide evidence of engagement quality. This approach helps the team identify concerns early and demonstrates that participation influences decisions rather than operating as a procedural exercise.</w:t>
      </w:r>
    </w:p>
    <w:p w14:paraId="0C37F239" w14:textId="77777777" w:rsidR="00767E40" w:rsidRPr="008D57B9" w:rsidRDefault="00767E40" w:rsidP="008D57B9">
      <w:pPr>
        <w:pStyle w:val="Heading1"/>
        <w:numPr>
          <w:ilvl w:val="0"/>
          <w:numId w:val="1"/>
        </w:numPr>
        <w:spacing w:line="276" w:lineRule="auto"/>
        <w:jc w:val="both"/>
        <w:rPr>
          <w:rFonts w:ascii="Arial" w:hAnsi="Arial" w:cs="Arial"/>
          <w:color w:val="auto"/>
          <w:sz w:val="24"/>
          <w:szCs w:val="24"/>
        </w:rPr>
      </w:pPr>
      <w:r w:rsidRPr="008D57B9">
        <w:rPr>
          <w:rFonts w:ascii="Arial" w:hAnsi="Arial" w:cs="Arial"/>
          <w:b/>
          <w:color w:val="auto"/>
          <w:sz w:val="24"/>
          <w:szCs w:val="24"/>
        </w:rPr>
        <w:t>Allocation of Resources</w:t>
      </w:r>
    </w:p>
    <w:p w14:paraId="59541DC4" w14:textId="77777777" w:rsidR="00767E40" w:rsidRPr="008D57B9" w:rsidRDefault="00767E40" w:rsidP="008D57B9">
      <w:pPr>
        <w:pStyle w:val="Heading2"/>
        <w:numPr>
          <w:ilvl w:val="1"/>
          <w:numId w:val="1"/>
        </w:numPr>
        <w:spacing w:line="276" w:lineRule="auto"/>
        <w:jc w:val="both"/>
        <w:rPr>
          <w:rFonts w:ascii="Arial" w:hAnsi="Arial" w:cs="Arial"/>
          <w:color w:val="000000" w:themeColor="text1"/>
          <w:sz w:val="24"/>
          <w:szCs w:val="24"/>
        </w:rPr>
      </w:pPr>
      <w:r w:rsidRPr="008D57B9">
        <w:rPr>
          <w:rFonts w:ascii="Arial" w:hAnsi="Arial" w:cs="Arial"/>
          <w:b/>
          <w:color w:val="000000" w:themeColor="text1"/>
          <w:sz w:val="24"/>
          <w:szCs w:val="24"/>
        </w:rPr>
        <w:t>Financial and Physical Resources</w:t>
      </w:r>
    </w:p>
    <w:p w14:paraId="341BBDAC" w14:textId="6298411A" w:rsidR="00713000" w:rsidRPr="00212457" w:rsidRDefault="009D4BC4" w:rsidP="00212457">
      <w:pPr>
        <w:spacing w:line="276" w:lineRule="auto"/>
        <w:jc w:val="both"/>
        <w:rPr>
          <w:rFonts w:ascii="Arial" w:hAnsi="Arial" w:cs="Arial"/>
        </w:rPr>
      </w:pPr>
      <w:r w:rsidRPr="008D57B9">
        <w:rPr>
          <w:rFonts w:ascii="Arial" w:hAnsi="Arial" w:cs="Arial"/>
        </w:rPr>
        <w:tab/>
        <w:t>Resources are released by lifecycle stage and matched to WBS ownership. The GBP 25 million baseline in Table 4 reserves the largest share for construction while protecting specialist design, accessibility, renewable systems, stakeholder activity and commissioning. The sponsor holds a 10% contingency and is not treated as available working budget. Drawdown requires a quantified risk event or approved change. Cost accounts align with WBS packages, enabling monthly comparison of planned value, actual cost and forecast completion. This approach reflects current public-sector guidance to assess options through their costs, benefits and risks (HM Treasury, 2026).</w:t>
      </w:r>
    </w:p>
    <w:p w14:paraId="6C8F5357" w14:textId="27483339" w:rsidR="00B91157" w:rsidRPr="008D57B9" w:rsidRDefault="00713000" w:rsidP="008D57B9">
      <w:pPr>
        <w:pStyle w:val="Caption"/>
        <w:spacing w:before="60" w:after="180" w:line="276" w:lineRule="auto"/>
        <w:rPr>
          <w:rFonts w:ascii="Arial" w:hAnsi="Arial" w:cs="Arial"/>
          <w:bCs w:val="0"/>
          <w:i w:val="0"/>
          <w:iCs/>
          <w:color w:val="auto"/>
          <w:sz w:val="24"/>
          <w:szCs w:val="24"/>
        </w:rPr>
      </w:pPr>
      <w:r w:rsidRPr="008D57B9">
        <w:rPr>
          <w:rFonts w:ascii="Arial" w:hAnsi="Arial" w:cs="Arial"/>
          <w:bCs w:val="0"/>
          <w:i w:val="0"/>
          <w:iCs/>
          <w:color w:val="auto"/>
          <w:sz w:val="24"/>
          <w:szCs w:val="24"/>
        </w:rPr>
        <w:t>Table 4. Financial resource allocation</w:t>
      </w:r>
    </w:p>
    <w:tbl>
      <w:tblPr>
        <w:tblStyle w:val="TableGrid"/>
        <w:tblW w:w="9360" w:type="dxa"/>
        <w:tblInd w:w="120" w:type="dxa"/>
        <w:tblLayout w:type="fixed"/>
        <w:tblLook w:val="04A0" w:firstRow="1" w:lastRow="0" w:firstColumn="1" w:lastColumn="0" w:noHBand="0" w:noVBand="1"/>
      </w:tblPr>
      <w:tblGrid>
        <w:gridCol w:w="6100"/>
        <w:gridCol w:w="1760"/>
        <w:gridCol w:w="1500"/>
      </w:tblGrid>
      <w:tr w:rsidR="00767E40" w:rsidRPr="008D57B9" w14:paraId="4D335885" w14:textId="77777777" w:rsidTr="00090BCE">
        <w:trPr>
          <w:tblHeader/>
        </w:trPr>
        <w:tc>
          <w:tcPr>
            <w:tcW w:w="6100" w:type="dxa"/>
            <w:shd w:val="clear" w:color="auto" w:fill="60CAF3" w:themeFill="accent4" w:themeFillTint="99"/>
            <w:tcMar>
              <w:top w:w="80" w:type="dxa"/>
              <w:left w:w="120" w:type="dxa"/>
              <w:bottom w:w="80" w:type="dxa"/>
              <w:right w:w="120" w:type="dxa"/>
            </w:tcMar>
            <w:vAlign w:val="center"/>
          </w:tcPr>
          <w:p w14:paraId="20684DFA" w14:textId="77777777" w:rsidR="00767E40" w:rsidRPr="008D57B9" w:rsidRDefault="00767E40" w:rsidP="008D57B9">
            <w:pPr>
              <w:spacing w:line="276" w:lineRule="auto"/>
              <w:jc w:val="center"/>
              <w:rPr>
                <w:rFonts w:ascii="Arial" w:hAnsi="Arial" w:cs="Arial"/>
                <w:sz w:val="24"/>
                <w:szCs w:val="24"/>
              </w:rPr>
            </w:pPr>
            <w:r w:rsidRPr="008D57B9">
              <w:rPr>
                <w:rFonts w:ascii="Arial" w:hAnsi="Arial" w:cs="Arial"/>
                <w:b/>
                <w:color w:val="0B2545"/>
                <w:sz w:val="24"/>
                <w:szCs w:val="24"/>
              </w:rPr>
              <w:t>Resource category</w:t>
            </w:r>
          </w:p>
        </w:tc>
        <w:tc>
          <w:tcPr>
            <w:tcW w:w="1760" w:type="dxa"/>
            <w:shd w:val="clear" w:color="auto" w:fill="60CAF3" w:themeFill="accent4" w:themeFillTint="99"/>
            <w:tcMar>
              <w:top w:w="80" w:type="dxa"/>
              <w:left w:w="120" w:type="dxa"/>
              <w:bottom w:w="80" w:type="dxa"/>
              <w:right w:w="120" w:type="dxa"/>
            </w:tcMar>
            <w:vAlign w:val="center"/>
          </w:tcPr>
          <w:p w14:paraId="5C843055" w14:textId="77777777" w:rsidR="00767E40" w:rsidRPr="008D57B9" w:rsidRDefault="00767E40" w:rsidP="008D57B9">
            <w:pPr>
              <w:spacing w:line="276" w:lineRule="auto"/>
              <w:jc w:val="center"/>
              <w:rPr>
                <w:rFonts w:ascii="Arial" w:hAnsi="Arial" w:cs="Arial"/>
                <w:sz w:val="24"/>
                <w:szCs w:val="24"/>
              </w:rPr>
            </w:pPr>
            <w:r w:rsidRPr="008D57B9">
              <w:rPr>
                <w:rFonts w:ascii="Arial" w:hAnsi="Arial" w:cs="Arial"/>
                <w:b/>
                <w:color w:val="0B2545"/>
                <w:sz w:val="24"/>
                <w:szCs w:val="24"/>
              </w:rPr>
              <w:t>GBP million</w:t>
            </w:r>
          </w:p>
        </w:tc>
        <w:tc>
          <w:tcPr>
            <w:tcW w:w="1500" w:type="dxa"/>
            <w:shd w:val="clear" w:color="auto" w:fill="60CAF3" w:themeFill="accent4" w:themeFillTint="99"/>
            <w:tcMar>
              <w:top w:w="80" w:type="dxa"/>
              <w:left w:w="120" w:type="dxa"/>
              <w:bottom w:w="80" w:type="dxa"/>
              <w:right w:w="120" w:type="dxa"/>
            </w:tcMar>
            <w:vAlign w:val="center"/>
          </w:tcPr>
          <w:p w14:paraId="563F15C7" w14:textId="77777777" w:rsidR="00767E40" w:rsidRPr="008D57B9" w:rsidRDefault="00767E40" w:rsidP="008D57B9">
            <w:pPr>
              <w:spacing w:line="276" w:lineRule="auto"/>
              <w:jc w:val="center"/>
              <w:rPr>
                <w:rFonts w:ascii="Arial" w:hAnsi="Arial" w:cs="Arial"/>
                <w:sz w:val="24"/>
                <w:szCs w:val="24"/>
              </w:rPr>
            </w:pPr>
            <w:r w:rsidRPr="008D57B9">
              <w:rPr>
                <w:rFonts w:ascii="Arial" w:hAnsi="Arial" w:cs="Arial"/>
                <w:b/>
                <w:color w:val="0B2545"/>
                <w:sz w:val="24"/>
                <w:szCs w:val="24"/>
              </w:rPr>
              <w:t>%</w:t>
            </w:r>
          </w:p>
        </w:tc>
      </w:tr>
      <w:tr w:rsidR="00767E40" w:rsidRPr="008D57B9" w14:paraId="1FFED58C" w14:textId="77777777" w:rsidTr="00090BCE">
        <w:tc>
          <w:tcPr>
            <w:tcW w:w="6100" w:type="dxa"/>
          </w:tcPr>
          <w:p w14:paraId="45D7CF5E" w14:textId="77777777" w:rsidR="00767E40" w:rsidRPr="008D57B9" w:rsidRDefault="00767E40" w:rsidP="008D57B9">
            <w:pPr>
              <w:spacing w:line="276" w:lineRule="auto"/>
              <w:rPr>
                <w:rFonts w:ascii="Arial" w:hAnsi="Arial" w:cs="Arial"/>
                <w:sz w:val="24"/>
                <w:szCs w:val="24"/>
              </w:rPr>
            </w:pPr>
            <w:r w:rsidRPr="008D57B9">
              <w:rPr>
                <w:rFonts w:ascii="Arial" w:hAnsi="Arial" w:cs="Arial"/>
                <w:color w:val="000000"/>
                <w:sz w:val="24"/>
                <w:szCs w:val="24"/>
              </w:rPr>
              <w:t>Governance and project management</w:t>
            </w:r>
          </w:p>
        </w:tc>
        <w:tc>
          <w:tcPr>
            <w:tcW w:w="1760" w:type="dxa"/>
          </w:tcPr>
          <w:p w14:paraId="033B15F4" w14:textId="77777777" w:rsidR="00767E40" w:rsidRPr="008D57B9" w:rsidRDefault="00767E40" w:rsidP="008D57B9">
            <w:pPr>
              <w:spacing w:line="276" w:lineRule="auto"/>
              <w:jc w:val="right"/>
              <w:rPr>
                <w:rFonts w:ascii="Arial" w:hAnsi="Arial" w:cs="Arial"/>
                <w:sz w:val="24"/>
                <w:szCs w:val="24"/>
              </w:rPr>
            </w:pPr>
            <w:r w:rsidRPr="008D57B9">
              <w:rPr>
                <w:rFonts w:ascii="Arial" w:hAnsi="Arial" w:cs="Arial"/>
                <w:color w:val="000000"/>
                <w:sz w:val="24"/>
                <w:szCs w:val="24"/>
              </w:rPr>
              <w:t>1.50</w:t>
            </w:r>
          </w:p>
        </w:tc>
        <w:tc>
          <w:tcPr>
            <w:tcW w:w="1500" w:type="dxa"/>
          </w:tcPr>
          <w:p w14:paraId="0CC5EC17" w14:textId="77777777" w:rsidR="00767E40" w:rsidRPr="008D57B9" w:rsidRDefault="00767E40" w:rsidP="008D57B9">
            <w:pPr>
              <w:spacing w:line="276" w:lineRule="auto"/>
              <w:jc w:val="right"/>
              <w:rPr>
                <w:rFonts w:ascii="Arial" w:hAnsi="Arial" w:cs="Arial"/>
                <w:sz w:val="24"/>
                <w:szCs w:val="24"/>
              </w:rPr>
            </w:pPr>
            <w:r w:rsidRPr="008D57B9">
              <w:rPr>
                <w:rFonts w:ascii="Arial" w:hAnsi="Arial" w:cs="Arial"/>
                <w:color w:val="000000"/>
                <w:sz w:val="24"/>
                <w:szCs w:val="24"/>
              </w:rPr>
              <w:t>6</w:t>
            </w:r>
          </w:p>
        </w:tc>
      </w:tr>
      <w:tr w:rsidR="00767E40" w:rsidRPr="008D57B9" w14:paraId="5C40D989" w14:textId="77777777" w:rsidTr="00090BCE">
        <w:tc>
          <w:tcPr>
            <w:tcW w:w="6100" w:type="dxa"/>
          </w:tcPr>
          <w:p w14:paraId="0E532642" w14:textId="77777777" w:rsidR="00767E40" w:rsidRPr="008D57B9" w:rsidRDefault="00767E40" w:rsidP="008D57B9">
            <w:pPr>
              <w:spacing w:line="276" w:lineRule="auto"/>
              <w:rPr>
                <w:rFonts w:ascii="Arial" w:hAnsi="Arial" w:cs="Arial"/>
                <w:sz w:val="24"/>
                <w:szCs w:val="24"/>
              </w:rPr>
            </w:pPr>
            <w:r w:rsidRPr="008D57B9">
              <w:rPr>
                <w:rFonts w:ascii="Arial" w:hAnsi="Arial" w:cs="Arial"/>
                <w:color w:val="000000"/>
                <w:sz w:val="24"/>
                <w:szCs w:val="24"/>
              </w:rPr>
              <w:t>Design, environment, accessibility and approvals</w:t>
            </w:r>
          </w:p>
        </w:tc>
        <w:tc>
          <w:tcPr>
            <w:tcW w:w="1760" w:type="dxa"/>
          </w:tcPr>
          <w:p w14:paraId="26EF645E" w14:textId="77777777" w:rsidR="00767E40" w:rsidRPr="008D57B9" w:rsidRDefault="00767E40" w:rsidP="008D57B9">
            <w:pPr>
              <w:spacing w:line="276" w:lineRule="auto"/>
              <w:jc w:val="right"/>
              <w:rPr>
                <w:rFonts w:ascii="Arial" w:hAnsi="Arial" w:cs="Arial"/>
                <w:sz w:val="24"/>
                <w:szCs w:val="24"/>
              </w:rPr>
            </w:pPr>
            <w:r w:rsidRPr="008D57B9">
              <w:rPr>
                <w:rFonts w:ascii="Arial" w:hAnsi="Arial" w:cs="Arial"/>
                <w:color w:val="000000"/>
                <w:sz w:val="24"/>
                <w:szCs w:val="24"/>
              </w:rPr>
              <w:t>3.00</w:t>
            </w:r>
          </w:p>
        </w:tc>
        <w:tc>
          <w:tcPr>
            <w:tcW w:w="1500" w:type="dxa"/>
          </w:tcPr>
          <w:p w14:paraId="48EA36B0" w14:textId="77777777" w:rsidR="00767E40" w:rsidRPr="008D57B9" w:rsidRDefault="00767E40" w:rsidP="008D57B9">
            <w:pPr>
              <w:spacing w:line="276" w:lineRule="auto"/>
              <w:jc w:val="right"/>
              <w:rPr>
                <w:rFonts w:ascii="Arial" w:hAnsi="Arial" w:cs="Arial"/>
                <w:sz w:val="24"/>
                <w:szCs w:val="24"/>
              </w:rPr>
            </w:pPr>
            <w:r w:rsidRPr="008D57B9">
              <w:rPr>
                <w:rFonts w:ascii="Arial" w:hAnsi="Arial" w:cs="Arial"/>
                <w:color w:val="000000"/>
                <w:sz w:val="24"/>
                <w:szCs w:val="24"/>
              </w:rPr>
              <w:t>12</w:t>
            </w:r>
          </w:p>
        </w:tc>
      </w:tr>
      <w:tr w:rsidR="00767E40" w:rsidRPr="008D57B9" w14:paraId="69DF766F" w14:textId="77777777" w:rsidTr="00090BCE">
        <w:tc>
          <w:tcPr>
            <w:tcW w:w="6100" w:type="dxa"/>
          </w:tcPr>
          <w:p w14:paraId="3EE64BF7" w14:textId="77777777" w:rsidR="00767E40" w:rsidRPr="008D57B9" w:rsidRDefault="00767E40" w:rsidP="008D57B9">
            <w:pPr>
              <w:spacing w:line="276" w:lineRule="auto"/>
              <w:rPr>
                <w:rFonts w:ascii="Arial" w:hAnsi="Arial" w:cs="Arial"/>
                <w:sz w:val="24"/>
                <w:szCs w:val="24"/>
              </w:rPr>
            </w:pPr>
            <w:r w:rsidRPr="008D57B9">
              <w:rPr>
                <w:rFonts w:ascii="Arial" w:hAnsi="Arial" w:cs="Arial"/>
                <w:color w:val="000000"/>
                <w:sz w:val="24"/>
                <w:szCs w:val="24"/>
              </w:rPr>
              <w:t>Civil works and construction</w:t>
            </w:r>
          </w:p>
        </w:tc>
        <w:tc>
          <w:tcPr>
            <w:tcW w:w="1760" w:type="dxa"/>
          </w:tcPr>
          <w:p w14:paraId="23FD0B7D" w14:textId="77777777" w:rsidR="00767E40" w:rsidRPr="008D57B9" w:rsidRDefault="00767E40" w:rsidP="008D57B9">
            <w:pPr>
              <w:spacing w:line="276" w:lineRule="auto"/>
              <w:jc w:val="right"/>
              <w:rPr>
                <w:rFonts w:ascii="Arial" w:hAnsi="Arial" w:cs="Arial"/>
                <w:sz w:val="24"/>
                <w:szCs w:val="24"/>
              </w:rPr>
            </w:pPr>
            <w:r w:rsidRPr="008D57B9">
              <w:rPr>
                <w:rFonts w:ascii="Arial" w:hAnsi="Arial" w:cs="Arial"/>
                <w:color w:val="000000"/>
                <w:sz w:val="24"/>
                <w:szCs w:val="24"/>
              </w:rPr>
              <w:t>10.00</w:t>
            </w:r>
          </w:p>
        </w:tc>
        <w:tc>
          <w:tcPr>
            <w:tcW w:w="1500" w:type="dxa"/>
          </w:tcPr>
          <w:p w14:paraId="3DAE7C33" w14:textId="77777777" w:rsidR="00767E40" w:rsidRPr="008D57B9" w:rsidRDefault="00767E40" w:rsidP="008D57B9">
            <w:pPr>
              <w:spacing w:line="276" w:lineRule="auto"/>
              <w:jc w:val="right"/>
              <w:rPr>
                <w:rFonts w:ascii="Arial" w:hAnsi="Arial" w:cs="Arial"/>
                <w:sz w:val="24"/>
                <w:szCs w:val="24"/>
              </w:rPr>
            </w:pPr>
            <w:r w:rsidRPr="008D57B9">
              <w:rPr>
                <w:rFonts w:ascii="Arial" w:hAnsi="Arial" w:cs="Arial"/>
                <w:color w:val="000000"/>
                <w:sz w:val="24"/>
                <w:szCs w:val="24"/>
              </w:rPr>
              <w:t>40</w:t>
            </w:r>
          </w:p>
        </w:tc>
      </w:tr>
      <w:tr w:rsidR="00767E40" w:rsidRPr="008D57B9" w14:paraId="68204F6F" w14:textId="77777777" w:rsidTr="00090BCE">
        <w:tc>
          <w:tcPr>
            <w:tcW w:w="6100" w:type="dxa"/>
          </w:tcPr>
          <w:p w14:paraId="3CCF6C39" w14:textId="77777777" w:rsidR="00767E40" w:rsidRPr="008D57B9" w:rsidRDefault="00767E40" w:rsidP="008D57B9">
            <w:pPr>
              <w:spacing w:line="276" w:lineRule="auto"/>
              <w:rPr>
                <w:rFonts w:ascii="Arial" w:hAnsi="Arial" w:cs="Arial"/>
                <w:sz w:val="24"/>
                <w:szCs w:val="24"/>
              </w:rPr>
            </w:pPr>
            <w:r w:rsidRPr="008D57B9">
              <w:rPr>
                <w:rFonts w:ascii="Arial" w:hAnsi="Arial" w:cs="Arial"/>
                <w:color w:val="000000"/>
                <w:sz w:val="24"/>
                <w:szCs w:val="24"/>
              </w:rPr>
              <w:t>Renewable energy and smart systems</w:t>
            </w:r>
          </w:p>
        </w:tc>
        <w:tc>
          <w:tcPr>
            <w:tcW w:w="1760" w:type="dxa"/>
          </w:tcPr>
          <w:p w14:paraId="7C778FC2" w14:textId="77777777" w:rsidR="00767E40" w:rsidRPr="008D57B9" w:rsidRDefault="00767E40" w:rsidP="008D57B9">
            <w:pPr>
              <w:spacing w:line="276" w:lineRule="auto"/>
              <w:jc w:val="right"/>
              <w:rPr>
                <w:rFonts w:ascii="Arial" w:hAnsi="Arial" w:cs="Arial"/>
                <w:sz w:val="24"/>
                <w:szCs w:val="24"/>
              </w:rPr>
            </w:pPr>
            <w:r w:rsidRPr="008D57B9">
              <w:rPr>
                <w:rFonts w:ascii="Arial" w:hAnsi="Arial" w:cs="Arial"/>
                <w:color w:val="000000"/>
                <w:sz w:val="24"/>
                <w:szCs w:val="24"/>
              </w:rPr>
              <w:t>4.00</w:t>
            </w:r>
          </w:p>
        </w:tc>
        <w:tc>
          <w:tcPr>
            <w:tcW w:w="1500" w:type="dxa"/>
          </w:tcPr>
          <w:p w14:paraId="11D30981" w14:textId="77777777" w:rsidR="00767E40" w:rsidRPr="008D57B9" w:rsidRDefault="00767E40" w:rsidP="008D57B9">
            <w:pPr>
              <w:spacing w:line="276" w:lineRule="auto"/>
              <w:jc w:val="right"/>
              <w:rPr>
                <w:rFonts w:ascii="Arial" w:hAnsi="Arial" w:cs="Arial"/>
                <w:sz w:val="24"/>
                <w:szCs w:val="24"/>
              </w:rPr>
            </w:pPr>
            <w:r w:rsidRPr="008D57B9">
              <w:rPr>
                <w:rFonts w:ascii="Arial" w:hAnsi="Arial" w:cs="Arial"/>
                <w:color w:val="000000"/>
                <w:sz w:val="24"/>
                <w:szCs w:val="24"/>
              </w:rPr>
              <w:t>16</w:t>
            </w:r>
          </w:p>
        </w:tc>
      </w:tr>
      <w:tr w:rsidR="00767E40" w:rsidRPr="008D57B9" w14:paraId="59C9020E" w14:textId="77777777" w:rsidTr="00090BCE">
        <w:tc>
          <w:tcPr>
            <w:tcW w:w="6100" w:type="dxa"/>
          </w:tcPr>
          <w:p w14:paraId="3A9450A8" w14:textId="77777777" w:rsidR="00767E40" w:rsidRPr="008D57B9" w:rsidRDefault="00767E40" w:rsidP="008D57B9">
            <w:pPr>
              <w:spacing w:line="276" w:lineRule="auto"/>
              <w:rPr>
                <w:rFonts w:ascii="Arial" w:hAnsi="Arial" w:cs="Arial"/>
                <w:sz w:val="24"/>
                <w:szCs w:val="24"/>
              </w:rPr>
            </w:pPr>
            <w:r w:rsidRPr="008D57B9">
              <w:rPr>
                <w:rFonts w:ascii="Arial" w:hAnsi="Arial" w:cs="Arial"/>
                <w:color w:val="000000"/>
                <w:sz w:val="24"/>
                <w:szCs w:val="24"/>
              </w:rPr>
              <w:t>Accessibility and active-travel facilities</w:t>
            </w:r>
          </w:p>
        </w:tc>
        <w:tc>
          <w:tcPr>
            <w:tcW w:w="1760" w:type="dxa"/>
          </w:tcPr>
          <w:p w14:paraId="66E7161E" w14:textId="77777777" w:rsidR="00767E40" w:rsidRPr="008D57B9" w:rsidRDefault="00767E40" w:rsidP="008D57B9">
            <w:pPr>
              <w:spacing w:line="276" w:lineRule="auto"/>
              <w:jc w:val="right"/>
              <w:rPr>
                <w:rFonts w:ascii="Arial" w:hAnsi="Arial" w:cs="Arial"/>
                <w:sz w:val="24"/>
                <w:szCs w:val="24"/>
              </w:rPr>
            </w:pPr>
            <w:r w:rsidRPr="008D57B9">
              <w:rPr>
                <w:rFonts w:ascii="Arial" w:hAnsi="Arial" w:cs="Arial"/>
                <w:color w:val="000000"/>
                <w:sz w:val="24"/>
                <w:szCs w:val="24"/>
              </w:rPr>
              <w:t>2.00</w:t>
            </w:r>
          </w:p>
        </w:tc>
        <w:tc>
          <w:tcPr>
            <w:tcW w:w="1500" w:type="dxa"/>
          </w:tcPr>
          <w:p w14:paraId="4A487BFA" w14:textId="77777777" w:rsidR="00767E40" w:rsidRPr="008D57B9" w:rsidRDefault="00767E40" w:rsidP="008D57B9">
            <w:pPr>
              <w:spacing w:line="276" w:lineRule="auto"/>
              <w:jc w:val="right"/>
              <w:rPr>
                <w:rFonts w:ascii="Arial" w:hAnsi="Arial" w:cs="Arial"/>
                <w:sz w:val="24"/>
                <w:szCs w:val="24"/>
              </w:rPr>
            </w:pPr>
            <w:r w:rsidRPr="008D57B9">
              <w:rPr>
                <w:rFonts w:ascii="Arial" w:hAnsi="Arial" w:cs="Arial"/>
                <w:color w:val="000000"/>
                <w:sz w:val="24"/>
                <w:szCs w:val="24"/>
              </w:rPr>
              <w:t>8</w:t>
            </w:r>
          </w:p>
        </w:tc>
      </w:tr>
      <w:tr w:rsidR="00767E40" w:rsidRPr="008D57B9" w14:paraId="4204F27B" w14:textId="77777777" w:rsidTr="00090BCE">
        <w:tc>
          <w:tcPr>
            <w:tcW w:w="6100" w:type="dxa"/>
          </w:tcPr>
          <w:p w14:paraId="0F60C3EE" w14:textId="77777777" w:rsidR="00767E40" w:rsidRPr="008D57B9" w:rsidRDefault="00767E40" w:rsidP="008D57B9">
            <w:pPr>
              <w:spacing w:line="276" w:lineRule="auto"/>
              <w:rPr>
                <w:rFonts w:ascii="Arial" w:hAnsi="Arial" w:cs="Arial"/>
                <w:sz w:val="24"/>
                <w:szCs w:val="24"/>
              </w:rPr>
            </w:pPr>
            <w:r w:rsidRPr="008D57B9">
              <w:rPr>
                <w:rFonts w:ascii="Arial" w:hAnsi="Arial" w:cs="Arial"/>
                <w:color w:val="000000"/>
                <w:sz w:val="24"/>
                <w:szCs w:val="24"/>
              </w:rPr>
              <w:t>Testing, training and commissioning</w:t>
            </w:r>
          </w:p>
        </w:tc>
        <w:tc>
          <w:tcPr>
            <w:tcW w:w="1760" w:type="dxa"/>
          </w:tcPr>
          <w:p w14:paraId="0E494A12" w14:textId="77777777" w:rsidR="00767E40" w:rsidRPr="008D57B9" w:rsidRDefault="00767E40" w:rsidP="008D57B9">
            <w:pPr>
              <w:spacing w:line="276" w:lineRule="auto"/>
              <w:jc w:val="right"/>
              <w:rPr>
                <w:rFonts w:ascii="Arial" w:hAnsi="Arial" w:cs="Arial"/>
                <w:sz w:val="24"/>
                <w:szCs w:val="24"/>
              </w:rPr>
            </w:pPr>
            <w:r w:rsidRPr="008D57B9">
              <w:rPr>
                <w:rFonts w:ascii="Arial" w:hAnsi="Arial" w:cs="Arial"/>
                <w:color w:val="000000"/>
                <w:sz w:val="24"/>
                <w:szCs w:val="24"/>
              </w:rPr>
              <w:t>1.00</w:t>
            </w:r>
          </w:p>
        </w:tc>
        <w:tc>
          <w:tcPr>
            <w:tcW w:w="1500" w:type="dxa"/>
          </w:tcPr>
          <w:p w14:paraId="2CAB4864" w14:textId="77777777" w:rsidR="00767E40" w:rsidRPr="008D57B9" w:rsidRDefault="00767E40" w:rsidP="008D57B9">
            <w:pPr>
              <w:spacing w:line="276" w:lineRule="auto"/>
              <w:jc w:val="right"/>
              <w:rPr>
                <w:rFonts w:ascii="Arial" w:hAnsi="Arial" w:cs="Arial"/>
                <w:sz w:val="24"/>
                <w:szCs w:val="24"/>
              </w:rPr>
            </w:pPr>
            <w:r w:rsidRPr="008D57B9">
              <w:rPr>
                <w:rFonts w:ascii="Arial" w:hAnsi="Arial" w:cs="Arial"/>
                <w:color w:val="000000"/>
                <w:sz w:val="24"/>
                <w:szCs w:val="24"/>
              </w:rPr>
              <w:t>4</w:t>
            </w:r>
          </w:p>
        </w:tc>
      </w:tr>
      <w:tr w:rsidR="00767E40" w:rsidRPr="008D57B9" w14:paraId="6187DF3D" w14:textId="77777777" w:rsidTr="00090BCE">
        <w:tc>
          <w:tcPr>
            <w:tcW w:w="6100" w:type="dxa"/>
          </w:tcPr>
          <w:p w14:paraId="52D71D78" w14:textId="77777777" w:rsidR="00767E40" w:rsidRPr="008D57B9" w:rsidRDefault="00767E40" w:rsidP="008D57B9">
            <w:pPr>
              <w:spacing w:line="276" w:lineRule="auto"/>
              <w:rPr>
                <w:rFonts w:ascii="Arial" w:hAnsi="Arial" w:cs="Arial"/>
                <w:sz w:val="24"/>
                <w:szCs w:val="24"/>
              </w:rPr>
            </w:pPr>
            <w:r w:rsidRPr="008D57B9">
              <w:rPr>
                <w:rFonts w:ascii="Arial" w:hAnsi="Arial" w:cs="Arial"/>
                <w:color w:val="000000"/>
                <w:sz w:val="24"/>
                <w:szCs w:val="24"/>
              </w:rPr>
              <w:t>Stakeholder engagement and communications</w:t>
            </w:r>
          </w:p>
        </w:tc>
        <w:tc>
          <w:tcPr>
            <w:tcW w:w="1760" w:type="dxa"/>
          </w:tcPr>
          <w:p w14:paraId="219254B2" w14:textId="77777777" w:rsidR="00767E40" w:rsidRPr="008D57B9" w:rsidRDefault="00767E40" w:rsidP="008D57B9">
            <w:pPr>
              <w:spacing w:line="276" w:lineRule="auto"/>
              <w:jc w:val="right"/>
              <w:rPr>
                <w:rFonts w:ascii="Arial" w:hAnsi="Arial" w:cs="Arial"/>
                <w:sz w:val="24"/>
                <w:szCs w:val="24"/>
              </w:rPr>
            </w:pPr>
            <w:r w:rsidRPr="008D57B9">
              <w:rPr>
                <w:rFonts w:ascii="Arial" w:hAnsi="Arial" w:cs="Arial"/>
                <w:color w:val="000000"/>
                <w:sz w:val="24"/>
                <w:szCs w:val="24"/>
              </w:rPr>
              <w:t>1.00</w:t>
            </w:r>
          </w:p>
        </w:tc>
        <w:tc>
          <w:tcPr>
            <w:tcW w:w="1500" w:type="dxa"/>
          </w:tcPr>
          <w:p w14:paraId="05C7EAD0" w14:textId="77777777" w:rsidR="00767E40" w:rsidRPr="008D57B9" w:rsidRDefault="00767E40" w:rsidP="008D57B9">
            <w:pPr>
              <w:spacing w:line="276" w:lineRule="auto"/>
              <w:jc w:val="right"/>
              <w:rPr>
                <w:rFonts w:ascii="Arial" w:hAnsi="Arial" w:cs="Arial"/>
                <w:sz w:val="24"/>
                <w:szCs w:val="24"/>
              </w:rPr>
            </w:pPr>
            <w:r w:rsidRPr="008D57B9">
              <w:rPr>
                <w:rFonts w:ascii="Arial" w:hAnsi="Arial" w:cs="Arial"/>
                <w:color w:val="000000"/>
                <w:sz w:val="24"/>
                <w:szCs w:val="24"/>
              </w:rPr>
              <w:t>4</w:t>
            </w:r>
          </w:p>
        </w:tc>
      </w:tr>
      <w:tr w:rsidR="00767E40" w:rsidRPr="008D57B9" w14:paraId="62F9DD01" w14:textId="77777777" w:rsidTr="00090BCE">
        <w:tc>
          <w:tcPr>
            <w:tcW w:w="6100" w:type="dxa"/>
          </w:tcPr>
          <w:p w14:paraId="348C1169" w14:textId="77777777" w:rsidR="00767E40" w:rsidRPr="008D57B9" w:rsidRDefault="00767E40" w:rsidP="008D57B9">
            <w:pPr>
              <w:spacing w:line="276" w:lineRule="auto"/>
              <w:rPr>
                <w:rFonts w:ascii="Arial" w:hAnsi="Arial" w:cs="Arial"/>
                <w:sz w:val="24"/>
                <w:szCs w:val="24"/>
              </w:rPr>
            </w:pPr>
            <w:r w:rsidRPr="008D57B9">
              <w:rPr>
                <w:rFonts w:ascii="Arial" w:hAnsi="Arial" w:cs="Arial"/>
                <w:color w:val="000000"/>
                <w:sz w:val="24"/>
                <w:szCs w:val="24"/>
              </w:rPr>
              <w:t>Sponsor-held contingency</w:t>
            </w:r>
          </w:p>
        </w:tc>
        <w:tc>
          <w:tcPr>
            <w:tcW w:w="1760" w:type="dxa"/>
          </w:tcPr>
          <w:p w14:paraId="7C84B259" w14:textId="77777777" w:rsidR="00767E40" w:rsidRPr="008D57B9" w:rsidRDefault="00767E40" w:rsidP="008D57B9">
            <w:pPr>
              <w:spacing w:line="276" w:lineRule="auto"/>
              <w:jc w:val="right"/>
              <w:rPr>
                <w:rFonts w:ascii="Arial" w:hAnsi="Arial" w:cs="Arial"/>
                <w:sz w:val="24"/>
                <w:szCs w:val="24"/>
              </w:rPr>
            </w:pPr>
            <w:r w:rsidRPr="008D57B9">
              <w:rPr>
                <w:rFonts w:ascii="Arial" w:hAnsi="Arial" w:cs="Arial"/>
                <w:color w:val="000000"/>
                <w:sz w:val="24"/>
                <w:szCs w:val="24"/>
              </w:rPr>
              <w:t>2.50</w:t>
            </w:r>
          </w:p>
        </w:tc>
        <w:tc>
          <w:tcPr>
            <w:tcW w:w="1500" w:type="dxa"/>
          </w:tcPr>
          <w:p w14:paraId="09BAEBEF" w14:textId="77777777" w:rsidR="00767E40" w:rsidRPr="008D57B9" w:rsidRDefault="00767E40" w:rsidP="008D57B9">
            <w:pPr>
              <w:spacing w:line="276" w:lineRule="auto"/>
              <w:jc w:val="right"/>
              <w:rPr>
                <w:rFonts w:ascii="Arial" w:hAnsi="Arial" w:cs="Arial"/>
                <w:sz w:val="24"/>
                <w:szCs w:val="24"/>
              </w:rPr>
            </w:pPr>
            <w:r w:rsidRPr="008D57B9">
              <w:rPr>
                <w:rFonts w:ascii="Arial" w:hAnsi="Arial" w:cs="Arial"/>
                <w:color w:val="000000"/>
                <w:sz w:val="24"/>
                <w:szCs w:val="24"/>
              </w:rPr>
              <w:t>10</w:t>
            </w:r>
          </w:p>
        </w:tc>
      </w:tr>
      <w:tr w:rsidR="00767E40" w:rsidRPr="008D57B9" w14:paraId="14243092" w14:textId="77777777" w:rsidTr="00090BCE">
        <w:tc>
          <w:tcPr>
            <w:tcW w:w="6100" w:type="dxa"/>
          </w:tcPr>
          <w:p w14:paraId="26A05D82" w14:textId="77777777" w:rsidR="00767E40" w:rsidRPr="008D57B9" w:rsidRDefault="00767E40" w:rsidP="008D57B9">
            <w:pPr>
              <w:spacing w:line="276" w:lineRule="auto"/>
              <w:rPr>
                <w:rFonts w:ascii="Arial" w:hAnsi="Arial" w:cs="Arial"/>
                <w:sz w:val="24"/>
                <w:szCs w:val="24"/>
              </w:rPr>
            </w:pPr>
            <w:r w:rsidRPr="008D57B9">
              <w:rPr>
                <w:rFonts w:ascii="Arial" w:hAnsi="Arial" w:cs="Arial"/>
                <w:color w:val="000000"/>
                <w:sz w:val="24"/>
                <w:szCs w:val="24"/>
              </w:rPr>
              <w:t>Total</w:t>
            </w:r>
          </w:p>
        </w:tc>
        <w:tc>
          <w:tcPr>
            <w:tcW w:w="1760" w:type="dxa"/>
          </w:tcPr>
          <w:p w14:paraId="71301E83" w14:textId="77777777" w:rsidR="00767E40" w:rsidRPr="008D57B9" w:rsidRDefault="00767E40" w:rsidP="008D57B9">
            <w:pPr>
              <w:spacing w:line="276" w:lineRule="auto"/>
              <w:jc w:val="right"/>
              <w:rPr>
                <w:rFonts w:ascii="Arial" w:hAnsi="Arial" w:cs="Arial"/>
                <w:sz w:val="24"/>
                <w:szCs w:val="24"/>
              </w:rPr>
            </w:pPr>
            <w:r w:rsidRPr="008D57B9">
              <w:rPr>
                <w:rFonts w:ascii="Arial" w:hAnsi="Arial" w:cs="Arial"/>
                <w:color w:val="000000"/>
                <w:sz w:val="24"/>
                <w:szCs w:val="24"/>
              </w:rPr>
              <w:t>25.00</w:t>
            </w:r>
          </w:p>
        </w:tc>
        <w:tc>
          <w:tcPr>
            <w:tcW w:w="1500" w:type="dxa"/>
          </w:tcPr>
          <w:p w14:paraId="5E0F8312" w14:textId="77777777" w:rsidR="00767E40" w:rsidRPr="008D57B9" w:rsidRDefault="00767E40" w:rsidP="008D57B9">
            <w:pPr>
              <w:spacing w:line="276" w:lineRule="auto"/>
              <w:jc w:val="right"/>
              <w:rPr>
                <w:rFonts w:ascii="Arial" w:hAnsi="Arial" w:cs="Arial"/>
                <w:sz w:val="24"/>
                <w:szCs w:val="24"/>
              </w:rPr>
            </w:pPr>
            <w:r w:rsidRPr="008D57B9">
              <w:rPr>
                <w:rFonts w:ascii="Arial" w:hAnsi="Arial" w:cs="Arial"/>
                <w:color w:val="000000"/>
                <w:sz w:val="24"/>
                <w:szCs w:val="24"/>
              </w:rPr>
              <w:t>100</w:t>
            </w:r>
          </w:p>
        </w:tc>
      </w:tr>
    </w:tbl>
    <w:p w14:paraId="4178DB5E" w14:textId="77777777" w:rsidR="00212457" w:rsidRDefault="00212457" w:rsidP="00212457">
      <w:pPr>
        <w:pStyle w:val="Heading2"/>
        <w:spacing w:line="276" w:lineRule="auto"/>
        <w:jc w:val="both"/>
        <w:rPr>
          <w:rFonts w:ascii="Arial" w:hAnsi="Arial" w:cs="Arial"/>
          <w:b/>
          <w:color w:val="000000" w:themeColor="text1"/>
          <w:sz w:val="24"/>
          <w:szCs w:val="24"/>
        </w:rPr>
      </w:pPr>
    </w:p>
    <w:p w14:paraId="6F1ABDCA" w14:textId="060679BC" w:rsidR="00767E40" w:rsidRPr="008D57B9" w:rsidRDefault="00767E40" w:rsidP="00212457">
      <w:pPr>
        <w:pStyle w:val="Heading2"/>
        <w:spacing w:line="276" w:lineRule="auto"/>
        <w:jc w:val="both"/>
        <w:rPr>
          <w:rFonts w:ascii="Arial" w:hAnsi="Arial" w:cs="Arial"/>
          <w:color w:val="000000" w:themeColor="text1"/>
          <w:sz w:val="24"/>
          <w:szCs w:val="24"/>
        </w:rPr>
      </w:pPr>
      <w:r w:rsidRPr="008D57B9">
        <w:rPr>
          <w:rFonts w:ascii="Arial" w:hAnsi="Arial" w:cs="Arial"/>
          <w:b/>
          <w:color w:val="000000" w:themeColor="text1"/>
          <w:sz w:val="24"/>
          <w:szCs w:val="24"/>
        </w:rPr>
        <w:t>People, Technology and Accountability</w:t>
      </w:r>
    </w:p>
    <w:p w14:paraId="6FEFD82E" w14:textId="30AF8C1A" w:rsidR="00767E40" w:rsidRPr="008D57B9" w:rsidRDefault="006B72A9" w:rsidP="008D57B9">
      <w:pPr>
        <w:spacing w:line="276" w:lineRule="auto"/>
        <w:jc w:val="both"/>
        <w:rPr>
          <w:rFonts w:ascii="Arial" w:hAnsi="Arial" w:cs="Arial"/>
        </w:rPr>
      </w:pPr>
      <w:r w:rsidRPr="008D57B9">
        <w:rPr>
          <w:rFonts w:ascii="Arial" w:hAnsi="Arial" w:cs="Arial"/>
        </w:rPr>
        <w:tab/>
        <w:t xml:space="preserve">The core team comprises the sponsor, project manager, cost manager, planner, design manager, sustainability and carbon lead, accessibility adviser, stakeholder lead, procurement manager, principal contractor, </w:t>
      </w:r>
      <w:r w:rsidR="00534305">
        <w:rPr>
          <w:rFonts w:ascii="Arial" w:hAnsi="Arial" w:cs="Arial"/>
        </w:rPr>
        <w:t>health and safety</w:t>
      </w:r>
      <w:r w:rsidRPr="008D57B9">
        <w:rPr>
          <w:rFonts w:ascii="Arial" w:hAnsi="Arial" w:cs="Arial"/>
        </w:rPr>
        <w:t xml:space="preserve"> manager, quality manager, systems integrator and operations representative. Plant, low-carbon materials, modular components, solar equipment, charging assets, sensors and digital information systems are procured against technical and whole-life criteria. Specialist availability is secured early for design assurance, accessibility audit and commissioning. The resource strategy supports current expectations for capable teams, early supply-chain involvement and whole-life carbon management (Cabinet Office, 2022; UK Green Building Council, 2021).</w:t>
      </w:r>
    </w:p>
    <w:p w14:paraId="5F4548D5" w14:textId="50D28E72" w:rsidR="00767E40" w:rsidRPr="008D57B9" w:rsidRDefault="006B72A9" w:rsidP="008D57B9">
      <w:pPr>
        <w:spacing w:line="276" w:lineRule="auto"/>
        <w:jc w:val="both"/>
        <w:rPr>
          <w:rFonts w:ascii="Arial" w:hAnsi="Arial" w:cs="Arial"/>
        </w:rPr>
      </w:pPr>
      <w:r w:rsidRPr="008D57B9">
        <w:rPr>
          <w:rFonts w:ascii="Arial" w:hAnsi="Arial" w:cs="Arial"/>
          <w:color w:val="000000"/>
        </w:rPr>
        <w:lastRenderedPageBreak/>
        <w:tab/>
      </w:r>
      <w:r w:rsidR="00767E40" w:rsidRPr="008D57B9">
        <w:rPr>
          <w:rFonts w:ascii="Arial" w:hAnsi="Arial" w:cs="Arial"/>
          <w:color w:val="000000"/>
        </w:rPr>
        <w:t>Table 5 clarifies accountability using RACI: Responsible performs the work, Accountable approves the result, Consulted contributes before decisions, and Informed receives status. A single sponsor remains accountable for each phase, while the project manager coordinates delivery and escalation.</w:t>
      </w:r>
    </w:p>
    <w:p w14:paraId="0007F16B" w14:textId="38AF7CC9" w:rsidR="00767E40" w:rsidRPr="008D57B9" w:rsidRDefault="006B72A9" w:rsidP="008D57B9">
      <w:pPr>
        <w:spacing w:line="276" w:lineRule="auto"/>
        <w:jc w:val="both"/>
        <w:rPr>
          <w:rFonts w:ascii="Arial" w:hAnsi="Arial" w:cs="Arial"/>
          <w:color w:val="000000"/>
        </w:rPr>
      </w:pPr>
      <w:r w:rsidRPr="008D57B9">
        <w:rPr>
          <w:rFonts w:ascii="Arial" w:hAnsi="Arial" w:cs="Arial"/>
          <w:color w:val="000000"/>
        </w:rPr>
        <w:tab/>
      </w:r>
      <w:r w:rsidR="00767E40" w:rsidRPr="008D57B9">
        <w:rPr>
          <w:rFonts w:ascii="Arial" w:hAnsi="Arial" w:cs="Arial"/>
          <w:color w:val="000000"/>
        </w:rPr>
        <w:t>Resource control also addresses capacity and timing, not only total cost. The project manager reviews the demand for specialist people, plant and long-lead equipment against the programme so that competing requirements are visible early. Procurement packages include technical, environmental, accessibility and social-value criteria alongside price. Supplier performance is monitored through delivery reliability, quality, safety and corrective-action measures. Where forecast demand exceeds availability, the team considers resource levelling, resequencing, approved alternatives or additional capacity before the shortage affects a critical activity.</w:t>
      </w:r>
    </w:p>
    <w:p w14:paraId="57A595E2" w14:textId="7DAD17EE" w:rsidR="00713000" w:rsidRPr="008D57B9" w:rsidRDefault="00713000" w:rsidP="008D57B9">
      <w:pPr>
        <w:pStyle w:val="Caption"/>
        <w:spacing w:before="60" w:after="180" w:line="276" w:lineRule="auto"/>
        <w:rPr>
          <w:rFonts w:ascii="Arial" w:hAnsi="Arial" w:cs="Arial"/>
          <w:bCs w:val="0"/>
          <w:i w:val="0"/>
          <w:iCs/>
          <w:color w:val="auto"/>
          <w:sz w:val="24"/>
          <w:szCs w:val="24"/>
          <w:u w:val="single"/>
        </w:rPr>
      </w:pPr>
      <w:r w:rsidRPr="008D57B9">
        <w:rPr>
          <w:rFonts w:ascii="Arial" w:hAnsi="Arial" w:cs="Arial"/>
          <w:bCs w:val="0"/>
          <w:i w:val="0"/>
          <w:iCs/>
          <w:color w:val="auto"/>
          <w:sz w:val="24"/>
          <w:szCs w:val="24"/>
          <w:u w:val="single"/>
        </w:rPr>
        <w:t>Table 5. RACI Responsibility Matrix</w:t>
      </w:r>
    </w:p>
    <w:tbl>
      <w:tblPr>
        <w:tblStyle w:val="TableGrid"/>
        <w:tblW w:w="9360" w:type="dxa"/>
        <w:tblInd w:w="120" w:type="dxa"/>
        <w:tblLayout w:type="fixed"/>
        <w:tblLook w:val="04A0" w:firstRow="1" w:lastRow="0" w:firstColumn="1" w:lastColumn="0" w:noHBand="0" w:noVBand="1"/>
      </w:tblPr>
      <w:tblGrid>
        <w:gridCol w:w="2300"/>
        <w:gridCol w:w="920"/>
        <w:gridCol w:w="720"/>
        <w:gridCol w:w="1461"/>
        <w:gridCol w:w="1359"/>
        <w:gridCol w:w="1520"/>
        <w:gridCol w:w="1080"/>
      </w:tblGrid>
      <w:tr w:rsidR="00767E40" w:rsidRPr="008D57B9" w14:paraId="30AC0A4B" w14:textId="77777777" w:rsidTr="00090BCE">
        <w:trPr>
          <w:tblHeader/>
        </w:trPr>
        <w:tc>
          <w:tcPr>
            <w:tcW w:w="2300" w:type="dxa"/>
            <w:shd w:val="clear" w:color="auto" w:fill="60CAF3" w:themeFill="accent4" w:themeFillTint="99"/>
            <w:tcMar>
              <w:top w:w="80" w:type="dxa"/>
              <w:left w:w="120" w:type="dxa"/>
              <w:bottom w:w="80" w:type="dxa"/>
              <w:right w:w="120" w:type="dxa"/>
            </w:tcMar>
            <w:vAlign w:val="center"/>
          </w:tcPr>
          <w:p w14:paraId="4BC547C6" w14:textId="77777777" w:rsidR="00767E40" w:rsidRPr="008D57B9" w:rsidRDefault="00767E40" w:rsidP="008D57B9">
            <w:pPr>
              <w:spacing w:line="276" w:lineRule="auto"/>
              <w:jc w:val="center"/>
              <w:rPr>
                <w:rFonts w:ascii="Arial" w:hAnsi="Arial" w:cs="Arial"/>
                <w:sz w:val="24"/>
                <w:szCs w:val="24"/>
              </w:rPr>
            </w:pPr>
            <w:r w:rsidRPr="008D57B9">
              <w:rPr>
                <w:rFonts w:ascii="Arial" w:hAnsi="Arial" w:cs="Arial"/>
                <w:b/>
                <w:color w:val="0B2545"/>
                <w:sz w:val="24"/>
                <w:szCs w:val="24"/>
              </w:rPr>
              <w:t>Activity</w:t>
            </w:r>
          </w:p>
        </w:tc>
        <w:tc>
          <w:tcPr>
            <w:tcW w:w="920" w:type="dxa"/>
            <w:shd w:val="clear" w:color="auto" w:fill="60CAF3" w:themeFill="accent4" w:themeFillTint="99"/>
            <w:tcMar>
              <w:top w:w="80" w:type="dxa"/>
              <w:left w:w="120" w:type="dxa"/>
              <w:bottom w:w="80" w:type="dxa"/>
              <w:right w:w="120" w:type="dxa"/>
            </w:tcMar>
            <w:vAlign w:val="center"/>
          </w:tcPr>
          <w:p w14:paraId="6A5F4FB8" w14:textId="77777777" w:rsidR="00767E40" w:rsidRPr="008D57B9" w:rsidRDefault="00767E40" w:rsidP="008D57B9">
            <w:pPr>
              <w:spacing w:line="276" w:lineRule="auto"/>
              <w:jc w:val="center"/>
              <w:rPr>
                <w:rFonts w:ascii="Arial" w:hAnsi="Arial" w:cs="Arial"/>
                <w:sz w:val="24"/>
                <w:szCs w:val="24"/>
              </w:rPr>
            </w:pPr>
            <w:r w:rsidRPr="008D57B9">
              <w:rPr>
                <w:rFonts w:ascii="Arial" w:hAnsi="Arial" w:cs="Arial"/>
                <w:b/>
                <w:color w:val="0B2545"/>
                <w:sz w:val="24"/>
                <w:szCs w:val="24"/>
              </w:rPr>
              <w:t>Sponsor</w:t>
            </w:r>
          </w:p>
        </w:tc>
        <w:tc>
          <w:tcPr>
            <w:tcW w:w="720" w:type="dxa"/>
            <w:shd w:val="clear" w:color="auto" w:fill="60CAF3" w:themeFill="accent4" w:themeFillTint="99"/>
            <w:tcMar>
              <w:top w:w="80" w:type="dxa"/>
              <w:left w:w="120" w:type="dxa"/>
              <w:bottom w:w="80" w:type="dxa"/>
              <w:right w:w="120" w:type="dxa"/>
            </w:tcMar>
            <w:vAlign w:val="center"/>
          </w:tcPr>
          <w:p w14:paraId="658236AF" w14:textId="77777777" w:rsidR="00767E40" w:rsidRPr="008D57B9" w:rsidRDefault="00767E40" w:rsidP="008D57B9">
            <w:pPr>
              <w:spacing w:line="276" w:lineRule="auto"/>
              <w:jc w:val="center"/>
              <w:rPr>
                <w:rFonts w:ascii="Arial" w:hAnsi="Arial" w:cs="Arial"/>
                <w:sz w:val="24"/>
                <w:szCs w:val="24"/>
              </w:rPr>
            </w:pPr>
            <w:r w:rsidRPr="008D57B9">
              <w:rPr>
                <w:rFonts w:ascii="Arial" w:hAnsi="Arial" w:cs="Arial"/>
                <w:b/>
                <w:color w:val="0B2545"/>
                <w:sz w:val="24"/>
                <w:szCs w:val="24"/>
              </w:rPr>
              <w:t>PM</w:t>
            </w:r>
          </w:p>
        </w:tc>
        <w:tc>
          <w:tcPr>
            <w:tcW w:w="1461" w:type="dxa"/>
            <w:shd w:val="clear" w:color="auto" w:fill="60CAF3" w:themeFill="accent4" w:themeFillTint="99"/>
            <w:tcMar>
              <w:top w:w="80" w:type="dxa"/>
              <w:left w:w="120" w:type="dxa"/>
              <w:bottom w:w="80" w:type="dxa"/>
              <w:right w:w="120" w:type="dxa"/>
            </w:tcMar>
            <w:vAlign w:val="center"/>
          </w:tcPr>
          <w:p w14:paraId="4F78C68B" w14:textId="77777777" w:rsidR="00767E40" w:rsidRPr="008D57B9" w:rsidRDefault="00767E40" w:rsidP="008D57B9">
            <w:pPr>
              <w:spacing w:line="276" w:lineRule="auto"/>
              <w:jc w:val="center"/>
              <w:rPr>
                <w:rFonts w:ascii="Arial" w:hAnsi="Arial" w:cs="Arial"/>
                <w:sz w:val="24"/>
                <w:szCs w:val="24"/>
              </w:rPr>
            </w:pPr>
            <w:r w:rsidRPr="008D57B9">
              <w:rPr>
                <w:rFonts w:ascii="Arial" w:hAnsi="Arial" w:cs="Arial"/>
                <w:b/>
                <w:color w:val="0B2545"/>
                <w:sz w:val="24"/>
                <w:szCs w:val="24"/>
              </w:rPr>
              <w:t>Contractor</w:t>
            </w:r>
          </w:p>
        </w:tc>
        <w:tc>
          <w:tcPr>
            <w:tcW w:w="1359" w:type="dxa"/>
            <w:shd w:val="clear" w:color="auto" w:fill="60CAF3" w:themeFill="accent4" w:themeFillTint="99"/>
            <w:tcMar>
              <w:top w:w="80" w:type="dxa"/>
              <w:left w:w="120" w:type="dxa"/>
              <w:bottom w:w="80" w:type="dxa"/>
              <w:right w:w="120" w:type="dxa"/>
            </w:tcMar>
            <w:vAlign w:val="center"/>
          </w:tcPr>
          <w:p w14:paraId="67659CB5" w14:textId="77777777" w:rsidR="00767E40" w:rsidRPr="008D57B9" w:rsidRDefault="00767E40" w:rsidP="008D57B9">
            <w:pPr>
              <w:spacing w:line="276" w:lineRule="auto"/>
              <w:jc w:val="center"/>
              <w:rPr>
                <w:rFonts w:ascii="Arial" w:hAnsi="Arial" w:cs="Arial"/>
                <w:sz w:val="24"/>
                <w:szCs w:val="24"/>
              </w:rPr>
            </w:pPr>
            <w:r w:rsidRPr="008D57B9">
              <w:rPr>
                <w:rFonts w:ascii="Arial" w:hAnsi="Arial" w:cs="Arial"/>
                <w:b/>
                <w:color w:val="0B2545"/>
                <w:sz w:val="24"/>
                <w:szCs w:val="24"/>
              </w:rPr>
              <w:t>Design team</w:t>
            </w:r>
          </w:p>
        </w:tc>
        <w:tc>
          <w:tcPr>
            <w:tcW w:w="1520" w:type="dxa"/>
            <w:shd w:val="clear" w:color="auto" w:fill="60CAF3" w:themeFill="accent4" w:themeFillTint="99"/>
            <w:tcMar>
              <w:top w:w="80" w:type="dxa"/>
              <w:left w:w="120" w:type="dxa"/>
              <w:bottom w:w="80" w:type="dxa"/>
              <w:right w:w="120" w:type="dxa"/>
            </w:tcMar>
            <w:vAlign w:val="center"/>
          </w:tcPr>
          <w:p w14:paraId="4039C045" w14:textId="77777777" w:rsidR="00767E40" w:rsidRPr="008D57B9" w:rsidRDefault="00767E40" w:rsidP="008D57B9">
            <w:pPr>
              <w:spacing w:line="276" w:lineRule="auto"/>
              <w:jc w:val="center"/>
              <w:rPr>
                <w:rFonts w:ascii="Arial" w:hAnsi="Arial" w:cs="Arial"/>
                <w:sz w:val="24"/>
                <w:szCs w:val="24"/>
              </w:rPr>
            </w:pPr>
            <w:r w:rsidRPr="008D57B9">
              <w:rPr>
                <w:rFonts w:ascii="Arial" w:hAnsi="Arial" w:cs="Arial"/>
                <w:b/>
                <w:color w:val="0B2545"/>
                <w:sz w:val="24"/>
                <w:szCs w:val="24"/>
              </w:rPr>
              <w:t>Local authority</w:t>
            </w:r>
          </w:p>
        </w:tc>
        <w:tc>
          <w:tcPr>
            <w:tcW w:w="1080" w:type="dxa"/>
            <w:shd w:val="clear" w:color="auto" w:fill="60CAF3" w:themeFill="accent4" w:themeFillTint="99"/>
            <w:tcMar>
              <w:top w:w="80" w:type="dxa"/>
              <w:left w:w="120" w:type="dxa"/>
              <w:bottom w:w="80" w:type="dxa"/>
              <w:right w:w="120" w:type="dxa"/>
            </w:tcMar>
            <w:vAlign w:val="center"/>
          </w:tcPr>
          <w:p w14:paraId="0291DBDB" w14:textId="77777777" w:rsidR="00767E40" w:rsidRPr="008D57B9" w:rsidRDefault="00767E40" w:rsidP="008D57B9">
            <w:pPr>
              <w:spacing w:line="276" w:lineRule="auto"/>
              <w:jc w:val="center"/>
              <w:rPr>
                <w:rFonts w:ascii="Arial" w:hAnsi="Arial" w:cs="Arial"/>
                <w:sz w:val="24"/>
                <w:szCs w:val="24"/>
              </w:rPr>
            </w:pPr>
            <w:r w:rsidRPr="008D57B9">
              <w:rPr>
                <w:rFonts w:ascii="Arial" w:hAnsi="Arial" w:cs="Arial"/>
                <w:b/>
                <w:color w:val="0B2545"/>
                <w:sz w:val="24"/>
                <w:szCs w:val="24"/>
              </w:rPr>
              <w:t>Community</w:t>
            </w:r>
          </w:p>
        </w:tc>
      </w:tr>
      <w:tr w:rsidR="00767E40" w:rsidRPr="008D57B9" w14:paraId="0401B3CA" w14:textId="77777777" w:rsidTr="00090BCE">
        <w:tc>
          <w:tcPr>
            <w:tcW w:w="2300" w:type="dxa"/>
          </w:tcPr>
          <w:p w14:paraId="5313BFC1" w14:textId="77777777" w:rsidR="00767E40" w:rsidRPr="008D57B9" w:rsidRDefault="00767E40" w:rsidP="008D57B9">
            <w:pPr>
              <w:spacing w:line="276" w:lineRule="auto"/>
              <w:rPr>
                <w:rFonts w:ascii="Arial" w:hAnsi="Arial" w:cs="Arial"/>
                <w:sz w:val="24"/>
                <w:szCs w:val="24"/>
              </w:rPr>
            </w:pPr>
            <w:r w:rsidRPr="008D57B9">
              <w:rPr>
                <w:rFonts w:ascii="Arial" w:hAnsi="Arial" w:cs="Arial"/>
                <w:color w:val="000000"/>
                <w:sz w:val="24"/>
                <w:szCs w:val="24"/>
              </w:rPr>
              <w:t>Initiation</w:t>
            </w:r>
          </w:p>
        </w:tc>
        <w:tc>
          <w:tcPr>
            <w:tcW w:w="920" w:type="dxa"/>
          </w:tcPr>
          <w:p w14:paraId="37B03E28" w14:textId="77777777" w:rsidR="00767E40" w:rsidRPr="008D57B9" w:rsidRDefault="00767E40" w:rsidP="008D57B9">
            <w:pPr>
              <w:spacing w:line="276" w:lineRule="auto"/>
              <w:jc w:val="center"/>
              <w:rPr>
                <w:rFonts w:ascii="Arial" w:hAnsi="Arial" w:cs="Arial"/>
                <w:sz w:val="24"/>
                <w:szCs w:val="24"/>
              </w:rPr>
            </w:pPr>
            <w:r w:rsidRPr="008D57B9">
              <w:rPr>
                <w:rFonts w:ascii="Arial" w:hAnsi="Arial" w:cs="Arial"/>
                <w:color w:val="000000"/>
                <w:sz w:val="24"/>
                <w:szCs w:val="24"/>
              </w:rPr>
              <w:t>A</w:t>
            </w:r>
          </w:p>
        </w:tc>
        <w:tc>
          <w:tcPr>
            <w:tcW w:w="720" w:type="dxa"/>
          </w:tcPr>
          <w:p w14:paraId="7F4D65B6" w14:textId="77777777" w:rsidR="00767E40" w:rsidRPr="008D57B9" w:rsidRDefault="00767E40" w:rsidP="008D57B9">
            <w:pPr>
              <w:spacing w:line="276" w:lineRule="auto"/>
              <w:jc w:val="center"/>
              <w:rPr>
                <w:rFonts w:ascii="Arial" w:hAnsi="Arial" w:cs="Arial"/>
                <w:sz w:val="24"/>
                <w:szCs w:val="24"/>
              </w:rPr>
            </w:pPr>
            <w:r w:rsidRPr="008D57B9">
              <w:rPr>
                <w:rFonts w:ascii="Arial" w:hAnsi="Arial" w:cs="Arial"/>
                <w:color w:val="000000"/>
                <w:sz w:val="24"/>
                <w:szCs w:val="24"/>
              </w:rPr>
              <w:t>R</w:t>
            </w:r>
          </w:p>
        </w:tc>
        <w:tc>
          <w:tcPr>
            <w:tcW w:w="1461" w:type="dxa"/>
          </w:tcPr>
          <w:p w14:paraId="5743E782" w14:textId="77777777" w:rsidR="00767E40" w:rsidRPr="008D57B9" w:rsidRDefault="00767E40" w:rsidP="008D57B9">
            <w:pPr>
              <w:spacing w:line="276" w:lineRule="auto"/>
              <w:jc w:val="center"/>
              <w:rPr>
                <w:rFonts w:ascii="Arial" w:hAnsi="Arial" w:cs="Arial"/>
                <w:sz w:val="24"/>
                <w:szCs w:val="24"/>
              </w:rPr>
            </w:pPr>
            <w:r w:rsidRPr="008D57B9">
              <w:rPr>
                <w:rFonts w:ascii="Arial" w:hAnsi="Arial" w:cs="Arial"/>
                <w:color w:val="000000"/>
                <w:sz w:val="24"/>
                <w:szCs w:val="24"/>
              </w:rPr>
              <w:t>C</w:t>
            </w:r>
          </w:p>
        </w:tc>
        <w:tc>
          <w:tcPr>
            <w:tcW w:w="1359" w:type="dxa"/>
          </w:tcPr>
          <w:p w14:paraId="631551BF" w14:textId="77777777" w:rsidR="00767E40" w:rsidRPr="008D57B9" w:rsidRDefault="00767E40" w:rsidP="008D57B9">
            <w:pPr>
              <w:spacing w:line="276" w:lineRule="auto"/>
              <w:jc w:val="center"/>
              <w:rPr>
                <w:rFonts w:ascii="Arial" w:hAnsi="Arial" w:cs="Arial"/>
                <w:sz w:val="24"/>
                <w:szCs w:val="24"/>
              </w:rPr>
            </w:pPr>
            <w:r w:rsidRPr="008D57B9">
              <w:rPr>
                <w:rFonts w:ascii="Arial" w:hAnsi="Arial" w:cs="Arial"/>
                <w:color w:val="000000"/>
                <w:sz w:val="24"/>
                <w:szCs w:val="24"/>
              </w:rPr>
              <w:t>I</w:t>
            </w:r>
          </w:p>
        </w:tc>
        <w:tc>
          <w:tcPr>
            <w:tcW w:w="1520" w:type="dxa"/>
          </w:tcPr>
          <w:p w14:paraId="43EDFF54" w14:textId="77777777" w:rsidR="00767E40" w:rsidRPr="008D57B9" w:rsidRDefault="00767E40" w:rsidP="008D57B9">
            <w:pPr>
              <w:spacing w:line="276" w:lineRule="auto"/>
              <w:jc w:val="center"/>
              <w:rPr>
                <w:rFonts w:ascii="Arial" w:hAnsi="Arial" w:cs="Arial"/>
                <w:sz w:val="24"/>
                <w:szCs w:val="24"/>
              </w:rPr>
            </w:pPr>
            <w:r w:rsidRPr="008D57B9">
              <w:rPr>
                <w:rFonts w:ascii="Arial" w:hAnsi="Arial" w:cs="Arial"/>
                <w:color w:val="000000"/>
                <w:sz w:val="24"/>
                <w:szCs w:val="24"/>
              </w:rPr>
              <w:t>C</w:t>
            </w:r>
          </w:p>
        </w:tc>
        <w:tc>
          <w:tcPr>
            <w:tcW w:w="1080" w:type="dxa"/>
          </w:tcPr>
          <w:p w14:paraId="1C69056C" w14:textId="77777777" w:rsidR="00767E40" w:rsidRPr="008D57B9" w:rsidRDefault="00767E40" w:rsidP="008D57B9">
            <w:pPr>
              <w:spacing w:line="276" w:lineRule="auto"/>
              <w:jc w:val="center"/>
              <w:rPr>
                <w:rFonts w:ascii="Arial" w:hAnsi="Arial" w:cs="Arial"/>
                <w:sz w:val="24"/>
                <w:szCs w:val="24"/>
              </w:rPr>
            </w:pPr>
            <w:r w:rsidRPr="008D57B9">
              <w:rPr>
                <w:rFonts w:ascii="Arial" w:hAnsi="Arial" w:cs="Arial"/>
                <w:color w:val="000000"/>
                <w:sz w:val="24"/>
                <w:szCs w:val="24"/>
              </w:rPr>
              <w:t>I</w:t>
            </w:r>
          </w:p>
        </w:tc>
      </w:tr>
      <w:tr w:rsidR="00767E40" w:rsidRPr="008D57B9" w14:paraId="6DAA8971" w14:textId="77777777" w:rsidTr="00090BCE">
        <w:tc>
          <w:tcPr>
            <w:tcW w:w="2300" w:type="dxa"/>
          </w:tcPr>
          <w:p w14:paraId="505AFEA9" w14:textId="77777777" w:rsidR="00767E40" w:rsidRPr="008D57B9" w:rsidRDefault="00767E40" w:rsidP="008D57B9">
            <w:pPr>
              <w:spacing w:line="276" w:lineRule="auto"/>
              <w:rPr>
                <w:rFonts w:ascii="Arial" w:hAnsi="Arial" w:cs="Arial"/>
                <w:sz w:val="24"/>
                <w:szCs w:val="24"/>
              </w:rPr>
            </w:pPr>
            <w:r w:rsidRPr="008D57B9">
              <w:rPr>
                <w:rFonts w:ascii="Arial" w:hAnsi="Arial" w:cs="Arial"/>
                <w:color w:val="000000"/>
                <w:sz w:val="24"/>
                <w:szCs w:val="24"/>
              </w:rPr>
              <w:t>Planning</w:t>
            </w:r>
          </w:p>
        </w:tc>
        <w:tc>
          <w:tcPr>
            <w:tcW w:w="920" w:type="dxa"/>
          </w:tcPr>
          <w:p w14:paraId="4DE86EAA" w14:textId="77777777" w:rsidR="00767E40" w:rsidRPr="008D57B9" w:rsidRDefault="00767E40" w:rsidP="008D57B9">
            <w:pPr>
              <w:spacing w:line="276" w:lineRule="auto"/>
              <w:jc w:val="center"/>
              <w:rPr>
                <w:rFonts w:ascii="Arial" w:hAnsi="Arial" w:cs="Arial"/>
                <w:sz w:val="24"/>
                <w:szCs w:val="24"/>
              </w:rPr>
            </w:pPr>
            <w:r w:rsidRPr="008D57B9">
              <w:rPr>
                <w:rFonts w:ascii="Arial" w:hAnsi="Arial" w:cs="Arial"/>
                <w:color w:val="000000"/>
                <w:sz w:val="24"/>
                <w:szCs w:val="24"/>
              </w:rPr>
              <w:t>A</w:t>
            </w:r>
          </w:p>
        </w:tc>
        <w:tc>
          <w:tcPr>
            <w:tcW w:w="720" w:type="dxa"/>
          </w:tcPr>
          <w:p w14:paraId="68EA3E5B" w14:textId="77777777" w:rsidR="00767E40" w:rsidRPr="008D57B9" w:rsidRDefault="00767E40" w:rsidP="008D57B9">
            <w:pPr>
              <w:spacing w:line="276" w:lineRule="auto"/>
              <w:jc w:val="center"/>
              <w:rPr>
                <w:rFonts w:ascii="Arial" w:hAnsi="Arial" w:cs="Arial"/>
                <w:sz w:val="24"/>
                <w:szCs w:val="24"/>
              </w:rPr>
            </w:pPr>
            <w:r w:rsidRPr="008D57B9">
              <w:rPr>
                <w:rFonts w:ascii="Arial" w:hAnsi="Arial" w:cs="Arial"/>
                <w:color w:val="000000"/>
                <w:sz w:val="24"/>
                <w:szCs w:val="24"/>
              </w:rPr>
              <w:t>R</w:t>
            </w:r>
          </w:p>
        </w:tc>
        <w:tc>
          <w:tcPr>
            <w:tcW w:w="1461" w:type="dxa"/>
          </w:tcPr>
          <w:p w14:paraId="7D6717A6" w14:textId="77777777" w:rsidR="00767E40" w:rsidRPr="008D57B9" w:rsidRDefault="00767E40" w:rsidP="008D57B9">
            <w:pPr>
              <w:spacing w:line="276" w:lineRule="auto"/>
              <w:jc w:val="center"/>
              <w:rPr>
                <w:rFonts w:ascii="Arial" w:hAnsi="Arial" w:cs="Arial"/>
                <w:sz w:val="24"/>
                <w:szCs w:val="24"/>
              </w:rPr>
            </w:pPr>
            <w:r w:rsidRPr="008D57B9">
              <w:rPr>
                <w:rFonts w:ascii="Arial" w:hAnsi="Arial" w:cs="Arial"/>
                <w:color w:val="000000"/>
                <w:sz w:val="24"/>
                <w:szCs w:val="24"/>
              </w:rPr>
              <w:t>C</w:t>
            </w:r>
          </w:p>
        </w:tc>
        <w:tc>
          <w:tcPr>
            <w:tcW w:w="1359" w:type="dxa"/>
          </w:tcPr>
          <w:p w14:paraId="77033F66" w14:textId="77777777" w:rsidR="00767E40" w:rsidRPr="008D57B9" w:rsidRDefault="00767E40" w:rsidP="008D57B9">
            <w:pPr>
              <w:spacing w:line="276" w:lineRule="auto"/>
              <w:jc w:val="center"/>
              <w:rPr>
                <w:rFonts w:ascii="Arial" w:hAnsi="Arial" w:cs="Arial"/>
                <w:sz w:val="24"/>
                <w:szCs w:val="24"/>
              </w:rPr>
            </w:pPr>
            <w:r w:rsidRPr="008D57B9">
              <w:rPr>
                <w:rFonts w:ascii="Arial" w:hAnsi="Arial" w:cs="Arial"/>
                <w:color w:val="000000"/>
                <w:sz w:val="24"/>
                <w:szCs w:val="24"/>
              </w:rPr>
              <w:t>C</w:t>
            </w:r>
          </w:p>
        </w:tc>
        <w:tc>
          <w:tcPr>
            <w:tcW w:w="1520" w:type="dxa"/>
          </w:tcPr>
          <w:p w14:paraId="52A4353F" w14:textId="77777777" w:rsidR="00767E40" w:rsidRPr="008D57B9" w:rsidRDefault="00767E40" w:rsidP="008D57B9">
            <w:pPr>
              <w:spacing w:line="276" w:lineRule="auto"/>
              <w:jc w:val="center"/>
              <w:rPr>
                <w:rFonts w:ascii="Arial" w:hAnsi="Arial" w:cs="Arial"/>
                <w:sz w:val="24"/>
                <w:szCs w:val="24"/>
              </w:rPr>
            </w:pPr>
            <w:r w:rsidRPr="008D57B9">
              <w:rPr>
                <w:rFonts w:ascii="Arial" w:hAnsi="Arial" w:cs="Arial"/>
                <w:color w:val="000000"/>
                <w:sz w:val="24"/>
                <w:szCs w:val="24"/>
              </w:rPr>
              <w:t>C</w:t>
            </w:r>
          </w:p>
        </w:tc>
        <w:tc>
          <w:tcPr>
            <w:tcW w:w="1080" w:type="dxa"/>
          </w:tcPr>
          <w:p w14:paraId="009BA235" w14:textId="77777777" w:rsidR="00767E40" w:rsidRPr="008D57B9" w:rsidRDefault="00767E40" w:rsidP="008D57B9">
            <w:pPr>
              <w:spacing w:line="276" w:lineRule="auto"/>
              <w:jc w:val="center"/>
              <w:rPr>
                <w:rFonts w:ascii="Arial" w:hAnsi="Arial" w:cs="Arial"/>
                <w:sz w:val="24"/>
                <w:szCs w:val="24"/>
              </w:rPr>
            </w:pPr>
            <w:r w:rsidRPr="008D57B9">
              <w:rPr>
                <w:rFonts w:ascii="Arial" w:hAnsi="Arial" w:cs="Arial"/>
                <w:color w:val="000000"/>
                <w:sz w:val="24"/>
                <w:szCs w:val="24"/>
              </w:rPr>
              <w:t>I</w:t>
            </w:r>
          </w:p>
        </w:tc>
      </w:tr>
      <w:tr w:rsidR="00767E40" w:rsidRPr="008D57B9" w14:paraId="16A9F510" w14:textId="77777777" w:rsidTr="00090BCE">
        <w:tc>
          <w:tcPr>
            <w:tcW w:w="2300" w:type="dxa"/>
          </w:tcPr>
          <w:p w14:paraId="4267AB1D" w14:textId="77777777" w:rsidR="00767E40" w:rsidRPr="008D57B9" w:rsidRDefault="00767E40" w:rsidP="008D57B9">
            <w:pPr>
              <w:spacing w:line="276" w:lineRule="auto"/>
              <w:rPr>
                <w:rFonts w:ascii="Arial" w:hAnsi="Arial" w:cs="Arial"/>
                <w:sz w:val="24"/>
                <w:szCs w:val="24"/>
              </w:rPr>
            </w:pPr>
            <w:r w:rsidRPr="008D57B9">
              <w:rPr>
                <w:rFonts w:ascii="Arial" w:hAnsi="Arial" w:cs="Arial"/>
                <w:color w:val="000000"/>
                <w:sz w:val="24"/>
                <w:szCs w:val="24"/>
              </w:rPr>
              <w:t>Design</w:t>
            </w:r>
          </w:p>
        </w:tc>
        <w:tc>
          <w:tcPr>
            <w:tcW w:w="920" w:type="dxa"/>
          </w:tcPr>
          <w:p w14:paraId="1E1C4EAE" w14:textId="77777777" w:rsidR="00767E40" w:rsidRPr="008D57B9" w:rsidRDefault="00767E40" w:rsidP="008D57B9">
            <w:pPr>
              <w:spacing w:line="276" w:lineRule="auto"/>
              <w:jc w:val="center"/>
              <w:rPr>
                <w:rFonts w:ascii="Arial" w:hAnsi="Arial" w:cs="Arial"/>
                <w:sz w:val="24"/>
                <w:szCs w:val="24"/>
              </w:rPr>
            </w:pPr>
            <w:r w:rsidRPr="008D57B9">
              <w:rPr>
                <w:rFonts w:ascii="Arial" w:hAnsi="Arial" w:cs="Arial"/>
                <w:color w:val="000000"/>
                <w:sz w:val="24"/>
                <w:szCs w:val="24"/>
              </w:rPr>
              <w:t>A</w:t>
            </w:r>
          </w:p>
        </w:tc>
        <w:tc>
          <w:tcPr>
            <w:tcW w:w="720" w:type="dxa"/>
          </w:tcPr>
          <w:p w14:paraId="3F032634" w14:textId="77777777" w:rsidR="00767E40" w:rsidRPr="008D57B9" w:rsidRDefault="00767E40" w:rsidP="008D57B9">
            <w:pPr>
              <w:spacing w:line="276" w:lineRule="auto"/>
              <w:jc w:val="center"/>
              <w:rPr>
                <w:rFonts w:ascii="Arial" w:hAnsi="Arial" w:cs="Arial"/>
                <w:sz w:val="24"/>
                <w:szCs w:val="24"/>
              </w:rPr>
            </w:pPr>
            <w:r w:rsidRPr="008D57B9">
              <w:rPr>
                <w:rFonts w:ascii="Arial" w:hAnsi="Arial" w:cs="Arial"/>
                <w:color w:val="000000"/>
                <w:sz w:val="24"/>
                <w:szCs w:val="24"/>
              </w:rPr>
              <w:t>R</w:t>
            </w:r>
          </w:p>
        </w:tc>
        <w:tc>
          <w:tcPr>
            <w:tcW w:w="1461" w:type="dxa"/>
          </w:tcPr>
          <w:p w14:paraId="76DD6D2F" w14:textId="77777777" w:rsidR="00767E40" w:rsidRPr="008D57B9" w:rsidRDefault="00767E40" w:rsidP="008D57B9">
            <w:pPr>
              <w:spacing w:line="276" w:lineRule="auto"/>
              <w:jc w:val="center"/>
              <w:rPr>
                <w:rFonts w:ascii="Arial" w:hAnsi="Arial" w:cs="Arial"/>
                <w:sz w:val="24"/>
                <w:szCs w:val="24"/>
              </w:rPr>
            </w:pPr>
            <w:r w:rsidRPr="008D57B9">
              <w:rPr>
                <w:rFonts w:ascii="Arial" w:hAnsi="Arial" w:cs="Arial"/>
                <w:color w:val="000000"/>
                <w:sz w:val="24"/>
                <w:szCs w:val="24"/>
              </w:rPr>
              <w:t>C</w:t>
            </w:r>
          </w:p>
        </w:tc>
        <w:tc>
          <w:tcPr>
            <w:tcW w:w="1359" w:type="dxa"/>
          </w:tcPr>
          <w:p w14:paraId="27B28B2D" w14:textId="77777777" w:rsidR="00767E40" w:rsidRPr="008D57B9" w:rsidRDefault="00767E40" w:rsidP="008D57B9">
            <w:pPr>
              <w:spacing w:line="276" w:lineRule="auto"/>
              <w:jc w:val="center"/>
              <w:rPr>
                <w:rFonts w:ascii="Arial" w:hAnsi="Arial" w:cs="Arial"/>
                <w:sz w:val="24"/>
                <w:szCs w:val="24"/>
              </w:rPr>
            </w:pPr>
            <w:r w:rsidRPr="008D57B9">
              <w:rPr>
                <w:rFonts w:ascii="Arial" w:hAnsi="Arial" w:cs="Arial"/>
                <w:color w:val="000000"/>
                <w:sz w:val="24"/>
                <w:szCs w:val="24"/>
              </w:rPr>
              <w:t>R</w:t>
            </w:r>
          </w:p>
        </w:tc>
        <w:tc>
          <w:tcPr>
            <w:tcW w:w="1520" w:type="dxa"/>
          </w:tcPr>
          <w:p w14:paraId="079214CB" w14:textId="77777777" w:rsidR="00767E40" w:rsidRPr="008D57B9" w:rsidRDefault="00767E40" w:rsidP="008D57B9">
            <w:pPr>
              <w:spacing w:line="276" w:lineRule="auto"/>
              <w:jc w:val="center"/>
              <w:rPr>
                <w:rFonts w:ascii="Arial" w:hAnsi="Arial" w:cs="Arial"/>
                <w:sz w:val="24"/>
                <w:szCs w:val="24"/>
              </w:rPr>
            </w:pPr>
            <w:r w:rsidRPr="008D57B9">
              <w:rPr>
                <w:rFonts w:ascii="Arial" w:hAnsi="Arial" w:cs="Arial"/>
                <w:color w:val="000000"/>
                <w:sz w:val="24"/>
                <w:szCs w:val="24"/>
              </w:rPr>
              <w:t>C</w:t>
            </w:r>
          </w:p>
        </w:tc>
        <w:tc>
          <w:tcPr>
            <w:tcW w:w="1080" w:type="dxa"/>
          </w:tcPr>
          <w:p w14:paraId="0A346240" w14:textId="77777777" w:rsidR="00767E40" w:rsidRPr="008D57B9" w:rsidRDefault="00767E40" w:rsidP="008D57B9">
            <w:pPr>
              <w:spacing w:line="276" w:lineRule="auto"/>
              <w:jc w:val="center"/>
              <w:rPr>
                <w:rFonts w:ascii="Arial" w:hAnsi="Arial" w:cs="Arial"/>
                <w:sz w:val="24"/>
                <w:szCs w:val="24"/>
              </w:rPr>
            </w:pPr>
            <w:r w:rsidRPr="008D57B9">
              <w:rPr>
                <w:rFonts w:ascii="Arial" w:hAnsi="Arial" w:cs="Arial"/>
                <w:color w:val="000000"/>
                <w:sz w:val="24"/>
                <w:szCs w:val="24"/>
              </w:rPr>
              <w:t>C</w:t>
            </w:r>
          </w:p>
        </w:tc>
      </w:tr>
      <w:tr w:rsidR="00767E40" w:rsidRPr="008D57B9" w14:paraId="51A91D33" w14:textId="77777777" w:rsidTr="00090BCE">
        <w:tc>
          <w:tcPr>
            <w:tcW w:w="2300" w:type="dxa"/>
          </w:tcPr>
          <w:p w14:paraId="112B290D" w14:textId="77777777" w:rsidR="00767E40" w:rsidRPr="008D57B9" w:rsidRDefault="00767E40" w:rsidP="008D57B9">
            <w:pPr>
              <w:spacing w:line="276" w:lineRule="auto"/>
              <w:rPr>
                <w:rFonts w:ascii="Arial" w:hAnsi="Arial" w:cs="Arial"/>
                <w:sz w:val="24"/>
                <w:szCs w:val="24"/>
              </w:rPr>
            </w:pPr>
            <w:r w:rsidRPr="008D57B9">
              <w:rPr>
                <w:rFonts w:ascii="Arial" w:hAnsi="Arial" w:cs="Arial"/>
                <w:color w:val="000000"/>
                <w:sz w:val="24"/>
                <w:szCs w:val="24"/>
              </w:rPr>
              <w:t>Construction</w:t>
            </w:r>
          </w:p>
        </w:tc>
        <w:tc>
          <w:tcPr>
            <w:tcW w:w="920" w:type="dxa"/>
          </w:tcPr>
          <w:p w14:paraId="3FD2A114" w14:textId="77777777" w:rsidR="00767E40" w:rsidRPr="008D57B9" w:rsidRDefault="00767E40" w:rsidP="008D57B9">
            <w:pPr>
              <w:spacing w:line="276" w:lineRule="auto"/>
              <w:jc w:val="center"/>
              <w:rPr>
                <w:rFonts w:ascii="Arial" w:hAnsi="Arial" w:cs="Arial"/>
                <w:sz w:val="24"/>
                <w:szCs w:val="24"/>
              </w:rPr>
            </w:pPr>
            <w:r w:rsidRPr="008D57B9">
              <w:rPr>
                <w:rFonts w:ascii="Arial" w:hAnsi="Arial" w:cs="Arial"/>
                <w:color w:val="000000"/>
                <w:sz w:val="24"/>
                <w:szCs w:val="24"/>
              </w:rPr>
              <w:t>A</w:t>
            </w:r>
          </w:p>
        </w:tc>
        <w:tc>
          <w:tcPr>
            <w:tcW w:w="720" w:type="dxa"/>
          </w:tcPr>
          <w:p w14:paraId="0E7A4F70" w14:textId="77777777" w:rsidR="00767E40" w:rsidRPr="008D57B9" w:rsidRDefault="00767E40" w:rsidP="008D57B9">
            <w:pPr>
              <w:spacing w:line="276" w:lineRule="auto"/>
              <w:jc w:val="center"/>
              <w:rPr>
                <w:rFonts w:ascii="Arial" w:hAnsi="Arial" w:cs="Arial"/>
                <w:sz w:val="24"/>
                <w:szCs w:val="24"/>
              </w:rPr>
            </w:pPr>
            <w:r w:rsidRPr="008D57B9">
              <w:rPr>
                <w:rFonts w:ascii="Arial" w:hAnsi="Arial" w:cs="Arial"/>
                <w:color w:val="000000"/>
                <w:sz w:val="24"/>
                <w:szCs w:val="24"/>
              </w:rPr>
              <w:t>R</w:t>
            </w:r>
          </w:p>
        </w:tc>
        <w:tc>
          <w:tcPr>
            <w:tcW w:w="1461" w:type="dxa"/>
          </w:tcPr>
          <w:p w14:paraId="054646FF" w14:textId="77777777" w:rsidR="00767E40" w:rsidRPr="008D57B9" w:rsidRDefault="00767E40" w:rsidP="008D57B9">
            <w:pPr>
              <w:spacing w:line="276" w:lineRule="auto"/>
              <w:jc w:val="center"/>
              <w:rPr>
                <w:rFonts w:ascii="Arial" w:hAnsi="Arial" w:cs="Arial"/>
                <w:sz w:val="24"/>
                <w:szCs w:val="24"/>
              </w:rPr>
            </w:pPr>
            <w:r w:rsidRPr="008D57B9">
              <w:rPr>
                <w:rFonts w:ascii="Arial" w:hAnsi="Arial" w:cs="Arial"/>
                <w:color w:val="000000"/>
                <w:sz w:val="24"/>
                <w:szCs w:val="24"/>
              </w:rPr>
              <w:t>R</w:t>
            </w:r>
          </w:p>
        </w:tc>
        <w:tc>
          <w:tcPr>
            <w:tcW w:w="1359" w:type="dxa"/>
          </w:tcPr>
          <w:p w14:paraId="741E46CD" w14:textId="77777777" w:rsidR="00767E40" w:rsidRPr="008D57B9" w:rsidRDefault="00767E40" w:rsidP="008D57B9">
            <w:pPr>
              <w:spacing w:line="276" w:lineRule="auto"/>
              <w:jc w:val="center"/>
              <w:rPr>
                <w:rFonts w:ascii="Arial" w:hAnsi="Arial" w:cs="Arial"/>
                <w:sz w:val="24"/>
                <w:szCs w:val="24"/>
              </w:rPr>
            </w:pPr>
            <w:r w:rsidRPr="008D57B9">
              <w:rPr>
                <w:rFonts w:ascii="Arial" w:hAnsi="Arial" w:cs="Arial"/>
                <w:color w:val="000000"/>
                <w:sz w:val="24"/>
                <w:szCs w:val="24"/>
              </w:rPr>
              <w:t>C</w:t>
            </w:r>
          </w:p>
        </w:tc>
        <w:tc>
          <w:tcPr>
            <w:tcW w:w="1520" w:type="dxa"/>
          </w:tcPr>
          <w:p w14:paraId="488F2015" w14:textId="77777777" w:rsidR="00767E40" w:rsidRPr="008D57B9" w:rsidRDefault="00767E40" w:rsidP="008D57B9">
            <w:pPr>
              <w:spacing w:line="276" w:lineRule="auto"/>
              <w:jc w:val="center"/>
              <w:rPr>
                <w:rFonts w:ascii="Arial" w:hAnsi="Arial" w:cs="Arial"/>
                <w:sz w:val="24"/>
                <w:szCs w:val="24"/>
              </w:rPr>
            </w:pPr>
            <w:r w:rsidRPr="008D57B9">
              <w:rPr>
                <w:rFonts w:ascii="Arial" w:hAnsi="Arial" w:cs="Arial"/>
                <w:color w:val="000000"/>
                <w:sz w:val="24"/>
                <w:szCs w:val="24"/>
              </w:rPr>
              <w:t>C</w:t>
            </w:r>
          </w:p>
        </w:tc>
        <w:tc>
          <w:tcPr>
            <w:tcW w:w="1080" w:type="dxa"/>
          </w:tcPr>
          <w:p w14:paraId="35CE97FA" w14:textId="77777777" w:rsidR="00767E40" w:rsidRPr="008D57B9" w:rsidRDefault="00767E40" w:rsidP="008D57B9">
            <w:pPr>
              <w:spacing w:line="276" w:lineRule="auto"/>
              <w:jc w:val="center"/>
              <w:rPr>
                <w:rFonts w:ascii="Arial" w:hAnsi="Arial" w:cs="Arial"/>
                <w:sz w:val="24"/>
                <w:szCs w:val="24"/>
              </w:rPr>
            </w:pPr>
            <w:r w:rsidRPr="008D57B9">
              <w:rPr>
                <w:rFonts w:ascii="Arial" w:hAnsi="Arial" w:cs="Arial"/>
                <w:color w:val="000000"/>
                <w:sz w:val="24"/>
                <w:szCs w:val="24"/>
              </w:rPr>
              <w:t>I</w:t>
            </w:r>
          </w:p>
        </w:tc>
      </w:tr>
      <w:tr w:rsidR="00767E40" w:rsidRPr="008D57B9" w14:paraId="3B43FC9F" w14:textId="77777777" w:rsidTr="00090BCE">
        <w:tc>
          <w:tcPr>
            <w:tcW w:w="2300" w:type="dxa"/>
          </w:tcPr>
          <w:p w14:paraId="5FD1FD06" w14:textId="77777777" w:rsidR="00767E40" w:rsidRPr="008D57B9" w:rsidRDefault="00767E40" w:rsidP="008D57B9">
            <w:pPr>
              <w:spacing w:line="276" w:lineRule="auto"/>
              <w:rPr>
                <w:rFonts w:ascii="Arial" w:hAnsi="Arial" w:cs="Arial"/>
                <w:sz w:val="24"/>
                <w:szCs w:val="24"/>
              </w:rPr>
            </w:pPr>
            <w:r w:rsidRPr="008D57B9">
              <w:rPr>
                <w:rFonts w:ascii="Arial" w:hAnsi="Arial" w:cs="Arial"/>
                <w:color w:val="000000"/>
                <w:sz w:val="24"/>
                <w:szCs w:val="24"/>
              </w:rPr>
              <w:t>Monitoring and control</w:t>
            </w:r>
          </w:p>
        </w:tc>
        <w:tc>
          <w:tcPr>
            <w:tcW w:w="920" w:type="dxa"/>
          </w:tcPr>
          <w:p w14:paraId="15E4C4AC" w14:textId="77777777" w:rsidR="00767E40" w:rsidRPr="008D57B9" w:rsidRDefault="00767E40" w:rsidP="008D57B9">
            <w:pPr>
              <w:spacing w:line="276" w:lineRule="auto"/>
              <w:jc w:val="center"/>
              <w:rPr>
                <w:rFonts w:ascii="Arial" w:hAnsi="Arial" w:cs="Arial"/>
                <w:sz w:val="24"/>
                <w:szCs w:val="24"/>
              </w:rPr>
            </w:pPr>
            <w:r w:rsidRPr="008D57B9">
              <w:rPr>
                <w:rFonts w:ascii="Arial" w:hAnsi="Arial" w:cs="Arial"/>
                <w:color w:val="000000"/>
                <w:sz w:val="24"/>
                <w:szCs w:val="24"/>
              </w:rPr>
              <w:t>A</w:t>
            </w:r>
          </w:p>
        </w:tc>
        <w:tc>
          <w:tcPr>
            <w:tcW w:w="720" w:type="dxa"/>
          </w:tcPr>
          <w:p w14:paraId="0459A6C5" w14:textId="77777777" w:rsidR="00767E40" w:rsidRPr="008D57B9" w:rsidRDefault="00767E40" w:rsidP="008D57B9">
            <w:pPr>
              <w:spacing w:line="276" w:lineRule="auto"/>
              <w:jc w:val="center"/>
              <w:rPr>
                <w:rFonts w:ascii="Arial" w:hAnsi="Arial" w:cs="Arial"/>
                <w:sz w:val="24"/>
                <w:szCs w:val="24"/>
              </w:rPr>
            </w:pPr>
            <w:r w:rsidRPr="008D57B9">
              <w:rPr>
                <w:rFonts w:ascii="Arial" w:hAnsi="Arial" w:cs="Arial"/>
                <w:color w:val="000000"/>
                <w:sz w:val="24"/>
                <w:szCs w:val="24"/>
              </w:rPr>
              <w:t>R</w:t>
            </w:r>
          </w:p>
        </w:tc>
        <w:tc>
          <w:tcPr>
            <w:tcW w:w="1461" w:type="dxa"/>
          </w:tcPr>
          <w:p w14:paraId="7E5F9473" w14:textId="77777777" w:rsidR="00767E40" w:rsidRPr="008D57B9" w:rsidRDefault="00767E40" w:rsidP="008D57B9">
            <w:pPr>
              <w:spacing w:line="276" w:lineRule="auto"/>
              <w:jc w:val="center"/>
              <w:rPr>
                <w:rFonts w:ascii="Arial" w:hAnsi="Arial" w:cs="Arial"/>
                <w:sz w:val="24"/>
                <w:szCs w:val="24"/>
              </w:rPr>
            </w:pPr>
            <w:r w:rsidRPr="008D57B9">
              <w:rPr>
                <w:rFonts w:ascii="Arial" w:hAnsi="Arial" w:cs="Arial"/>
                <w:color w:val="000000"/>
                <w:sz w:val="24"/>
                <w:szCs w:val="24"/>
              </w:rPr>
              <w:t>C</w:t>
            </w:r>
          </w:p>
        </w:tc>
        <w:tc>
          <w:tcPr>
            <w:tcW w:w="1359" w:type="dxa"/>
          </w:tcPr>
          <w:p w14:paraId="33CF0B85" w14:textId="77777777" w:rsidR="00767E40" w:rsidRPr="008D57B9" w:rsidRDefault="00767E40" w:rsidP="008D57B9">
            <w:pPr>
              <w:spacing w:line="276" w:lineRule="auto"/>
              <w:jc w:val="center"/>
              <w:rPr>
                <w:rFonts w:ascii="Arial" w:hAnsi="Arial" w:cs="Arial"/>
                <w:sz w:val="24"/>
                <w:szCs w:val="24"/>
              </w:rPr>
            </w:pPr>
            <w:r w:rsidRPr="008D57B9">
              <w:rPr>
                <w:rFonts w:ascii="Arial" w:hAnsi="Arial" w:cs="Arial"/>
                <w:color w:val="000000"/>
                <w:sz w:val="24"/>
                <w:szCs w:val="24"/>
              </w:rPr>
              <w:t>C</w:t>
            </w:r>
          </w:p>
        </w:tc>
        <w:tc>
          <w:tcPr>
            <w:tcW w:w="1520" w:type="dxa"/>
          </w:tcPr>
          <w:p w14:paraId="28F9BE04" w14:textId="77777777" w:rsidR="00767E40" w:rsidRPr="008D57B9" w:rsidRDefault="00767E40" w:rsidP="008D57B9">
            <w:pPr>
              <w:spacing w:line="276" w:lineRule="auto"/>
              <w:jc w:val="center"/>
              <w:rPr>
                <w:rFonts w:ascii="Arial" w:hAnsi="Arial" w:cs="Arial"/>
                <w:sz w:val="24"/>
                <w:szCs w:val="24"/>
              </w:rPr>
            </w:pPr>
            <w:r w:rsidRPr="008D57B9">
              <w:rPr>
                <w:rFonts w:ascii="Arial" w:hAnsi="Arial" w:cs="Arial"/>
                <w:color w:val="000000"/>
                <w:sz w:val="24"/>
                <w:szCs w:val="24"/>
              </w:rPr>
              <w:t>C</w:t>
            </w:r>
          </w:p>
        </w:tc>
        <w:tc>
          <w:tcPr>
            <w:tcW w:w="1080" w:type="dxa"/>
          </w:tcPr>
          <w:p w14:paraId="0FFB6AFC" w14:textId="77777777" w:rsidR="00767E40" w:rsidRPr="008D57B9" w:rsidRDefault="00767E40" w:rsidP="008D57B9">
            <w:pPr>
              <w:spacing w:line="276" w:lineRule="auto"/>
              <w:jc w:val="center"/>
              <w:rPr>
                <w:rFonts w:ascii="Arial" w:hAnsi="Arial" w:cs="Arial"/>
                <w:sz w:val="24"/>
                <w:szCs w:val="24"/>
              </w:rPr>
            </w:pPr>
            <w:r w:rsidRPr="008D57B9">
              <w:rPr>
                <w:rFonts w:ascii="Arial" w:hAnsi="Arial" w:cs="Arial"/>
                <w:color w:val="000000"/>
                <w:sz w:val="24"/>
                <w:szCs w:val="24"/>
              </w:rPr>
              <w:t>I</w:t>
            </w:r>
          </w:p>
        </w:tc>
      </w:tr>
      <w:tr w:rsidR="00767E40" w:rsidRPr="008D57B9" w14:paraId="6C689308" w14:textId="77777777" w:rsidTr="00090BCE">
        <w:tc>
          <w:tcPr>
            <w:tcW w:w="2300" w:type="dxa"/>
          </w:tcPr>
          <w:p w14:paraId="3A3F26A5" w14:textId="77777777" w:rsidR="00767E40" w:rsidRPr="008D57B9" w:rsidRDefault="00767E40" w:rsidP="008D57B9">
            <w:pPr>
              <w:spacing w:line="276" w:lineRule="auto"/>
              <w:rPr>
                <w:rFonts w:ascii="Arial" w:hAnsi="Arial" w:cs="Arial"/>
                <w:sz w:val="24"/>
                <w:szCs w:val="24"/>
              </w:rPr>
            </w:pPr>
            <w:r w:rsidRPr="008D57B9">
              <w:rPr>
                <w:rFonts w:ascii="Arial" w:hAnsi="Arial" w:cs="Arial"/>
                <w:color w:val="000000"/>
                <w:sz w:val="24"/>
                <w:szCs w:val="24"/>
              </w:rPr>
              <w:t>Closure</w:t>
            </w:r>
          </w:p>
        </w:tc>
        <w:tc>
          <w:tcPr>
            <w:tcW w:w="920" w:type="dxa"/>
          </w:tcPr>
          <w:p w14:paraId="23BA5B57" w14:textId="77777777" w:rsidR="00767E40" w:rsidRPr="008D57B9" w:rsidRDefault="00767E40" w:rsidP="008D57B9">
            <w:pPr>
              <w:spacing w:line="276" w:lineRule="auto"/>
              <w:jc w:val="center"/>
              <w:rPr>
                <w:rFonts w:ascii="Arial" w:hAnsi="Arial" w:cs="Arial"/>
                <w:sz w:val="24"/>
                <w:szCs w:val="24"/>
              </w:rPr>
            </w:pPr>
            <w:r w:rsidRPr="008D57B9">
              <w:rPr>
                <w:rFonts w:ascii="Arial" w:hAnsi="Arial" w:cs="Arial"/>
                <w:color w:val="000000"/>
                <w:sz w:val="24"/>
                <w:szCs w:val="24"/>
              </w:rPr>
              <w:t>A</w:t>
            </w:r>
          </w:p>
        </w:tc>
        <w:tc>
          <w:tcPr>
            <w:tcW w:w="720" w:type="dxa"/>
          </w:tcPr>
          <w:p w14:paraId="3F4ED273" w14:textId="77777777" w:rsidR="00767E40" w:rsidRPr="008D57B9" w:rsidRDefault="00767E40" w:rsidP="008D57B9">
            <w:pPr>
              <w:spacing w:line="276" w:lineRule="auto"/>
              <w:jc w:val="center"/>
              <w:rPr>
                <w:rFonts w:ascii="Arial" w:hAnsi="Arial" w:cs="Arial"/>
                <w:sz w:val="24"/>
                <w:szCs w:val="24"/>
              </w:rPr>
            </w:pPr>
            <w:r w:rsidRPr="008D57B9">
              <w:rPr>
                <w:rFonts w:ascii="Arial" w:hAnsi="Arial" w:cs="Arial"/>
                <w:color w:val="000000"/>
                <w:sz w:val="24"/>
                <w:szCs w:val="24"/>
              </w:rPr>
              <w:t>R</w:t>
            </w:r>
          </w:p>
        </w:tc>
        <w:tc>
          <w:tcPr>
            <w:tcW w:w="1461" w:type="dxa"/>
          </w:tcPr>
          <w:p w14:paraId="4DEC684F" w14:textId="77777777" w:rsidR="00767E40" w:rsidRPr="008D57B9" w:rsidRDefault="00767E40" w:rsidP="008D57B9">
            <w:pPr>
              <w:spacing w:line="276" w:lineRule="auto"/>
              <w:jc w:val="center"/>
              <w:rPr>
                <w:rFonts w:ascii="Arial" w:hAnsi="Arial" w:cs="Arial"/>
                <w:sz w:val="24"/>
                <w:szCs w:val="24"/>
              </w:rPr>
            </w:pPr>
            <w:r w:rsidRPr="008D57B9">
              <w:rPr>
                <w:rFonts w:ascii="Arial" w:hAnsi="Arial" w:cs="Arial"/>
                <w:color w:val="000000"/>
                <w:sz w:val="24"/>
                <w:szCs w:val="24"/>
              </w:rPr>
              <w:t>C</w:t>
            </w:r>
          </w:p>
        </w:tc>
        <w:tc>
          <w:tcPr>
            <w:tcW w:w="1359" w:type="dxa"/>
          </w:tcPr>
          <w:p w14:paraId="016A7313" w14:textId="77777777" w:rsidR="00767E40" w:rsidRPr="008D57B9" w:rsidRDefault="00767E40" w:rsidP="008D57B9">
            <w:pPr>
              <w:spacing w:line="276" w:lineRule="auto"/>
              <w:jc w:val="center"/>
              <w:rPr>
                <w:rFonts w:ascii="Arial" w:hAnsi="Arial" w:cs="Arial"/>
                <w:sz w:val="24"/>
                <w:szCs w:val="24"/>
              </w:rPr>
            </w:pPr>
            <w:r w:rsidRPr="008D57B9">
              <w:rPr>
                <w:rFonts w:ascii="Arial" w:hAnsi="Arial" w:cs="Arial"/>
                <w:color w:val="000000"/>
                <w:sz w:val="24"/>
                <w:szCs w:val="24"/>
              </w:rPr>
              <w:t>C</w:t>
            </w:r>
          </w:p>
        </w:tc>
        <w:tc>
          <w:tcPr>
            <w:tcW w:w="1520" w:type="dxa"/>
          </w:tcPr>
          <w:p w14:paraId="6BCD413E" w14:textId="77777777" w:rsidR="00767E40" w:rsidRPr="008D57B9" w:rsidRDefault="00767E40" w:rsidP="008D57B9">
            <w:pPr>
              <w:spacing w:line="276" w:lineRule="auto"/>
              <w:jc w:val="center"/>
              <w:rPr>
                <w:rFonts w:ascii="Arial" w:hAnsi="Arial" w:cs="Arial"/>
                <w:sz w:val="24"/>
                <w:szCs w:val="24"/>
              </w:rPr>
            </w:pPr>
            <w:r w:rsidRPr="008D57B9">
              <w:rPr>
                <w:rFonts w:ascii="Arial" w:hAnsi="Arial" w:cs="Arial"/>
                <w:color w:val="000000"/>
                <w:sz w:val="24"/>
                <w:szCs w:val="24"/>
              </w:rPr>
              <w:t>C</w:t>
            </w:r>
          </w:p>
        </w:tc>
        <w:tc>
          <w:tcPr>
            <w:tcW w:w="1080" w:type="dxa"/>
          </w:tcPr>
          <w:p w14:paraId="3C4CE135" w14:textId="77777777" w:rsidR="00767E40" w:rsidRPr="008D57B9" w:rsidRDefault="00767E40" w:rsidP="008D57B9">
            <w:pPr>
              <w:spacing w:line="276" w:lineRule="auto"/>
              <w:jc w:val="center"/>
              <w:rPr>
                <w:rFonts w:ascii="Arial" w:hAnsi="Arial" w:cs="Arial"/>
                <w:sz w:val="24"/>
                <w:szCs w:val="24"/>
              </w:rPr>
            </w:pPr>
            <w:r w:rsidRPr="008D57B9">
              <w:rPr>
                <w:rFonts w:ascii="Arial" w:hAnsi="Arial" w:cs="Arial"/>
                <w:color w:val="000000"/>
                <w:sz w:val="24"/>
                <w:szCs w:val="24"/>
              </w:rPr>
              <w:t>I</w:t>
            </w:r>
          </w:p>
        </w:tc>
      </w:tr>
    </w:tbl>
    <w:p w14:paraId="067183C2" w14:textId="77777777" w:rsidR="00767E40" w:rsidRPr="008D57B9" w:rsidRDefault="00767E40" w:rsidP="008D57B9">
      <w:pPr>
        <w:pStyle w:val="Heading1"/>
        <w:numPr>
          <w:ilvl w:val="0"/>
          <w:numId w:val="1"/>
        </w:numPr>
        <w:spacing w:line="276" w:lineRule="auto"/>
        <w:jc w:val="both"/>
        <w:rPr>
          <w:rFonts w:ascii="Arial" w:hAnsi="Arial" w:cs="Arial"/>
          <w:color w:val="auto"/>
          <w:sz w:val="24"/>
          <w:szCs w:val="24"/>
        </w:rPr>
      </w:pPr>
      <w:r w:rsidRPr="008D57B9">
        <w:rPr>
          <w:rFonts w:ascii="Arial" w:hAnsi="Arial" w:cs="Arial"/>
          <w:b/>
          <w:color w:val="auto"/>
          <w:sz w:val="24"/>
          <w:szCs w:val="24"/>
        </w:rPr>
        <w:t>Risk Analysis</w:t>
      </w:r>
    </w:p>
    <w:p w14:paraId="4BD861AD" w14:textId="4DA1A180" w:rsidR="00767E40" w:rsidRPr="008D57B9" w:rsidRDefault="006B72A9" w:rsidP="008D57B9">
      <w:pPr>
        <w:spacing w:line="276" w:lineRule="auto"/>
        <w:jc w:val="both"/>
        <w:rPr>
          <w:rFonts w:ascii="Arial" w:hAnsi="Arial" w:cs="Arial"/>
        </w:rPr>
      </w:pPr>
      <w:r w:rsidRPr="008D57B9">
        <w:rPr>
          <w:rFonts w:ascii="Arial" w:hAnsi="Arial" w:cs="Arial"/>
        </w:rPr>
        <w:tab/>
        <w:t xml:space="preserve">Risk management follows a repeating process of identification, analysis, response, ownership, monitoring and communication. Current </w:t>
      </w:r>
      <w:r w:rsidR="00534305">
        <w:rPr>
          <w:rFonts w:ascii="Arial" w:hAnsi="Arial" w:cs="Arial"/>
        </w:rPr>
        <w:t>project management standards integrate risk with objectives, value,</w:t>
      </w:r>
      <w:r w:rsidRPr="008D57B9">
        <w:rPr>
          <w:rFonts w:ascii="Arial" w:hAnsi="Arial" w:cs="Arial"/>
        </w:rPr>
        <w:t xml:space="preserve"> and decision-making (PeopleCert, 2023; Project Management Institute, 2025). Each risk receives a likelihood and impact rating from 1 (very low or negligible) to 5 (very high or critical); multiplication produces the risk score. Scores of 1-4 are low, 5-9 medium, 10-15 high and 16-25 extreme. Ratings are reviewed monthly and before every stage gate.</w:t>
      </w:r>
    </w:p>
    <w:p w14:paraId="6EC0D82D" w14:textId="4443F44D" w:rsidR="00713000" w:rsidRPr="008D57B9" w:rsidRDefault="006B72A9" w:rsidP="008D57B9">
      <w:pPr>
        <w:spacing w:line="276" w:lineRule="auto"/>
        <w:jc w:val="both"/>
        <w:rPr>
          <w:rFonts w:ascii="Arial" w:hAnsi="Arial" w:cs="Arial"/>
        </w:rPr>
      </w:pPr>
      <w:r w:rsidRPr="008D57B9">
        <w:rPr>
          <w:rFonts w:ascii="Arial" w:hAnsi="Arial" w:cs="Arial"/>
        </w:rPr>
        <w:tab/>
        <w:t>Table 6 prioritises the six threats identified in the poster and adds ownership. Budget overrun is the highest current exposure because inflation, design development and interface change can affect several packages simultaneously. Construction delay is also high because approval, access and supply dependencies converge on the critical path. Responses combine avoidance, reduction, transfer and acceptance; contingency is a treatment resource, not a substitute for prevention. Current guidance also encourages teams to examine opportunities alongside threats, so the review records possible early-procurement savings, modular construction and energy-performance improvements (Project Management Institute, 2025).</w:t>
      </w:r>
    </w:p>
    <w:p w14:paraId="407C6BAD" w14:textId="19E436D9" w:rsidR="005B46AA" w:rsidRPr="008D57B9" w:rsidRDefault="00713000" w:rsidP="008D57B9">
      <w:pPr>
        <w:pStyle w:val="Caption"/>
        <w:spacing w:before="60" w:after="180" w:line="276" w:lineRule="auto"/>
        <w:rPr>
          <w:rFonts w:ascii="Arial" w:hAnsi="Arial" w:cs="Arial"/>
          <w:bCs w:val="0"/>
          <w:i w:val="0"/>
          <w:iCs/>
          <w:color w:val="auto"/>
          <w:sz w:val="24"/>
          <w:szCs w:val="24"/>
        </w:rPr>
      </w:pPr>
      <w:r w:rsidRPr="008D57B9">
        <w:rPr>
          <w:rFonts w:ascii="Arial" w:hAnsi="Arial" w:cs="Arial"/>
          <w:bCs w:val="0"/>
          <w:i w:val="0"/>
          <w:iCs/>
          <w:color w:val="auto"/>
          <w:sz w:val="24"/>
          <w:szCs w:val="24"/>
        </w:rPr>
        <w:lastRenderedPageBreak/>
        <w:t xml:space="preserve">Table 6. </w:t>
      </w:r>
      <w:r w:rsidR="00534305">
        <w:rPr>
          <w:rFonts w:ascii="Arial" w:hAnsi="Arial" w:cs="Arial"/>
          <w:bCs w:val="0"/>
          <w:i w:val="0"/>
          <w:iCs/>
          <w:color w:val="auto"/>
          <w:sz w:val="24"/>
          <w:szCs w:val="24"/>
        </w:rPr>
        <w:t>Prioritised</w:t>
      </w:r>
      <w:r w:rsidRPr="008D57B9">
        <w:rPr>
          <w:rFonts w:ascii="Arial" w:hAnsi="Arial" w:cs="Arial"/>
          <w:bCs w:val="0"/>
          <w:i w:val="0"/>
          <w:iCs/>
          <w:color w:val="auto"/>
          <w:sz w:val="24"/>
          <w:szCs w:val="24"/>
        </w:rPr>
        <w:t xml:space="preserve"> risk register</w:t>
      </w:r>
    </w:p>
    <w:tbl>
      <w:tblPr>
        <w:tblStyle w:val="TableGrid"/>
        <w:tblW w:w="9574" w:type="dxa"/>
        <w:tblInd w:w="120" w:type="dxa"/>
        <w:tblLayout w:type="fixed"/>
        <w:tblLook w:val="04A0" w:firstRow="1" w:lastRow="0" w:firstColumn="1" w:lastColumn="0" w:noHBand="0" w:noVBand="1"/>
      </w:tblPr>
      <w:tblGrid>
        <w:gridCol w:w="1943"/>
        <w:gridCol w:w="536"/>
        <w:gridCol w:w="323"/>
        <w:gridCol w:w="1708"/>
        <w:gridCol w:w="5064"/>
      </w:tblGrid>
      <w:tr w:rsidR="00767E40" w:rsidRPr="008D57B9" w14:paraId="2D9425E3" w14:textId="77777777" w:rsidTr="008D57B9">
        <w:trPr>
          <w:trHeight w:val="330"/>
          <w:tblHeader/>
        </w:trPr>
        <w:tc>
          <w:tcPr>
            <w:tcW w:w="1943" w:type="dxa"/>
            <w:shd w:val="clear" w:color="auto" w:fill="60CAF3" w:themeFill="accent4" w:themeFillTint="99"/>
            <w:tcMar>
              <w:top w:w="80" w:type="dxa"/>
              <w:left w:w="120" w:type="dxa"/>
              <w:bottom w:w="80" w:type="dxa"/>
              <w:right w:w="120" w:type="dxa"/>
            </w:tcMar>
            <w:vAlign w:val="center"/>
          </w:tcPr>
          <w:p w14:paraId="6427D7D9" w14:textId="77777777" w:rsidR="00767E40" w:rsidRPr="008D57B9" w:rsidRDefault="00767E40" w:rsidP="008D57B9">
            <w:pPr>
              <w:spacing w:line="276" w:lineRule="auto"/>
              <w:jc w:val="center"/>
              <w:rPr>
                <w:rFonts w:ascii="Arial" w:hAnsi="Arial" w:cs="Arial"/>
                <w:sz w:val="24"/>
                <w:szCs w:val="24"/>
              </w:rPr>
            </w:pPr>
            <w:r w:rsidRPr="008D57B9">
              <w:rPr>
                <w:rFonts w:ascii="Arial" w:hAnsi="Arial" w:cs="Arial"/>
                <w:b/>
                <w:color w:val="0B2545"/>
                <w:sz w:val="24"/>
                <w:szCs w:val="24"/>
              </w:rPr>
              <w:t>Risk</w:t>
            </w:r>
          </w:p>
        </w:tc>
        <w:tc>
          <w:tcPr>
            <w:tcW w:w="536" w:type="dxa"/>
            <w:shd w:val="clear" w:color="auto" w:fill="60CAF3" w:themeFill="accent4" w:themeFillTint="99"/>
            <w:tcMar>
              <w:top w:w="80" w:type="dxa"/>
              <w:left w:w="120" w:type="dxa"/>
              <w:bottom w:w="80" w:type="dxa"/>
              <w:right w:w="120" w:type="dxa"/>
            </w:tcMar>
            <w:vAlign w:val="center"/>
          </w:tcPr>
          <w:p w14:paraId="67908462" w14:textId="77777777" w:rsidR="00767E40" w:rsidRPr="008D57B9" w:rsidRDefault="00767E40" w:rsidP="008D57B9">
            <w:pPr>
              <w:spacing w:line="276" w:lineRule="auto"/>
              <w:jc w:val="center"/>
              <w:rPr>
                <w:rFonts w:ascii="Arial" w:hAnsi="Arial" w:cs="Arial"/>
                <w:sz w:val="24"/>
                <w:szCs w:val="24"/>
              </w:rPr>
            </w:pPr>
            <w:r w:rsidRPr="008D57B9">
              <w:rPr>
                <w:rFonts w:ascii="Arial" w:hAnsi="Arial" w:cs="Arial"/>
                <w:b/>
                <w:color w:val="0B2545"/>
                <w:sz w:val="24"/>
                <w:szCs w:val="24"/>
              </w:rPr>
              <w:t>L</w:t>
            </w:r>
          </w:p>
        </w:tc>
        <w:tc>
          <w:tcPr>
            <w:tcW w:w="323" w:type="dxa"/>
            <w:shd w:val="clear" w:color="auto" w:fill="60CAF3" w:themeFill="accent4" w:themeFillTint="99"/>
            <w:tcMar>
              <w:top w:w="80" w:type="dxa"/>
              <w:left w:w="120" w:type="dxa"/>
              <w:bottom w:w="80" w:type="dxa"/>
              <w:right w:w="120" w:type="dxa"/>
            </w:tcMar>
            <w:vAlign w:val="center"/>
          </w:tcPr>
          <w:p w14:paraId="2E339AAA" w14:textId="77777777" w:rsidR="00767E40" w:rsidRPr="008D57B9" w:rsidRDefault="00767E40" w:rsidP="008D57B9">
            <w:pPr>
              <w:spacing w:line="276" w:lineRule="auto"/>
              <w:jc w:val="center"/>
              <w:rPr>
                <w:rFonts w:ascii="Arial" w:hAnsi="Arial" w:cs="Arial"/>
                <w:sz w:val="24"/>
                <w:szCs w:val="24"/>
              </w:rPr>
            </w:pPr>
            <w:r w:rsidRPr="008D57B9">
              <w:rPr>
                <w:rFonts w:ascii="Arial" w:hAnsi="Arial" w:cs="Arial"/>
                <w:b/>
                <w:color w:val="0B2545"/>
                <w:sz w:val="24"/>
                <w:szCs w:val="24"/>
              </w:rPr>
              <w:t>I</w:t>
            </w:r>
          </w:p>
        </w:tc>
        <w:tc>
          <w:tcPr>
            <w:tcW w:w="1708" w:type="dxa"/>
            <w:shd w:val="clear" w:color="auto" w:fill="60CAF3" w:themeFill="accent4" w:themeFillTint="99"/>
            <w:tcMar>
              <w:top w:w="80" w:type="dxa"/>
              <w:left w:w="120" w:type="dxa"/>
              <w:bottom w:w="80" w:type="dxa"/>
              <w:right w:w="120" w:type="dxa"/>
            </w:tcMar>
            <w:vAlign w:val="center"/>
          </w:tcPr>
          <w:p w14:paraId="0CC1374A" w14:textId="1983318C" w:rsidR="00767E40" w:rsidRPr="008D57B9" w:rsidRDefault="005B46AA" w:rsidP="008D57B9">
            <w:pPr>
              <w:spacing w:line="276" w:lineRule="auto"/>
              <w:jc w:val="center"/>
              <w:rPr>
                <w:rFonts w:ascii="Arial" w:hAnsi="Arial" w:cs="Arial"/>
                <w:sz w:val="24"/>
                <w:szCs w:val="24"/>
              </w:rPr>
            </w:pPr>
            <w:r w:rsidRPr="008D57B9">
              <w:rPr>
                <w:rFonts w:ascii="Arial" w:hAnsi="Arial" w:cs="Arial"/>
                <w:b/>
                <w:color w:val="0B2545"/>
                <w:sz w:val="24"/>
                <w:szCs w:val="24"/>
              </w:rPr>
              <w:t>Score/level</w:t>
            </w:r>
          </w:p>
        </w:tc>
        <w:tc>
          <w:tcPr>
            <w:tcW w:w="5064" w:type="dxa"/>
            <w:shd w:val="clear" w:color="auto" w:fill="60CAF3" w:themeFill="accent4" w:themeFillTint="99"/>
            <w:tcMar>
              <w:top w:w="80" w:type="dxa"/>
              <w:left w:w="120" w:type="dxa"/>
              <w:bottom w:w="80" w:type="dxa"/>
              <w:right w:w="120" w:type="dxa"/>
            </w:tcMar>
            <w:vAlign w:val="center"/>
          </w:tcPr>
          <w:p w14:paraId="6B72C8F4" w14:textId="77777777" w:rsidR="00767E40" w:rsidRPr="008D57B9" w:rsidRDefault="00767E40" w:rsidP="008D57B9">
            <w:pPr>
              <w:spacing w:line="276" w:lineRule="auto"/>
              <w:jc w:val="center"/>
              <w:rPr>
                <w:rFonts w:ascii="Arial" w:hAnsi="Arial" w:cs="Arial"/>
                <w:sz w:val="24"/>
                <w:szCs w:val="24"/>
              </w:rPr>
            </w:pPr>
            <w:r w:rsidRPr="008D57B9">
              <w:rPr>
                <w:rFonts w:ascii="Arial" w:hAnsi="Arial" w:cs="Arial"/>
                <w:b/>
                <w:color w:val="0B2545"/>
                <w:sz w:val="24"/>
                <w:szCs w:val="24"/>
              </w:rPr>
              <w:t>Response and owner</w:t>
            </w:r>
          </w:p>
        </w:tc>
      </w:tr>
      <w:tr w:rsidR="00767E40" w:rsidRPr="008D57B9" w14:paraId="22FEB414" w14:textId="77777777" w:rsidTr="008D57B9">
        <w:trPr>
          <w:trHeight w:val="660"/>
        </w:trPr>
        <w:tc>
          <w:tcPr>
            <w:tcW w:w="1943" w:type="dxa"/>
          </w:tcPr>
          <w:p w14:paraId="277E4903" w14:textId="77777777" w:rsidR="00767E40" w:rsidRPr="008D57B9" w:rsidRDefault="00767E40" w:rsidP="008D57B9">
            <w:pPr>
              <w:spacing w:line="276" w:lineRule="auto"/>
              <w:rPr>
                <w:rFonts w:ascii="Arial" w:hAnsi="Arial" w:cs="Arial"/>
                <w:sz w:val="24"/>
                <w:szCs w:val="24"/>
              </w:rPr>
            </w:pPr>
            <w:r w:rsidRPr="008D57B9">
              <w:rPr>
                <w:rFonts w:ascii="Arial" w:hAnsi="Arial" w:cs="Arial"/>
                <w:color w:val="000000"/>
                <w:sz w:val="24"/>
                <w:szCs w:val="24"/>
              </w:rPr>
              <w:t>Budget overrun</w:t>
            </w:r>
          </w:p>
        </w:tc>
        <w:tc>
          <w:tcPr>
            <w:tcW w:w="536" w:type="dxa"/>
          </w:tcPr>
          <w:p w14:paraId="32C3BFDF" w14:textId="77777777" w:rsidR="00767E40" w:rsidRPr="008D57B9" w:rsidRDefault="00767E40" w:rsidP="008D57B9">
            <w:pPr>
              <w:spacing w:line="276" w:lineRule="auto"/>
              <w:jc w:val="center"/>
              <w:rPr>
                <w:rFonts w:ascii="Arial" w:hAnsi="Arial" w:cs="Arial"/>
                <w:sz w:val="24"/>
                <w:szCs w:val="24"/>
              </w:rPr>
            </w:pPr>
            <w:r w:rsidRPr="008D57B9">
              <w:rPr>
                <w:rFonts w:ascii="Arial" w:hAnsi="Arial" w:cs="Arial"/>
                <w:color w:val="000000"/>
                <w:sz w:val="24"/>
                <w:szCs w:val="24"/>
              </w:rPr>
              <w:t>3</w:t>
            </w:r>
          </w:p>
        </w:tc>
        <w:tc>
          <w:tcPr>
            <w:tcW w:w="323" w:type="dxa"/>
          </w:tcPr>
          <w:p w14:paraId="1AA4A84E" w14:textId="77777777" w:rsidR="00767E40" w:rsidRPr="008D57B9" w:rsidRDefault="00767E40" w:rsidP="008D57B9">
            <w:pPr>
              <w:spacing w:line="276" w:lineRule="auto"/>
              <w:jc w:val="center"/>
              <w:rPr>
                <w:rFonts w:ascii="Arial" w:hAnsi="Arial" w:cs="Arial"/>
                <w:sz w:val="24"/>
                <w:szCs w:val="24"/>
              </w:rPr>
            </w:pPr>
            <w:r w:rsidRPr="008D57B9">
              <w:rPr>
                <w:rFonts w:ascii="Arial" w:hAnsi="Arial" w:cs="Arial"/>
                <w:color w:val="000000"/>
                <w:sz w:val="24"/>
                <w:szCs w:val="24"/>
              </w:rPr>
              <w:t>5</w:t>
            </w:r>
          </w:p>
        </w:tc>
        <w:tc>
          <w:tcPr>
            <w:tcW w:w="1708" w:type="dxa"/>
          </w:tcPr>
          <w:p w14:paraId="39D96718" w14:textId="77777777" w:rsidR="00767E40" w:rsidRPr="008D57B9" w:rsidRDefault="00767E40" w:rsidP="008D57B9">
            <w:pPr>
              <w:spacing w:line="276" w:lineRule="auto"/>
              <w:jc w:val="center"/>
              <w:rPr>
                <w:rFonts w:ascii="Arial" w:hAnsi="Arial" w:cs="Arial"/>
                <w:sz w:val="24"/>
                <w:szCs w:val="24"/>
              </w:rPr>
            </w:pPr>
            <w:r w:rsidRPr="008D57B9">
              <w:rPr>
                <w:rFonts w:ascii="Arial" w:hAnsi="Arial" w:cs="Arial"/>
                <w:color w:val="000000"/>
                <w:sz w:val="24"/>
                <w:szCs w:val="24"/>
              </w:rPr>
              <w:t>15 / High</w:t>
            </w:r>
          </w:p>
        </w:tc>
        <w:tc>
          <w:tcPr>
            <w:tcW w:w="5064" w:type="dxa"/>
          </w:tcPr>
          <w:p w14:paraId="6454C461" w14:textId="77777777" w:rsidR="00767E40" w:rsidRPr="008D57B9" w:rsidRDefault="00767E40" w:rsidP="008D57B9">
            <w:pPr>
              <w:spacing w:line="276" w:lineRule="auto"/>
              <w:rPr>
                <w:rFonts w:ascii="Arial" w:hAnsi="Arial" w:cs="Arial"/>
                <w:sz w:val="24"/>
                <w:szCs w:val="24"/>
              </w:rPr>
            </w:pPr>
            <w:r w:rsidRPr="008D57B9">
              <w:rPr>
                <w:rFonts w:ascii="Arial" w:hAnsi="Arial" w:cs="Arial"/>
                <w:color w:val="000000"/>
                <w:sz w:val="24"/>
                <w:szCs w:val="24"/>
              </w:rPr>
              <w:t>Design-to-cost, change control and 10% contingency / PM and cost manager</w:t>
            </w:r>
          </w:p>
        </w:tc>
      </w:tr>
      <w:tr w:rsidR="00767E40" w:rsidRPr="008D57B9" w14:paraId="6F32850C" w14:textId="77777777" w:rsidTr="008D57B9">
        <w:trPr>
          <w:trHeight w:val="673"/>
        </w:trPr>
        <w:tc>
          <w:tcPr>
            <w:tcW w:w="1943" w:type="dxa"/>
          </w:tcPr>
          <w:p w14:paraId="204F19E4" w14:textId="77777777" w:rsidR="00767E40" w:rsidRPr="008D57B9" w:rsidRDefault="00767E40" w:rsidP="008D57B9">
            <w:pPr>
              <w:spacing w:line="276" w:lineRule="auto"/>
              <w:rPr>
                <w:rFonts w:ascii="Arial" w:hAnsi="Arial" w:cs="Arial"/>
                <w:sz w:val="24"/>
                <w:szCs w:val="24"/>
              </w:rPr>
            </w:pPr>
            <w:r w:rsidRPr="008D57B9">
              <w:rPr>
                <w:rFonts w:ascii="Arial" w:hAnsi="Arial" w:cs="Arial"/>
                <w:color w:val="000000"/>
                <w:sz w:val="24"/>
                <w:szCs w:val="24"/>
              </w:rPr>
              <w:t>Construction delay</w:t>
            </w:r>
          </w:p>
        </w:tc>
        <w:tc>
          <w:tcPr>
            <w:tcW w:w="536" w:type="dxa"/>
          </w:tcPr>
          <w:p w14:paraId="15A10344" w14:textId="77777777" w:rsidR="00767E40" w:rsidRPr="008D57B9" w:rsidRDefault="00767E40" w:rsidP="008D57B9">
            <w:pPr>
              <w:spacing w:line="276" w:lineRule="auto"/>
              <w:jc w:val="center"/>
              <w:rPr>
                <w:rFonts w:ascii="Arial" w:hAnsi="Arial" w:cs="Arial"/>
                <w:sz w:val="24"/>
                <w:szCs w:val="24"/>
              </w:rPr>
            </w:pPr>
            <w:r w:rsidRPr="008D57B9">
              <w:rPr>
                <w:rFonts w:ascii="Arial" w:hAnsi="Arial" w:cs="Arial"/>
                <w:color w:val="000000"/>
                <w:sz w:val="24"/>
                <w:szCs w:val="24"/>
              </w:rPr>
              <w:t>3</w:t>
            </w:r>
          </w:p>
        </w:tc>
        <w:tc>
          <w:tcPr>
            <w:tcW w:w="323" w:type="dxa"/>
          </w:tcPr>
          <w:p w14:paraId="5D070D76" w14:textId="77777777" w:rsidR="00767E40" w:rsidRPr="008D57B9" w:rsidRDefault="00767E40" w:rsidP="008D57B9">
            <w:pPr>
              <w:spacing w:line="276" w:lineRule="auto"/>
              <w:jc w:val="center"/>
              <w:rPr>
                <w:rFonts w:ascii="Arial" w:hAnsi="Arial" w:cs="Arial"/>
                <w:sz w:val="24"/>
                <w:szCs w:val="24"/>
              </w:rPr>
            </w:pPr>
            <w:r w:rsidRPr="008D57B9">
              <w:rPr>
                <w:rFonts w:ascii="Arial" w:hAnsi="Arial" w:cs="Arial"/>
                <w:color w:val="000000"/>
                <w:sz w:val="24"/>
                <w:szCs w:val="24"/>
              </w:rPr>
              <w:t>4</w:t>
            </w:r>
          </w:p>
        </w:tc>
        <w:tc>
          <w:tcPr>
            <w:tcW w:w="1708" w:type="dxa"/>
          </w:tcPr>
          <w:p w14:paraId="729C45D3" w14:textId="77777777" w:rsidR="00767E40" w:rsidRPr="008D57B9" w:rsidRDefault="00767E40" w:rsidP="008D57B9">
            <w:pPr>
              <w:spacing w:line="276" w:lineRule="auto"/>
              <w:jc w:val="center"/>
              <w:rPr>
                <w:rFonts w:ascii="Arial" w:hAnsi="Arial" w:cs="Arial"/>
                <w:sz w:val="24"/>
                <w:szCs w:val="24"/>
              </w:rPr>
            </w:pPr>
            <w:r w:rsidRPr="008D57B9">
              <w:rPr>
                <w:rFonts w:ascii="Arial" w:hAnsi="Arial" w:cs="Arial"/>
                <w:color w:val="000000"/>
                <w:sz w:val="24"/>
                <w:szCs w:val="24"/>
              </w:rPr>
              <w:t>12 / High</w:t>
            </w:r>
          </w:p>
        </w:tc>
        <w:tc>
          <w:tcPr>
            <w:tcW w:w="5064" w:type="dxa"/>
          </w:tcPr>
          <w:p w14:paraId="702FA74F" w14:textId="6DF9EDFE" w:rsidR="00767E40" w:rsidRPr="008D57B9" w:rsidRDefault="00767E40" w:rsidP="008D57B9">
            <w:pPr>
              <w:spacing w:line="276" w:lineRule="auto"/>
              <w:rPr>
                <w:rFonts w:ascii="Arial" w:hAnsi="Arial" w:cs="Arial"/>
                <w:sz w:val="24"/>
                <w:szCs w:val="24"/>
              </w:rPr>
            </w:pPr>
            <w:r w:rsidRPr="008D57B9">
              <w:rPr>
                <w:rFonts w:ascii="Arial" w:hAnsi="Arial" w:cs="Arial"/>
                <w:color w:val="000000"/>
                <w:sz w:val="24"/>
                <w:szCs w:val="24"/>
              </w:rPr>
              <w:t xml:space="preserve">Critical-path review, early approvals and recovery </w:t>
            </w:r>
            <w:r w:rsidR="005B46AA" w:rsidRPr="008D57B9">
              <w:rPr>
                <w:rFonts w:ascii="Arial" w:hAnsi="Arial" w:cs="Arial"/>
                <w:color w:val="000000"/>
                <w:sz w:val="24"/>
                <w:szCs w:val="24"/>
              </w:rPr>
              <w:t>plans/planner</w:t>
            </w:r>
            <w:r w:rsidRPr="008D57B9">
              <w:rPr>
                <w:rFonts w:ascii="Arial" w:hAnsi="Arial" w:cs="Arial"/>
                <w:color w:val="000000"/>
                <w:sz w:val="24"/>
                <w:szCs w:val="24"/>
              </w:rPr>
              <w:t xml:space="preserve"> and contractor</w:t>
            </w:r>
          </w:p>
        </w:tc>
      </w:tr>
      <w:tr w:rsidR="00767E40" w:rsidRPr="008D57B9" w14:paraId="578E7393" w14:textId="77777777" w:rsidTr="008D57B9">
        <w:trPr>
          <w:trHeight w:val="673"/>
        </w:trPr>
        <w:tc>
          <w:tcPr>
            <w:tcW w:w="1943" w:type="dxa"/>
          </w:tcPr>
          <w:p w14:paraId="0027073D" w14:textId="77777777" w:rsidR="00767E40" w:rsidRPr="008D57B9" w:rsidRDefault="00767E40" w:rsidP="008D57B9">
            <w:pPr>
              <w:spacing w:line="276" w:lineRule="auto"/>
              <w:rPr>
                <w:rFonts w:ascii="Arial" w:hAnsi="Arial" w:cs="Arial"/>
                <w:sz w:val="24"/>
                <w:szCs w:val="24"/>
              </w:rPr>
            </w:pPr>
            <w:r w:rsidRPr="008D57B9">
              <w:rPr>
                <w:rFonts w:ascii="Arial" w:hAnsi="Arial" w:cs="Arial"/>
                <w:color w:val="000000"/>
                <w:sz w:val="24"/>
                <w:szCs w:val="24"/>
              </w:rPr>
              <w:t>Supply-chain disruption</w:t>
            </w:r>
          </w:p>
        </w:tc>
        <w:tc>
          <w:tcPr>
            <w:tcW w:w="536" w:type="dxa"/>
          </w:tcPr>
          <w:p w14:paraId="744D5598" w14:textId="77777777" w:rsidR="00767E40" w:rsidRPr="008D57B9" w:rsidRDefault="00767E40" w:rsidP="008D57B9">
            <w:pPr>
              <w:spacing w:line="276" w:lineRule="auto"/>
              <w:jc w:val="center"/>
              <w:rPr>
                <w:rFonts w:ascii="Arial" w:hAnsi="Arial" w:cs="Arial"/>
                <w:sz w:val="24"/>
                <w:szCs w:val="24"/>
              </w:rPr>
            </w:pPr>
            <w:r w:rsidRPr="008D57B9">
              <w:rPr>
                <w:rFonts w:ascii="Arial" w:hAnsi="Arial" w:cs="Arial"/>
                <w:color w:val="000000"/>
                <w:sz w:val="24"/>
                <w:szCs w:val="24"/>
              </w:rPr>
              <w:t>2</w:t>
            </w:r>
          </w:p>
        </w:tc>
        <w:tc>
          <w:tcPr>
            <w:tcW w:w="323" w:type="dxa"/>
          </w:tcPr>
          <w:p w14:paraId="55D9AF64" w14:textId="77777777" w:rsidR="00767E40" w:rsidRPr="008D57B9" w:rsidRDefault="00767E40" w:rsidP="008D57B9">
            <w:pPr>
              <w:spacing w:line="276" w:lineRule="auto"/>
              <w:jc w:val="center"/>
              <w:rPr>
                <w:rFonts w:ascii="Arial" w:hAnsi="Arial" w:cs="Arial"/>
                <w:sz w:val="24"/>
                <w:szCs w:val="24"/>
              </w:rPr>
            </w:pPr>
            <w:r w:rsidRPr="008D57B9">
              <w:rPr>
                <w:rFonts w:ascii="Arial" w:hAnsi="Arial" w:cs="Arial"/>
                <w:color w:val="000000"/>
                <w:sz w:val="24"/>
                <w:szCs w:val="24"/>
              </w:rPr>
              <w:t>4</w:t>
            </w:r>
          </w:p>
        </w:tc>
        <w:tc>
          <w:tcPr>
            <w:tcW w:w="1708" w:type="dxa"/>
          </w:tcPr>
          <w:p w14:paraId="1B2A6B45" w14:textId="77777777" w:rsidR="00767E40" w:rsidRPr="008D57B9" w:rsidRDefault="00767E40" w:rsidP="008D57B9">
            <w:pPr>
              <w:spacing w:line="276" w:lineRule="auto"/>
              <w:jc w:val="center"/>
              <w:rPr>
                <w:rFonts w:ascii="Arial" w:hAnsi="Arial" w:cs="Arial"/>
                <w:sz w:val="24"/>
                <w:szCs w:val="24"/>
              </w:rPr>
            </w:pPr>
            <w:r w:rsidRPr="008D57B9">
              <w:rPr>
                <w:rFonts w:ascii="Arial" w:hAnsi="Arial" w:cs="Arial"/>
                <w:color w:val="000000"/>
                <w:sz w:val="24"/>
                <w:szCs w:val="24"/>
              </w:rPr>
              <w:t>8 / Medium</w:t>
            </w:r>
          </w:p>
        </w:tc>
        <w:tc>
          <w:tcPr>
            <w:tcW w:w="5064" w:type="dxa"/>
          </w:tcPr>
          <w:p w14:paraId="4561E4AC" w14:textId="061726B0" w:rsidR="00767E40" w:rsidRPr="008D57B9" w:rsidRDefault="00767E40" w:rsidP="008D57B9">
            <w:pPr>
              <w:spacing w:line="276" w:lineRule="auto"/>
              <w:rPr>
                <w:rFonts w:ascii="Arial" w:hAnsi="Arial" w:cs="Arial"/>
                <w:sz w:val="24"/>
                <w:szCs w:val="24"/>
              </w:rPr>
            </w:pPr>
            <w:r w:rsidRPr="008D57B9">
              <w:rPr>
                <w:rFonts w:ascii="Arial" w:hAnsi="Arial" w:cs="Arial"/>
                <w:color w:val="000000"/>
                <w:sz w:val="24"/>
                <w:szCs w:val="24"/>
              </w:rPr>
              <w:t xml:space="preserve">Early procurement, dual sourcing and approved </w:t>
            </w:r>
            <w:r w:rsidR="005B46AA" w:rsidRPr="008D57B9">
              <w:rPr>
                <w:rFonts w:ascii="Arial" w:hAnsi="Arial" w:cs="Arial"/>
                <w:color w:val="000000"/>
                <w:sz w:val="24"/>
                <w:szCs w:val="24"/>
              </w:rPr>
              <w:t>alternatives/procurement</w:t>
            </w:r>
            <w:r w:rsidRPr="008D57B9">
              <w:rPr>
                <w:rFonts w:ascii="Arial" w:hAnsi="Arial" w:cs="Arial"/>
                <w:color w:val="000000"/>
                <w:sz w:val="24"/>
                <w:szCs w:val="24"/>
              </w:rPr>
              <w:t xml:space="preserve"> manager</w:t>
            </w:r>
          </w:p>
        </w:tc>
      </w:tr>
      <w:tr w:rsidR="00767E40" w:rsidRPr="008D57B9" w14:paraId="3B9232AD" w14:textId="77777777" w:rsidTr="008D57B9">
        <w:trPr>
          <w:trHeight w:val="673"/>
        </w:trPr>
        <w:tc>
          <w:tcPr>
            <w:tcW w:w="1943" w:type="dxa"/>
          </w:tcPr>
          <w:p w14:paraId="0EF4A71F" w14:textId="77777777" w:rsidR="00767E40" w:rsidRPr="008D57B9" w:rsidRDefault="00767E40" w:rsidP="008D57B9">
            <w:pPr>
              <w:spacing w:line="276" w:lineRule="auto"/>
              <w:rPr>
                <w:rFonts w:ascii="Arial" w:hAnsi="Arial" w:cs="Arial"/>
                <w:sz w:val="24"/>
                <w:szCs w:val="24"/>
              </w:rPr>
            </w:pPr>
            <w:r w:rsidRPr="008D57B9">
              <w:rPr>
                <w:rFonts w:ascii="Arial" w:hAnsi="Arial" w:cs="Arial"/>
                <w:color w:val="000000"/>
                <w:sz w:val="24"/>
                <w:szCs w:val="24"/>
              </w:rPr>
              <w:t>Stakeholder opposition</w:t>
            </w:r>
          </w:p>
        </w:tc>
        <w:tc>
          <w:tcPr>
            <w:tcW w:w="536" w:type="dxa"/>
          </w:tcPr>
          <w:p w14:paraId="5ABC0622" w14:textId="77777777" w:rsidR="00767E40" w:rsidRPr="008D57B9" w:rsidRDefault="00767E40" w:rsidP="008D57B9">
            <w:pPr>
              <w:spacing w:line="276" w:lineRule="auto"/>
              <w:jc w:val="center"/>
              <w:rPr>
                <w:rFonts w:ascii="Arial" w:hAnsi="Arial" w:cs="Arial"/>
                <w:sz w:val="24"/>
                <w:szCs w:val="24"/>
              </w:rPr>
            </w:pPr>
            <w:r w:rsidRPr="008D57B9">
              <w:rPr>
                <w:rFonts w:ascii="Arial" w:hAnsi="Arial" w:cs="Arial"/>
                <w:color w:val="000000"/>
                <w:sz w:val="24"/>
                <w:szCs w:val="24"/>
              </w:rPr>
              <w:t>2</w:t>
            </w:r>
          </w:p>
        </w:tc>
        <w:tc>
          <w:tcPr>
            <w:tcW w:w="323" w:type="dxa"/>
          </w:tcPr>
          <w:p w14:paraId="7A443731" w14:textId="77777777" w:rsidR="00767E40" w:rsidRPr="008D57B9" w:rsidRDefault="00767E40" w:rsidP="008D57B9">
            <w:pPr>
              <w:spacing w:line="276" w:lineRule="auto"/>
              <w:jc w:val="center"/>
              <w:rPr>
                <w:rFonts w:ascii="Arial" w:hAnsi="Arial" w:cs="Arial"/>
                <w:sz w:val="24"/>
                <w:szCs w:val="24"/>
              </w:rPr>
            </w:pPr>
            <w:r w:rsidRPr="008D57B9">
              <w:rPr>
                <w:rFonts w:ascii="Arial" w:hAnsi="Arial" w:cs="Arial"/>
                <w:color w:val="000000"/>
                <w:sz w:val="24"/>
                <w:szCs w:val="24"/>
              </w:rPr>
              <w:t>3</w:t>
            </w:r>
          </w:p>
        </w:tc>
        <w:tc>
          <w:tcPr>
            <w:tcW w:w="1708" w:type="dxa"/>
          </w:tcPr>
          <w:p w14:paraId="260641C6" w14:textId="77777777" w:rsidR="00767E40" w:rsidRPr="008D57B9" w:rsidRDefault="00767E40" w:rsidP="008D57B9">
            <w:pPr>
              <w:spacing w:line="276" w:lineRule="auto"/>
              <w:jc w:val="center"/>
              <w:rPr>
                <w:rFonts w:ascii="Arial" w:hAnsi="Arial" w:cs="Arial"/>
                <w:sz w:val="24"/>
                <w:szCs w:val="24"/>
              </w:rPr>
            </w:pPr>
            <w:r w:rsidRPr="008D57B9">
              <w:rPr>
                <w:rFonts w:ascii="Arial" w:hAnsi="Arial" w:cs="Arial"/>
                <w:color w:val="000000"/>
                <w:sz w:val="24"/>
                <w:szCs w:val="24"/>
              </w:rPr>
              <w:t>6 / Medium</w:t>
            </w:r>
          </w:p>
        </w:tc>
        <w:tc>
          <w:tcPr>
            <w:tcW w:w="5064" w:type="dxa"/>
          </w:tcPr>
          <w:p w14:paraId="5915FCDB" w14:textId="15157B14" w:rsidR="00767E40" w:rsidRPr="008D57B9" w:rsidRDefault="00767E40" w:rsidP="008D57B9">
            <w:pPr>
              <w:spacing w:line="276" w:lineRule="auto"/>
              <w:rPr>
                <w:rFonts w:ascii="Arial" w:hAnsi="Arial" w:cs="Arial"/>
                <w:sz w:val="24"/>
                <w:szCs w:val="24"/>
              </w:rPr>
            </w:pPr>
            <w:r w:rsidRPr="008D57B9">
              <w:rPr>
                <w:rFonts w:ascii="Arial" w:hAnsi="Arial" w:cs="Arial"/>
                <w:color w:val="000000"/>
                <w:sz w:val="24"/>
                <w:szCs w:val="24"/>
              </w:rPr>
              <w:t xml:space="preserve">Early consultation, accessible evidence and issue </w:t>
            </w:r>
            <w:r w:rsidR="005B46AA" w:rsidRPr="008D57B9">
              <w:rPr>
                <w:rFonts w:ascii="Arial" w:hAnsi="Arial" w:cs="Arial"/>
                <w:color w:val="000000"/>
                <w:sz w:val="24"/>
                <w:szCs w:val="24"/>
              </w:rPr>
              <w:t>closure/engagement</w:t>
            </w:r>
            <w:r w:rsidRPr="008D57B9">
              <w:rPr>
                <w:rFonts w:ascii="Arial" w:hAnsi="Arial" w:cs="Arial"/>
                <w:color w:val="000000"/>
                <w:sz w:val="24"/>
                <w:szCs w:val="24"/>
              </w:rPr>
              <w:t xml:space="preserve"> lead</w:t>
            </w:r>
          </w:p>
        </w:tc>
      </w:tr>
      <w:tr w:rsidR="00767E40" w:rsidRPr="008D57B9" w14:paraId="1698A7E2" w14:textId="77777777" w:rsidTr="008D57B9">
        <w:trPr>
          <w:trHeight w:val="1004"/>
        </w:trPr>
        <w:tc>
          <w:tcPr>
            <w:tcW w:w="1943" w:type="dxa"/>
          </w:tcPr>
          <w:p w14:paraId="72AEFDDF" w14:textId="77777777" w:rsidR="00767E40" w:rsidRPr="008D57B9" w:rsidRDefault="00767E40" w:rsidP="008D57B9">
            <w:pPr>
              <w:spacing w:line="276" w:lineRule="auto"/>
              <w:rPr>
                <w:rFonts w:ascii="Arial" w:hAnsi="Arial" w:cs="Arial"/>
                <w:sz w:val="24"/>
                <w:szCs w:val="24"/>
              </w:rPr>
            </w:pPr>
            <w:r w:rsidRPr="008D57B9">
              <w:rPr>
                <w:rFonts w:ascii="Arial" w:hAnsi="Arial" w:cs="Arial"/>
                <w:color w:val="000000"/>
                <w:sz w:val="24"/>
                <w:szCs w:val="24"/>
              </w:rPr>
              <w:t>Environmental impact</w:t>
            </w:r>
          </w:p>
        </w:tc>
        <w:tc>
          <w:tcPr>
            <w:tcW w:w="536" w:type="dxa"/>
          </w:tcPr>
          <w:p w14:paraId="3E4E4AD9" w14:textId="77777777" w:rsidR="00767E40" w:rsidRPr="008D57B9" w:rsidRDefault="00767E40" w:rsidP="008D57B9">
            <w:pPr>
              <w:spacing w:line="276" w:lineRule="auto"/>
              <w:jc w:val="center"/>
              <w:rPr>
                <w:rFonts w:ascii="Arial" w:hAnsi="Arial" w:cs="Arial"/>
                <w:sz w:val="24"/>
                <w:szCs w:val="24"/>
              </w:rPr>
            </w:pPr>
            <w:r w:rsidRPr="008D57B9">
              <w:rPr>
                <w:rFonts w:ascii="Arial" w:hAnsi="Arial" w:cs="Arial"/>
                <w:color w:val="000000"/>
                <w:sz w:val="24"/>
                <w:szCs w:val="24"/>
              </w:rPr>
              <w:t>2</w:t>
            </w:r>
          </w:p>
        </w:tc>
        <w:tc>
          <w:tcPr>
            <w:tcW w:w="323" w:type="dxa"/>
          </w:tcPr>
          <w:p w14:paraId="5C9A43F7" w14:textId="77777777" w:rsidR="00767E40" w:rsidRPr="008D57B9" w:rsidRDefault="00767E40" w:rsidP="008D57B9">
            <w:pPr>
              <w:spacing w:line="276" w:lineRule="auto"/>
              <w:jc w:val="center"/>
              <w:rPr>
                <w:rFonts w:ascii="Arial" w:hAnsi="Arial" w:cs="Arial"/>
                <w:sz w:val="24"/>
                <w:szCs w:val="24"/>
              </w:rPr>
            </w:pPr>
            <w:r w:rsidRPr="008D57B9">
              <w:rPr>
                <w:rFonts w:ascii="Arial" w:hAnsi="Arial" w:cs="Arial"/>
                <w:color w:val="000000"/>
                <w:sz w:val="24"/>
                <w:szCs w:val="24"/>
              </w:rPr>
              <w:t>4</w:t>
            </w:r>
          </w:p>
        </w:tc>
        <w:tc>
          <w:tcPr>
            <w:tcW w:w="1708" w:type="dxa"/>
          </w:tcPr>
          <w:p w14:paraId="252E5278" w14:textId="77777777" w:rsidR="00767E40" w:rsidRPr="008D57B9" w:rsidRDefault="00767E40" w:rsidP="008D57B9">
            <w:pPr>
              <w:spacing w:line="276" w:lineRule="auto"/>
              <w:jc w:val="center"/>
              <w:rPr>
                <w:rFonts w:ascii="Arial" w:hAnsi="Arial" w:cs="Arial"/>
                <w:sz w:val="24"/>
                <w:szCs w:val="24"/>
              </w:rPr>
            </w:pPr>
            <w:r w:rsidRPr="008D57B9">
              <w:rPr>
                <w:rFonts w:ascii="Arial" w:hAnsi="Arial" w:cs="Arial"/>
                <w:color w:val="000000"/>
                <w:sz w:val="24"/>
                <w:szCs w:val="24"/>
              </w:rPr>
              <w:t>8 / Medium</w:t>
            </w:r>
          </w:p>
        </w:tc>
        <w:tc>
          <w:tcPr>
            <w:tcW w:w="5064" w:type="dxa"/>
          </w:tcPr>
          <w:p w14:paraId="7D1E831B" w14:textId="0D75934A" w:rsidR="00767E40" w:rsidRPr="008D57B9" w:rsidRDefault="00767E40" w:rsidP="008D57B9">
            <w:pPr>
              <w:spacing w:line="276" w:lineRule="auto"/>
              <w:rPr>
                <w:rFonts w:ascii="Arial" w:hAnsi="Arial" w:cs="Arial"/>
                <w:sz w:val="24"/>
                <w:szCs w:val="24"/>
              </w:rPr>
            </w:pPr>
            <w:r w:rsidRPr="008D57B9">
              <w:rPr>
                <w:rFonts w:ascii="Arial" w:hAnsi="Arial" w:cs="Arial"/>
                <w:color w:val="000000"/>
                <w:sz w:val="24"/>
                <w:szCs w:val="24"/>
              </w:rPr>
              <w:t xml:space="preserve">Environmental management plan, monitoring and stop-work </w:t>
            </w:r>
            <w:r w:rsidR="005B46AA" w:rsidRPr="008D57B9">
              <w:rPr>
                <w:rFonts w:ascii="Arial" w:hAnsi="Arial" w:cs="Arial"/>
                <w:color w:val="000000"/>
                <w:sz w:val="24"/>
                <w:szCs w:val="24"/>
              </w:rPr>
              <w:t>triggers/sustainability</w:t>
            </w:r>
            <w:r w:rsidRPr="008D57B9">
              <w:rPr>
                <w:rFonts w:ascii="Arial" w:hAnsi="Arial" w:cs="Arial"/>
                <w:color w:val="000000"/>
                <w:sz w:val="24"/>
                <w:szCs w:val="24"/>
              </w:rPr>
              <w:t xml:space="preserve"> lead</w:t>
            </w:r>
          </w:p>
        </w:tc>
      </w:tr>
      <w:tr w:rsidR="00767E40" w:rsidRPr="008D57B9" w14:paraId="2EE037E0" w14:textId="77777777" w:rsidTr="008D57B9">
        <w:trPr>
          <w:trHeight w:val="660"/>
        </w:trPr>
        <w:tc>
          <w:tcPr>
            <w:tcW w:w="1943" w:type="dxa"/>
          </w:tcPr>
          <w:p w14:paraId="796D535A" w14:textId="77777777" w:rsidR="00767E40" w:rsidRPr="008D57B9" w:rsidRDefault="00767E40" w:rsidP="008D57B9">
            <w:pPr>
              <w:spacing w:line="276" w:lineRule="auto"/>
              <w:rPr>
                <w:rFonts w:ascii="Arial" w:hAnsi="Arial" w:cs="Arial"/>
                <w:sz w:val="24"/>
                <w:szCs w:val="24"/>
              </w:rPr>
            </w:pPr>
            <w:r w:rsidRPr="008D57B9">
              <w:rPr>
                <w:rFonts w:ascii="Arial" w:hAnsi="Arial" w:cs="Arial"/>
                <w:color w:val="000000"/>
                <w:sz w:val="24"/>
                <w:szCs w:val="24"/>
              </w:rPr>
              <w:t>Health and safety incident</w:t>
            </w:r>
          </w:p>
        </w:tc>
        <w:tc>
          <w:tcPr>
            <w:tcW w:w="536" w:type="dxa"/>
          </w:tcPr>
          <w:p w14:paraId="7223A41F" w14:textId="77777777" w:rsidR="00767E40" w:rsidRPr="008D57B9" w:rsidRDefault="00767E40" w:rsidP="008D57B9">
            <w:pPr>
              <w:spacing w:line="276" w:lineRule="auto"/>
              <w:jc w:val="center"/>
              <w:rPr>
                <w:rFonts w:ascii="Arial" w:hAnsi="Arial" w:cs="Arial"/>
                <w:sz w:val="24"/>
                <w:szCs w:val="24"/>
              </w:rPr>
            </w:pPr>
            <w:r w:rsidRPr="008D57B9">
              <w:rPr>
                <w:rFonts w:ascii="Arial" w:hAnsi="Arial" w:cs="Arial"/>
                <w:color w:val="000000"/>
                <w:sz w:val="24"/>
                <w:szCs w:val="24"/>
              </w:rPr>
              <w:t>1</w:t>
            </w:r>
          </w:p>
        </w:tc>
        <w:tc>
          <w:tcPr>
            <w:tcW w:w="323" w:type="dxa"/>
          </w:tcPr>
          <w:p w14:paraId="5C5C1FFD" w14:textId="77777777" w:rsidR="00767E40" w:rsidRPr="008D57B9" w:rsidRDefault="00767E40" w:rsidP="008D57B9">
            <w:pPr>
              <w:spacing w:line="276" w:lineRule="auto"/>
              <w:jc w:val="center"/>
              <w:rPr>
                <w:rFonts w:ascii="Arial" w:hAnsi="Arial" w:cs="Arial"/>
                <w:sz w:val="24"/>
                <w:szCs w:val="24"/>
              </w:rPr>
            </w:pPr>
            <w:r w:rsidRPr="008D57B9">
              <w:rPr>
                <w:rFonts w:ascii="Arial" w:hAnsi="Arial" w:cs="Arial"/>
                <w:color w:val="000000"/>
                <w:sz w:val="24"/>
                <w:szCs w:val="24"/>
              </w:rPr>
              <w:t>5</w:t>
            </w:r>
          </w:p>
        </w:tc>
        <w:tc>
          <w:tcPr>
            <w:tcW w:w="1708" w:type="dxa"/>
          </w:tcPr>
          <w:p w14:paraId="554407F2" w14:textId="77777777" w:rsidR="00767E40" w:rsidRPr="008D57B9" w:rsidRDefault="00767E40" w:rsidP="008D57B9">
            <w:pPr>
              <w:spacing w:line="276" w:lineRule="auto"/>
              <w:jc w:val="center"/>
              <w:rPr>
                <w:rFonts w:ascii="Arial" w:hAnsi="Arial" w:cs="Arial"/>
                <w:sz w:val="24"/>
                <w:szCs w:val="24"/>
              </w:rPr>
            </w:pPr>
            <w:r w:rsidRPr="008D57B9">
              <w:rPr>
                <w:rFonts w:ascii="Arial" w:hAnsi="Arial" w:cs="Arial"/>
                <w:color w:val="000000"/>
                <w:sz w:val="24"/>
                <w:szCs w:val="24"/>
              </w:rPr>
              <w:t>5 / Medium</w:t>
            </w:r>
          </w:p>
        </w:tc>
        <w:tc>
          <w:tcPr>
            <w:tcW w:w="5064" w:type="dxa"/>
          </w:tcPr>
          <w:p w14:paraId="2DF1C35B" w14:textId="77777777" w:rsidR="00767E40" w:rsidRPr="008D57B9" w:rsidRDefault="00767E40" w:rsidP="008D57B9">
            <w:pPr>
              <w:spacing w:line="276" w:lineRule="auto"/>
              <w:rPr>
                <w:rFonts w:ascii="Arial" w:hAnsi="Arial" w:cs="Arial"/>
                <w:sz w:val="24"/>
                <w:szCs w:val="24"/>
              </w:rPr>
            </w:pPr>
            <w:r w:rsidRPr="008D57B9">
              <w:rPr>
                <w:rFonts w:ascii="Arial" w:hAnsi="Arial" w:cs="Arial"/>
                <w:color w:val="000000"/>
                <w:sz w:val="24"/>
                <w:szCs w:val="24"/>
              </w:rPr>
              <w:t>Construction-phase plan, competence checks, briefings and audits / H&amp;S manager</w:t>
            </w:r>
          </w:p>
        </w:tc>
      </w:tr>
    </w:tbl>
    <w:p w14:paraId="63243DA1" w14:textId="77777777" w:rsidR="008D57B9" w:rsidRDefault="008175F2" w:rsidP="008D57B9">
      <w:pPr>
        <w:spacing w:line="276" w:lineRule="auto"/>
        <w:jc w:val="both"/>
        <w:rPr>
          <w:rFonts w:ascii="Arial" w:hAnsi="Arial" w:cs="Arial"/>
          <w:color w:val="000000"/>
        </w:rPr>
      </w:pPr>
      <w:r w:rsidRPr="008D57B9">
        <w:rPr>
          <w:rFonts w:ascii="Arial" w:hAnsi="Arial" w:cs="Arial"/>
          <w:color w:val="000000"/>
        </w:rPr>
        <w:tab/>
      </w:r>
    </w:p>
    <w:p w14:paraId="7745E92D" w14:textId="005D2A3A" w:rsidR="008175F2" w:rsidRPr="008D57B9" w:rsidRDefault="008D57B9" w:rsidP="008D57B9">
      <w:pPr>
        <w:spacing w:line="276" w:lineRule="auto"/>
        <w:jc w:val="both"/>
        <w:rPr>
          <w:rFonts w:ascii="Arial" w:hAnsi="Arial" w:cs="Arial"/>
          <w:color w:val="000000"/>
        </w:rPr>
      </w:pPr>
      <w:r>
        <w:rPr>
          <w:rFonts w:ascii="Arial" w:hAnsi="Arial" w:cs="Arial"/>
          <w:color w:val="000000"/>
        </w:rPr>
        <w:tab/>
      </w:r>
      <w:r w:rsidR="00767E40" w:rsidRPr="008D57B9">
        <w:rPr>
          <w:rFonts w:ascii="Arial" w:hAnsi="Arial" w:cs="Arial"/>
          <w:color w:val="000000"/>
        </w:rPr>
        <w:t xml:space="preserve">Risk owners report leading indicators as well as incidents. Cost forecast movement, design queries, approval ageing, supplier lead times, complaints, environmental exceedances and safety observations trigger reassessment. High risks appear on the project-board dashboard with trend, treatment status and residual score. Escalation occurs when exposure exceeds tolerance, threatens a success measure or requires contingency. </w:t>
      </w:r>
    </w:p>
    <w:p w14:paraId="3DA2875A" w14:textId="1521A0F3" w:rsidR="00767E40" w:rsidRPr="008D57B9" w:rsidRDefault="008175F2" w:rsidP="008D57B9">
      <w:pPr>
        <w:spacing w:line="276" w:lineRule="auto"/>
        <w:jc w:val="both"/>
        <w:rPr>
          <w:rFonts w:ascii="Arial" w:hAnsi="Arial" w:cs="Arial"/>
        </w:rPr>
      </w:pPr>
      <w:r w:rsidRPr="008D57B9">
        <w:rPr>
          <w:rFonts w:ascii="Arial" w:hAnsi="Arial" w:cs="Arial"/>
        </w:rPr>
        <w:tab/>
        <w:t>Sustainable control also tests whether corrective action transfers harm to another outcome; for example, schedule recovery cannot bypass accessibility assurance or increase unsafe working. This balanced approach integrates project delivery with whole-life sustainability and stakeholder value (UK Green Building Council, 2021; Wu et al., 2023).</w:t>
      </w:r>
    </w:p>
    <w:p w14:paraId="1F2F6356" w14:textId="78963389" w:rsidR="00767E40" w:rsidRPr="008D57B9" w:rsidRDefault="008175F2" w:rsidP="008D57B9">
      <w:pPr>
        <w:spacing w:line="276" w:lineRule="auto"/>
        <w:jc w:val="both"/>
        <w:rPr>
          <w:rFonts w:ascii="Arial" w:hAnsi="Arial" w:cs="Arial"/>
        </w:rPr>
      </w:pPr>
      <w:r w:rsidRPr="008D57B9">
        <w:rPr>
          <w:rFonts w:ascii="Arial" w:hAnsi="Arial" w:cs="Arial"/>
          <w:color w:val="000000"/>
        </w:rPr>
        <w:tab/>
      </w:r>
      <w:r w:rsidR="00767E40" w:rsidRPr="008D57B9">
        <w:rPr>
          <w:rFonts w:ascii="Arial" w:hAnsi="Arial" w:cs="Arial"/>
          <w:color w:val="000000"/>
        </w:rPr>
        <w:t>After each response is implemented, likelihood and impact are rescored to determine residual exposure. The sponsor accepts risks that remain above tolerance only when further treatment is impractical or disproportionate. The register also records emerging risks, causes, consequences, trigger dates and response deadlines. Opportunities follow the same governance process and may improve cost, duration, carbon performance or passenger value. Lessons from incidents, audits and completed packages are reviewed throughout delivery, allowing controls to improve before similar work begins elsewhere on the project.</w:t>
      </w:r>
    </w:p>
    <w:p w14:paraId="7DF776DA" w14:textId="77777777" w:rsidR="00A34FF6" w:rsidRDefault="00A34FF6" w:rsidP="00263267">
      <w:pPr>
        <w:pStyle w:val="Heading1"/>
        <w:spacing w:line="276" w:lineRule="auto"/>
        <w:jc w:val="both"/>
        <w:rPr>
          <w:rFonts w:ascii="Arial" w:hAnsi="Arial" w:cs="Arial"/>
          <w:b/>
          <w:color w:val="auto"/>
          <w:sz w:val="24"/>
          <w:szCs w:val="24"/>
        </w:rPr>
      </w:pPr>
    </w:p>
    <w:p w14:paraId="78029356" w14:textId="52395ED2" w:rsidR="00767E40" w:rsidRPr="008D57B9" w:rsidRDefault="00767E40" w:rsidP="00263267">
      <w:pPr>
        <w:pStyle w:val="Heading1"/>
        <w:spacing w:line="276" w:lineRule="auto"/>
        <w:jc w:val="both"/>
        <w:rPr>
          <w:rFonts w:ascii="Arial" w:hAnsi="Arial" w:cs="Arial"/>
          <w:color w:val="auto"/>
          <w:sz w:val="24"/>
          <w:szCs w:val="24"/>
        </w:rPr>
      </w:pPr>
      <w:r w:rsidRPr="008D57B9">
        <w:rPr>
          <w:rFonts w:ascii="Arial" w:hAnsi="Arial" w:cs="Arial"/>
          <w:b/>
          <w:color w:val="auto"/>
          <w:sz w:val="24"/>
          <w:szCs w:val="24"/>
        </w:rPr>
        <w:t>Conclusion</w:t>
      </w:r>
    </w:p>
    <w:p w14:paraId="173EEB55" w14:textId="77777777" w:rsidR="00421692" w:rsidRPr="008D57B9" w:rsidRDefault="00D73E6B" w:rsidP="008D57B9">
      <w:pPr>
        <w:spacing w:line="276" w:lineRule="auto"/>
        <w:jc w:val="both"/>
        <w:rPr>
          <w:rFonts w:ascii="Arial" w:hAnsi="Arial" w:cs="Arial"/>
          <w:color w:val="000000"/>
        </w:rPr>
      </w:pPr>
      <w:r w:rsidRPr="008D57B9">
        <w:rPr>
          <w:rFonts w:ascii="Arial" w:hAnsi="Arial" w:cs="Arial"/>
          <w:color w:val="000000"/>
        </w:rPr>
        <w:tab/>
      </w:r>
      <w:r w:rsidR="00767E40" w:rsidRPr="008D57B9">
        <w:rPr>
          <w:rFonts w:ascii="Arial" w:hAnsi="Arial" w:cs="Arial"/>
          <w:color w:val="000000"/>
        </w:rPr>
        <w:t xml:space="preserve">The plan converts the net-zero transport-hub proposal into an integrated and governable delivery baseline. Scope boundaries, six WBS phases, the 36-month schedule, stakeholder involvement, a GBP 25 million resource plan, RACI accountability and scored risk responses reinforce one another. Stage gates provide control for a safety-critical infrastructure project, while structured consultation and design reviews allow evidence-based adaptation. Success is assessed through time and cost performance together with carbon, energy, accessibility, passenger satisfaction, safety and operational acceptance. </w:t>
      </w:r>
    </w:p>
    <w:p w14:paraId="6561CE98" w14:textId="77777777" w:rsidR="00421692" w:rsidRPr="008D57B9" w:rsidRDefault="00421692" w:rsidP="008D57B9">
      <w:pPr>
        <w:spacing w:line="276" w:lineRule="auto"/>
        <w:jc w:val="both"/>
        <w:rPr>
          <w:rFonts w:ascii="Arial" w:hAnsi="Arial" w:cs="Arial"/>
          <w:color w:val="000000"/>
        </w:rPr>
      </w:pPr>
      <w:r w:rsidRPr="008D57B9">
        <w:rPr>
          <w:rFonts w:ascii="Arial" w:hAnsi="Arial" w:cs="Arial"/>
          <w:color w:val="000000"/>
        </w:rPr>
        <w:tab/>
      </w:r>
      <w:r w:rsidR="00767E40" w:rsidRPr="008D57B9">
        <w:rPr>
          <w:rFonts w:ascii="Arial" w:hAnsi="Arial" w:cs="Arial"/>
          <w:color w:val="000000"/>
        </w:rPr>
        <w:t>These wider measures respond to the limits of the iron triangle and support durable stakeholder value. Continuous monitoring, transparent governance and whole-life sustainability remain essential from initiation through handover. Subject to sponsor approval and statutory assurance, the plan provides a credible route to a safer, inclusive, efficient and lower-carbon central transport hub.</w:t>
      </w:r>
    </w:p>
    <w:p w14:paraId="15DB33D2" w14:textId="743F8E95" w:rsidR="00767E40" w:rsidRPr="008D57B9" w:rsidRDefault="00421692" w:rsidP="008D57B9">
      <w:pPr>
        <w:spacing w:line="276" w:lineRule="auto"/>
        <w:jc w:val="both"/>
        <w:rPr>
          <w:rFonts w:ascii="Arial" w:hAnsi="Arial" w:cs="Arial"/>
        </w:rPr>
      </w:pPr>
      <w:r w:rsidRPr="008D57B9">
        <w:rPr>
          <w:rFonts w:ascii="Arial" w:hAnsi="Arial" w:cs="Arial"/>
          <w:color w:val="000000"/>
        </w:rPr>
        <w:tab/>
      </w:r>
      <w:r w:rsidR="00767E40" w:rsidRPr="008D57B9">
        <w:rPr>
          <w:rFonts w:ascii="Arial" w:hAnsi="Arial" w:cs="Arial"/>
          <w:color w:val="000000"/>
        </w:rPr>
        <w:t xml:space="preserve"> Final acceptance therefore depends on verified completion of deliverables, approved operating documentation, trained staff, resolved defects and evidence that the hub can achieve its promised service and sustainability outcomes during normal operation. Benefits reviews continue annually after handover.</w:t>
      </w:r>
    </w:p>
    <w:p w14:paraId="155FB038" w14:textId="77777777" w:rsidR="00767E40" w:rsidRPr="008D57B9" w:rsidRDefault="00767E40" w:rsidP="008D57B9">
      <w:pPr>
        <w:spacing w:line="276" w:lineRule="auto"/>
        <w:jc w:val="both"/>
        <w:rPr>
          <w:rFonts w:ascii="Arial" w:hAnsi="Arial" w:cs="Arial"/>
        </w:rPr>
      </w:pPr>
      <w:r w:rsidRPr="008D57B9">
        <w:rPr>
          <w:rFonts w:ascii="Arial" w:hAnsi="Arial" w:cs="Arial"/>
        </w:rPr>
        <w:br w:type="page"/>
      </w:r>
    </w:p>
    <w:p w14:paraId="17DA077C" w14:textId="77777777" w:rsidR="00EB0EB2" w:rsidRPr="008D57B9" w:rsidRDefault="00EB0EB2" w:rsidP="008D57B9">
      <w:pPr>
        <w:pStyle w:val="Heading1"/>
        <w:spacing w:line="276" w:lineRule="auto"/>
        <w:jc w:val="both"/>
        <w:rPr>
          <w:rFonts w:ascii="Arial" w:hAnsi="Arial" w:cs="Arial"/>
          <w:color w:val="auto"/>
          <w:sz w:val="24"/>
          <w:szCs w:val="24"/>
        </w:rPr>
      </w:pPr>
      <w:r w:rsidRPr="008D57B9">
        <w:rPr>
          <w:rFonts w:ascii="Arial" w:hAnsi="Arial" w:cs="Arial"/>
          <w:b/>
          <w:color w:val="auto"/>
          <w:sz w:val="24"/>
          <w:szCs w:val="24"/>
        </w:rPr>
        <w:lastRenderedPageBreak/>
        <w:t>References</w:t>
      </w:r>
    </w:p>
    <w:p w14:paraId="225DEC40" w14:textId="53299E80" w:rsidR="00EB0EB2" w:rsidRPr="008D57B9" w:rsidRDefault="00EB0EB2" w:rsidP="008D57B9">
      <w:pPr>
        <w:pStyle w:val="ReferenceEntry"/>
        <w:spacing w:line="276" w:lineRule="auto"/>
        <w:ind w:left="0" w:firstLine="0"/>
        <w:rPr>
          <w:rFonts w:ascii="Arial" w:hAnsi="Arial" w:cs="Arial"/>
          <w:sz w:val="24"/>
          <w:szCs w:val="24"/>
        </w:rPr>
      </w:pPr>
      <w:r w:rsidRPr="008D57B9">
        <w:rPr>
          <w:rFonts w:ascii="Arial" w:hAnsi="Arial" w:cs="Arial"/>
          <w:sz w:val="24"/>
          <w:szCs w:val="24"/>
        </w:rPr>
        <w:t>Cabinet Office (2022) The Construction Playbook. London: Cabinet Office. Available at: https://www.gov.uk/government/publications/the-construction-playbook (Accessed: 26 July 2026).</w:t>
      </w:r>
    </w:p>
    <w:p w14:paraId="083D22AD" w14:textId="77777777" w:rsidR="00EB0EB2" w:rsidRPr="008D57B9" w:rsidRDefault="00EB0EB2" w:rsidP="008D57B9">
      <w:pPr>
        <w:pStyle w:val="ReferenceEntry"/>
        <w:spacing w:line="276" w:lineRule="auto"/>
        <w:ind w:left="0" w:firstLine="0"/>
        <w:rPr>
          <w:rFonts w:ascii="Arial" w:hAnsi="Arial" w:cs="Arial"/>
          <w:sz w:val="24"/>
          <w:szCs w:val="24"/>
        </w:rPr>
      </w:pPr>
      <w:r w:rsidRPr="008D57B9">
        <w:rPr>
          <w:rFonts w:ascii="Arial" w:hAnsi="Arial" w:cs="Arial"/>
          <w:sz w:val="24"/>
          <w:szCs w:val="24"/>
        </w:rPr>
        <w:t>Department for Transport (2021) Decarbonising Transport: A Better, Greener Britain. London: Department for Transport. Available at: https://www.gov.uk/government/publications/transport-decarbonisation-plan (Accessed: 26 July 2026).</w:t>
      </w:r>
    </w:p>
    <w:p w14:paraId="2C680F01" w14:textId="77777777" w:rsidR="00EB0EB2" w:rsidRPr="008D57B9" w:rsidRDefault="00EB0EB2" w:rsidP="008D57B9">
      <w:pPr>
        <w:pStyle w:val="ReferenceEntry"/>
        <w:spacing w:line="276" w:lineRule="auto"/>
        <w:ind w:left="0" w:firstLine="0"/>
        <w:rPr>
          <w:rFonts w:ascii="Arial" w:hAnsi="Arial" w:cs="Arial"/>
          <w:sz w:val="24"/>
          <w:szCs w:val="24"/>
        </w:rPr>
      </w:pPr>
      <w:r w:rsidRPr="008D57B9">
        <w:rPr>
          <w:rFonts w:ascii="Arial" w:hAnsi="Arial" w:cs="Arial"/>
          <w:sz w:val="24"/>
          <w:szCs w:val="24"/>
        </w:rPr>
        <w:t>Department for Transport (2025) Inclusive Transport Strategy Evaluation: Summary Report. London: Department for Transport. Available at: https://assets.publishing.service.gov.uk/media/67bddd96b0d253f92e213c67/inclusive-transport-strategy-evaluation-summary-report.pdf (Accessed: 26 July 2026).</w:t>
      </w:r>
    </w:p>
    <w:p w14:paraId="2F147022" w14:textId="77777777" w:rsidR="00EB0EB2" w:rsidRPr="008D57B9" w:rsidRDefault="00EB0EB2" w:rsidP="008D57B9">
      <w:pPr>
        <w:pStyle w:val="ReferenceEntry"/>
        <w:spacing w:line="276" w:lineRule="auto"/>
        <w:ind w:left="0" w:firstLine="0"/>
        <w:rPr>
          <w:rFonts w:ascii="Arial" w:hAnsi="Arial" w:cs="Arial"/>
          <w:sz w:val="24"/>
          <w:szCs w:val="24"/>
        </w:rPr>
      </w:pPr>
      <w:r w:rsidRPr="008D57B9">
        <w:rPr>
          <w:rFonts w:ascii="Arial" w:hAnsi="Arial" w:cs="Arial"/>
          <w:sz w:val="24"/>
          <w:szCs w:val="24"/>
        </w:rPr>
        <w:t>HM Government (2021) Net Zero Strategy: Build Back Greener. London: HM Government. Available at: https://www.gov.uk/government/publications/net-zero-strategy (Accessed: 26 July 2026).</w:t>
      </w:r>
    </w:p>
    <w:p w14:paraId="3E1E88DE" w14:textId="77777777" w:rsidR="00EB0EB2" w:rsidRPr="008D57B9" w:rsidRDefault="00EB0EB2" w:rsidP="008D57B9">
      <w:pPr>
        <w:pStyle w:val="ReferenceEntry"/>
        <w:spacing w:line="276" w:lineRule="auto"/>
        <w:ind w:left="0" w:firstLine="0"/>
        <w:rPr>
          <w:rFonts w:ascii="Arial" w:hAnsi="Arial" w:cs="Arial"/>
          <w:sz w:val="24"/>
          <w:szCs w:val="24"/>
        </w:rPr>
      </w:pPr>
      <w:r w:rsidRPr="008D57B9">
        <w:rPr>
          <w:rFonts w:ascii="Arial" w:hAnsi="Arial" w:cs="Arial"/>
          <w:sz w:val="24"/>
          <w:szCs w:val="24"/>
        </w:rPr>
        <w:t>HM Treasury (2026) The Green Book: Central Government Guidance on Appraisal and Evaluation. London: HM Treasury. Available at: https://www.gov.uk/government/publications/the-green-book-appraisal-and-evaluation-in-central-government/the-green-book-2026 (Accessed: 26 July 2026).</w:t>
      </w:r>
    </w:p>
    <w:p w14:paraId="34756F30" w14:textId="77777777" w:rsidR="00EB0EB2" w:rsidRPr="008D57B9" w:rsidRDefault="00EB0EB2" w:rsidP="008D57B9">
      <w:pPr>
        <w:pStyle w:val="ReferenceEntry"/>
        <w:spacing w:line="276" w:lineRule="auto"/>
        <w:ind w:left="0" w:firstLine="0"/>
        <w:rPr>
          <w:rFonts w:ascii="Arial" w:hAnsi="Arial" w:cs="Arial"/>
          <w:sz w:val="24"/>
          <w:szCs w:val="24"/>
        </w:rPr>
      </w:pPr>
      <w:r w:rsidRPr="008D57B9">
        <w:rPr>
          <w:rFonts w:ascii="Arial" w:hAnsi="Arial" w:cs="Arial"/>
          <w:sz w:val="24"/>
          <w:szCs w:val="24"/>
        </w:rPr>
        <w:t>Infrastructure and Projects Authority (2022) Project Routemap: Handbook. London: Infrastructure and Projects Authority. Available at: https://assets.publishing.service.gov.uk/media/6297200fe90e0703a2fed794/Handbook__-_FINAL.pdf (Accessed: 26 July 2026).</w:t>
      </w:r>
    </w:p>
    <w:p w14:paraId="1837434E" w14:textId="77777777" w:rsidR="00EB0EB2" w:rsidRPr="008D57B9" w:rsidRDefault="00EB0EB2" w:rsidP="008D57B9">
      <w:pPr>
        <w:pStyle w:val="ReferenceEntry"/>
        <w:spacing w:line="276" w:lineRule="auto"/>
        <w:ind w:left="0" w:firstLine="0"/>
        <w:rPr>
          <w:rFonts w:ascii="Arial" w:hAnsi="Arial" w:cs="Arial"/>
          <w:sz w:val="24"/>
          <w:szCs w:val="24"/>
        </w:rPr>
      </w:pPr>
      <w:r w:rsidRPr="008D57B9">
        <w:rPr>
          <w:rFonts w:ascii="Arial" w:hAnsi="Arial" w:cs="Arial"/>
          <w:sz w:val="24"/>
          <w:szCs w:val="24"/>
        </w:rPr>
        <w:t>International Organisation for Standardisation (2021) ISO 21500:2021 Project, Programme and Portfolio Management - Context and Concepts. Geneva: ISO. Available at: https://www.iso.org/standard/75704.html (Accessed: 26 July 2026).</w:t>
      </w:r>
    </w:p>
    <w:p w14:paraId="1B1DCA06" w14:textId="5F58DA0F" w:rsidR="00EB0EB2" w:rsidRPr="008D57B9" w:rsidRDefault="00EB0EB2" w:rsidP="008D57B9">
      <w:pPr>
        <w:pStyle w:val="ReferenceEntry"/>
        <w:spacing w:line="276" w:lineRule="auto"/>
        <w:ind w:left="0" w:firstLine="0"/>
        <w:rPr>
          <w:rFonts w:ascii="Arial" w:hAnsi="Arial" w:cs="Arial"/>
          <w:sz w:val="24"/>
          <w:szCs w:val="24"/>
        </w:rPr>
      </w:pPr>
      <w:r w:rsidRPr="008D57B9">
        <w:rPr>
          <w:rFonts w:ascii="Arial" w:hAnsi="Arial" w:cs="Arial"/>
          <w:sz w:val="24"/>
          <w:szCs w:val="24"/>
        </w:rPr>
        <w:t xml:space="preserve">Ngampravatdee, C., Gharehbaghi, K., Hosseinian-Far, A., Tee, K.F. </w:t>
      </w:r>
      <w:r w:rsidR="00014B62">
        <w:rPr>
          <w:rFonts w:ascii="Arial" w:hAnsi="Arial" w:cs="Arial"/>
          <w:sz w:val="24"/>
          <w:szCs w:val="24"/>
        </w:rPr>
        <w:t>&amp;</w:t>
      </w:r>
      <w:r w:rsidRPr="008D57B9">
        <w:rPr>
          <w:rFonts w:ascii="Arial" w:hAnsi="Arial" w:cs="Arial"/>
          <w:sz w:val="24"/>
          <w:szCs w:val="24"/>
        </w:rPr>
        <w:t xml:space="preserve"> McManus, K. (2023)</w:t>
      </w:r>
      <w:r w:rsidR="00014B62">
        <w:rPr>
          <w:rFonts w:ascii="Arial" w:hAnsi="Arial" w:cs="Arial"/>
          <w:sz w:val="24"/>
          <w:szCs w:val="24"/>
        </w:rPr>
        <w:t>.</w:t>
      </w:r>
      <w:r w:rsidRPr="008D57B9">
        <w:rPr>
          <w:rFonts w:ascii="Arial" w:hAnsi="Arial" w:cs="Arial"/>
          <w:sz w:val="24"/>
          <w:szCs w:val="24"/>
        </w:rPr>
        <w:t xml:space="preserve"> 'Strategic initiatives for large transport infrastructure planning: reinforcing sustainability in urban transportation through better stakeholder engagement', Sustainability, 15(18), 13912. doi: 10.3390/su151813912.</w:t>
      </w:r>
    </w:p>
    <w:p w14:paraId="60DC14FB" w14:textId="21B0053D" w:rsidR="00EB0EB2" w:rsidRPr="008D57B9" w:rsidRDefault="00EB0EB2" w:rsidP="008D57B9">
      <w:pPr>
        <w:pStyle w:val="ReferenceEntry"/>
        <w:spacing w:line="276" w:lineRule="auto"/>
        <w:ind w:left="0" w:firstLine="0"/>
        <w:rPr>
          <w:rFonts w:ascii="Arial" w:hAnsi="Arial" w:cs="Arial"/>
          <w:sz w:val="24"/>
          <w:szCs w:val="24"/>
        </w:rPr>
      </w:pPr>
      <w:r w:rsidRPr="008D57B9">
        <w:rPr>
          <w:rFonts w:ascii="Arial" w:hAnsi="Arial" w:cs="Arial"/>
          <w:sz w:val="24"/>
          <w:szCs w:val="24"/>
        </w:rPr>
        <w:t>PeopleCert (2023) Managing Successful Projects with PRINCE2 7. London: PeopleCert International.</w:t>
      </w:r>
    </w:p>
    <w:p w14:paraId="761DC1FD" w14:textId="77777777" w:rsidR="00EB0EB2" w:rsidRPr="008D57B9" w:rsidRDefault="00EB0EB2" w:rsidP="008D57B9">
      <w:pPr>
        <w:pStyle w:val="ReferenceEntry"/>
        <w:spacing w:line="276" w:lineRule="auto"/>
        <w:ind w:left="0" w:firstLine="0"/>
        <w:rPr>
          <w:rFonts w:ascii="Arial" w:hAnsi="Arial" w:cs="Arial"/>
          <w:sz w:val="24"/>
          <w:szCs w:val="24"/>
        </w:rPr>
      </w:pPr>
      <w:r w:rsidRPr="008D57B9">
        <w:rPr>
          <w:rFonts w:ascii="Arial" w:hAnsi="Arial" w:cs="Arial"/>
          <w:sz w:val="24"/>
          <w:szCs w:val="24"/>
        </w:rPr>
        <w:t>Project Management Institute (2025) A Guide to the Project Management Body of Knowledge (PMBOK Guide). 8th edn. Newtown Square, PA: Project Management Institute.</w:t>
      </w:r>
    </w:p>
    <w:p w14:paraId="6EA7FAD2" w14:textId="50CB2A62" w:rsidR="00EB0EB2" w:rsidRPr="008D57B9" w:rsidRDefault="00EB0EB2" w:rsidP="008D57B9">
      <w:pPr>
        <w:pStyle w:val="ReferenceEntry"/>
        <w:spacing w:line="276" w:lineRule="auto"/>
        <w:ind w:left="0" w:firstLine="0"/>
        <w:rPr>
          <w:rFonts w:ascii="Arial" w:hAnsi="Arial" w:cs="Arial"/>
          <w:sz w:val="24"/>
          <w:szCs w:val="24"/>
        </w:rPr>
      </w:pPr>
      <w:r w:rsidRPr="008D57B9">
        <w:rPr>
          <w:rFonts w:ascii="Arial" w:hAnsi="Arial" w:cs="Arial"/>
          <w:sz w:val="24"/>
          <w:szCs w:val="24"/>
        </w:rPr>
        <w:t>UK Green Building Council (2021)</w:t>
      </w:r>
      <w:r w:rsidR="00014B62">
        <w:rPr>
          <w:rFonts w:ascii="Arial" w:hAnsi="Arial" w:cs="Arial"/>
          <w:sz w:val="24"/>
          <w:szCs w:val="24"/>
        </w:rPr>
        <w:t>.</w:t>
      </w:r>
      <w:r w:rsidRPr="008D57B9">
        <w:rPr>
          <w:rFonts w:ascii="Arial" w:hAnsi="Arial" w:cs="Arial"/>
          <w:sz w:val="24"/>
          <w:szCs w:val="24"/>
        </w:rPr>
        <w:t xml:space="preserve"> Net Zero Whole Life Carbon Roadmap: A Pathway to Net Zero. London: UK Green Building Council. Available at: https://ukgbc.org/wp-content/uploads/2021/11/UKGBC-Whole-Life-Carbon-Roadmap-A-Pathway-to-Net-Zero.pdf (Accessed: 26 July 2026).</w:t>
      </w:r>
    </w:p>
    <w:p w14:paraId="3D4E4A7E" w14:textId="7734CBF0" w:rsidR="00EB0EB2" w:rsidRPr="008D57B9" w:rsidRDefault="00EB0EB2" w:rsidP="008D57B9">
      <w:pPr>
        <w:pStyle w:val="ReferenceEntry"/>
        <w:spacing w:line="276" w:lineRule="auto"/>
        <w:ind w:left="0" w:firstLine="0"/>
        <w:rPr>
          <w:rFonts w:ascii="Arial" w:hAnsi="Arial" w:cs="Arial"/>
          <w:sz w:val="24"/>
          <w:szCs w:val="24"/>
        </w:rPr>
      </w:pPr>
      <w:r w:rsidRPr="008D57B9">
        <w:rPr>
          <w:rFonts w:ascii="Arial" w:hAnsi="Arial" w:cs="Arial"/>
          <w:sz w:val="24"/>
          <w:szCs w:val="24"/>
        </w:rPr>
        <w:lastRenderedPageBreak/>
        <w:t xml:space="preserve">Wu, </w:t>
      </w:r>
      <w:r w:rsidR="009F0F82">
        <w:rPr>
          <w:rFonts w:ascii="Arial" w:hAnsi="Arial" w:cs="Arial"/>
          <w:sz w:val="24"/>
          <w:szCs w:val="24"/>
        </w:rPr>
        <w:t>S.-W.</w:t>
      </w:r>
      <w:r w:rsidRPr="008D57B9">
        <w:rPr>
          <w:rFonts w:ascii="Arial" w:hAnsi="Arial" w:cs="Arial"/>
          <w:sz w:val="24"/>
          <w:szCs w:val="24"/>
        </w:rPr>
        <w:t xml:space="preserve">, Yan, Y., Pan, J. </w:t>
      </w:r>
      <w:r w:rsidR="00B34B40">
        <w:rPr>
          <w:rFonts w:ascii="Arial" w:hAnsi="Arial" w:cs="Arial"/>
          <w:sz w:val="24"/>
          <w:szCs w:val="24"/>
        </w:rPr>
        <w:t>&amp;</w:t>
      </w:r>
      <w:r w:rsidRPr="008D57B9">
        <w:rPr>
          <w:rFonts w:ascii="Arial" w:hAnsi="Arial" w:cs="Arial"/>
          <w:sz w:val="24"/>
          <w:szCs w:val="24"/>
        </w:rPr>
        <w:t xml:space="preserve"> Wu, </w:t>
      </w:r>
      <w:r w:rsidR="009F0F82">
        <w:rPr>
          <w:rFonts w:ascii="Arial" w:hAnsi="Arial" w:cs="Arial"/>
          <w:sz w:val="24"/>
          <w:szCs w:val="24"/>
        </w:rPr>
        <w:t>K.-S</w:t>
      </w:r>
      <w:r w:rsidRPr="008D57B9">
        <w:rPr>
          <w:rFonts w:ascii="Arial" w:hAnsi="Arial" w:cs="Arial"/>
          <w:sz w:val="24"/>
          <w:szCs w:val="24"/>
        </w:rPr>
        <w:t>. (2023)</w:t>
      </w:r>
      <w:r w:rsidR="00014B62">
        <w:rPr>
          <w:rFonts w:ascii="Arial" w:hAnsi="Arial" w:cs="Arial"/>
          <w:sz w:val="24"/>
          <w:szCs w:val="24"/>
        </w:rPr>
        <w:t>.</w:t>
      </w:r>
      <w:r w:rsidRPr="008D57B9">
        <w:rPr>
          <w:rFonts w:ascii="Arial" w:hAnsi="Arial" w:cs="Arial"/>
          <w:sz w:val="24"/>
          <w:szCs w:val="24"/>
        </w:rPr>
        <w:t xml:space="preserve"> 'Linking sustainable project management with construction project success: moderating influence of stakeholder engagement', Buildings, 13(10), 2634. doi: 10.3390/buildings13102634.</w:t>
      </w:r>
    </w:p>
    <w:sectPr w:rsidR="00EB0EB2" w:rsidRPr="008D57B9" w:rsidSect="00C76260">
      <w:footerReference w:type="default" r:id="rId14"/>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70DE45" w14:textId="77777777" w:rsidR="00B8571B" w:rsidRDefault="00B8571B" w:rsidP="00C76260">
      <w:pPr>
        <w:spacing w:after="0" w:line="240" w:lineRule="auto"/>
      </w:pPr>
      <w:r>
        <w:separator/>
      </w:r>
    </w:p>
  </w:endnote>
  <w:endnote w:type="continuationSeparator" w:id="0">
    <w:p w14:paraId="2666094B" w14:textId="77777777" w:rsidR="00B8571B" w:rsidRDefault="00B8571B" w:rsidP="00C762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42316508"/>
      <w:docPartObj>
        <w:docPartGallery w:val="Page Numbers (Bottom of Page)"/>
        <w:docPartUnique/>
      </w:docPartObj>
    </w:sdtPr>
    <w:sdtEndPr>
      <w:rPr>
        <w:noProof/>
      </w:rPr>
    </w:sdtEndPr>
    <w:sdtContent>
      <w:p w14:paraId="5906B5ED" w14:textId="11C5A8B6" w:rsidR="00C76260" w:rsidRDefault="00C76260">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14:paraId="552E87F1" w14:textId="77777777" w:rsidR="00C76260" w:rsidRDefault="00C7626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7ADD2E" w14:textId="77777777" w:rsidR="00B8571B" w:rsidRDefault="00B8571B" w:rsidP="00C76260">
      <w:pPr>
        <w:spacing w:after="0" w:line="240" w:lineRule="auto"/>
      </w:pPr>
      <w:r>
        <w:separator/>
      </w:r>
    </w:p>
  </w:footnote>
  <w:footnote w:type="continuationSeparator" w:id="0">
    <w:p w14:paraId="284A0E1F" w14:textId="77777777" w:rsidR="00B8571B" w:rsidRDefault="00B8571B" w:rsidP="00C7626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157AB1" w14:textId="7BA61B45" w:rsidR="00713000" w:rsidRDefault="0071300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4F7176"/>
    <w:multiLevelType w:val="hybridMultilevel"/>
    <w:tmpl w:val="244274A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31233AAA"/>
    <w:multiLevelType w:val="multilevel"/>
    <w:tmpl w:val="1544380E"/>
    <w:lvl w:ilvl="0">
      <w:start w:val="1"/>
      <w:numFmt w:val="decimal"/>
      <w:pStyle w:val="ListBullet"/>
      <w:suff w:val="space"/>
      <w:lvlText w:val="%1."/>
      <w:lvlJc w:val="left"/>
      <w:pPr>
        <w:tabs>
          <w:tab w:val="num" w:pos="360"/>
        </w:tabs>
        <w:ind w:left="360" w:hanging="360"/>
      </w:pPr>
      <w:rPr>
        <w:color w:val="auto"/>
      </w:rPr>
    </w:lvl>
    <w:lvl w:ilvl="1">
      <w:start w:val="1"/>
      <w:numFmt w:val="decimal"/>
      <w:suff w:val="space"/>
      <w:lvlText w:val="%1.%2"/>
      <w:lvlJc w:val="left"/>
      <w:pPr>
        <w:tabs>
          <w:tab w:val="num" w:pos="360"/>
        </w:tabs>
        <w:ind w:left="360" w:hanging="360"/>
      </w:p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753355806">
    <w:abstractNumId w:val="1"/>
  </w:num>
  <w:num w:numId="2" w16cid:durableId="19487370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147F"/>
    <w:rsid w:val="00014B62"/>
    <w:rsid w:val="00015C57"/>
    <w:rsid w:val="000506D7"/>
    <w:rsid w:val="00075D45"/>
    <w:rsid w:val="00076BEC"/>
    <w:rsid w:val="00086E0B"/>
    <w:rsid w:val="00090BCE"/>
    <w:rsid w:val="000931DA"/>
    <w:rsid w:val="000A77BF"/>
    <w:rsid w:val="000B2543"/>
    <w:rsid w:val="000D1831"/>
    <w:rsid w:val="001009B3"/>
    <w:rsid w:val="001125B1"/>
    <w:rsid w:val="00124800"/>
    <w:rsid w:val="00173FA8"/>
    <w:rsid w:val="00183979"/>
    <w:rsid w:val="001D2073"/>
    <w:rsid w:val="001E58E5"/>
    <w:rsid w:val="001F3B1C"/>
    <w:rsid w:val="00212457"/>
    <w:rsid w:val="00215073"/>
    <w:rsid w:val="00255A85"/>
    <w:rsid w:val="00263267"/>
    <w:rsid w:val="002D5FF7"/>
    <w:rsid w:val="002F230B"/>
    <w:rsid w:val="003220DC"/>
    <w:rsid w:val="00344BB6"/>
    <w:rsid w:val="00365DF7"/>
    <w:rsid w:val="00387E87"/>
    <w:rsid w:val="003E5B1F"/>
    <w:rsid w:val="0040796B"/>
    <w:rsid w:val="004157C9"/>
    <w:rsid w:val="00420276"/>
    <w:rsid w:val="00421692"/>
    <w:rsid w:val="00425CD0"/>
    <w:rsid w:val="00480FE7"/>
    <w:rsid w:val="0048645D"/>
    <w:rsid w:val="004A3675"/>
    <w:rsid w:val="004B7524"/>
    <w:rsid w:val="004F2514"/>
    <w:rsid w:val="00510A51"/>
    <w:rsid w:val="00534305"/>
    <w:rsid w:val="00586E9C"/>
    <w:rsid w:val="005B0C24"/>
    <w:rsid w:val="005B46AA"/>
    <w:rsid w:val="005D54E8"/>
    <w:rsid w:val="005F6349"/>
    <w:rsid w:val="00616190"/>
    <w:rsid w:val="00683424"/>
    <w:rsid w:val="006A7CAC"/>
    <w:rsid w:val="006B2AEB"/>
    <w:rsid w:val="006B72A9"/>
    <w:rsid w:val="006D3AA4"/>
    <w:rsid w:val="006E4214"/>
    <w:rsid w:val="006F44F8"/>
    <w:rsid w:val="00713000"/>
    <w:rsid w:val="00720EBF"/>
    <w:rsid w:val="0073147F"/>
    <w:rsid w:val="00767E40"/>
    <w:rsid w:val="007968E0"/>
    <w:rsid w:val="007D725F"/>
    <w:rsid w:val="008175F2"/>
    <w:rsid w:val="00843B1F"/>
    <w:rsid w:val="00856002"/>
    <w:rsid w:val="00860398"/>
    <w:rsid w:val="00865060"/>
    <w:rsid w:val="00885B61"/>
    <w:rsid w:val="008B2319"/>
    <w:rsid w:val="008C127D"/>
    <w:rsid w:val="008D57B9"/>
    <w:rsid w:val="009113F8"/>
    <w:rsid w:val="00911F58"/>
    <w:rsid w:val="00980217"/>
    <w:rsid w:val="009D4BC4"/>
    <w:rsid w:val="009F0F82"/>
    <w:rsid w:val="009F55BB"/>
    <w:rsid w:val="009F6183"/>
    <w:rsid w:val="00A34FF6"/>
    <w:rsid w:val="00A452D5"/>
    <w:rsid w:val="00A66FED"/>
    <w:rsid w:val="00AB56D7"/>
    <w:rsid w:val="00AD2D95"/>
    <w:rsid w:val="00B2299A"/>
    <w:rsid w:val="00B34B40"/>
    <w:rsid w:val="00B60100"/>
    <w:rsid w:val="00B8571B"/>
    <w:rsid w:val="00B91157"/>
    <w:rsid w:val="00BA50D9"/>
    <w:rsid w:val="00BC4B5A"/>
    <w:rsid w:val="00BF0205"/>
    <w:rsid w:val="00C57621"/>
    <w:rsid w:val="00C76260"/>
    <w:rsid w:val="00C92D41"/>
    <w:rsid w:val="00D237E4"/>
    <w:rsid w:val="00D249EA"/>
    <w:rsid w:val="00D272F4"/>
    <w:rsid w:val="00D73C46"/>
    <w:rsid w:val="00D73E6B"/>
    <w:rsid w:val="00D74538"/>
    <w:rsid w:val="00D77FB9"/>
    <w:rsid w:val="00D977DD"/>
    <w:rsid w:val="00DB65A9"/>
    <w:rsid w:val="00DD1C2F"/>
    <w:rsid w:val="00E27CE5"/>
    <w:rsid w:val="00E44684"/>
    <w:rsid w:val="00E66E1A"/>
    <w:rsid w:val="00E85F15"/>
    <w:rsid w:val="00E8712A"/>
    <w:rsid w:val="00EA1D85"/>
    <w:rsid w:val="00EB0EB2"/>
    <w:rsid w:val="00EC59E9"/>
    <w:rsid w:val="00EF68B5"/>
    <w:rsid w:val="00F01042"/>
    <w:rsid w:val="00F14CC2"/>
    <w:rsid w:val="00F202A9"/>
    <w:rsid w:val="00FA1F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9BB5D2"/>
  <w15:docId w15:val="{E588A901-E108-4A11-B8F7-4C102C40B8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4684"/>
  </w:style>
  <w:style w:type="paragraph" w:styleId="Heading1">
    <w:name w:val="heading 1"/>
    <w:basedOn w:val="Normal"/>
    <w:next w:val="Normal"/>
    <w:link w:val="Heading1Char"/>
    <w:uiPriority w:val="9"/>
    <w:qFormat/>
    <w:rsid w:val="0073147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3147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3147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3147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3147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3147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3147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3147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3147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3147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3147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3147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3147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3147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3147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3147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3147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3147F"/>
    <w:rPr>
      <w:rFonts w:eastAsiaTheme="majorEastAsia" w:cstheme="majorBidi"/>
      <w:color w:val="272727" w:themeColor="text1" w:themeTint="D8"/>
    </w:rPr>
  </w:style>
  <w:style w:type="paragraph" w:styleId="Title">
    <w:name w:val="Title"/>
    <w:basedOn w:val="Normal"/>
    <w:next w:val="Normal"/>
    <w:link w:val="TitleChar"/>
    <w:uiPriority w:val="10"/>
    <w:qFormat/>
    <w:rsid w:val="0073147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3147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3147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3147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3147F"/>
    <w:pPr>
      <w:spacing w:before="160"/>
      <w:jc w:val="center"/>
    </w:pPr>
    <w:rPr>
      <w:i/>
      <w:iCs/>
      <w:color w:val="404040" w:themeColor="text1" w:themeTint="BF"/>
    </w:rPr>
  </w:style>
  <w:style w:type="character" w:customStyle="1" w:styleId="QuoteChar">
    <w:name w:val="Quote Char"/>
    <w:basedOn w:val="DefaultParagraphFont"/>
    <w:link w:val="Quote"/>
    <w:uiPriority w:val="29"/>
    <w:rsid w:val="0073147F"/>
    <w:rPr>
      <w:i/>
      <w:iCs/>
      <w:color w:val="404040" w:themeColor="text1" w:themeTint="BF"/>
    </w:rPr>
  </w:style>
  <w:style w:type="paragraph" w:styleId="ListParagraph">
    <w:name w:val="List Paragraph"/>
    <w:basedOn w:val="Normal"/>
    <w:uiPriority w:val="34"/>
    <w:qFormat/>
    <w:rsid w:val="0073147F"/>
    <w:pPr>
      <w:ind w:left="720"/>
      <w:contextualSpacing/>
    </w:pPr>
  </w:style>
  <w:style w:type="character" w:styleId="IntenseEmphasis">
    <w:name w:val="Intense Emphasis"/>
    <w:basedOn w:val="DefaultParagraphFont"/>
    <w:uiPriority w:val="21"/>
    <w:qFormat/>
    <w:rsid w:val="0073147F"/>
    <w:rPr>
      <w:i/>
      <w:iCs/>
      <w:color w:val="0F4761" w:themeColor="accent1" w:themeShade="BF"/>
    </w:rPr>
  </w:style>
  <w:style w:type="paragraph" w:styleId="IntenseQuote">
    <w:name w:val="Intense Quote"/>
    <w:basedOn w:val="Normal"/>
    <w:next w:val="Normal"/>
    <w:link w:val="IntenseQuoteChar"/>
    <w:uiPriority w:val="30"/>
    <w:qFormat/>
    <w:rsid w:val="0073147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3147F"/>
    <w:rPr>
      <w:i/>
      <w:iCs/>
      <w:color w:val="0F4761" w:themeColor="accent1" w:themeShade="BF"/>
    </w:rPr>
  </w:style>
  <w:style w:type="character" w:styleId="IntenseReference">
    <w:name w:val="Intense Reference"/>
    <w:basedOn w:val="DefaultParagraphFont"/>
    <w:uiPriority w:val="32"/>
    <w:qFormat/>
    <w:rsid w:val="0073147F"/>
    <w:rPr>
      <w:b/>
      <w:bCs/>
      <w:smallCaps/>
      <w:color w:val="0F4761" w:themeColor="accent1" w:themeShade="BF"/>
      <w:spacing w:val="5"/>
    </w:rPr>
  </w:style>
  <w:style w:type="paragraph" w:styleId="ListBullet">
    <w:name w:val="List Bullet"/>
    <w:basedOn w:val="Normal"/>
    <w:uiPriority w:val="99"/>
    <w:unhideWhenUsed/>
    <w:rsid w:val="00767E40"/>
    <w:pPr>
      <w:numPr>
        <w:numId w:val="1"/>
      </w:numPr>
      <w:tabs>
        <w:tab w:val="clear" w:pos="360"/>
      </w:tabs>
      <w:spacing w:after="120" w:line="276" w:lineRule="auto"/>
      <w:ind w:left="0" w:firstLine="0"/>
      <w:contextualSpacing/>
    </w:pPr>
    <w:rPr>
      <w:rFonts w:ascii="Calibri" w:eastAsiaTheme="minorEastAsia" w:hAnsi="Calibri"/>
      <w:color w:val="000000"/>
      <w:kern w:val="0"/>
      <w:szCs w:val="22"/>
      <w:lang w:val="en-US"/>
      <w14:ligatures w14:val="none"/>
    </w:rPr>
  </w:style>
  <w:style w:type="paragraph" w:styleId="Caption">
    <w:name w:val="caption"/>
    <w:basedOn w:val="Normal"/>
    <w:next w:val="Normal"/>
    <w:uiPriority w:val="35"/>
    <w:unhideWhenUsed/>
    <w:qFormat/>
    <w:rsid w:val="00767E40"/>
    <w:pPr>
      <w:spacing w:after="120" w:line="240" w:lineRule="auto"/>
    </w:pPr>
    <w:rPr>
      <w:rFonts w:ascii="Calibri" w:eastAsiaTheme="minorEastAsia" w:hAnsi="Calibri"/>
      <w:b/>
      <w:bCs/>
      <w:i/>
      <w:color w:val="5F6B76"/>
      <w:kern w:val="0"/>
      <w:sz w:val="19"/>
      <w:szCs w:val="18"/>
      <w:lang w:val="en-US"/>
      <w14:ligatures w14:val="none"/>
    </w:rPr>
  </w:style>
  <w:style w:type="table" w:styleId="TableGrid">
    <w:name w:val="Table Grid"/>
    <w:basedOn w:val="TableNormal"/>
    <w:uiPriority w:val="59"/>
    <w:rsid w:val="00767E40"/>
    <w:pPr>
      <w:spacing w:after="0" w:line="240" w:lineRule="auto"/>
    </w:pPr>
    <w:rPr>
      <w:rFonts w:eastAsiaTheme="minorEastAsia"/>
      <w:kern w:val="0"/>
      <w:sz w:val="22"/>
      <w:szCs w:val="22"/>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eferenceEntry">
    <w:name w:val="Reference Entry"/>
    <w:rsid w:val="00EB0EB2"/>
    <w:pPr>
      <w:spacing w:after="100" w:line="252" w:lineRule="auto"/>
      <w:ind w:left="432" w:hanging="432"/>
    </w:pPr>
    <w:rPr>
      <w:rFonts w:ascii="Calibri" w:eastAsiaTheme="minorEastAsia" w:hAnsi="Calibri"/>
      <w:kern w:val="0"/>
      <w:sz w:val="22"/>
      <w:szCs w:val="22"/>
      <w:lang w:val="en-US"/>
      <w14:ligatures w14:val="none"/>
    </w:rPr>
  </w:style>
  <w:style w:type="paragraph" w:styleId="BalloonText">
    <w:name w:val="Balloon Text"/>
    <w:basedOn w:val="Normal"/>
    <w:link w:val="BalloonTextChar"/>
    <w:uiPriority w:val="99"/>
    <w:semiHidden/>
    <w:unhideWhenUsed/>
    <w:rsid w:val="00C7626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76260"/>
    <w:rPr>
      <w:rFonts w:ascii="Tahoma" w:hAnsi="Tahoma" w:cs="Tahoma"/>
      <w:sz w:val="16"/>
      <w:szCs w:val="16"/>
    </w:rPr>
  </w:style>
  <w:style w:type="paragraph" w:styleId="Header">
    <w:name w:val="header"/>
    <w:basedOn w:val="Normal"/>
    <w:link w:val="HeaderChar"/>
    <w:uiPriority w:val="99"/>
    <w:unhideWhenUsed/>
    <w:rsid w:val="00C76260"/>
    <w:pPr>
      <w:tabs>
        <w:tab w:val="center" w:pos="4680"/>
        <w:tab w:val="right" w:pos="9360"/>
      </w:tabs>
      <w:spacing w:after="0" w:line="240" w:lineRule="auto"/>
    </w:pPr>
  </w:style>
  <w:style w:type="character" w:customStyle="1" w:styleId="HeaderChar">
    <w:name w:val="Header Char"/>
    <w:basedOn w:val="DefaultParagraphFont"/>
    <w:link w:val="Header"/>
    <w:uiPriority w:val="99"/>
    <w:rsid w:val="00C76260"/>
  </w:style>
  <w:style w:type="paragraph" w:styleId="Footer">
    <w:name w:val="footer"/>
    <w:basedOn w:val="Normal"/>
    <w:link w:val="FooterChar"/>
    <w:uiPriority w:val="99"/>
    <w:unhideWhenUsed/>
    <w:rsid w:val="00C76260"/>
    <w:pPr>
      <w:tabs>
        <w:tab w:val="center" w:pos="4680"/>
        <w:tab w:val="right" w:pos="9360"/>
      </w:tabs>
      <w:spacing w:after="0" w:line="240" w:lineRule="auto"/>
    </w:pPr>
  </w:style>
  <w:style w:type="character" w:customStyle="1" w:styleId="FooterChar">
    <w:name w:val="Footer Char"/>
    <w:basedOn w:val="DefaultParagraphFont"/>
    <w:link w:val="Footer"/>
    <w:uiPriority w:val="99"/>
    <w:rsid w:val="00C7626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ihm.org.uk/uwtsd-london-logo-002/"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490FD6-9442-4DCA-A067-71FCE55B41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19</Pages>
  <Words>4944</Words>
  <Characters>28184</Characters>
  <Application>Microsoft Office Word</Application>
  <DocSecurity>0</DocSecurity>
  <Lines>234</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Yustina Da Costsa</dc:creator>
  <cp:keywords/>
  <dc:description/>
  <cp:lastModifiedBy>Yustina Da Costsa</cp:lastModifiedBy>
  <cp:revision>29</cp:revision>
  <dcterms:created xsi:type="dcterms:W3CDTF">2026-08-03T21:19:00Z</dcterms:created>
  <dcterms:modified xsi:type="dcterms:W3CDTF">2026-08-03T21:59:00Z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4314470d-6645-4e67-8fd0-afcc9302282e</vt:lpwstr>
  </property>
</Properties>
</file>