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2D39B4">
      <w:pPr>
        <w:rPr>
          <w:rFonts w:hint="default" w:ascii="Times New Roman" w:hAnsi="Times New Roman" w:cs="Times New Roman"/>
        </w:rPr>
      </w:pPr>
      <w:r>
        <w:rPr>
          <w:rFonts w:hint="default" w:ascii="Times New Roman" w:hAnsi="Times New Roman" w:cs="Times New Roman"/>
        </w:rPr>
        <w:pict>
          <v:shape id="DeepLBoxSPIDType" o:spid="_x0000_s1026" o:spt="202" type="#_x0000_t202" style="position:absolute;left:0pt;margin-left:0pt;margin-top:0pt;height:50pt;width:50pt;visibility:hidden;z-index:251659264;mso-width-relative:page;mso-height-relative:page;" coordsize="21600,21600">
            <v:path/>
            <v:fill focussize="0,0"/>
            <v:stroke joinstyle="miter"/>
            <v:imagedata o:title=""/>
            <o:lock v:ext="edit" selection="t"/>
          </v:shape>
        </w:pict>
      </w:r>
    </w:p>
    <w:p w14:paraId="7C91CE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b/>
          <w:bCs/>
          <w:sz w:val="28"/>
          <w:szCs w:val="28"/>
        </w:rPr>
      </w:pPr>
      <w:bookmarkStart w:id="0" w:name="_GoBack"/>
      <w:r>
        <w:rPr>
          <w:rFonts w:hint="default" w:ascii="Times New Roman" w:hAnsi="Times New Roman" w:eastAsia="黑体" w:cs="Times New Roman"/>
          <w:b/>
          <w:bCs/>
          <w:sz w:val="28"/>
          <w:szCs w:val="28"/>
        </w:rPr>
        <w:t xml:space="preserve">Intergenerational Interactive Public Space </w:t>
      </w:r>
      <w:r>
        <w:rPr>
          <w:rFonts w:hint="default" w:ascii="Times New Roman" w:hAnsi="Times New Roman" w:eastAsia="黑体" w:cs="Times New Roman"/>
          <w:b/>
          <w:bCs/>
          <w:sz w:val="28"/>
          <w:szCs w:val="28"/>
          <w:lang w:val="en-US" w:eastAsia="zh-CN"/>
        </w:rPr>
        <w:t xml:space="preserve">Product </w:t>
      </w:r>
      <w:r>
        <w:rPr>
          <w:rFonts w:hint="default" w:ascii="Times New Roman" w:hAnsi="Times New Roman" w:eastAsia="黑体" w:cs="Times New Roman"/>
          <w:b/>
          <w:bCs/>
          <w:sz w:val="28"/>
          <w:szCs w:val="28"/>
        </w:rPr>
        <w:t>Design in the Context of Dong Culture: An Interdisciplinary Study Based on Cultural Availability and Gamification Theory</w:t>
      </w:r>
      <w:bookmarkEnd w:id="0"/>
    </w:p>
    <w:p w14:paraId="607881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Ruojin YAN</w:t>
      </w:r>
    </w:p>
    <w:p w14:paraId="0A9EDF8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p>
    <w:p w14:paraId="7F9E3D5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p>
    <w:p w14:paraId="51D637E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lang w:val="en-US" w:eastAsia="zh-CN"/>
        </w:rPr>
        <w:t>Abstract</w:t>
      </w:r>
    </w:p>
    <w:p w14:paraId="4F4239B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Amidst globalisation and modernisation pressures, Dong ethnic communities in China are confronting dual challenges of youth outmigration and accelerated population ageing – regional statistics indicate that the proportion of residents aged over 60 has risen to 23% in the past five years, while over 40% of working-age adults engage in migrant labour, precipitating risks of cultural transmission discontinuity. This study focuses on Dong communities in Guangxi, China, investigating how physical facilities or systemic interventions can foster intergenerational interactions between elders and youth. It aims to revitalise the latent potential of public spaces as platforms for culturally grounded intergenerational engagement, reconcile generational demand conflicts, and achieve dual objectives of cultural heritage preservation and enhanced social cohesion.  </w:t>
      </w:r>
    </w:p>
    <w:p w14:paraId="53A74A9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Grounded in a pragmatist ontological framework, this research synthesises ethnographic methodology, affordance theory, and gamification principles to formulate design strategies. Methodologically, a mixed-methods approach is adopted: behavioural mapping and participatory observation in key communal spaces (e.g., drum towers, marketplaces); semi-structured interviews with key informants to decode implicit cultural logics governing intergenerational dynamics; and cross-generational surveys quantifying interaction frequencies and spatial satisfaction metrics. Theoretically, it extends Gibson’s affordance theory into a culturally-situated </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affordance-in-context</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framework, bridging ecological psychology with ethnographic perspectives. Practical outcomes deliver a replicable design framework applicable to minority communities facing analogous challenges. This work addresses critical gaps in culturally informed design research while proposing actionable solutions for safeguarding intangible cultural heritage and strengthening community resilience.</w:t>
      </w:r>
    </w:p>
    <w:p w14:paraId="299D994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rPr>
      </w:pPr>
    </w:p>
    <w:p w14:paraId="29D34D2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黑体" w:cs="Times New Roman"/>
          <w:b w:val="0"/>
          <w:bCs w:val="0"/>
          <w:sz w:val="28"/>
          <w:szCs w:val="28"/>
          <w:lang w:val="en-US" w:eastAsia="zh-CN"/>
        </w:rPr>
        <w:t>1  Introduction</w:t>
      </w:r>
    </w:p>
    <w:p w14:paraId="7E34AEB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sz w:val="24"/>
          <w:szCs w:val="24"/>
          <w:lang w:val="en-US" w:eastAsia="zh-CN"/>
        </w:rPr>
      </w:pPr>
      <w:r>
        <w:rPr>
          <w:rFonts w:hint="default" w:ascii="Times New Roman" w:hAnsi="Times New Roman" w:eastAsia="黑体" w:cs="Times New Roman"/>
          <w:b w:val="0"/>
          <w:bCs w:val="0"/>
          <w:sz w:val="24"/>
          <w:szCs w:val="24"/>
          <w:lang w:val="en-US" w:eastAsia="zh-CN"/>
        </w:rPr>
        <w:t>1.1 Research Context and Problem Statement</w:t>
      </w:r>
    </w:p>
    <w:p w14:paraId="12D315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Under the dual pressures of globalisation and modernisation, ethnic minority communities in China face acute crises of cultural transmission and sociostructural transformation. The Dong ethnic community exemplifies this predicament: youth outmigration exacerbates population ageing, severing intergenerational bonds and endangering intangible cultural heritage (ICH) practices such as the Dong Grand Song (Dà Gē) and traditional timber-framed architectural techniques. Public spaces—core loci of cultural transmission, including drum towers (Gǔ Lóu), wind-and-rain bridges (Fēngyǔ Qiáo), and marketplaces—are witnessing a decline in traditional functionalities. Intergenerational interactions have shifted from collaborative rituals (e.g., collective antiphonal singing, communal timber construction) to superficial daily encounters, often marred by generational conflicts over spatial usage (e.g., elders’ preference for traditional activities versus youths’ inclination toward digital entertainment). </w:t>
      </w:r>
    </w:p>
    <w:p w14:paraId="06EAAF7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World Health Organization (2023) highlights that the erosion of intergenerational interaction not only intensifies social isolation among older adults but also weakens younger generations’ cultural identity, perpetuating a vicious cycle of "cultural-social" dual fracture. Intergenerational programmes have emerged as a potential solution, fostering connections across age groups and creating opportunities for mutual understanding and experience-sharing between elders and youth. Such initiatives help combat ageism and alleviate loneliness experienced by both demographics.</w:t>
      </w:r>
    </w:p>
    <w:p w14:paraId="3D2810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Existing research on intergenerational interaction design predominantly focuses on urban or modernised cultural contexts, emphasising technology-driven solutions such as smart elderly-care devices (Tseng &amp; Hsu, 2019) </w:t>
      </w:r>
      <w:r>
        <w:rPr>
          <w:rFonts w:hint="eastAsia" w:ascii="Times New Roman" w:hAnsi="Times New Roman" w:eastAsia="宋体" w:cs="Times New Roman"/>
          <w:sz w:val="24"/>
          <w:szCs w:val="24"/>
          <w:lang w:val="en-US" w:eastAsia="zh-CN"/>
        </w:rPr>
        <w:t>a</w:t>
      </w:r>
      <w:r>
        <w:rPr>
          <w:rFonts w:hint="default" w:ascii="Times New Roman" w:hAnsi="Times New Roman" w:eastAsia="宋体" w:cs="Times New Roman"/>
          <w:sz w:val="24"/>
          <w:szCs w:val="24"/>
          <w:lang w:val="en-US" w:eastAsia="zh-CN"/>
        </w:rPr>
        <w:t>nd cross-generational digital platforms (Abrantes et al., 2017)</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However, these approaches often neglect the unique sociocultural dynamics of minority communities. For instance, Labit et al.’s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(2016) intergenerational housing models—though effective in fostering shared living and dining spaces in France and Germany—rely on modern infrastructure and individualistic values, rendering them incompatible with the collectivist cultural logic of Dong communities. Similarly, Pérez Rodríguez’s (2022) "gamified platforms," while promoting interaction through point-based systems, lack meaningful integration of cultural symbols and ritualistic behaviours. </w:t>
      </w:r>
    </w:p>
    <w:p w14:paraId="64F3E73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Theoretical integration remains underdeveloped. While affordance theory (Gibson, 1979) and gamification theory (Deterding et al., 2011)  hold potential for cultural transmission studies, their combined application remains unsystematic. Current research often reduces affordances to physical environmental analyses (e.g., furniture layouts influencing social dynamics; Takeuchi &amp; You, 2014)</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 xml:space="preserve"> overlooking how cultural contexts shape behavioural possibilities. Concurrently, gamification design risks falling into a "techno-centric trap," where overreliance on extrinsic rewards (e.g., badges, points) undermines intrinsic motivation and complicates the development of participation mechanisms rooted in local values (Dah et al., 2024) .</w:t>
      </w:r>
    </w:p>
    <w:p w14:paraId="4E00AAE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0D817B1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sz w:val="24"/>
          <w:szCs w:val="24"/>
          <w:lang w:val="en-US" w:eastAsia="zh-CN"/>
        </w:rPr>
      </w:pPr>
      <w:r>
        <w:rPr>
          <w:rFonts w:hint="default" w:ascii="Times New Roman" w:hAnsi="Times New Roman" w:eastAsia="黑体" w:cs="Times New Roman"/>
          <w:b w:val="0"/>
          <w:bCs w:val="0"/>
          <w:sz w:val="24"/>
          <w:szCs w:val="24"/>
          <w:lang w:val="en-US" w:eastAsia="zh-CN"/>
        </w:rPr>
        <w:t>1.2 Theoretical Framework and Research Significance</w:t>
      </w:r>
    </w:p>
    <w:p w14:paraId="0F30ACB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study proposes a dual theoretical framework of cultural affordance and culturally-sensitive gamification to address the theoretical gap in intergenerational interaction design for ethnic minority communities.</w:t>
      </w:r>
    </w:p>
    <w:p w14:paraId="38FC3ED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 Affordance: Building on Gibson’s ecological psychology perspective, this research expands the conceptual scope of affordance theory by positing that spatial functionality in cultural contexts is shaped not merely by physical properties but also by cultural symbols (e.g., Dong totemic patterns), ritual norms (e.g., traditional customs), and collective memory (e.g., the Dong Grand Song). For instance, the circular seating arrangement of drum towers (Gǔ Lóu), as a material affordance, synergises with the symbolic significance of the communal hearth (huǒ táng), a semiotic affordance, to implicitly guide intergenerational storytelling practices (Zhang, 2018; Fan, 2022) . This theoretical advancement moves beyond traditional affordance theory’s narrow focus on physical functionality, offering a novel paradigm for spatial design research in minority cultural contexts.</w:t>
      </w:r>
      <w:r>
        <w:rPr>
          <w:rFonts w:hint="eastAsia" w:ascii="Times New Roman" w:hAnsi="Times New Roman" w:eastAsia="宋体" w:cs="Times New Roman"/>
          <w:sz w:val="24"/>
          <w:szCs w:val="24"/>
          <w:lang w:val="en-US" w:eastAsia="zh-CN"/>
        </w:rPr>
        <w:t xml:space="preserve"> </w:t>
      </w:r>
    </w:p>
    <w:p w14:paraId="3C818C6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Culturally-Sensitive Gamification: Integrating Deterding’s gamification principles with Chou’s (2016) Octalysis framework, this study redefines the theoretical boundaries of gamification design by foregrounding cultural ethos (e.g., the Dong collective honour system) as the driver of intergenerational engagement mechanisms. For example, it replaces individualistic point-based competition with cultural</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sense of mission, e.g., responsibility to transmit the Dong Grand Song) and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narrative immersion, e.g., collaboratively unlocking ancestral legends), thereby mitigating the erosion of cultural authenticity by technological instrumentalism (</w:t>
      </w:r>
      <w:r>
        <w:rPr>
          <w:rFonts w:hint="default" w:ascii="Times New Roman" w:hAnsi="Times New Roman" w:eastAsia="宋体" w:cs="Times New Roman"/>
          <w:sz w:val="24"/>
          <w:szCs w:val="24"/>
        </w:rPr>
        <w:t>Poddar</w:t>
      </w:r>
      <w:r>
        <w:rPr>
          <w:rFonts w:hint="default" w:ascii="Times New Roman" w:hAnsi="Times New Roman" w:eastAsia="宋体" w:cs="Times New Roman"/>
          <w:sz w:val="24"/>
          <w:szCs w:val="24"/>
          <w:lang w:val="en-US" w:eastAsia="zh-CN"/>
        </w:rPr>
        <w:t xml:space="preserve">, 2024). </w:t>
      </w:r>
    </w:p>
    <w:p w14:paraId="1F2707B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Theoretical Contributions:</w:t>
      </w:r>
    </w:p>
    <w:p w14:paraId="19F68770">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 Affordance: By formalising this concept, the study addresses the oversight of cultural behavioural guidance in classical affordance theory and redefines the application boundaries of gamification theory, providing novel perspectives for cross-cultural design research.</w:t>
      </w:r>
    </w:p>
    <w:p w14:paraId="1F6A5BB5">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Cultural-Space-Behaviour Triadic Analytical Model: Through systematically synthesising interdisciplinary literature from anthropology, design studies, and social gerontology, this study constructs a triadic framework that responds to Dourish’s (2010) 's call for "localized HCI d</w:t>
      </w:r>
      <w:r>
        <w:rPr>
          <w:rFonts w:hint="default" w:ascii="Times New Roman" w:hAnsi="Times New Roman" w:eastAsia="宋体" w:cs="Times New Roman"/>
          <w:sz w:val="24"/>
          <w:szCs w:val="24"/>
        </w:rPr>
        <w:t>esign", with re</w:t>
      </w:r>
      <w:r>
        <w:rPr>
          <w:rFonts w:hint="default" w:ascii="Times New Roman" w:hAnsi="Times New Roman" w:eastAsia="宋体" w:cs="Times New Roman"/>
          <w:sz w:val="24"/>
          <w:szCs w:val="24"/>
          <w:lang w:val="en-US" w:eastAsia="zh-CN"/>
        </w:rPr>
        <w:t>ference to Sun, H. (2012) . In response to Dourish's (2010</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 xml:space="preserve"> call for "localised HCI design." Referencing Sun’s (2012) Culture-Localised User Experience (CLUE) framework, it bridges the "action-meaning" gap in cross-cultural design by embedding local cultural practices into the design process, ensuring technological interventions resonate with users’ social practices.</w:t>
      </w:r>
    </w:p>
    <w:p w14:paraId="12C07E1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3DA0D9C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黑体" w:cs="Times New Roman"/>
          <w:sz w:val="24"/>
          <w:szCs w:val="24"/>
          <w:lang w:val="en-US" w:eastAsia="zh-CN"/>
        </w:rPr>
        <w:t xml:space="preserve">1.3 Research Objectives and Transformative Questions </w:t>
      </w:r>
    </w:p>
    <w:p w14:paraId="2DAE2F7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study aims to develop a theoretical framework and research protocol applicable to the design of intergenerational interaction-oriented public spaces in Dong ethnic communities. By systematically integrating affordance theory, gamification principles, and ethnographic research methods, it seeks to establish an operational definition of cultural affordance and its analytical dimensions (e.g., material, symbolic, and normative affordances). The research will expose the limitations of existing intergenerational design studies in minority cultural contexts and propose theoretical refinements. Through literature analysis, a culturally-sensitive intergenerational interaction design theoretical model will be constructed to provide a methodological foundation for subsequent empirical studies.</w:t>
      </w:r>
    </w:p>
    <w:p w14:paraId="248FE12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study focuses on addressing the following theoretical challenges:</w:t>
      </w:r>
    </w:p>
    <w:p w14:paraId="1FC3E2D6">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Theorising the Multidimensionality of Cultural Affordance: How to conceptualise the plural dimensions of cultural affordance?</w:t>
      </w:r>
    </w:p>
    <w:p w14:paraId="055529AB">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left="0" w:lef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Balancing Gamification Incentives and Cultural Authenticity: How to reconcile gamified motivation mechanisms with cultural integrity?</w:t>
      </w:r>
    </w:p>
    <w:p w14:paraId="26C30424">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left="0" w:lef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Ensuring Theoretical Transferability: How to enhance the framework’s applicability across diverse cultural contexts?</w:t>
      </w:r>
    </w:p>
    <w:p w14:paraId="4D87288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20" w:firstLineChars="175"/>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Addressing Multidimensional Cultural Affordance: While existing studies often reduce affordances to functional attributes of physical environments (Norman, 2013) , this research proposes behavioural guidance mechanisms rooted in cultural symbols and ritual norms, as evidenced in Dong case studies. A cross-disciplinary theoretical framework will be constructed by integrating anthropological thick description (Geertz, 1973) and spatial analysis tools from design studies.</w:t>
      </w:r>
    </w:p>
    <w:p w14:paraId="177165D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20" w:firstLineChars="175"/>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Balancing Gamification and Authenticity: Current gamification designs exhibit a techno-dependent bias (Chernbumroong et al., 2024)</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 This study advocates a "low-tech, high-culture" principle—for instance, replacing digital point systems with Dong collective honour mechanisms—and theoretically substantiates its feasibility.</w:t>
      </w:r>
    </w:p>
    <w:p w14:paraId="4AFDB67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20" w:firstLineChars="175"/>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Ensuring Transferability: By distilling cultural meta-rules (e.g., senior-junior collaborative paradigms) and spatial interaction modules (e.g., narrative-driven task chains), a modular theoretical toolkit will be developed. This toolkit offers a universal analytical pathway for intergenerational design research in other minority communities (e.g., Miao, Yi). </w:t>
      </w:r>
    </w:p>
    <w:p w14:paraId="4D93217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Through critically synthesising multidisciplinary theories, this study seeks to establish an academic foundation for Dong intergenerational interaction design research while contributing theoretical resources to global cultural diversity preservation and ageing-inclusive social governance.</w:t>
      </w:r>
    </w:p>
    <w:p w14:paraId="01C3089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10124C6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黑体" w:cs="Times New Roman"/>
          <w:b w:val="0"/>
          <w:bCs w:val="0"/>
          <w:sz w:val="28"/>
          <w:szCs w:val="28"/>
          <w:lang w:val="en-US" w:eastAsia="zh-CN"/>
        </w:rPr>
        <w:t>2  Literature Review</w:t>
      </w:r>
    </w:p>
    <w:p w14:paraId="1FD1E0D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2.1 Intergenerational Interaction and Public Space Design</w:t>
      </w:r>
    </w:p>
    <w:p w14:paraId="4172A26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I</w:t>
      </w:r>
      <w:r>
        <w:rPr>
          <w:rFonts w:hint="default" w:ascii="Times New Roman" w:hAnsi="Times New Roman" w:eastAsia="宋体" w:cs="Times New Roman"/>
          <w:sz w:val="24"/>
          <w:szCs w:val="24"/>
          <w:lang w:val="en-US" w:eastAsia="zh-CN"/>
        </w:rPr>
        <w:t>ntergenerational Interaction, as a critical component of socially sustainable development, has garnered significant attention in urban public space design in recent years. Public spaces hold potential for fostering communication and collaboration across age groups; however, mere physical co-presence within these spaces is insufficient to achieve genuine intergenerational integration. This underscores the importance of creating environments conducive to meaningful interactions between diverse age demographics. A substantial body of academic research highlights the necessity for urban public spaces to address the needs of both younger and older populations, with a focus on design and policy interventions that promote intergenerational engagement.</w:t>
      </w:r>
    </w:p>
    <w:p w14:paraId="47757B4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Nelischer and Loukaitou-Sideris (2023) synthesise findings from urban planning and related disciplines, noting that while many cities have designed public spaces intended to attract multiple age groups, these spaces often lack mechanisms to facilitate substantive interaction. This results in generational groups existing in "parallel coexistence" rather than authentic engagement. The authors argue that designers must transcend conventional physical design paradigms by integrating social and psychological factors to create environments that actively stimulate intergenerational interaction.</w:t>
      </w:r>
    </w:p>
    <w:p w14:paraId="7A22C01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Furthermore, Layne’s (2009)</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research emphasises the role of public space affordances in supporting intergenerational dynamics. He posits that design must account for the psychological and developmental needs of different age groups, crafting environments that balance safety and challenge to foster positive intergenerational exchanges.</w:t>
      </w:r>
    </w:p>
    <w:p w14:paraId="70CFE83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However, current research on intergenerational interaction and public space design remains contentious. On one hand, scholars such as Norouzi (2023) advocate for promoting intergenerational interaction through physical spatial design, proposing architectural strategies guided by human development theory to create environments that foster connection and respect for autonomy. On the other hand, studies emphasise the critical role of sociocultural factors in intergenerational dynamics. For instance, Chou et al. (2022)  employed virtual reality (VR) technology to facilitate intergenerational collaboration, finding that technological tools can partially bridge generational divides but require integration with cultural and emotional elements to achieve deeper engagement.</w:t>
      </w:r>
    </w:p>
    <w:p w14:paraId="34181FE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this study, designing public space products for Dong communities necessitates a holistic integration of physical, social, and cultural factors to create environments that authentically foster intergenerational interaction. Participatory design approaches—engaging community members across age groups in the design process—can mitigate stereotypes and cultivate positive intergenerational relationships . Nevertheless, systematic research on intergenerational public space design within minority cultural contexts remains scarce, particularly empirical studies grounded in Dong cultural frameworks. Consequently, the interactive functionalities of Dong public spaces (e.g., drum towers, wind-and-rain bridges) must transcend physical functionalism by excavating endogenous interaction logics from cultural rituals (e.g., Dong Grand Song antiphonal performances) and symbolic systems (e.g., totemic patterns). For example, the centripetal layout of the drum tower’s communal hearth (huotang) operates not merely as a physical affordance but also as a symbolic behavioural framework for "familial cohesion".</w:t>
      </w:r>
    </w:p>
    <w:p w14:paraId="772FBAD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34DCF83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2.2 Cultural Affordance and Behavioural Design</w:t>
      </w:r>
    </w:p>
    <w:p w14:paraId="655BB02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concept of affordance was originally developed to describe the behavioural possibilities an environment offers to individuals. Norman expanded this concept by emphasising the importance of users’ perception of affordances in design. However, such studies predominantly focus on the relationship between physical environments and users, with limited exploration of cultural factors’ influence on affordances.</w:t>
      </w:r>
    </w:p>
    <w:p w14:paraId="6F90336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recent years, scholars have begun examining cultural affordance, investigating how cultural contexts shape individuals’ environmental perception and behaviour. This concept plays a pivotal role in understanding behavioural design, particularly in how technologies interact with users and their cultural backgrounds. Sun (2023) introduced a framework termed cultural affordance, which analyses the dynamic interplay among technology, users, and culture. This framework comprises three dimensions:</w:t>
      </w:r>
    </w:p>
    <w:p w14:paraId="7B6F633B">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Technological Cultural Affordances: The potential behaviours or cultural transformations enabled by technology.</w:t>
      </w:r>
    </w:p>
    <w:p w14:paraId="32AD4023">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0" w:lef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User Cultural Affordances: The contributions users make to technology and culture.</w:t>
      </w:r>
    </w:p>
    <w:p w14:paraId="282B06FC">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0" w:lef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 Affordances of Culture Itself: How cultural contexts influence technological design and usage.</w:t>
      </w:r>
    </w:p>
    <w:p w14:paraId="265C0C6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Nevertheless, research on cultural affordance remains nascent, lacking systematic theoretical frameworks and empirical validation. Within Dong cultural contexts, public space design must holistically incorporate local cultural elements and social structures. Traditional architectures such as drum towers (Gǔ Lóu) and wind-and-rain bridges (Fēngyǔ Qiáo) not only serve physical functions but also embody profound cultural significances. Design should fully exploit these cultural elements’ affordances—through symbols, rituals, and narratives—to guide intergenerational behaviours and interactions. Yet, studies on effectively integrating cultural affordance into design, particularly in minority cultural settings, remain scarce. Additionally, designs must address the needs of diverse age groups, creating spaces that harmonise tradition with modern functionality to foster intergenerational interaction and cultural transmission.</w:t>
      </w:r>
    </w:p>
    <w:p w14:paraId="573EC38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Dong public spaces, cultural affordance can be deconstructed into three dimensions:</w:t>
      </w:r>
    </w:p>
    <w:p w14:paraId="7A3E4D3A">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420" w:leftChars="0" w:firstLine="0" w:firstLineChars="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Material (e.g., collaborative layouts of Dong loom setups),</w:t>
      </w:r>
    </w:p>
    <w:p w14:paraId="53E5B5A6">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420" w:leftChars="0" w:firstLine="0" w:firstLineChars="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Symbolic (e.g., fishbone patterns symbolising familial continuity),</w:t>
      </w:r>
    </w:p>
    <w:p w14:paraId="0976F85E">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420" w:leftChars="0" w:firstLine="0" w:firstLineChars="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Normative (e.g., seniority hierarchies in antiphonal singing rituals).</w:t>
      </w:r>
    </w:p>
    <w:p w14:paraId="098D14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framework addresses the neglect of cultural behavioural guidance mechanisms in existing theories and provides culturally attuned behavioural rules for design interventions.</w:t>
      </w:r>
    </w:p>
    <w:p w14:paraId="4CF43B7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p>
    <w:p w14:paraId="5A73AFE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highlight w:val="none"/>
          <w:lang w:val="en-US" w:eastAsia="zh-CN"/>
        </w:rPr>
      </w:pPr>
      <w:r>
        <w:rPr>
          <w:rFonts w:hint="default" w:ascii="Times New Roman" w:hAnsi="Times New Roman" w:eastAsia="黑体" w:cs="Times New Roman"/>
          <w:sz w:val="24"/>
          <w:szCs w:val="24"/>
          <w:highlight w:val="none"/>
          <w:lang w:val="en-US" w:eastAsia="zh-CN"/>
        </w:rPr>
        <w:t>2.3 Gamification Mechanisms and Intergenerational Participation</w:t>
      </w:r>
    </w:p>
    <w:p w14:paraId="6F196B4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Gamification, as a strategy to promote user engagement and behavior change, has been widely used in the fields of education, health, and community development in recent years. Deterding et al. (2011) define gamification as "the use of game design elements in non-game environments," emphasizing its potential for motivating users and enhancing experiences. Chou's Octalysis framework further refines the core drivers of gamification, emphasizing the importance of intrinsic motivation in gamified design. The role of gamification in participatory healthcare delivery also exemplifies how game mechanics can enhance user engagement, both young and old .</w:t>
      </w:r>
    </w:p>
    <w:p w14:paraId="4432891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However, traditional gamification designs tend to focus on extrinsic rewards, such as points and badges, and may overlook the role of cultural and emotional factors in user engagement. A systematic review found that personalized gamification (customizing experiences based on user attributes) can optimize student engagement but may not consistently enhance emotional and cognitive engagement, and that a one-size-fits-all approach may not adequately address the diverse needs of users.</w:t>
      </w:r>
    </w:p>
    <w:p w14:paraId="36272BD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Moreover, Nicholson (2015) also criticized "shallow gamification", and advocated "meaning-driven gamification", emphasizing that the design should pay attention to the user's intrinsic motivation and cultural background. In the context of cultural inheritance and intergenerational interaction, gamification design should take cultural factors into account and create mechanisms that can stimulate the participation of different generational groups. However, there is still a lack of systematic research on how to design effective gamification mechanisms in the context of minority cultures.</w:t>
      </w:r>
    </w:p>
    <w:p w14:paraId="53DEDC1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this study, the gamification mechanism should incorporate elements of Dong culture and design activities, such as traditional songs, dances, and handicrafts, that can stimulate the participation of different generational groups, in order to promote cultural inheritance and intergenerational interaction. Dong gamification design should adopt a "low-tech, high-culture" strategy, which emphasizes the use of simple, easy-to-use and sustainable technologies to empower individuals and communities. This approach is in line with the principles of practicality and reparability, which are essential for addressing contemporary social, cultural, ecological and economic challenges, and promotes inclusivity by increasing participation through simpler, hands-on activities (Almrot et al., 2025) , e.g., transforming wood construction techniques into physical puzzle tasks that require youth to collaborate with elders to unlock ancestral stories, rather than relying on smart devices. This mechanism maintains cultural authority while addressing youth's need for narrative experiences. However, there is a lack of research on how to design gamification mechanisms in the context of Dong culture, especially in terms of product design for public spaces.</w:t>
      </w:r>
    </w:p>
    <w:p w14:paraId="621F339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p>
    <w:p w14:paraId="0D1962A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2.4 Research Positioning and Innovations</w:t>
      </w:r>
    </w:p>
    <w:p w14:paraId="3EE7913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Current research on intergenerational interaction, cultural availability and gamification mechanisms provides an important theoretical foundation for this study. However, the existing research mainly focuses on urban environments and mainstream cultural contexts, and lacks systematic research on product design for intergenerationally interactive public spaces in the context of minority cultures. Second, the combination of availability theory and gamification theory has not been systematized, especially lacking an interdisciplinary framework for cultural behavior guidance. Moreover, most of the studies rely on quantitative experiments or technical prototype tests, and lack ethnographic in-depth descriptions and cultural semiotic analyses, resulting in insufficient cultural appropriateness of design proposals.</w:t>
      </w:r>
    </w:p>
    <w:p w14:paraId="02EA87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study aims to fill this research gap by exploring how to design public space products that promote intergenerational interaction through cultural availability and gamification mechanisms in the context of Dong culture. At the theoretical level, we propose an operationalized definition of "cultural availability", integrate the material, symbolic and normative dimensions, and construct a "culture-space-behavior" ternary model, which is combined with the theory of meaning-driven gamification to design activities that can stimulate the joint participation of different generational groups and promote cultural transmission and intergenerational interaction. Combined with the theory of meaning-driven gamification, we design activities that can stimulate the participation of different intergenerational groups and promote cultural transmission and intergenerational interaction. At the methodological level, we adopt a mixed methodology to break through the limitations of instrumentalism in traditional design research, and build a framework for designing public space products adapted to the needs of the Dong ethnic community. At the practical level, the "cultural meta-rules" module is refined to form a design toolkit that can be transferred to other ethnic minority communities.</w:t>
      </w:r>
    </w:p>
    <w:p w14:paraId="0A9E991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Future research needs to further explore the dynamic interaction mechanisms between cultural availability and gamification theory, such as how ritual rules affect gamification task acceptance, and the paths of intergenerational power relations to reconfigure in collaborative design. In addition, the generalizability of the theoretical framework in multicultural scenarios needs to be verified, such as in Miao hammock or Yi fire pit communities.</w:t>
      </w:r>
    </w:p>
    <w:p w14:paraId="1C91864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5B7F3AF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黑体" w:cs="Times New Roman"/>
          <w:b w:val="0"/>
          <w:bCs w:val="0"/>
          <w:sz w:val="28"/>
          <w:szCs w:val="28"/>
          <w:lang w:val="en-US" w:eastAsia="zh-CN"/>
        </w:rPr>
        <w:t>3  Research methodology</w:t>
      </w:r>
    </w:p>
    <w:p w14:paraId="7E3489A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3.1 Mixed Method Design</w:t>
      </w:r>
    </w:p>
    <w:p w14:paraId="38E7DD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This study adopts a Mixed Methods Research Design (MMRD) that combines qualitatively-led ethnographic research with quantitatively-assisted questionnaire surveys in order to comprehensively explore effective strategies for the design of intergenerationally interactive public space products in the context of Dong culture. Mixed methods design is capable of integrating different types of data to provide a more comprehensive understanding, and is particularly applicable to the study of complex socio-cultural phenomena. In the field of public space design, mixed methods have been widely used to study the influence of cultural context on space use preferences. For example, Lesan and Gjerde (2020) employed a mixed methods approach in their study of streetscape preferences in a multicultural environment to obtain more comprehensive user feedback. Mixed methods have also been used in intergenerational interaction studies to assess the behaviors and attitudes of different age groups during the co-design process (Vrkljan et al., 2022) . </w:t>
      </w:r>
    </w:p>
    <w:p w14:paraId="2FFA4C1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Therefore, the mixed-methods design is highly compatible with this study, and it can effectively capture the complexity of the use and interaction between different generations in the Dong community. The in-depth interpretation of cultural availability requires ethnography, while the verification of the frequency of intergenerational interactions and the acceptance of the design requires the support of quantitative data. The analysis of cultural availability relies on qualitative data (e.g., ritual rules, symbolic meanings), and ethnography is needed to capture the implicit cultural logic; the design of gamification mechanisms requires quantitative verification of intergenerational participation (e.g., task completion rate, satisfaction) to ensure the cultural appropriateness of the program. The mixed-methods approach enhances the credibility of the findings through "triangulation" (</w:t>
      </w:r>
      <w:r>
        <w:rPr>
          <w:rFonts w:hint="default" w:ascii="Times New Roman" w:hAnsi="Times New Roman" w:cs="Times New Roman"/>
        </w:rPr>
        <w:t>Ashatu</w:t>
      </w:r>
      <w:r>
        <w:rPr>
          <w:rFonts w:hint="default" w:ascii="Times New Roman" w:hAnsi="Times New Roman" w:eastAsia="宋体" w:cs="Times New Roman"/>
          <w:sz w:val="24"/>
          <w:szCs w:val="24"/>
          <w:lang w:val="en-US" w:eastAsia="zh-CN"/>
        </w:rPr>
        <w:t>, 2015) , e.g., cross-analysis of observed intergenerational collaborative behaviors with satisfaction scores from questionnaires to identify points of conflict between cultural norms and technological enablement.</w:t>
      </w:r>
    </w:p>
    <w:p w14:paraId="04DDC52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7CA03BB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3.2 Data Collection Strategies</w:t>
      </w:r>
    </w:p>
    <w:p w14:paraId="3FF3845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Data collection will utilize multiple strategies to ensure access to rich and diverse data.</w:t>
      </w:r>
    </w:p>
    <w:p w14:paraId="157BDA4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the collection of qualitative data, participatory observation, Semi-Structured Interviews (SSIs) and cultural symbols collection were used. Participatory observation was used to record the types of intergenerational interactions (collaboration, conflict, and ritual participation), duration, and spatial physical characteristics (e.g., seating layout, totem distribution) in public spaces such as Dong drum towers and wind and rain bridges, and "spatial behavioral mapping" (Whyte, 1980)was used to visualize the behavioral patterns. Boschmann (2014) also points out that behavioral mapping is an effective tool for analyzing space use behavior. By observing and recording participants' behavioral patterns in public spaces, the way different generational groups interact is analyzed. Through Semi-Structured Interviews (Semi-Structured Interviews)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in-depth interviews were conducted with the participants to understand their perceptions of public space usage habits, cultural identity and intergenerational interactions. Semi-structured interviews were conducted with the elderly (over 60 years old), local youth (18-30 years old) and community managers (e.g., non-genetic inheritors) to focus on the cultural perceptions of intergenerational interactions, pain points, and suggestions for improvement of existing spaces. Through the collection of cultural symbols, photographs and drawings were made to record the symbol systems in Dong architectural patterns, ritual tools and traditional costumes, which will be used for the subsequent transformation of the design language.</w:t>
      </w:r>
    </w:p>
    <w:p w14:paraId="1C3FC17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quantitative data collection a questionnaire (Questionnaires) was used to design a structured questionnaire to collect feedback and satisfaction ratings from participants on the design program. This approach helped to quantitatively analyze participants' preferences and needs. A five-point Likert scale was used to measure the frequency of intergenerational interactions (e.g., "the number of times per week that I participate in group duets"), spatial satisfaction (e.g., "whether the seating layout of the drum tower is suitable for exchanges"), and acceptance of gamification mechanisms (e.g., "whether I am willingness to participate in collaborative brocade weaving tasks").</w:t>
      </w:r>
    </w:p>
    <w:p w14:paraId="493A430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Stratified Sampling, Snowball Sampling and Site-Based Sampling were used to ensure that the sample was as complete as possible. Stratified Sampling (Sampling by Age and Role) is designed to focus on local elderly people (with preference given to active members of the Dong ethnic group who are involved in the Dong ethnic song and the wooden structure technique), local youth (including local left-behind youth and short-term returnees), and community managers (including village chiefs, NGT inheritors, and Drum Tower Managers). Snowball Sampling is used to break through the constraints of "outsider" status by recommending marginalized groups (e.g., elderly people living alone) through initial respondents (e.g., community leaders). Site-Based Sampling (SBS) randomly selects respondents in public spaces, such as drum towers and marketplaces, and covers different time periods (morning labor, evening socializing, and festive ceremonies) to capture the diversity of behaviors. These data collection strategies complement each other to obtain rich data on intergenerational interactions and cultural availability from multiple perspectives. </w:t>
      </w:r>
    </w:p>
    <w:p w14:paraId="0D3717C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0DCAC399">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3.3 Data Analysis and Ethical Considerations</w:t>
      </w:r>
    </w:p>
    <w:p w14:paraId="5EEDA64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 xml:space="preserve">A variety of data analysis methods will be used to analyze the research data. </w:t>
      </w:r>
    </w:p>
    <w:p w14:paraId="0341701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Thematic Analysis: open coding of interview and observation texts to extract core themes (e.g., "technophobia," "ritual authority") and construct a cultural logic model (Braun &amp;amp; Clarke, 2006) . Clarke, 2006) . For example, if most of the older adults mentioned that "mobile games destroy the tradition of singing songs", the conflict theme of "digital technology vs. cultural authority" was generated, which directly guided the design of avoidance strategies. Through spatial behavioral mapping, the observation data are labeled on the public space plan, identifying interaction hotspots (e.g., around the Gulou Fire Pit) and "coldspots", and analyzing the synergistic effect of physical layout and cultural symbols in conjunction with the theory of availability to identify the interaction patterns and behavioral characteristics of different generational groups in the public space. Then, through descriptive statistics and correlation analysis, the questionnaire data are analyzed by descriptive statistics and inferential statistics, and the mean value, frequency distribution and generational differences of the questionnaire data are calculated (e.g., T-test of the acceptance of AR technology between the youths and the elderly) to identify the priority needs.</w:t>
      </w:r>
    </w:p>
    <w:p w14:paraId="3FD406A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In the course of the research, ethical norms will be strictly adhered to, ensuring informed consent, privacy protection and data confidentiality of participants. Particularly when it comes to vulnerable groups such as the elderly and children, additional protection measures will be taken, such as simplified informed consent procedures and appropriate communication methods. To address the problem that some Dong elderly people are illiterate or not fluent in Mandarin, a bilingual (Dong and Chinese) verbal explanation of the purpose of the study will be used, and a graphic version of the consent form will be provided. Participants were allowed to withdraw or withdraw data at any time. Individuals in small-scale communities are easily identifiable, especially for community leaders or special roles: use code names (e.g., "Elder A", "Youth B") instead of real names; blur the specific name of the village in the thesis, and replace it with the phrase "a Dong community in Guangxi"; and use the phrase "a Dong community in Guangxi". Dong community in Guangxi"; record sensitive ritual scenes (e.g., ceremonies) only in the publicly permitted parts; avoid photographing sacred symbols or intervening in taboo rituals. Consult with community elders prior to the study to clarify what can be recorded and in what form. Audio recordings and photographs will be stored in encrypted format, and paper materials will be locked in filing cabinets; the original recordings will be deleted at the end of the study, and only the anonymized text will be retained. In addition, it will be ensured that the research process is free from any form of discrimination or bias and respects the cultural background and personal values of the participants.</w:t>
      </w:r>
    </w:p>
    <w:p w14:paraId="4DE13C9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p>
    <w:p w14:paraId="619498D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3.4 Alternative Approaches and Limitations</w:t>
      </w:r>
    </w:p>
    <w:p w14:paraId="1DD6252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While this study employs a mixed-methods design, alternative methodologies have been critically considered. For instance, experimental design (Godefroit-Winkel et al., 2019) could validate the efficacy of specific design interventions (e.g., assessing how novel loom configurations enhance intergenerational collaboration rates) through controlled group comparisons. However, its limitations lie in disengagement from authentic cultural contexts, failing to simulate the intricate power dynamics inherent in drum tower rituals. Similarly, virtual reality (VR) simulations (Ng et al., 2025) offer immersive experiences to evaluate the impact of public space design variants on intergenerational interaction. Yet, such approaches demand substantial technical resources and high participant technological literacy.</w:t>
      </w:r>
    </w:p>
    <w:p w14:paraId="0F9954E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mixed-methods design’s strength lies in integrating qualitative and quantitative data to yield comprehensive insights. Nevertheless, challenges persist:</w:t>
      </w:r>
    </w:p>
    <w:p w14:paraId="228EC35D">
      <w:pPr>
        <w:keepNext w:val="0"/>
        <w:keepLines w:val="0"/>
        <w:pageBreakBefore w:val="0"/>
        <w:widowControl w:val="0"/>
        <w:numPr>
          <w:ilvl w:val="0"/>
          <w:numId w:val="5"/>
        </w:numPr>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Ethnographic Thick Description necessitates prolonged fieldwork, often exceeding standard research timelines.</w:t>
      </w:r>
    </w:p>
    <w:p w14:paraId="793DE3F1">
      <w:pPr>
        <w:keepNext w:val="0"/>
        <w:keepLines w:val="0"/>
        <w:pageBreakBefore w:val="0"/>
        <w:widowControl w:val="0"/>
        <w:numPr>
          <w:ilvl w:val="0"/>
          <w:numId w:val="5"/>
        </w:numPr>
        <w:kinsoku/>
        <w:wordWrap/>
        <w:overflowPunct/>
        <w:topLinePunct w:val="0"/>
        <w:autoSpaceDE/>
        <w:autoSpaceDN/>
        <w:bidi w:val="0"/>
        <w:adjustRightInd/>
        <w:snapToGrid/>
        <w:spacing w:line="400" w:lineRule="exact"/>
        <w:ind w:left="0" w:lef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Data Synthesis Complexity: Concurrent analysis of qualitative texts and quantitative datasets requires interdisciplinary competencies (e.g., anthropological coding + statistical tools).</w:t>
      </w:r>
    </w:p>
    <w:p w14:paraId="7EB9CB41">
      <w:pPr>
        <w:keepNext w:val="0"/>
        <w:keepLines w:val="0"/>
        <w:pageBreakBefore w:val="0"/>
        <w:widowControl w:val="0"/>
        <w:numPr>
          <w:ilvl w:val="0"/>
          <w:numId w:val="5"/>
        </w:numPr>
        <w:kinsoku/>
        <w:wordWrap/>
        <w:overflowPunct/>
        <w:topLinePunct w:val="0"/>
        <w:autoSpaceDE/>
        <w:autoSpaceDN/>
        <w:bidi w:val="0"/>
        <w:adjustRightInd/>
        <w:snapToGrid/>
        <w:spacing w:line="400" w:lineRule="exact"/>
        <w:ind w:left="0" w:leftChars="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 Specificity Constraints: The uniqueness of Dong cultural practices may limit the framework’s generalisability to other minority communities (e.g., Miao</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ethnic community, Yi</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ethnic community).</w:t>
      </w:r>
    </w:p>
    <w:p w14:paraId="0ADD71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To enhance transferability, a modular theoretical toolkit is proposed, distilling portable cultural meta-rules (e.g., collective honour systems) that allow substitution of context-specific symbols and rituals. This approach will be validated through cross-regional initiatives like the New Channel Design Project (Hunan University, 2015)</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 testing the framework’s scalability. </w:t>
      </w:r>
    </w:p>
    <w:p w14:paraId="7B5E53C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sz w:val="28"/>
          <w:szCs w:val="28"/>
          <w:lang w:val="en-US" w:eastAsia="zh-CN"/>
        </w:rPr>
      </w:pPr>
    </w:p>
    <w:p w14:paraId="5CBE09F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黑体" w:cs="Times New Roman"/>
          <w:b w:val="0"/>
          <w:bCs w:val="0"/>
          <w:sz w:val="28"/>
          <w:szCs w:val="28"/>
          <w:lang w:val="en-US" w:eastAsia="zh-CN"/>
        </w:rPr>
        <w:t>4  Discussion and Analysis</w:t>
      </w:r>
    </w:p>
    <w:p w14:paraId="10ECAF3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4.1 Design Implications of Cultural Affordance</w:t>
      </w:r>
    </w:p>
    <w:p w14:paraId="5D599C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 Affordance, as the core theoretical framework of this study, reveals the implicit behavioural guidance mechanisms of Dong public spaces for intergenerational interaction through three dimensions: material, symbolic, and normative. Building on Gibson’s ecological psychology perspective, this research extends classical affordance theory from physical functional analysis to cultural behavioural studies, emphasising that Dong public spaces are not merely collections of physical environments but also carriers of cultural symbols and ritual norms. In design studies, William Gaver (1991) categorised affordances into perceivable, hidden, and false types, underscoring the interactive relationship between users and environments. Within Dong cultural contexts, public space design must rigorously incorporate local cultural practices, social structures, and behavioural patterns to ensure alignment between designed affordances and user expectations/behaviours.</w:t>
      </w:r>
    </w:p>
    <w:p w14:paraId="49A4337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Material Affordance is exemplified through adaptive reinterpretations of Dong traditional architectural elements. For instance, the tiered structure of Dong bàzi terraced fields—visually ordered around mountain contours—can be abstracted into stepped interactive installations in public spaces. These installations would require intergenerational collaboration for assembly, echoing the collective labour traditions of agrarian culture while activating spatial functional diversity.</w:t>
      </w:r>
    </w:p>
    <w:p w14:paraId="69DBF1B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Symbolic Affordance necessitates excavating metaphorical systems within Dong culture. The fishbone pattern (yúgǔ wén) in woven textiles, symbolising familial continuity, could be transformed into visual cues within interactive interfaces to trigger shared cultural memories across generations. This process demands semiotic analysis to avoid superficial appropriation of symbols (e.g., reducing totems to decorative motifs), instead embedding behavioural guidance through narrative tasks (e.g., unlocking ancestral stories).</w:t>
      </w:r>
    </w:p>
    <w:p w14:paraId="18E1F03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Normative Affordance faces the challenge of balancing traditional authority with modern demands. The seniority hierarchy in Dong antiphonal singing rituals (e.g., youths learning melodies from elders) provides a behavioural framework for design but may conflict with contemporary youths’ egalitarian aspirations. Berry’s</w:t>
      </w:r>
      <w:r>
        <w:rPr>
          <w:rFonts w:hint="eastAsia" w:ascii="Times New Roman" w:hAnsi="Times New Roman" w:eastAsia="宋体" w:cs="Times New Roman"/>
          <w:sz w:val="24"/>
          <w:szCs w:val="24"/>
          <w:lang w:val="en-US" w:eastAsia="zh-CN"/>
        </w:rPr>
        <w:t xml:space="preserve"> (1997) </w:t>
      </w:r>
      <w:r>
        <w:rPr>
          <w:rFonts w:hint="default" w:ascii="Times New Roman" w:hAnsi="Times New Roman" w:eastAsia="宋体" w:cs="Times New Roman"/>
          <w:sz w:val="24"/>
          <w:szCs w:val="24"/>
          <w:lang w:val="en-US" w:eastAsia="zh-CN"/>
        </w:rPr>
        <w:t xml:space="preserve"> acculturation theory proposes an integration strategy—achieving compatibility between traditional norms and modern values through design interventions. For example, in digital applications, youths could unlock augmented reality (AR)-enhanced village historical narratives by learning traditional melodies from elders, thereby preserving elders’ cultural authority while satisfying youths’ technological curiosity.</w:t>
      </w:r>
    </w:p>
    <w:p w14:paraId="190866C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36D9396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4.2 Localized Adaptation of Gamification Mechanisms</w:t>
      </w:r>
    </w:p>
    <w:p w14:paraId="032F181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Gamification, as an effective tool for enhancing user engagement and motivation, requires localised adaptation across diverse cultural contexts. Applying gamification theory within Dong cultural settings necessitates moving beyond the prevailing techno-dependent paradigm towards a meaning-driven, culturally-sensitive design. While Deterding et al. define gamification as "the use of game elements in non-game contexts," current practices predominantly rely on digital point systems and competitive mechanisms, reducing cultural symbols to mere task rewards. This study proposes a low-tech, high-culture strategy—for instance, transforming Dong mortise-and-tenon timber-framing techniques into physical puzzles that require intergenerational collaboration to assemble, thereby unlocking ancestral construction narratives, rather than relying on smartphone applications.</w:t>
      </w:r>
    </w:p>
    <w:p w14:paraId="10AB557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Restructuring Core Motivational Drivers is pivotal to localisation. The Octalysis Framework highlights that existing gamification designs prioritise individualistic drivers such as Achievement and Ownership, whereas Dong collectivist culture thrives on Belonging (e.g., familial honour) and Mission (e.g., stewardship of intangible cultural heritage). For example, Dong Grand Song (Dà Gē) antiphonal competitions could be redesigned as intergenerational melodic puzzles, where youths and elders collaboratively decode traditional tunes to earn community-bestowed honourific titles like "Master Singer Medallion," replacing digital scoring systems. This mechanism avoids technological erosion of cultural authenticity while reinforcing intergenerational reciprocity.</w:t>
      </w:r>
    </w:p>
    <w:p w14:paraId="0BC5C0B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Mitigating Cultural Alienation Risks requires grounding in ethnographic thick description and community participation. Implementing gamification strategies in Dong communities thus demands deep engagement with local cultural values and social structures. Team-based collaboration and community-wide challenges can be introduced to incentivise cross-generational participation. Reward systems should prioritise non-material recognition aligned with cultural preferences, such as communal honour or traditional symbolic artefacts, over purely material incentives. For instance, the collaborative logic of Dong wind-and-rain bridge (Fēngyǔ Qiáo) construction rituals (e.g., elders directing, youths executing) could be transposed into virtual construction challenges, ensuring augmented reality (AR) serves solely as a narrative medium rather than supplanting traditional craft transmission. Through culturally-attuned gamification, user engagement and belonging are enhanced, fostering intergenerational dialogue and cooperation.</w:t>
      </w:r>
    </w:p>
    <w:p w14:paraId="448942A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48C9B010">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4.3 Challenges of Interdisciplinary Integration</w:t>
      </w:r>
    </w:p>
    <w:p w14:paraId="3C13D14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Interdisciplinary integration is indispensable in designing public space products for intergenerational interaction within Dong cultural contexts. While this study’s interdisciplinary framework—spanning design studies, anthropology, and ecological psychology—provides multidimensional analytical tools, it faces challenges in methodological and theoretical synthesis, including terminological discrepancies across disciplines, methodological inconsistencies, and coordination of collaborative models.</w:t>
      </w:r>
    </w:p>
    <w:p w14:paraId="1193496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Tensions Between Ethnography and Design Research: Geertz’s (1973) thick description methodology demands prolonged immersion to capture implicit cultural rules, yet design research is often constrained by project timelines and resources. For instance, power dynamics in Dong drum tower rituals (e.g., elders’ decision-making authority over spatial usage) risk being reductively interpreted as “authoritative symbols” through short-term observation, neglecting their dynamic negotiation processes. To address this, iterative ethnography can be employed, involving repeated returns to the field during design and validation phases to refine theoretical models.</w:t>
      </w:r>
    </w:p>
    <w:p w14:paraId="1A1A369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Coupling Affordance and Gamification Theories: Cultural affordance emphasises environmental guidance of behaviours, whereas gamification relies on proactive motivational mechanisms. Integrating these requires avoiding over-design. For example, the collaborative layout of Dong loom setups (material affordance) naturally facilitates intergenerational interaction, but superimposing competitive tasks (e.g., speed-based challenges) may disrupt inherent cooperative cultural logics. The solution lies in distinguishing between:</w:t>
      </w:r>
    </w:p>
    <w:p w14:paraId="146E7EA9">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firstLine="420" w:firstLineChars="175"/>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Augmentative Interventions: Subtly adjusting existing spatial attributes (e.g., optimising drum tower seating angles) to strengthen cultural affordance.</w:t>
      </w:r>
    </w:p>
    <w:p w14:paraId="3711B737">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firstLine="420" w:firstLineChars="175"/>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Reconstructive Interventions: Cautiously introducing external mechanisms (e.g., gamified tasks) while ensuring alignment with indigenous values.</w:t>
      </w:r>
    </w:p>
    <w:p w14:paraId="5741238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Limitations of Theoretical Transferability: The uniqueness of Dong cultural practices (e.g., bàzi agrarian collectivism) may restrict the framework’s applicability to other minority communities. For instance, intergenerational interactions in Miao stilted dwellings (Diào Jiǎo Lóu) rely more on intimate hearth-centred narratives than public drum tower rituals. To enhance transferability, cultural meta-rules (e.g., collective honour systems, senior-junior collaborative paradigms) can be distilled as universal modules, allowing different communities to adapt specific symbols and spatial carriers.</w:t>
      </w:r>
    </w:p>
    <w:p w14:paraId="15A9E23E">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p>
    <w:p w14:paraId="77FA99E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sz w:val="24"/>
          <w:szCs w:val="24"/>
          <w:lang w:val="en-US" w:eastAsia="zh-CN"/>
        </w:rPr>
      </w:pPr>
      <w:r>
        <w:rPr>
          <w:rFonts w:hint="default" w:ascii="Times New Roman" w:hAnsi="Times New Roman" w:eastAsia="黑体" w:cs="Times New Roman"/>
          <w:sz w:val="24"/>
          <w:szCs w:val="24"/>
          <w:lang w:val="en-US" w:eastAsia="zh-CN"/>
        </w:rPr>
        <w:t>4.4 Critical Reflections on Research Design</w:t>
      </w:r>
    </w:p>
    <w:p w14:paraId="6629CB3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proposed design framework aims to mitigate cultural transmission discontinuity and social alienation while providing exemplars for ethnic minority communities, yet it is not without limitations.</w:t>
      </w:r>
    </w:p>
    <w:p w14:paraId="34964F7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Methodological Limitations: Although the mixed-methods approach enhances the credibility of findings, it struggles to reconcile the ethnographic depth required for cultural nuance with the breadth of quantitative data necessary for generalisability. For instance, a limited questionnaire sample size may fail to capture dialectal variations within Dong linguistic regions (e.g., cultural perception disparities between Northern and Southern Dong dialects). Future studies should expand sampling scopes and refine cultural behaviour models using linguistic anthropology tools, such as dialect lexicon analysis.</w:t>
      </w:r>
    </w:p>
    <w:p w14:paraId="7A46E78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Ethical Risks in Technological Empowerment: The integration of technologies like augmented reality (AR) risks exacerbating intergenerational digital divides. For example, older adults’ lower receptivity to virtual narratives necessitates dual-channel interaction systems (e.g., combining physical installations with digital supplements) and prioritising low-tech mediums (e.g., collaborative board games) to ensure inclusivity.</w:t>
      </w:r>
    </w:p>
    <w:p w14:paraId="7B83824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Practical Feasibility of Policy Implementation: Cultural design projects often falter due to insufficient community engagement. To address this, a co-governance design process must be institutionalised—for instance, involving community stakeholders (e.g., intangible cultural heritage [</w:t>
      </w:r>
      <w:r>
        <w:rPr>
          <w:rFonts w:hint="eastAsia" w:ascii="Times New Roman" w:hAnsi="Times New Roman" w:eastAsia="宋体" w:cs="Times New Roman"/>
          <w:sz w:val="24"/>
          <w:szCs w:val="24"/>
          <w:lang w:val="en-US" w:eastAsia="zh-CN"/>
        </w:rPr>
        <w:t xml:space="preserve">Intangible Cultural Heritage </w:t>
      </w:r>
      <w:r>
        <w:rPr>
          <w:rFonts w:hint="default" w:ascii="Times New Roman" w:hAnsi="Times New Roman" w:eastAsia="宋体" w:cs="Times New Roman"/>
          <w:sz w:val="24"/>
          <w:szCs w:val="24"/>
          <w:lang w:val="en-US" w:eastAsia="zh-CN"/>
        </w:rPr>
        <w:t>] inheritors) as co-researchers—to ensure the cultural legitimacy and long-term sustainability of interventions.</w:t>
      </w:r>
    </w:p>
    <w:p w14:paraId="64EB43A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sectPr>
          <w:endnotePr>
            <w:numFmt w:val="decimal"/>
          </w:endnotePr>
          <w:type w:val="continuous"/>
          <w:pgSz w:w="11906" w:h="16838"/>
          <w:pgMar w:top="1440" w:right="1800" w:bottom="1440" w:left="1800" w:header="851" w:footer="992" w:gutter="0"/>
          <w:cols w:space="425" w:num="1"/>
          <w:docGrid w:type="lines" w:linePitch="312" w:charSpace="0"/>
        </w:sectPr>
      </w:pPr>
    </w:p>
    <w:p w14:paraId="067FF4C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p>
    <w:p w14:paraId="7B370B8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黑体" w:cs="Times New Roman"/>
          <w:b w:val="0"/>
          <w:bCs w:val="0"/>
          <w:sz w:val="28"/>
          <w:szCs w:val="28"/>
          <w:lang w:val="en-US" w:eastAsia="zh-CN"/>
        </w:rPr>
        <w:t>5  Conclusion</w:t>
      </w:r>
    </w:p>
    <w:p w14:paraId="45DDDB0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study explores how the interdisciplinary integration of cultural affordance and gamification theories can inform the design of public space products that promote intergenerational interaction within Dong cultural contexts. By synthesising theoretical and methodological insights from anthropology, design studies, sociology, and game research, the research not only deepens understanding of the Dong community’s cultural characteristics and intergenerational interaction patterns but also proposes actionable design strategies.</w:t>
      </w:r>
    </w:p>
    <w:p w14:paraId="55F9EC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Cultural affordance theory provides a robust framework for interpreting and designing Dong public spaces. While affordance theory emphasises environmental support for individual behaviours, traditional Dong architectures such as drum towers (Gǔ Lóu) and wind-and-rain bridges (Fēngyǔ Qiáo) transcend mere physical functionality by embodying rich cultural meanings and socio-communicative roles. Analysing these cultural elements enables the creation of spaces that balance tradition with contemporary functionality, thereby enhancing their cultural affordance.</w:t>
      </w:r>
    </w:p>
    <w:p w14:paraId="36843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Gamification mechanisms demonstrate significant potential in fostering intergenerational interaction. Gamification not only increases user engagement and motivation but also stimulates cross-generational interest through well-designed game elements such as points, challenges, and reward systems. However, gamification strategies must account for cultural differences and user acceptability, avoiding universalist design approaches.</w:t>
      </w:r>
    </w:p>
    <w:p w14:paraId="64ED0E3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practice, interdisciplinary collaboration faces challenges including terminological disparities, methodological inconsistencies, and coordination of cooperative models. Establishing effective communication mechanisms, fostering mutual understanding across disciplines, and adopting shared frameworks (e.g., participatory design, co-design) are critical to enhancing team efficiency and research coherence.</w:t>
      </w:r>
    </w:p>
    <w:p w14:paraId="5D7EFF4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study enriches the application of cultural affordance and gamification theories in public space design while offering novel perspectives for designing public spaces in Dong and other minority regions. Future research should further investigate the application of these theories and methods across broader cultural contexts to achieve more inclusive and sustainable public space design.</w:t>
      </w:r>
    </w:p>
    <w:p w14:paraId="14A47E4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02A8041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lang w:val="en-US" w:eastAsia="zh-CN"/>
        </w:rPr>
      </w:pPr>
    </w:p>
    <w:p w14:paraId="5BE4247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黑体" w:cs="Times New Roman"/>
          <w:b/>
          <w:bCs/>
          <w:sz w:val="28"/>
          <w:szCs w:val="28"/>
          <w:lang w:val="en-US" w:eastAsia="zh-CN"/>
        </w:rPr>
      </w:pPr>
      <w:r>
        <w:rPr>
          <w:rFonts w:hint="eastAsia" w:ascii="Times New Roman" w:hAnsi="Times New Roman" w:eastAsia="黑体" w:cs="Times New Roman"/>
          <w:b/>
          <w:bCs/>
          <w:sz w:val="28"/>
          <w:szCs w:val="28"/>
          <w:lang w:val="en-US" w:eastAsia="zh-CN"/>
        </w:rPr>
        <w:t>B</w:t>
      </w:r>
      <w:r>
        <w:rPr>
          <w:rFonts w:hint="default" w:ascii="Times New Roman" w:hAnsi="Times New Roman" w:eastAsia="黑体" w:cs="Times New Roman"/>
          <w:b/>
          <w:bCs/>
          <w:sz w:val="28"/>
          <w:szCs w:val="28"/>
          <w:lang w:val="en-US" w:eastAsia="zh-CN"/>
        </w:rPr>
        <w:t>ibliography</w:t>
      </w:r>
    </w:p>
    <w:p w14:paraId="3A23857B">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Abrantes, C., Amaro, A. C., &amp; Baldi, V. (2017). Technologies for intergenerational family communication. In 2017 12th Iberian Conference on Information Systems and Technologies (CISTI) (pp. 1-5). AISTI. https://doi.org/10.23919/CISTI.2017.7975716</w:t>
      </w:r>
    </w:p>
    <w:p w14:paraId="0F974144">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Almrott, C., et al. (2025). Lessons in Low-Tech: A Handbook for Sustainable Education. Technological University Dublin. https://doi.org/10.21427/3yhz-9j83</w:t>
      </w:r>
    </w:p>
    <w:p w14:paraId="230CC8BD">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Berry, J. W. (1997). Immigration, Acculturation, and Adaptation. Applied psychology, 46(1), 5-34. https://doi.org/10.1111/j.1464-0597.1997.tb01087.x</w:t>
      </w:r>
    </w:p>
    <w:p w14:paraId="23443834">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Boschmann, E. E., &amp; Cubbon, E. (2014). Sketch Maps and Qualitative GIS: Using Cartographies of Individual Spatial Narratives in Geographic Research. The Professional geographer, 66(2), 236-248. https://doi.org/10.1080/00330124.2013.781490</w:t>
      </w:r>
    </w:p>
    <w:p w14:paraId="3DCF72B3">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Butts, D. M. (2023). Connecting Cenerations Key to Combating Loneliness and Ending Ageism. Generations (San Francisco. Calif.), 47(4), 1-10.</w:t>
      </w:r>
    </w:p>
    <w:p w14:paraId="1848AB5B">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Chernbumroong, S., et al. (2024). Enhancing User Engagement and Interaction in Library Automation through Gamification. In 2024 Joint International Conference on Digital Arts, Media and Technology with ECTI Northern Section Conference on Electrical, Electronics, and Technology. IEEE, pp. 270-274. https://doi.org/10.1109/ECTIDAMTNCON60518.2024.10480023</w:t>
      </w:r>
    </w:p>
    <w:p w14:paraId="49222FA8">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Chou, W.-H., Li, Y.-C., Chen, Y.-F., Ohsuga, M., &amp; Inoue, T. (2022). Empirical Study of Virtual Reality to Promote Intergenerational Communication: Taiwan Traditional Glove Puppetry as Example. Sustainability, 14, 3213. https://doi.org/10.3390/su14063213</w:t>
      </w:r>
    </w:p>
    <w:p w14:paraId="41914634">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Dah, J., et al. (2024). Gamification is not Working: Why? Games and culture. [Preprint]. https://doi.org/10.1177/15554120241228125</w:t>
      </w:r>
    </w:p>
    <w:p w14:paraId="03E7E86C">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Deterding, S., Dixon, D., Khaled, R., &amp; Nacke, L. (2011). From game design elements to gamefulness: defining "gamification". In Proceedings of the 15th International Academic MindTrek Conference: Envisioning Future Media Environments (pp. 9-15). ACM. https://doi.org/10.1145/2181037.2181040</w:t>
      </w:r>
    </w:p>
    <w:p w14:paraId="2CBF0650">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Dourish, P. (2010). HCI and environmental sustainability: the politics of design and the design of politics. In Proceedings of the 8th ACM Conference on Designing Interactive Systems (pp. 1-10). ACM. https://doi.org/10.1145/1858171.1858173</w:t>
      </w:r>
    </w:p>
    <w:p w14:paraId="0536FEE8">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Fan, Y. (2022). Interpreting the Symbolic Meaning of Dong Drum Tower Architectural Form-Taking Sanjiang Ma Fat Drum Tower as an Example. Open Access Library Journal, 9, 1-13. https://doi.org/10.4236/oalib.1108652</w:t>
      </w:r>
    </w:p>
    <w:p w14:paraId="065AB4FC">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Gaver, W. W. (1991). Technology affordances. In Proceedings of the SIGCHI Conference on Human Factors in Computing Systems (CHI '91) (pp. 79-84). Association for Computing Machinery. https://doi.org/10.1145/108844.108856</w:t>
      </w:r>
    </w:p>
    <w:p w14:paraId="779F50F9">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Geertz, C., American Council of Learned Societies., &amp; Darnton, R. (1973). The interpretation of cultures : selected essays (third edition). New York, NY: Basic Books.</w:t>
      </w:r>
    </w:p>
    <w:p w14:paraId="64D8F49A">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Gibson, J. J. (1979). The Theory of Affordances. In The Ecological Approach to Visual Perception. Boston: Houghton Mifflin.</w:t>
      </w:r>
    </w:p>
    <w:p w14:paraId="5C61CEC3">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Godefroit-Winkel, D., Schill, M., &amp; Hogg, M. K. (2019). The interplay of emotions and consumption in the relational identity trajectories of grandmothers with their grandchildren. European journal of marketing, 53(2), 164-194. https://doi.org/10.1108/EJM-11-2017-0811</w:t>
      </w:r>
    </w:p>
    <w:p w14:paraId="79488871">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Hammedi, W., Leclerq, T., &amp; Van Riel, A. C. R. (2017). The use of gamification mechanics to increase employee and user engagement in participative healthcare services. International journal of service industry management, 28(4), 640-661. https://doi.org/10.1108/JOSM-04-2016-0116</w:t>
      </w:r>
    </w:p>
    <w:p w14:paraId="67C7315A">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Hunan University. (2015). New Channel Design Project: Cross-Regional Cultural Innovation. Changsha: Hunan University Press. http://newchannel.design-engine.org/gjysjj/</w:t>
      </w:r>
    </w:p>
    <w:p w14:paraId="58B76045">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Labit, A., &amp; Dubost, N. (2016). Housing and ageing in France and Germany: the intergenerational solution. Housing, care and support, 19(2), 45-54. https://doi.org/10.1108/HCS-08-2016-0007</w:t>
      </w:r>
    </w:p>
    <w:p w14:paraId="49CCCFDA">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Layne, M. R. (2009). Supporting intergenerational interaction: affordance of urban public space. ProQuest Dissertations &amp; Theses.</w:t>
      </w:r>
    </w:p>
    <w:p w14:paraId="3EBDE909">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Lesan, M., &amp; Gjerde, M. (2020). A mixed methods approach to understanding streetscape preferences in a multicultural setting. Methodological innovations, 13(2), 1-. https://doi.org/10.1177/2059799120937233</w:t>
      </w:r>
    </w:p>
    <w:p w14:paraId="2DC4ABCD">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Nelischer, C., &amp; Loukaitou-Sideris, A. (2023). Intergenerational Public Space Design and Policy: A Review of the Literature. Journal of planning literature, 38(1), 19-32. https://doi.org/10.1177/08854122221092175</w:t>
      </w:r>
    </w:p>
    <w:p w14:paraId="0BE76578">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Ng, P., et al. (2025). Intergenerational cooperation and co-creation in public space design assisted by Virtual Reality (VR) environments. Architectural intelligence, 4(1). https://doi.org/10.1007/s44223-024-00080-1</w:t>
      </w:r>
    </w:p>
    <w:p w14:paraId="2F848F5C">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Norman, D. A. (2013). The design of everyday things (revised and expanded edition). New York, NY: Basic Books.</w:t>
      </w:r>
    </w:p>
    <w:p w14:paraId="590FBF73">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Norouzi, N., Swenson, A., &amp; Harvey, S. (2023). Designing for Success: Integrating Theories of Human Development into Architectural Design for Intergenerational Programming. Journal of Intergenerational relationships, 21(4), 495-510. https://doi.org/10.1080/15350770.2022.2113951</w:t>
      </w:r>
    </w:p>
    <w:p w14:paraId="423FF421">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Pérez Rodríguez, S., et al. (2022). Twist: a gamified platform with games and immersive experiences for active aging. In XXII International Conference on Human Computer Interaction. ACM, pp. 1-9. https://doi.org/10.1145/3549865.3549902</w:t>
      </w:r>
    </w:p>
    <w:p w14:paraId="594B6059">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Poddar, A. K. (2024). Impact of Global Digitalization on Traditional Cultures. The International journal of interdisciplinary social and community studies (Print), 20(1), 209-232. https://doi.org/10.18848/2324-7576/CGP/v20i01/209-232</w:t>
      </w:r>
    </w:p>
    <w:p w14:paraId="024F82D2">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Sun, H. (2012). Cross-Cultural Technology Design: Creating Culture-Sensitive Technology for Local Users (1st edn.). New York: Oxford University Press. https://doi.org/10.1093/acprof:oso/9780199744763.001.0001</w:t>
      </w:r>
    </w:p>
    <w:p w14:paraId="376666E9">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Sun, Y., &amp; Suthers, D. D. (2023). From affordances to cultural affordances: An analytic framework for tracing the dynamic interaction among technology, people and culture. Cultures of Science (online), 6(2), 235-249. https://doi.org/10.1177/20966083231176863</w:t>
      </w:r>
    </w:p>
    <w:p w14:paraId="163F903F">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Takeuchi, Y., &amp; You, J. (2014). Whirlstools: kinetic furniture with adaptive affordance. In CHI '14 Extended Abstracts on Human Factors in Computing Systems. ACM, pp. 1885-1890. https://doi.org/10.1145/2559206.2581286</w:t>
      </w:r>
    </w:p>
    <w:p w14:paraId="314346CC">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Teixes, F. (2017). Yu-Kai Chou (2016). Actionable Gamification: beyond points, badges and leaderboards. RIO : revista internacional de organizaciones, (18), 137-144. https://doi.org/10.17345/rio18.137-144</w:t>
      </w:r>
    </w:p>
    <w:p w14:paraId="5DFC79B6">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Tseng, W. S.-W., &amp; Hsu, C.-W. (2019). A Smart, Caring, Interactive Chair Designed for Improving Emotional Support and Parent-Child Interactions to Promote Sustainable Relationships Between Elderly and Other Family Members. Sustainability, 11(4), 961-. https://doi.org/10.3390/su11040961</w:t>
      </w:r>
    </w:p>
    <w:p w14:paraId="6739C564">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Vrkljan, B., et al. (2019). Creating an intergenerational university hub: engaging older and younger users in the shaping of space and place. Gerontology &amp; geriatrics education, 40(2), 244-260. https://doi.org/10.1080/02701960.2019.1572010</w:t>
      </w:r>
    </w:p>
    <w:p w14:paraId="03F224F3">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Wang, S., et al. (2019). Preservation and Valorisation of Public Historical Areas in Gaobu Village, Dong Minority of Hunan, China. IOP conference series. Materials Science and Engineering, 471(8), 82049-. https://doi.org/10.1088/1757-899X/471/8/082049</w:t>
      </w:r>
    </w:p>
    <w:p w14:paraId="299C7211">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World Health Organization. (2023). Connecting generations: planning and implementing interventions for intergenerational contact. World Health Organization. https://iris.who.int/handle/10665/373056. License: CC BY-NC-SA 3.0 IGO</w:t>
      </w:r>
    </w:p>
    <w:p w14:paraId="5B5DF97D">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Wu, J., Zhang, L., &amp; Ren, X. (2022). Incorporating the Co-Creation Method into Social Innovation Design to Promote Intergenerational Integration: A Case Study of a Public Square. International journal of environmental research and public health, 19(19), 12908-. https://doi.org/10.3390/ijerph191912908</w:t>
      </w:r>
    </w:p>
    <w:p w14:paraId="23776FC6">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Whyte, W. H. (1980). The social life of small urban spaces. Washington DC: The Conservation Foundation.</w:t>
      </w:r>
    </w:p>
    <w:p w14:paraId="5BBA7BF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Times New Roman"/>
          <w:sz w:val="21"/>
          <w:szCs w:val="21"/>
          <w:lang w:val="en-US" w:eastAsia="zh-CN"/>
        </w:rPr>
      </w:pPr>
    </w:p>
    <w:sectPr>
      <w:type w:val="continuous"/>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B31E19"/>
    <w:multiLevelType w:val="singleLevel"/>
    <w:tmpl w:val="9AB31E19"/>
    <w:lvl w:ilvl="0" w:tentative="0">
      <w:start w:val="1"/>
      <w:numFmt w:val="decimal"/>
      <w:suff w:val="space"/>
      <w:lvlText w:val="%1."/>
      <w:lvlJc w:val="left"/>
    </w:lvl>
  </w:abstractNum>
  <w:abstractNum w:abstractNumId="1">
    <w:nsid w:val="9E88AE48"/>
    <w:multiLevelType w:val="singleLevel"/>
    <w:tmpl w:val="9E88AE48"/>
    <w:lvl w:ilvl="0" w:tentative="0">
      <w:start w:val="1"/>
      <w:numFmt w:val="bullet"/>
      <w:lvlText w:val="▪"/>
      <w:lvlJc w:val="left"/>
      <w:pPr>
        <w:ind w:left="420" w:leftChars="0" w:hanging="420" w:firstLineChars="0"/>
      </w:pPr>
      <w:rPr>
        <w:rFonts w:hint="default" w:ascii="Arial" w:hAnsi="Arial" w:cs="Arial"/>
      </w:rPr>
    </w:lvl>
  </w:abstractNum>
  <w:abstractNum w:abstractNumId="2">
    <w:nsid w:val="D29FB5B5"/>
    <w:multiLevelType w:val="singleLevel"/>
    <w:tmpl w:val="D29FB5B5"/>
    <w:lvl w:ilvl="0" w:tentative="0">
      <w:start w:val="1"/>
      <w:numFmt w:val="bullet"/>
      <w:lvlText w:val="▪"/>
      <w:lvlJc w:val="left"/>
      <w:pPr>
        <w:ind w:left="420" w:leftChars="0" w:hanging="420" w:firstLineChars="0"/>
      </w:pPr>
      <w:rPr>
        <w:rFonts w:hint="default" w:ascii="Arial" w:hAnsi="Arial" w:cs="Arial"/>
      </w:rPr>
    </w:lvl>
  </w:abstractNum>
  <w:abstractNum w:abstractNumId="3">
    <w:nsid w:val="318FCECE"/>
    <w:multiLevelType w:val="singleLevel"/>
    <w:tmpl w:val="318FCECE"/>
    <w:lvl w:ilvl="0" w:tentative="0">
      <w:start w:val="1"/>
      <w:numFmt w:val="decimal"/>
      <w:suff w:val="space"/>
      <w:lvlText w:val="%1."/>
      <w:lvlJc w:val="left"/>
    </w:lvl>
  </w:abstractNum>
  <w:abstractNum w:abstractNumId="4">
    <w:nsid w:val="3B2A4A7C"/>
    <w:multiLevelType w:val="singleLevel"/>
    <w:tmpl w:val="3B2A4A7C"/>
    <w:lvl w:ilvl="0" w:tentative="0">
      <w:start w:val="1"/>
      <w:numFmt w:val="decimal"/>
      <w:suff w:val="space"/>
      <w:lvlText w:val="%1."/>
      <w:lvlJc w:val="left"/>
    </w:lvl>
  </w:abstractNum>
  <w:abstractNum w:abstractNumId="5">
    <w:nsid w:val="678F121B"/>
    <w:multiLevelType w:val="singleLevel"/>
    <w:tmpl w:val="678F121B"/>
    <w:lvl w:ilvl="0" w:tentative="0">
      <w:start w:val="1"/>
      <w:numFmt w:val="decimal"/>
      <w:suff w:val="space"/>
      <w:lvlText w:val="%1."/>
      <w:lvlJc w:val="left"/>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numFmt w:val="decimal"/>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CA354B"/>
    <w:rsid w:val="043162AA"/>
    <w:rsid w:val="07BE62CF"/>
    <w:rsid w:val="1FB50614"/>
    <w:rsid w:val="1FE30229"/>
    <w:rsid w:val="21123A4A"/>
    <w:rsid w:val="28F33BD2"/>
    <w:rsid w:val="2C5223C6"/>
    <w:rsid w:val="33734978"/>
    <w:rsid w:val="3B954E32"/>
    <w:rsid w:val="43137E8F"/>
    <w:rsid w:val="4DCA354B"/>
    <w:rsid w:val="54431FE5"/>
    <w:rsid w:val="554A4899"/>
    <w:rsid w:val="57F01F61"/>
    <w:rsid w:val="7C8A53F9"/>
    <w:rsid w:val="7F9F6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endnote text"/>
    <w:basedOn w:val="1"/>
    <w:qFormat/>
    <w:uiPriority w:val="0"/>
    <w:pPr>
      <w:snapToGrid w:val="0"/>
      <w:jc w:val="left"/>
    </w:pPr>
  </w:style>
  <w:style w:type="character" w:styleId="6">
    <w:name w:val="endnote reference"/>
    <w:basedOn w:val="5"/>
    <w:qFormat/>
    <w:uiPriority w:val="0"/>
    <w:rPr>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5739</Words>
  <Characters>40107</Characters>
  <Lines>0</Lines>
  <Paragraphs>0</Paragraphs>
  <TotalTime>616</TotalTime>
  <ScaleCrop>false</ScaleCrop>
  <LinksUpToDate>false</LinksUpToDate>
  <CharactersWithSpaces>45742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2025-04-27T10:14:00Z</dcterms:created>
  <dc:creator>颜颜_Violetta</dc:creator>
  <cp:keywords>, docId:68E7B25876C010D83AE40E3CCD8DC993</cp:keywords>
  <cp:lastModifiedBy>颜颜_Violetta</cp:lastModifiedBy>
  <dcterms:modified xsi:type="dcterms:W3CDTF">2025-05-02T14:27:57Z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8CC6150CF417472DAECD509FF4CD1EC5_13</vt:lpwstr>
  </property>
  <property fmtid="{D5CDD505-2E9C-101B-9397-08002B2CF9AE}" pid="4" name="KSOTemplateDocerSaveRecord">
    <vt:lpwstr>eyJoZGlkIjoiZDk4NTRkZjEzMDM5Mzg2NGYyM2U5OWM3ZjQ4YjY0NDgiLCJ1c2VySWQiOiIyNjk2MjM1OTIifQ==</vt:lpwstr>
  </property>
</Properties>
</file>