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4452629"/>
        <w:docPartObj>
          <w:docPartGallery w:val="Cover Pages"/>
          <w:docPartUnique/>
        </w:docPartObj>
      </w:sdtPr>
      <w:sdtEndPr/>
      <w:sdtContent>
        <w:p w14:paraId="2DE297E0" w14:textId="48737021" w:rsidR="00DB5163" w:rsidRDefault="00DB5163">
          <w:r>
            <w:rPr>
              <w:noProof/>
            </w:rPr>
            <mc:AlternateContent>
              <mc:Choice Requires="wpg">
                <w:drawing>
                  <wp:anchor distT="0" distB="0" distL="114300" distR="114300" simplePos="0" relativeHeight="251659264" behindDoc="1" locked="0" layoutInCell="1" allowOverlap="1" wp14:anchorId="68E9282A" wp14:editId="53B6D18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76A5A8" w14:textId="07ACCFD6" w:rsidR="00DB5163" w:rsidRDefault="00506A74">
                                  <w:pPr>
                                    <w:pStyle w:val="NoSpacing"/>
                                    <w:spacing w:before="120"/>
                                    <w:jc w:val="center"/>
                                    <w:rPr>
                                      <w:color w:val="FFFFFF" w:themeColor="background1"/>
                                    </w:rPr>
                                  </w:pPr>
                                  <w:r>
                                    <w:rPr>
                                      <w:color w:val="FFFFFF" w:themeColor="background1"/>
                                    </w:rPr>
                                    <w:t>Tort Law Assignment 2</w:t>
                                  </w:r>
                                </w:p>
                                <w:p w14:paraId="0BADF1DA" w14:textId="1325A99F" w:rsidR="00506A74" w:rsidRDefault="00506A74">
                                  <w:pPr>
                                    <w:pStyle w:val="NoSpacing"/>
                                    <w:spacing w:before="120"/>
                                    <w:jc w:val="center"/>
                                    <w:rPr>
                                      <w:color w:val="FFFFFF" w:themeColor="background1"/>
                                    </w:rPr>
                                  </w:pPr>
                                  <w:r>
                                    <w:rPr>
                                      <w:color w:val="FFFFFF" w:themeColor="background1"/>
                                    </w:rPr>
                                    <w:t xml:space="preserve">Louise Holmes </w:t>
                                  </w:r>
                                </w:p>
                                <w:p w14:paraId="26E8F202" w14:textId="6497D82C" w:rsidR="00506A74" w:rsidRDefault="00506A74">
                                  <w:pPr>
                                    <w:pStyle w:val="NoSpacing"/>
                                    <w:spacing w:before="120"/>
                                    <w:jc w:val="center"/>
                                    <w:rPr>
                                      <w:color w:val="FFFFFF" w:themeColor="background1"/>
                                    </w:rPr>
                                  </w:pPr>
                                  <w:r>
                                    <w:rPr>
                                      <w:color w:val="FFFFFF" w:themeColor="background1"/>
                                    </w:rPr>
                                    <w:t>Hollie Owen</w:t>
                                  </w:r>
                                </w:p>
                                <w:p w14:paraId="304CF5AA" w14:textId="24B9F499" w:rsidR="00506A74" w:rsidRDefault="00506A74">
                                  <w:pPr>
                                    <w:pStyle w:val="NoSpacing"/>
                                    <w:spacing w:before="120"/>
                                    <w:jc w:val="center"/>
                                    <w:rPr>
                                      <w:color w:val="FFFFFF" w:themeColor="background1"/>
                                    </w:rPr>
                                  </w:pPr>
                                  <w:r>
                                    <w:rPr>
                                      <w:color w:val="FFFFFF" w:themeColor="background1"/>
                                    </w:rPr>
                                    <w:t>1807135</w:t>
                                  </w:r>
                                </w:p>
                                <w:p w14:paraId="0CE94E94" w14:textId="7F9087D5" w:rsidR="0065340D" w:rsidRDefault="0065340D">
                                  <w:pPr>
                                    <w:pStyle w:val="NoSpacing"/>
                                    <w:spacing w:before="120"/>
                                    <w:jc w:val="center"/>
                                    <w:rPr>
                                      <w:color w:val="FFFFFF" w:themeColor="background1"/>
                                    </w:rPr>
                                  </w:pPr>
                                  <w:r>
                                    <w:rPr>
                                      <w:color w:val="FFFFFF" w:themeColor="background1"/>
                                    </w:rPr>
                                    <w:t>26/12/2020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8C96183" w14:textId="6AA6B028" w:rsidR="00DB5163" w:rsidRDefault="00FE615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occupiers liability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E9282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A76A5A8" w14:textId="07ACCFD6" w:rsidR="00DB5163" w:rsidRDefault="00506A74">
                            <w:pPr>
                              <w:pStyle w:val="NoSpacing"/>
                              <w:spacing w:before="120"/>
                              <w:jc w:val="center"/>
                              <w:rPr>
                                <w:color w:val="FFFFFF" w:themeColor="background1"/>
                              </w:rPr>
                            </w:pPr>
                            <w:r>
                              <w:rPr>
                                <w:color w:val="FFFFFF" w:themeColor="background1"/>
                              </w:rPr>
                              <w:t>Tort Law Assignment 2</w:t>
                            </w:r>
                          </w:p>
                          <w:p w14:paraId="0BADF1DA" w14:textId="1325A99F" w:rsidR="00506A74" w:rsidRDefault="00506A74">
                            <w:pPr>
                              <w:pStyle w:val="NoSpacing"/>
                              <w:spacing w:before="120"/>
                              <w:jc w:val="center"/>
                              <w:rPr>
                                <w:color w:val="FFFFFF" w:themeColor="background1"/>
                              </w:rPr>
                            </w:pPr>
                            <w:r>
                              <w:rPr>
                                <w:color w:val="FFFFFF" w:themeColor="background1"/>
                              </w:rPr>
                              <w:t xml:space="preserve">Louise Holmes </w:t>
                            </w:r>
                          </w:p>
                          <w:p w14:paraId="26E8F202" w14:textId="6497D82C" w:rsidR="00506A74" w:rsidRDefault="00506A74">
                            <w:pPr>
                              <w:pStyle w:val="NoSpacing"/>
                              <w:spacing w:before="120"/>
                              <w:jc w:val="center"/>
                              <w:rPr>
                                <w:color w:val="FFFFFF" w:themeColor="background1"/>
                              </w:rPr>
                            </w:pPr>
                            <w:r>
                              <w:rPr>
                                <w:color w:val="FFFFFF" w:themeColor="background1"/>
                              </w:rPr>
                              <w:t>Hollie Owen</w:t>
                            </w:r>
                          </w:p>
                          <w:p w14:paraId="304CF5AA" w14:textId="24B9F499" w:rsidR="00506A74" w:rsidRDefault="00506A74">
                            <w:pPr>
                              <w:pStyle w:val="NoSpacing"/>
                              <w:spacing w:before="120"/>
                              <w:jc w:val="center"/>
                              <w:rPr>
                                <w:color w:val="FFFFFF" w:themeColor="background1"/>
                              </w:rPr>
                            </w:pPr>
                            <w:r>
                              <w:rPr>
                                <w:color w:val="FFFFFF" w:themeColor="background1"/>
                              </w:rPr>
                              <w:t>1807135</w:t>
                            </w:r>
                          </w:p>
                          <w:p w14:paraId="0CE94E94" w14:textId="7F9087D5" w:rsidR="0065340D" w:rsidRDefault="0065340D">
                            <w:pPr>
                              <w:pStyle w:val="NoSpacing"/>
                              <w:spacing w:before="120"/>
                              <w:jc w:val="center"/>
                              <w:rPr>
                                <w:color w:val="FFFFFF" w:themeColor="background1"/>
                              </w:rPr>
                            </w:pPr>
                            <w:r>
                              <w:rPr>
                                <w:color w:val="FFFFFF" w:themeColor="background1"/>
                              </w:rPr>
                              <w:t>26/12/2020</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8C96183" w14:textId="6AA6B028" w:rsidR="00DB5163" w:rsidRDefault="00FE615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occupiers liability</w:t>
                                </w:r>
                              </w:p>
                            </w:sdtContent>
                          </w:sdt>
                        </w:txbxContent>
                      </v:textbox>
                    </v:shape>
                    <w10:wrap anchorx="page" anchory="page"/>
                  </v:group>
                </w:pict>
              </mc:Fallback>
            </mc:AlternateContent>
          </w:r>
        </w:p>
        <w:p w14:paraId="56EC1E41" w14:textId="2E43C3E2" w:rsidR="00880200" w:rsidRPr="003B377A" w:rsidRDefault="00DB5163" w:rsidP="003B377A">
          <w:r>
            <w:br w:type="page"/>
          </w:r>
        </w:p>
      </w:sdtContent>
    </w:sdt>
    <w:p w14:paraId="6855B480" w14:textId="0DBA9019" w:rsidR="00B81526" w:rsidRPr="007D109D" w:rsidRDefault="00B81526" w:rsidP="006418F0">
      <w:pPr>
        <w:spacing w:line="480" w:lineRule="auto"/>
        <w:rPr>
          <w:rFonts w:cstheme="minorHAnsi"/>
          <w:sz w:val="24"/>
          <w:szCs w:val="24"/>
        </w:rPr>
      </w:pPr>
      <w:r w:rsidRPr="007D109D">
        <w:rPr>
          <w:rFonts w:cstheme="minorHAnsi"/>
          <w:sz w:val="24"/>
          <w:szCs w:val="24"/>
        </w:rPr>
        <w:lastRenderedPageBreak/>
        <w:t xml:space="preserve">The purpose of this assignment is to show a brief understanding of the Occupiers Liability Act, the statutory rules that regulate the nature of the duty owed by occupiers, and the principles that must be considered which determine a breach of duty. A diminutive comparison will be carried out on both the 1959 Act and the 1984 Act. </w:t>
      </w:r>
      <w:r w:rsidR="003B377A" w:rsidRPr="007D109D">
        <w:rPr>
          <w:rFonts w:cstheme="minorHAnsi"/>
          <w:sz w:val="24"/>
          <w:szCs w:val="24"/>
        </w:rPr>
        <w:t xml:space="preserve">A few case law examples will be included to show a better understanding of fair and unfair claims for visitors and non- visitors. </w:t>
      </w:r>
    </w:p>
    <w:p w14:paraId="4936BA3E" w14:textId="77777777" w:rsidR="00347B79" w:rsidRPr="007D109D" w:rsidRDefault="00347B79" w:rsidP="006418F0">
      <w:pPr>
        <w:spacing w:line="480" w:lineRule="auto"/>
        <w:rPr>
          <w:rFonts w:cstheme="minorHAnsi"/>
          <w:sz w:val="24"/>
          <w:szCs w:val="24"/>
        </w:rPr>
      </w:pPr>
    </w:p>
    <w:p w14:paraId="3AA3D72B" w14:textId="77777777" w:rsidR="001774C8" w:rsidRPr="007D109D" w:rsidRDefault="001774C8" w:rsidP="006418F0">
      <w:pPr>
        <w:spacing w:line="480" w:lineRule="auto"/>
        <w:rPr>
          <w:rFonts w:cstheme="minorHAnsi"/>
          <w:sz w:val="24"/>
          <w:szCs w:val="24"/>
        </w:rPr>
      </w:pPr>
      <w:r w:rsidRPr="007D109D">
        <w:rPr>
          <w:rFonts w:cstheme="minorHAnsi"/>
          <w:sz w:val="24"/>
          <w:szCs w:val="24"/>
        </w:rPr>
        <w:t xml:space="preserve">The Occupiers’ Liability Act 1967 is, </w:t>
      </w:r>
    </w:p>
    <w:p w14:paraId="0BB1A6B4" w14:textId="413023C3" w:rsidR="00347B79" w:rsidRPr="007D109D" w:rsidRDefault="001774C8" w:rsidP="00347B79">
      <w:pPr>
        <w:spacing w:line="480" w:lineRule="auto"/>
        <w:ind w:left="720"/>
        <w:rPr>
          <w:rFonts w:cstheme="minorHAnsi"/>
          <w:i/>
          <w:iCs/>
          <w:sz w:val="24"/>
          <w:szCs w:val="24"/>
        </w:rPr>
      </w:pPr>
      <w:r w:rsidRPr="007D109D">
        <w:rPr>
          <w:rFonts w:cstheme="minorHAnsi"/>
          <w:sz w:val="24"/>
          <w:szCs w:val="24"/>
        </w:rPr>
        <w:t>“</w:t>
      </w:r>
      <w:r w:rsidRPr="007D109D">
        <w:rPr>
          <w:rFonts w:cstheme="minorHAnsi"/>
          <w:i/>
          <w:iCs/>
          <w:sz w:val="24"/>
          <w:szCs w:val="24"/>
        </w:rPr>
        <w:t xml:space="preserve">An Act to amend the law of England and Wales as to the  liability of occupiers and others for injury or damage resulting to persons or goods lawfully on any land or other property from danger due to the state of the property or to things done or omitted to be there, to make provision as to the operation in relation to the Crown of laws made by the Parliament of Northern Ireland for similar purposes or otherwise amending the law of tort, and for purposes connected therewith.”. </w:t>
      </w:r>
      <w:r w:rsidR="00C22C6E" w:rsidRPr="007D109D">
        <w:rPr>
          <w:rFonts w:cstheme="minorHAnsi"/>
          <w:i/>
          <w:iCs/>
          <w:sz w:val="24"/>
          <w:szCs w:val="24"/>
        </w:rPr>
        <w:t xml:space="preserve"> </w:t>
      </w:r>
      <w:r w:rsidR="00347B79" w:rsidRPr="007D109D">
        <w:rPr>
          <w:rFonts w:cstheme="minorHAnsi"/>
          <w:i/>
          <w:iCs/>
          <w:sz w:val="24"/>
          <w:szCs w:val="24"/>
        </w:rPr>
        <w:t>(Legislation.gov.uk, 2011)</w:t>
      </w:r>
      <w:r w:rsidR="00347B79" w:rsidRPr="007D109D">
        <w:rPr>
          <w:rFonts w:cstheme="minorHAnsi"/>
          <w:i/>
          <w:iCs/>
          <w:sz w:val="24"/>
          <w:szCs w:val="24"/>
        </w:rPr>
        <w:t xml:space="preserve"> </w:t>
      </w:r>
    </w:p>
    <w:p w14:paraId="6ED8D24B" w14:textId="0F087B03" w:rsidR="00347B79" w:rsidRPr="007D109D" w:rsidRDefault="00347B79" w:rsidP="00347B79">
      <w:pPr>
        <w:spacing w:line="480" w:lineRule="auto"/>
        <w:ind w:left="720"/>
        <w:rPr>
          <w:rFonts w:cstheme="minorHAnsi"/>
          <w:i/>
          <w:iCs/>
          <w:sz w:val="24"/>
          <w:szCs w:val="24"/>
        </w:rPr>
      </w:pPr>
    </w:p>
    <w:p w14:paraId="5363EDFE" w14:textId="77777777" w:rsidR="00347B79" w:rsidRPr="007D109D" w:rsidRDefault="00347B79" w:rsidP="00347B79">
      <w:pPr>
        <w:spacing w:line="480" w:lineRule="auto"/>
        <w:ind w:left="720"/>
        <w:rPr>
          <w:rFonts w:cstheme="minorHAnsi"/>
          <w:i/>
          <w:iCs/>
          <w:sz w:val="24"/>
          <w:szCs w:val="24"/>
        </w:rPr>
      </w:pPr>
    </w:p>
    <w:p w14:paraId="2807C71B" w14:textId="21113360" w:rsidR="003B377A" w:rsidRPr="007D109D" w:rsidRDefault="003B377A" w:rsidP="006418F0">
      <w:pPr>
        <w:spacing w:line="480" w:lineRule="auto"/>
        <w:rPr>
          <w:rFonts w:cstheme="minorHAnsi"/>
          <w:sz w:val="24"/>
          <w:szCs w:val="24"/>
        </w:rPr>
      </w:pPr>
      <w:r w:rsidRPr="007D109D">
        <w:rPr>
          <w:rFonts w:cstheme="minorHAnsi"/>
          <w:sz w:val="24"/>
          <w:szCs w:val="24"/>
        </w:rPr>
        <w:t>The definition of negligence is “</w:t>
      </w:r>
    </w:p>
    <w:p w14:paraId="6CCFC478" w14:textId="2A017861" w:rsidR="003B377A" w:rsidRPr="007D109D" w:rsidRDefault="003B377A" w:rsidP="003B377A">
      <w:pPr>
        <w:spacing w:line="480" w:lineRule="auto"/>
        <w:ind w:left="720"/>
        <w:rPr>
          <w:rFonts w:cstheme="minorHAnsi"/>
          <w:i/>
          <w:iCs/>
          <w:sz w:val="24"/>
          <w:szCs w:val="24"/>
        </w:rPr>
      </w:pPr>
      <w:r w:rsidRPr="007D109D">
        <w:rPr>
          <w:rFonts w:cstheme="minorHAnsi"/>
          <w:i/>
          <w:iCs/>
          <w:sz w:val="24"/>
          <w:szCs w:val="24"/>
        </w:rPr>
        <w:t xml:space="preserve">“The omission to do something which a reasonable man guided upon those considerations which ordinarily regulate the conduct of human affairs, would do, or doing something which is prudent and reasonable man would not do”. </w:t>
      </w:r>
    </w:p>
    <w:p w14:paraId="1573E966" w14:textId="0CED543A" w:rsidR="003B377A" w:rsidRPr="007D109D" w:rsidRDefault="002F53F1" w:rsidP="003B377A">
      <w:pPr>
        <w:spacing w:line="480" w:lineRule="auto"/>
        <w:rPr>
          <w:rFonts w:cstheme="minorHAnsi"/>
          <w:sz w:val="24"/>
          <w:szCs w:val="24"/>
        </w:rPr>
      </w:pPr>
      <w:r w:rsidRPr="007D109D">
        <w:rPr>
          <w:rFonts w:cstheme="minorHAnsi"/>
          <w:sz w:val="24"/>
          <w:szCs w:val="24"/>
        </w:rPr>
        <w:lastRenderedPageBreak/>
        <w:t>When it comes to succeeding from a negligent action the claimant must be able to prove that the defendant owed them a duty of care, the defendant has breached that duty, the claimant has suffered damage from the negligent action that was caused by the breach of duty, and lastly the damage must not be too remote.</w:t>
      </w:r>
    </w:p>
    <w:p w14:paraId="30AE9251" w14:textId="77777777" w:rsidR="002F53F1" w:rsidRPr="007D109D" w:rsidRDefault="002F53F1" w:rsidP="003B377A">
      <w:pPr>
        <w:spacing w:line="480" w:lineRule="auto"/>
        <w:rPr>
          <w:rFonts w:cstheme="minorHAnsi"/>
          <w:sz w:val="24"/>
          <w:szCs w:val="24"/>
        </w:rPr>
      </w:pPr>
      <w:r w:rsidRPr="007D109D">
        <w:rPr>
          <w:rFonts w:cstheme="minorHAnsi"/>
          <w:sz w:val="24"/>
          <w:szCs w:val="24"/>
        </w:rPr>
        <w:t xml:space="preserve">In the courts they look at the relationships between the people who owed a duty of care and the claimant. For example, this may be one highway user and another, doctor to patient, employer to employee, and lastly the manufacturer and those who were affected by the product. </w:t>
      </w:r>
    </w:p>
    <w:p w14:paraId="3F1E8491" w14:textId="2BA49B08" w:rsidR="00F5101B" w:rsidRPr="007D109D" w:rsidRDefault="002F53F1" w:rsidP="003B377A">
      <w:pPr>
        <w:spacing w:line="480" w:lineRule="auto"/>
        <w:rPr>
          <w:rFonts w:cstheme="minorHAnsi"/>
          <w:sz w:val="24"/>
          <w:szCs w:val="24"/>
        </w:rPr>
      </w:pPr>
      <w:r w:rsidRPr="007D109D">
        <w:rPr>
          <w:rFonts w:cstheme="minorHAnsi"/>
          <w:sz w:val="24"/>
          <w:szCs w:val="24"/>
        </w:rPr>
        <w:t xml:space="preserve">There are key concepts that focus on the duty of care. </w:t>
      </w:r>
      <w:r w:rsidR="00F5101B" w:rsidRPr="007D109D">
        <w:rPr>
          <w:rFonts w:cstheme="minorHAnsi"/>
          <w:sz w:val="24"/>
          <w:szCs w:val="24"/>
        </w:rPr>
        <w:t>These are,</w:t>
      </w:r>
    </w:p>
    <w:p w14:paraId="231E08EC" w14:textId="1DBD2115" w:rsidR="00C22C6E" w:rsidRPr="007D109D" w:rsidRDefault="00F5101B" w:rsidP="00347B79">
      <w:pPr>
        <w:spacing w:line="480" w:lineRule="auto"/>
        <w:ind w:left="720"/>
        <w:rPr>
          <w:rFonts w:cstheme="minorHAnsi"/>
          <w:i/>
          <w:iCs/>
          <w:sz w:val="24"/>
          <w:szCs w:val="24"/>
        </w:rPr>
      </w:pPr>
      <w:r w:rsidRPr="007D109D">
        <w:rPr>
          <w:rFonts w:cstheme="minorHAnsi"/>
          <w:i/>
          <w:iCs/>
          <w:sz w:val="24"/>
          <w:szCs w:val="24"/>
        </w:rPr>
        <w:t>“Reasonable foreseeability by the defendant of the damage to the claimant, sufficient legal proximity (closeness) between the defendant and the claimant, whether it is just and reasonable for a duty of care to exist between the claimant and defendant; and public policy whether it is in the wider interests of society as a whole for the duty of care to exist.”</w:t>
      </w:r>
      <w:r w:rsidR="00347B79" w:rsidRPr="007D109D">
        <w:rPr>
          <w:rFonts w:cstheme="minorHAnsi"/>
          <w:sz w:val="24"/>
          <w:szCs w:val="24"/>
        </w:rPr>
        <w:t xml:space="preserve"> </w:t>
      </w:r>
      <w:r w:rsidR="00347B79" w:rsidRPr="007D109D">
        <w:rPr>
          <w:rFonts w:cstheme="minorHAnsi"/>
          <w:i/>
          <w:iCs/>
          <w:sz w:val="24"/>
          <w:szCs w:val="24"/>
        </w:rPr>
        <w:t>(Negligence: The Duty of Care – General Principles and Public Policy, 2018)</w:t>
      </w:r>
    </w:p>
    <w:p w14:paraId="7BAAD188" w14:textId="77777777" w:rsidR="00347B79" w:rsidRPr="007D109D" w:rsidRDefault="00347B79" w:rsidP="00347B79">
      <w:pPr>
        <w:spacing w:line="480" w:lineRule="auto"/>
        <w:ind w:left="720"/>
        <w:rPr>
          <w:rFonts w:cstheme="minorHAnsi"/>
          <w:i/>
          <w:iCs/>
          <w:sz w:val="24"/>
          <w:szCs w:val="24"/>
        </w:rPr>
      </w:pPr>
    </w:p>
    <w:p w14:paraId="410611BC" w14:textId="2434B4F4" w:rsidR="00C22C6E" w:rsidRPr="007D109D" w:rsidRDefault="00C22C6E" w:rsidP="006418F0">
      <w:pPr>
        <w:spacing w:line="480" w:lineRule="auto"/>
        <w:rPr>
          <w:rFonts w:cstheme="minorHAnsi"/>
          <w:sz w:val="24"/>
          <w:szCs w:val="24"/>
        </w:rPr>
      </w:pPr>
      <w:r w:rsidRPr="007D109D">
        <w:rPr>
          <w:rFonts w:cstheme="minorHAnsi"/>
          <w:sz w:val="24"/>
          <w:szCs w:val="24"/>
        </w:rPr>
        <w:t xml:space="preserve">There are </w:t>
      </w:r>
      <w:r w:rsidR="006418F0" w:rsidRPr="007D109D">
        <w:rPr>
          <w:rFonts w:cstheme="minorHAnsi"/>
          <w:sz w:val="24"/>
          <w:szCs w:val="24"/>
        </w:rPr>
        <w:t>two main</w:t>
      </w:r>
      <w:r w:rsidRPr="007D109D">
        <w:rPr>
          <w:rFonts w:cstheme="minorHAnsi"/>
          <w:sz w:val="24"/>
          <w:szCs w:val="24"/>
        </w:rPr>
        <w:t xml:space="preserve"> Occupiers Liability Acts</w:t>
      </w:r>
      <w:r w:rsidR="006418F0" w:rsidRPr="007D109D">
        <w:rPr>
          <w:rFonts w:cstheme="minorHAnsi"/>
          <w:sz w:val="24"/>
          <w:szCs w:val="24"/>
        </w:rPr>
        <w:t xml:space="preserve">. These are, </w:t>
      </w:r>
      <w:r w:rsidRPr="007D109D">
        <w:rPr>
          <w:rFonts w:cstheme="minorHAnsi"/>
          <w:sz w:val="24"/>
          <w:szCs w:val="24"/>
        </w:rPr>
        <w:t>O</w:t>
      </w:r>
      <w:r w:rsidR="00DB66D5" w:rsidRPr="007D109D">
        <w:rPr>
          <w:rFonts w:cstheme="minorHAnsi"/>
          <w:sz w:val="24"/>
          <w:szCs w:val="24"/>
        </w:rPr>
        <w:t xml:space="preserve">ccupiers Liability Act </w:t>
      </w:r>
      <w:r w:rsidRPr="007D109D">
        <w:rPr>
          <w:rFonts w:cstheme="minorHAnsi"/>
          <w:sz w:val="24"/>
          <w:szCs w:val="24"/>
        </w:rPr>
        <w:t xml:space="preserve">1984 and </w:t>
      </w:r>
      <w:r w:rsidR="00DB66D5" w:rsidRPr="007D109D">
        <w:rPr>
          <w:rFonts w:cstheme="minorHAnsi"/>
          <w:sz w:val="24"/>
          <w:szCs w:val="24"/>
        </w:rPr>
        <w:t xml:space="preserve">Occupiers </w:t>
      </w:r>
      <w:r w:rsidR="006418F0" w:rsidRPr="007D109D">
        <w:rPr>
          <w:rFonts w:cstheme="minorHAnsi"/>
          <w:sz w:val="24"/>
          <w:szCs w:val="24"/>
        </w:rPr>
        <w:t>Liability</w:t>
      </w:r>
      <w:r w:rsidR="00DB66D5" w:rsidRPr="007D109D">
        <w:rPr>
          <w:rFonts w:cstheme="minorHAnsi"/>
          <w:sz w:val="24"/>
          <w:szCs w:val="24"/>
        </w:rPr>
        <w:t xml:space="preserve"> Act</w:t>
      </w:r>
      <w:r w:rsidRPr="007D109D">
        <w:rPr>
          <w:rFonts w:cstheme="minorHAnsi"/>
          <w:sz w:val="24"/>
          <w:szCs w:val="24"/>
        </w:rPr>
        <w:t xml:space="preserve"> 1957. </w:t>
      </w:r>
    </w:p>
    <w:p w14:paraId="35F1A0F8" w14:textId="77777777" w:rsidR="006418F0" w:rsidRPr="007D109D" w:rsidRDefault="00C22C6E" w:rsidP="006418F0">
      <w:pPr>
        <w:spacing w:line="480" w:lineRule="auto"/>
        <w:rPr>
          <w:rFonts w:cstheme="minorHAnsi"/>
          <w:sz w:val="24"/>
          <w:szCs w:val="24"/>
        </w:rPr>
      </w:pPr>
      <w:r w:rsidRPr="007D109D">
        <w:rPr>
          <w:rFonts w:cstheme="minorHAnsi"/>
          <w:sz w:val="24"/>
          <w:szCs w:val="24"/>
        </w:rPr>
        <w:t>The O</w:t>
      </w:r>
      <w:r w:rsidR="00DB66D5" w:rsidRPr="007D109D">
        <w:rPr>
          <w:rFonts w:cstheme="minorHAnsi"/>
          <w:sz w:val="24"/>
          <w:szCs w:val="24"/>
        </w:rPr>
        <w:t xml:space="preserve">ccupiers Liability Act </w:t>
      </w:r>
      <w:r w:rsidRPr="007D109D">
        <w:rPr>
          <w:rFonts w:cstheme="minorHAnsi"/>
          <w:sz w:val="24"/>
          <w:szCs w:val="24"/>
        </w:rPr>
        <w:t>1984 is an act which the occupier of a premises must abide by as they owe a duty of care to a</w:t>
      </w:r>
      <w:r w:rsidR="006418F0" w:rsidRPr="007D109D">
        <w:rPr>
          <w:rFonts w:cstheme="minorHAnsi"/>
          <w:sz w:val="24"/>
          <w:szCs w:val="24"/>
        </w:rPr>
        <w:t xml:space="preserve"> non-visitor</w:t>
      </w:r>
      <w:r w:rsidR="00DB66D5" w:rsidRPr="007D109D">
        <w:rPr>
          <w:rFonts w:cstheme="minorHAnsi"/>
          <w:sz w:val="24"/>
          <w:szCs w:val="24"/>
        </w:rPr>
        <w:t xml:space="preserve"> </w:t>
      </w:r>
      <w:r w:rsidRPr="007D109D">
        <w:rPr>
          <w:rFonts w:cstheme="minorHAnsi"/>
          <w:sz w:val="24"/>
          <w:szCs w:val="24"/>
        </w:rPr>
        <w:t>who step</w:t>
      </w:r>
      <w:r w:rsidR="006418F0" w:rsidRPr="007D109D">
        <w:rPr>
          <w:rFonts w:cstheme="minorHAnsi"/>
          <w:sz w:val="24"/>
          <w:szCs w:val="24"/>
        </w:rPr>
        <w:t>s</w:t>
      </w:r>
      <w:r w:rsidRPr="007D109D">
        <w:rPr>
          <w:rFonts w:cstheme="minorHAnsi"/>
          <w:sz w:val="24"/>
          <w:szCs w:val="24"/>
        </w:rPr>
        <w:t xml:space="preserve"> foot on their property</w:t>
      </w:r>
      <w:r w:rsidR="004E5240" w:rsidRPr="007D109D">
        <w:rPr>
          <w:rFonts w:cstheme="minorHAnsi"/>
          <w:sz w:val="24"/>
          <w:szCs w:val="24"/>
        </w:rPr>
        <w:t xml:space="preserve">. </w:t>
      </w:r>
      <w:r w:rsidR="006418F0" w:rsidRPr="007D109D">
        <w:rPr>
          <w:rFonts w:cstheme="minorHAnsi"/>
          <w:sz w:val="24"/>
          <w:szCs w:val="24"/>
        </w:rPr>
        <w:t xml:space="preserve">This act has to deal with conditions which must be satisfied before a duty is owed to the non-visitor. </w:t>
      </w:r>
    </w:p>
    <w:p w14:paraId="26092749" w14:textId="77777777" w:rsidR="00347B79" w:rsidRPr="007D109D" w:rsidRDefault="00DB66D5" w:rsidP="006418F0">
      <w:pPr>
        <w:spacing w:line="480" w:lineRule="auto"/>
        <w:rPr>
          <w:rFonts w:cstheme="minorHAnsi"/>
          <w:sz w:val="24"/>
          <w:szCs w:val="24"/>
        </w:rPr>
      </w:pPr>
      <w:r w:rsidRPr="007D109D">
        <w:rPr>
          <w:rFonts w:cstheme="minorHAnsi"/>
          <w:sz w:val="24"/>
          <w:szCs w:val="24"/>
        </w:rPr>
        <w:lastRenderedPageBreak/>
        <w:t xml:space="preserve">When it comes to the Occupiers Liability Act 1957, they deal with the actual visitors </w:t>
      </w:r>
      <w:r w:rsidR="006418F0" w:rsidRPr="007D109D">
        <w:rPr>
          <w:rFonts w:cstheme="minorHAnsi"/>
          <w:sz w:val="24"/>
          <w:szCs w:val="24"/>
        </w:rPr>
        <w:t>who were granted permission to enter the</w:t>
      </w:r>
      <w:r w:rsidRPr="007D109D">
        <w:rPr>
          <w:rFonts w:cstheme="minorHAnsi"/>
          <w:sz w:val="24"/>
          <w:szCs w:val="24"/>
        </w:rPr>
        <w:t xml:space="preserve"> premises. By having an act for those who </w:t>
      </w:r>
      <w:r w:rsidR="00B15C9A" w:rsidRPr="007D109D">
        <w:rPr>
          <w:rFonts w:cstheme="minorHAnsi"/>
          <w:sz w:val="24"/>
          <w:szCs w:val="24"/>
        </w:rPr>
        <w:t>are not</w:t>
      </w:r>
      <w:r w:rsidRPr="007D109D">
        <w:rPr>
          <w:rFonts w:cstheme="minorHAnsi"/>
          <w:sz w:val="24"/>
          <w:szCs w:val="24"/>
        </w:rPr>
        <w:t xml:space="preserve"> granted permission to be on the premises it provides more protection </w:t>
      </w:r>
      <w:r w:rsidR="006418F0" w:rsidRPr="007D109D">
        <w:rPr>
          <w:rFonts w:cstheme="minorHAnsi"/>
          <w:sz w:val="24"/>
          <w:szCs w:val="24"/>
        </w:rPr>
        <w:t>for</w:t>
      </w:r>
      <w:r w:rsidRPr="007D109D">
        <w:rPr>
          <w:rFonts w:cstheme="minorHAnsi"/>
          <w:sz w:val="24"/>
          <w:szCs w:val="24"/>
        </w:rPr>
        <w:t xml:space="preserve"> the occupiers.  </w:t>
      </w:r>
    </w:p>
    <w:p w14:paraId="340824CC" w14:textId="77777777" w:rsidR="00347B79" w:rsidRPr="007D109D" w:rsidRDefault="00347B79" w:rsidP="006418F0">
      <w:pPr>
        <w:spacing w:line="480" w:lineRule="auto"/>
        <w:rPr>
          <w:rFonts w:cstheme="minorHAnsi"/>
          <w:sz w:val="24"/>
          <w:szCs w:val="24"/>
        </w:rPr>
      </w:pPr>
      <w:r w:rsidRPr="007D109D">
        <w:rPr>
          <w:rFonts w:cstheme="minorHAnsi"/>
          <w:sz w:val="24"/>
          <w:szCs w:val="24"/>
        </w:rPr>
        <w:t>(HMC Lawyers, 2018)</w:t>
      </w:r>
    </w:p>
    <w:p w14:paraId="2AFC3277" w14:textId="77777777" w:rsidR="005E4B5B" w:rsidRPr="007D109D" w:rsidRDefault="005E4B5B" w:rsidP="006418F0">
      <w:pPr>
        <w:spacing w:line="480" w:lineRule="auto"/>
        <w:rPr>
          <w:rFonts w:cstheme="minorHAnsi"/>
          <w:sz w:val="24"/>
          <w:szCs w:val="24"/>
        </w:rPr>
      </w:pPr>
    </w:p>
    <w:p w14:paraId="604C3973" w14:textId="0B287AD0" w:rsidR="005E4B5B" w:rsidRPr="007D109D" w:rsidRDefault="00B15C9A" w:rsidP="006418F0">
      <w:pPr>
        <w:spacing w:line="480" w:lineRule="auto"/>
        <w:rPr>
          <w:rFonts w:cstheme="minorHAnsi"/>
          <w:sz w:val="24"/>
          <w:szCs w:val="24"/>
        </w:rPr>
      </w:pPr>
      <w:r w:rsidRPr="007D109D">
        <w:rPr>
          <w:rFonts w:cstheme="minorHAnsi"/>
          <w:sz w:val="24"/>
          <w:szCs w:val="24"/>
        </w:rPr>
        <w:t xml:space="preserve">With the Occupiers Liability Act an occupier must be fully aware for children to be less careful on their premises than adults, section 2 (3) (a). </w:t>
      </w:r>
    </w:p>
    <w:p w14:paraId="0BEC7F38" w14:textId="3641CAAC" w:rsidR="00B15C9A" w:rsidRPr="007D109D" w:rsidRDefault="005E4B5B" w:rsidP="006418F0">
      <w:pPr>
        <w:spacing w:line="480" w:lineRule="auto"/>
        <w:rPr>
          <w:rFonts w:cstheme="minorHAnsi"/>
          <w:sz w:val="24"/>
          <w:szCs w:val="24"/>
        </w:rPr>
      </w:pPr>
      <w:r w:rsidRPr="007D109D">
        <w:rPr>
          <w:rFonts w:cstheme="minorHAnsi"/>
          <w:sz w:val="24"/>
          <w:szCs w:val="24"/>
        </w:rPr>
        <w:t>(www.injurylawyersdevon.co.uk, n.d.)</w:t>
      </w:r>
      <w:r w:rsidRPr="007D109D">
        <w:rPr>
          <w:rFonts w:cstheme="minorHAnsi"/>
          <w:sz w:val="24"/>
          <w:szCs w:val="24"/>
        </w:rPr>
        <w:t xml:space="preserve"> </w:t>
      </w:r>
    </w:p>
    <w:p w14:paraId="3DBB4BA6" w14:textId="77777777" w:rsidR="005E4B5B" w:rsidRPr="007D109D" w:rsidRDefault="005E4B5B" w:rsidP="006418F0">
      <w:pPr>
        <w:spacing w:line="480" w:lineRule="auto"/>
        <w:rPr>
          <w:rFonts w:cstheme="minorHAnsi"/>
          <w:sz w:val="24"/>
          <w:szCs w:val="24"/>
        </w:rPr>
      </w:pPr>
    </w:p>
    <w:p w14:paraId="6CAB4434" w14:textId="2828BBD9" w:rsidR="00BA2B56" w:rsidRPr="007D109D" w:rsidRDefault="004E5240" w:rsidP="006418F0">
      <w:pPr>
        <w:spacing w:line="480" w:lineRule="auto"/>
        <w:rPr>
          <w:rFonts w:cstheme="minorHAnsi"/>
          <w:sz w:val="24"/>
          <w:szCs w:val="24"/>
        </w:rPr>
      </w:pPr>
      <w:r w:rsidRPr="007D109D">
        <w:rPr>
          <w:rFonts w:cstheme="minorHAnsi"/>
          <w:sz w:val="24"/>
          <w:szCs w:val="24"/>
        </w:rPr>
        <w:t>A visitor is someone who has been granted access to the property. Someone who has not been granted access can be looked at as a trespasser.</w:t>
      </w:r>
      <w:r w:rsidR="00BA2B56" w:rsidRPr="007D109D">
        <w:rPr>
          <w:rFonts w:cstheme="minorHAnsi"/>
          <w:sz w:val="24"/>
          <w:szCs w:val="24"/>
        </w:rPr>
        <w:t xml:space="preserve"> </w:t>
      </w:r>
    </w:p>
    <w:p w14:paraId="299872DD" w14:textId="1B579CD6" w:rsidR="005E4B5B" w:rsidRPr="007D109D" w:rsidRDefault="005E4B5B" w:rsidP="006418F0">
      <w:pPr>
        <w:spacing w:line="480" w:lineRule="auto"/>
        <w:rPr>
          <w:rFonts w:cstheme="minorHAnsi"/>
          <w:sz w:val="24"/>
          <w:szCs w:val="24"/>
        </w:rPr>
      </w:pPr>
      <w:r w:rsidRPr="007D109D">
        <w:rPr>
          <w:rFonts w:cstheme="minorHAnsi"/>
          <w:sz w:val="24"/>
          <w:szCs w:val="24"/>
        </w:rPr>
        <w:t>(OCCUPIERS LIABILITY Top Tips, n.d.)</w:t>
      </w:r>
    </w:p>
    <w:p w14:paraId="4A67AED9" w14:textId="77777777" w:rsidR="001774C8" w:rsidRPr="007D109D" w:rsidRDefault="001774C8" w:rsidP="006418F0">
      <w:pPr>
        <w:spacing w:line="480" w:lineRule="auto"/>
        <w:rPr>
          <w:rFonts w:cstheme="minorHAnsi"/>
          <w:sz w:val="24"/>
          <w:szCs w:val="24"/>
        </w:rPr>
      </w:pPr>
    </w:p>
    <w:p w14:paraId="0B2B0A6E" w14:textId="022E2C23" w:rsidR="00D82B6F" w:rsidRPr="007D109D" w:rsidRDefault="00432AC7" w:rsidP="006418F0">
      <w:pPr>
        <w:spacing w:line="480" w:lineRule="auto"/>
        <w:rPr>
          <w:rFonts w:cstheme="minorHAnsi"/>
          <w:sz w:val="24"/>
          <w:szCs w:val="24"/>
        </w:rPr>
      </w:pPr>
      <w:r w:rsidRPr="007D109D">
        <w:rPr>
          <w:rFonts w:cstheme="minorHAnsi"/>
          <w:sz w:val="24"/>
          <w:szCs w:val="24"/>
        </w:rPr>
        <w:t>The term “occupier” does not mean</w:t>
      </w:r>
      <w:r w:rsidR="001774C8" w:rsidRPr="007D109D">
        <w:rPr>
          <w:rFonts w:cstheme="minorHAnsi"/>
          <w:sz w:val="24"/>
          <w:szCs w:val="24"/>
        </w:rPr>
        <w:t xml:space="preserve"> “owner”. Looking at the Occupiers Liability Act it states that if you have control of a property, temporarily, partial or on a fulltime basis then you </w:t>
      </w:r>
      <w:r w:rsidR="00DA776C" w:rsidRPr="007D109D">
        <w:rPr>
          <w:rFonts w:cstheme="minorHAnsi"/>
          <w:sz w:val="24"/>
          <w:szCs w:val="24"/>
        </w:rPr>
        <w:t>are</w:t>
      </w:r>
      <w:r w:rsidR="001774C8" w:rsidRPr="007D109D">
        <w:rPr>
          <w:rFonts w:cstheme="minorHAnsi"/>
          <w:sz w:val="24"/>
          <w:szCs w:val="24"/>
        </w:rPr>
        <w:t xml:space="preserve"> held liable as the “occupier”. </w:t>
      </w:r>
      <w:r w:rsidR="00DA776C" w:rsidRPr="007D109D">
        <w:rPr>
          <w:rFonts w:cstheme="minorHAnsi"/>
          <w:sz w:val="24"/>
          <w:szCs w:val="24"/>
        </w:rPr>
        <w:t xml:space="preserve">If you are the owner of the property, manager, landlord, tenant, temporary lessees then you can also be looked upon as the “occupier”, it doesn’t have to be just one person, it states that there can be many, this is classed as shared </w:t>
      </w:r>
      <w:r w:rsidR="00ED6550" w:rsidRPr="007D109D">
        <w:rPr>
          <w:rFonts w:cstheme="minorHAnsi"/>
          <w:sz w:val="24"/>
          <w:szCs w:val="24"/>
        </w:rPr>
        <w:t xml:space="preserve">liability. An example stated on HMC Lawyers was, </w:t>
      </w:r>
    </w:p>
    <w:p w14:paraId="043928A5" w14:textId="30631AC4" w:rsidR="006418F0" w:rsidRPr="007D109D" w:rsidRDefault="00ED6550" w:rsidP="00765B11">
      <w:pPr>
        <w:spacing w:line="480" w:lineRule="auto"/>
        <w:ind w:left="720"/>
        <w:rPr>
          <w:rFonts w:cstheme="minorHAnsi"/>
          <w:i/>
          <w:iCs/>
          <w:sz w:val="24"/>
          <w:szCs w:val="24"/>
        </w:rPr>
      </w:pPr>
      <w:r w:rsidRPr="007D109D">
        <w:rPr>
          <w:rFonts w:cstheme="minorHAnsi"/>
          <w:i/>
          <w:iCs/>
          <w:sz w:val="24"/>
          <w:szCs w:val="24"/>
        </w:rPr>
        <w:t>“when a landlord and tenant working in the same space, or when an organization rents its playing field to a sports group”</w:t>
      </w:r>
      <w:r w:rsidR="006418F0" w:rsidRPr="007D109D">
        <w:rPr>
          <w:rFonts w:cstheme="minorHAnsi"/>
          <w:i/>
          <w:iCs/>
          <w:sz w:val="24"/>
          <w:szCs w:val="24"/>
        </w:rPr>
        <w:t>.</w:t>
      </w:r>
    </w:p>
    <w:p w14:paraId="2B17DB99" w14:textId="77777777" w:rsidR="003B377A" w:rsidRPr="007D109D" w:rsidRDefault="003B377A" w:rsidP="006418F0">
      <w:pPr>
        <w:spacing w:line="480" w:lineRule="auto"/>
        <w:ind w:left="720"/>
        <w:rPr>
          <w:rFonts w:cstheme="minorHAnsi"/>
          <w:i/>
          <w:iCs/>
          <w:sz w:val="24"/>
          <w:szCs w:val="24"/>
        </w:rPr>
      </w:pPr>
    </w:p>
    <w:p w14:paraId="1D91C499" w14:textId="6B74DC6E" w:rsidR="003B377A" w:rsidRPr="007D109D" w:rsidRDefault="00ED6550" w:rsidP="006418F0">
      <w:pPr>
        <w:spacing w:line="480" w:lineRule="auto"/>
        <w:rPr>
          <w:rFonts w:cstheme="minorHAnsi"/>
          <w:color w:val="0563C1" w:themeColor="hyperlink"/>
          <w:sz w:val="24"/>
          <w:szCs w:val="24"/>
          <w:u w:val="single"/>
        </w:rPr>
      </w:pPr>
      <w:r w:rsidRPr="007D109D">
        <w:rPr>
          <w:rFonts w:cstheme="minorHAnsi"/>
          <w:sz w:val="24"/>
          <w:szCs w:val="24"/>
        </w:rPr>
        <w:t xml:space="preserve">The lease agreements should state what exactly the parties are liable for, e.g. the areas that the parties are accountable for, whether its limited for certain parties, or </w:t>
      </w:r>
      <w:r w:rsidR="00132FCF" w:rsidRPr="007D109D">
        <w:rPr>
          <w:rFonts w:cstheme="minorHAnsi"/>
          <w:sz w:val="24"/>
          <w:szCs w:val="24"/>
        </w:rPr>
        <w:t>full liability for everyone. And also, w</w:t>
      </w:r>
      <w:r w:rsidRPr="007D109D">
        <w:rPr>
          <w:rFonts w:cstheme="minorHAnsi"/>
          <w:sz w:val="24"/>
          <w:szCs w:val="24"/>
        </w:rPr>
        <w:t>hich parties are liable for the inspections, maintenance, repairs that need to be carried out on the property</w:t>
      </w:r>
      <w:r w:rsidR="00132FCF" w:rsidRPr="007D109D">
        <w:rPr>
          <w:rFonts w:cstheme="minorHAnsi"/>
          <w:sz w:val="24"/>
          <w:szCs w:val="24"/>
        </w:rPr>
        <w:t xml:space="preserve">. The parties need to know that if by chance something was to happen, would it be held against them, or only held against those who are higher up. </w:t>
      </w:r>
      <w:r w:rsidRPr="007D109D">
        <w:rPr>
          <w:rFonts w:cstheme="minorHAnsi"/>
          <w:sz w:val="24"/>
          <w:szCs w:val="24"/>
        </w:rPr>
        <w:t xml:space="preserve"> </w:t>
      </w:r>
      <w:r w:rsidR="005E4B5B" w:rsidRPr="007D109D">
        <w:rPr>
          <w:rFonts w:cstheme="minorHAnsi"/>
          <w:sz w:val="24"/>
          <w:szCs w:val="24"/>
        </w:rPr>
        <w:t>(HMC Lawyers, 2018)</w:t>
      </w:r>
    </w:p>
    <w:p w14:paraId="7A5679BE" w14:textId="01CACBF4" w:rsidR="00471A9B" w:rsidRPr="007D109D" w:rsidRDefault="00DB66D5" w:rsidP="006418F0">
      <w:pPr>
        <w:spacing w:line="480" w:lineRule="auto"/>
        <w:rPr>
          <w:rFonts w:cstheme="minorHAnsi"/>
          <w:sz w:val="24"/>
          <w:szCs w:val="24"/>
        </w:rPr>
      </w:pPr>
      <w:r w:rsidRPr="007D109D">
        <w:rPr>
          <w:rFonts w:cstheme="minorHAnsi"/>
          <w:sz w:val="24"/>
          <w:szCs w:val="24"/>
        </w:rPr>
        <w:t xml:space="preserve">In section 1 (3) it states that the occupier owes a duty to people who come onto their property without being granted permission. They are aware of the risks that may occur in their presence, therefore expected to offer some protection. </w:t>
      </w:r>
    </w:p>
    <w:p w14:paraId="5BFF11CD" w14:textId="7AC67B33" w:rsidR="00DB66D5" w:rsidRPr="007D109D" w:rsidRDefault="00DB66D5" w:rsidP="006418F0">
      <w:pPr>
        <w:spacing w:line="480" w:lineRule="auto"/>
        <w:rPr>
          <w:rFonts w:cstheme="minorHAnsi"/>
          <w:sz w:val="24"/>
          <w:szCs w:val="24"/>
        </w:rPr>
      </w:pPr>
      <w:r w:rsidRPr="007D109D">
        <w:rPr>
          <w:rFonts w:cstheme="minorHAnsi"/>
          <w:sz w:val="24"/>
          <w:szCs w:val="24"/>
        </w:rPr>
        <w:t xml:space="preserve">Subsection (4) mentions how it is the </w:t>
      </w:r>
      <w:r w:rsidR="00644C84" w:rsidRPr="007D109D">
        <w:rPr>
          <w:rFonts w:cstheme="minorHAnsi"/>
          <w:sz w:val="24"/>
          <w:szCs w:val="24"/>
        </w:rPr>
        <w:t>occupier’s</w:t>
      </w:r>
      <w:r w:rsidRPr="007D109D">
        <w:rPr>
          <w:rFonts w:cstheme="minorHAnsi"/>
          <w:sz w:val="24"/>
          <w:szCs w:val="24"/>
        </w:rPr>
        <w:t xml:space="preserve"> duty to take reasonable steps to ensure that even as a trespasser, they do not come face to face with any form of dangers and injuries. </w:t>
      </w:r>
      <w:r w:rsidR="002F7656" w:rsidRPr="007D109D">
        <w:rPr>
          <w:rFonts w:cstheme="minorHAnsi"/>
          <w:sz w:val="24"/>
          <w:szCs w:val="24"/>
        </w:rPr>
        <w:t xml:space="preserve">Subsection (3) argues that their duty may be discharged if there are warnings to inform everyone and reduce the likeliness of danger occurring on scene. </w:t>
      </w:r>
    </w:p>
    <w:p w14:paraId="7A79D3BB" w14:textId="7698DABD" w:rsidR="007E08F4" w:rsidRPr="007D109D" w:rsidRDefault="00644C84" w:rsidP="006418F0">
      <w:pPr>
        <w:spacing w:line="480" w:lineRule="auto"/>
        <w:rPr>
          <w:rFonts w:cstheme="minorHAnsi"/>
          <w:sz w:val="24"/>
          <w:szCs w:val="24"/>
        </w:rPr>
      </w:pPr>
      <w:r w:rsidRPr="007D109D">
        <w:rPr>
          <w:rFonts w:cstheme="minorHAnsi"/>
          <w:sz w:val="24"/>
          <w:szCs w:val="24"/>
        </w:rPr>
        <w:t xml:space="preserve">Section 1 (5) explains that the duty may be discharged if there are warnings about a danger on scene, therefore this could mean that the occupier is </w:t>
      </w:r>
      <w:r w:rsidR="00937F2A" w:rsidRPr="007D109D">
        <w:rPr>
          <w:rFonts w:cstheme="minorHAnsi"/>
          <w:sz w:val="24"/>
          <w:szCs w:val="24"/>
        </w:rPr>
        <w:t xml:space="preserve">not </w:t>
      </w:r>
      <w:r w:rsidR="004C6E66" w:rsidRPr="007D109D">
        <w:rPr>
          <w:rFonts w:cstheme="minorHAnsi"/>
          <w:sz w:val="24"/>
          <w:szCs w:val="24"/>
        </w:rPr>
        <w:t xml:space="preserve">completely at fault, but it also does not mean that the occupier is all clear, it will be looked into further. These danger signs must be visible to be able to back up the occupier. </w:t>
      </w:r>
    </w:p>
    <w:p w14:paraId="000E4D4D" w14:textId="77777777" w:rsidR="006B070C" w:rsidRPr="007D109D" w:rsidRDefault="004C6E66" w:rsidP="006418F0">
      <w:pPr>
        <w:spacing w:line="480" w:lineRule="auto"/>
        <w:rPr>
          <w:rFonts w:cstheme="minorHAnsi"/>
          <w:sz w:val="24"/>
          <w:szCs w:val="24"/>
        </w:rPr>
      </w:pPr>
      <w:r w:rsidRPr="007D109D">
        <w:rPr>
          <w:rFonts w:cstheme="minorHAnsi"/>
          <w:sz w:val="24"/>
          <w:szCs w:val="24"/>
        </w:rPr>
        <w:t xml:space="preserve">Section 1 (1)(a) mentions about a form of thief resistant devices. This device can help deter crime, but it can be part of the result of things being done or omitted on the premises. Even though the person may not be granted permission to be on the premises, therefore is </w:t>
      </w:r>
      <w:r w:rsidRPr="007D109D">
        <w:rPr>
          <w:rFonts w:cstheme="minorHAnsi"/>
          <w:sz w:val="24"/>
          <w:szCs w:val="24"/>
        </w:rPr>
        <w:lastRenderedPageBreak/>
        <w:t xml:space="preserve">classes as an intruder, it is important to still have these acts.  Either way, the occupier is accountable to carry out a duty whether it is a visitor or intruder. </w:t>
      </w:r>
    </w:p>
    <w:p w14:paraId="610C6FBB" w14:textId="4733694A" w:rsidR="004C6E66" w:rsidRPr="007D109D" w:rsidRDefault="004C6E66" w:rsidP="006418F0">
      <w:pPr>
        <w:spacing w:line="480" w:lineRule="auto"/>
        <w:rPr>
          <w:rFonts w:cstheme="minorHAnsi"/>
          <w:sz w:val="24"/>
          <w:szCs w:val="24"/>
        </w:rPr>
      </w:pPr>
      <w:r w:rsidRPr="007D109D">
        <w:rPr>
          <w:rFonts w:cstheme="minorHAnsi"/>
          <w:sz w:val="24"/>
          <w:szCs w:val="24"/>
        </w:rPr>
        <w:t xml:space="preserve">For example, on Norfolk Police website, it mentions that if a device </w:t>
      </w:r>
      <w:r w:rsidR="006B070C" w:rsidRPr="007D109D">
        <w:rPr>
          <w:rFonts w:cstheme="minorHAnsi"/>
          <w:sz w:val="24"/>
          <w:szCs w:val="24"/>
        </w:rPr>
        <w:t xml:space="preserve">gives out an electric shock it would most definitely be the occupiers fault, especially without warning. The same would apply to razor wire, which is a very dangerous deterrent, it would cause serious harm if someone went to climb or jump. Its understandable that premises want to remain secure, but there has to be a warning. Things such as barbed wire and glass that is broken is a much obvious risk and you </w:t>
      </w:r>
      <w:r w:rsidR="00EC7F79" w:rsidRPr="007D109D">
        <w:rPr>
          <w:rFonts w:cstheme="minorHAnsi"/>
          <w:sz w:val="24"/>
          <w:szCs w:val="24"/>
        </w:rPr>
        <w:t>cannot</w:t>
      </w:r>
      <w:r w:rsidR="006B070C" w:rsidRPr="007D109D">
        <w:rPr>
          <w:rFonts w:cstheme="minorHAnsi"/>
          <w:sz w:val="24"/>
          <w:szCs w:val="24"/>
        </w:rPr>
        <w:t xml:space="preserve"> always give out warning for these, therefore the duty to warn intruders of this is lower. </w:t>
      </w:r>
      <w:r w:rsidR="00EC7F79" w:rsidRPr="007D109D">
        <w:rPr>
          <w:rFonts w:cstheme="minorHAnsi"/>
          <w:sz w:val="24"/>
          <w:szCs w:val="24"/>
        </w:rPr>
        <w:t xml:space="preserve">If there are injuries where the devices were </w:t>
      </w:r>
      <w:r w:rsidR="007D075B" w:rsidRPr="007D109D">
        <w:rPr>
          <w:rFonts w:cstheme="minorHAnsi"/>
          <w:sz w:val="24"/>
          <w:szCs w:val="24"/>
        </w:rPr>
        <w:t>installed,</w:t>
      </w:r>
      <w:r w:rsidR="00EC7F79" w:rsidRPr="007D109D">
        <w:rPr>
          <w:rFonts w:cstheme="minorHAnsi"/>
          <w:sz w:val="24"/>
          <w:szCs w:val="24"/>
        </w:rPr>
        <w:t xml:space="preserve"> then </w:t>
      </w:r>
      <w:r w:rsidR="00602102" w:rsidRPr="007D109D">
        <w:rPr>
          <w:rFonts w:cstheme="minorHAnsi"/>
          <w:sz w:val="24"/>
          <w:szCs w:val="24"/>
        </w:rPr>
        <w:t xml:space="preserve">the </w:t>
      </w:r>
      <w:r w:rsidR="00EC7F79" w:rsidRPr="007D109D">
        <w:rPr>
          <w:rFonts w:cstheme="minorHAnsi"/>
          <w:sz w:val="24"/>
          <w:szCs w:val="24"/>
        </w:rPr>
        <w:t xml:space="preserve">occupier will discharge their duty which will come under section 1 (5) of the 1984 Act. </w:t>
      </w:r>
      <w:r w:rsidR="005E4B5B" w:rsidRPr="007D109D">
        <w:rPr>
          <w:rFonts w:cstheme="minorHAnsi"/>
          <w:sz w:val="24"/>
          <w:szCs w:val="24"/>
        </w:rPr>
        <w:t>(OCCUPIERS LIABILITY Top Tips, n.d.)</w:t>
      </w:r>
    </w:p>
    <w:p w14:paraId="406D56CB" w14:textId="77777777" w:rsidR="00EC7F79" w:rsidRPr="007D109D" w:rsidRDefault="00EC7F79" w:rsidP="006418F0">
      <w:pPr>
        <w:spacing w:line="480" w:lineRule="auto"/>
        <w:rPr>
          <w:rFonts w:cstheme="minorHAnsi"/>
          <w:sz w:val="24"/>
          <w:szCs w:val="24"/>
        </w:rPr>
      </w:pPr>
    </w:p>
    <w:p w14:paraId="0ACF1DE2" w14:textId="3787BCD5" w:rsidR="00765B11" w:rsidRPr="007D109D" w:rsidRDefault="00D0365C" w:rsidP="006418F0">
      <w:pPr>
        <w:spacing w:line="480" w:lineRule="auto"/>
        <w:rPr>
          <w:rFonts w:cstheme="minorHAnsi"/>
          <w:sz w:val="24"/>
          <w:szCs w:val="24"/>
        </w:rPr>
      </w:pPr>
      <w:r w:rsidRPr="007D109D">
        <w:rPr>
          <w:rFonts w:cstheme="minorHAnsi"/>
          <w:sz w:val="24"/>
          <w:szCs w:val="24"/>
        </w:rPr>
        <w:t xml:space="preserve">There are many cases for occupier’s liability. Young V Kent County Council [2005] being one of them. The victim of this case fell through a skylight whilst being on the roof of a school building. At the time, a youth club was on and they were using the premises. They mentioned how a Health and Safety Executive inspected the skylight, which was said to be brittle. With that being said, the claimant argued with the council, stating that they were liable for this issue under the Occupiers’ Liability Act 1984. </w:t>
      </w:r>
      <w:r w:rsidR="007D075B" w:rsidRPr="007D109D">
        <w:rPr>
          <w:rFonts w:cstheme="minorHAnsi"/>
          <w:sz w:val="24"/>
          <w:szCs w:val="24"/>
        </w:rPr>
        <w:t xml:space="preserve">Luckily, no children were seriously hurt, it was just the one child, but they could have all been hurt as it was such a danger. It should have been fenced off to prevent anything from happening. The issue of this case was that the court was required to look into whether the council should be held accountable for not following the health report, they did very little to stop the danger from occurring. In the end of the case it was a balanced blame, meaning that the child was </w:t>
      </w:r>
      <w:r w:rsidR="007D075B" w:rsidRPr="007D109D">
        <w:rPr>
          <w:rFonts w:cstheme="minorHAnsi"/>
          <w:sz w:val="24"/>
          <w:szCs w:val="24"/>
        </w:rPr>
        <w:lastRenderedPageBreak/>
        <w:t xml:space="preserve">partially blamed as they climbed onto the roof, where he should not of. The school was also negligent in not carrying out a risk assessment on the area and not fencing it off. They mentioned how it was a low cost to fix the problem, but instead one person ended up harmed, even though they were partially to blame. </w:t>
      </w:r>
      <w:r w:rsidR="005E4B5B" w:rsidRPr="007D109D">
        <w:rPr>
          <w:rFonts w:cstheme="minorHAnsi"/>
          <w:sz w:val="24"/>
          <w:szCs w:val="24"/>
        </w:rPr>
        <w:t>(</w:t>
      </w:r>
      <w:r w:rsidR="005E4B5B" w:rsidRPr="007D109D">
        <w:rPr>
          <w:rFonts w:cstheme="minorHAnsi"/>
          <w:color w:val="2C3E50"/>
          <w:sz w:val="24"/>
          <w:szCs w:val="24"/>
          <w:shd w:val="clear" w:color="auto" w:fill="FFFFFF"/>
        </w:rPr>
        <w:t>www.lawteacher.net, n.d.)</w:t>
      </w:r>
    </w:p>
    <w:p w14:paraId="6D641BEE" w14:textId="77777777" w:rsidR="005E4B5B" w:rsidRPr="007D109D" w:rsidRDefault="005E4B5B" w:rsidP="006418F0">
      <w:pPr>
        <w:spacing w:line="480" w:lineRule="auto"/>
        <w:rPr>
          <w:rFonts w:cstheme="minorHAnsi"/>
          <w:sz w:val="24"/>
          <w:szCs w:val="24"/>
        </w:rPr>
      </w:pPr>
    </w:p>
    <w:p w14:paraId="169EF00A" w14:textId="36B8F94B" w:rsidR="007D075B" w:rsidRPr="007D109D" w:rsidRDefault="006C51AB" w:rsidP="006418F0">
      <w:pPr>
        <w:spacing w:line="480" w:lineRule="auto"/>
        <w:rPr>
          <w:rFonts w:cstheme="minorHAnsi"/>
          <w:sz w:val="24"/>
          <w:szCs w:val="24"/>
        </w:rPr>
      </w:pPr>
      <w:r w:rsidRPr="007D109D">
        <w:rPr>
          <w:rFonts w:cstheme="minorHAnsi"/>
          <w:sz w:val="24"/>
          <w:szCs w:val="24"/>
        </w:rPr>
        <w:t xml:space="preserve">In the case, Tomlinson V Congleton Borough Council [2003] it was classed as trespassing. The defendant had a lake in a public park that he owned. This was a very popular destination when the weather was hot with its sandy beaches, the council are aware of this. The issue is that this lake was shallow and dangerous. The council made sure that there were notices and employed rangers who even gave our verbal warnings and safety leaflets. In 1990, the council decided to plan over the beach areas to try and stop people from swimming, but unauthorised swimming had continued, there was no way to stop it. In 1995, the work had just begun, </w:t>
      </w:r>
      <w:r w:rsidR="00E81856" w:rsidRPr="007D109D">
        <w:rPr>
          <w:rFonts w:cstheme="minorHAnsi"/>
          <w:sz w:val="24"/>
          <w:szCs w:val="24"/>
        </w:rPr>
        <w:t>prior to</w:t>
      </w:r>
      <w:r w:rsidRPr="007D109D">
        <w:rPr>
          <w:rFonts w:cstheme="minorHAnsi"/>
          <w:sz w:val="24"/>
          <w:szCs w:val="24"/>
        </w:rPr>
        <w:t xml:space="preserve"> this there was an accident where someone had </w:t>
      </w:r>
      <w:r w:rsidR="00692609" w:rsidRPr="007D109D">
        <w:rPr>
          <w:rFonts w:cstheme="minorHAnsi"/>
          <w:sz w:val="24"/>
          <w:szCs w:val="24"/>
        </w:rPr>
        <w:t>dived</w:t>
      </w:r>
      <w:r w:rsidRPr="007D109D">
        <w:rPr>
          <w:rFonts w:cstheme="minorHAnsi"/>
          <w:sz w:val="24"/>
          <w:szCs w:val="24"/>
        </w:rPr>
        <w:t xml:space="preserve"> into the water of the shallow lake, resulting in what they </w:t>
      </w:r>
      <w:r w:rsidR="000A33D3" w:rsidRPr="007D109D">
        <w:rPr>
          <w:rFonts w:cstheme="minorHAnsi"/>
          <w:sz w:val="24"/>
          <w:szCs w:val="24"/>
        </w:rPr>
        <w:t>claim,</w:t>
      </w:r>
      <w:r w:rsidRPr="007D109D">
        <w:rPr>
          <w:rFonts w:cstheme="minorHAnsi"/>
          <w:sz w:val="24"/>
          <w:szCs w:val="24"/>
        </w:rPr>
        <w:t xml:space="preserve"> “grave injuries”. They said that the claimant was not a visitor, he was indeed a trespasser because he entered when he </w:t>
      </w:r>
      <w:r w:rsidR="00692609" w:rsidRPr="007D109D">
        <w:rPr>
          <w:rFonts w:cstheme="minorHAnsi"/>
          <w:sz w:val="24"/>
          <w:szCs w:val="24"/>
        </w:rPr>
        <w:t>was not</w:t>
      </w:r>
      <w:r w:rsidRPr="007D109D">
        <w:rPr>
          <w:rFonts w:cstheme="minorHAnsi"/>
          <w:sz w:val="24"/>
          <w:szCs w:val="24"/>
        </w:rPr>
        <w:t xml:space="preserve"> supposed to, and there were plenty of notices about to </w:t>
      </w:r>
      <w:r w:rsidR="00E81856" w:rsidRPr="007D109D">
        <w:rPr>
          <w:rFonts w:cstheme="minorHAnsi"/>
          <w:sz w:val="24"/>
          <w:szCs w:val="24"/>
        </w:rPr>
        <w:t>warn</w:t>
      </w:r>
      <w:r w:rsidRPr="007D109D">
        <w:rPr>
          <w:rFonts w:cstheme="minorHAnsi"/>
          <w:sz w:val="24"/>
          <w:szCs w:val="24"/>
        </w:rPr>
        <w:t xml:space="preserve"> he </w:t>
      </w:r>
      <w:r w:rsidR="00692609" w:rsidRPr="007D109D">
        <w:rPr>
          <w:rFonts w:cstheme="minorHAnsi"/>
          <w:sz w:val="24"/>
          <w:szCs w:val="24"/>
        </w:rPr>
        <w:t>was not</w:t>
      </w:r>
      <w:r w:rsidRPr="007D109D">
        <w:rPr>
          <w:rFonts w:cstheme="minorHAnsi"/>
          <w:sz w:val="24"/>
          <w:szCs w:val="24"/>
        </w:rPr>
        <w:t xml:space="preserve"> allowed, but he</w:t>
      </w:r>
      <w:r w:rsidR="00E81856" w:rsidRPr="007D109D">
        <w:rPr>
          <w:rFonts w:cstheme="minorHAnsi"/>
          <w:sz w:val="24"/>
          <w:szCs w:val="24"/>
        </w:rPr>
        <w:t xml:space="preserve"> chose to</w:t>
      </w:r>
      <w:r w:rsidRPr="007D109D">
        <w:rPr>
          <w:rFonts w:cstheme="minorHAnsi"/>
          <w:sz w:val="24"/>
          <w:szCs w:val="24"/>
        </w:rPr>
        <w:t xml:space="preserve"> ignore. </w:t>
      </w:r>
      <w:r w:rsidR="005963AD" w:rsidRPr="007D109D">
        <w:rPr>
          <w:rFonts w:cstheme="minorHAnsi"/>
          <w:sz w:val="24"/>
          <w:szCs w:val="24"/>
        </w:rPr>
        <w:t xml:space="preserve">Mr Justice Buckley dismissed the claimants claim and the claimant appealed. The defendant also appealed to the House of Lords. The decision of this was that the claimant acknowledged that he was in fact a trespasser when he entered the water, but it was difficult to decide on whether he was owed a duty under the 1957 act. It would be difficult for an occupier of the land to be under a duty to stop people from taking risks, especially when the claimant </w:t>
      </w:r>
      <w:r w:rsidR="00E81856" w:rsidRPr="007D109D">
        <w:rPr>
          <w:rFonts w:cstheme="minorHAnsi"/>
          <w:sz w:val="24"/>
          <w:szCs w:val="24"/>
        </w:rPr>
        <w:t>chooses</w:t>
      </w:r>
      <w:r w:rsidR="005963AD" w:rsidRPr="007D109D">
        <w:rPr>
          <w:rFonts w:cstheme="minorHAnsi"/>
          <w:sz w:val="24"/>
          <w:szCs w:val="24"/>
        </w:rPr>
        <w:t xml:space="preserve"> freely to take part in the activity on the land. </w:t>
      </w:r>
      <w:r w:rsidR="000A33D3" w:rsidRPr="007D109D">
        <w:rPr>
          <w:rFonts w:cstheme="minorHAnsi"/>
          <w:sz w:val="24"/>
          <w:szCs w:val="24"/>
        </w:rPr>
        <w:t xml:space="preserve">The court of appeal said that the council should have done more. There was a foreseeable risk of </w:t>
      </w:r>
      <w:r w:rsidR="000A33D3" w:rsidRPr="007D109D">
        <w:rPr>
          <w:rFonts w:cstheme="minorHAnsi"/>
          <w:sz w:val="24"/>
          <w:szCs w:val="24"/>
        </w:rPr>
        <w:lastRenderedPageBreak/>
        <w:t xml:space="preserve">a serious injury, therefore the council had a duty to prevent it either way because the council knew that swimmers came to the lake and the claimant came under that class. </w:t>
      </w:r>
      <w:r w:rsidR="005E4B5B" w:rsidRPr="007D109D">
        <w:rPr>
          <w:rFonts w:cstheme="minorHAnsi"/>
          <w:sz w:val="24"/>
          <w:szCs w:val="24"/>
        </w:rPr>
        <w:t>(www.brownejacobson.com, n.d.)</w:t>
      </w:r>
    </w:p>
    <w:p w14:paraId="01C7CF30" w14:textId="1162639E" w:rsidR="00C44BC1" w:rsidRPr="007D109D" w:rsidRDefault="00C44BC1" w:rsidP="006418F0">
      <w:pPr>
        <w:spacing w:line="480" w:lineRule="auto"/>
        <w:rPr>
          <w:rFonts w:cstheme="minorHAnsi"/>
          <w:sz w:val="24"/>
          <w:szCs w:val="24"/>
        </w:rPr>
      </w:pPr>
    </w:p>
    <w:p w14:paraId="62743288" w14:textId="2A1A8DEE" w:rsidR="00644C84" w:rsidRPr="007D109D" w:rsidRDefault="00F526B1" w:rsidP="006418F0">
      <w:pPr>
        <w:spacing w:line="480" w:lineRule="auto"/>
        <w:rPr>
          <w:rFonts w:cstheme="minorHAnsi"/>
          <w:sz w:val="24"/>
          <w:szCs w:val="24"/>
        </w:rPr>
      </w:pPr>
      <w:r w:rsidRPr="007D109D">
        <w:rPr>
          <w:rFonts w:cstheme="minorHAnsi"/>
          <w:sz w:val="24"/>
          <w:szCs w:val="24"/>
        </w:rPr>
        <w:t xml:space="preserve">John Lough v Intruder Detection and Surveillance Fire &amp; Security Ltd (Defendant) &amp; Robert Fulton (Third Party) [2008]. In this case the </w:t>
      </w:r>
      <w:r w:rsidR="00F772F1" w:rsidRPr="007D109D">
        <w:rPr>
          <w:rFonts w:cstheme="minorHAnsi"/>
          <w:sz w:val="24"/>
          <w:szCs w:val="24"/>
        </w:rPr>
        <w:t>defendant had</w:t>
      </w:r>
      <w:r w:rsidRPr="007D109D">
        <w:rPr>
          <w:rFonts w:cstheme="minorHAnsi"/>
          <w:sz w:val="24"/>
          <w:szCs w:val="24"/>
        </w:rPr>
        <w:t xml:space="preserve"> been employed by a third party, their job was to install an integrated security system which was part of a refurbishment to a home. There was a staircase being replaced and the contractors who were working on this </w:t>
      </w:r>
      <w:r w:rsidR="00E81856" w:rsidRPr="007D109D">
        <w:rPr>
          <w:rFonts w:cstheme="minorHAnsi"/>
          <w:sz w:val="24"/>
          <w:szCs w:val="24"/>
        </w:rPr>
        <w:t>were</w:t>
      </w:r>
      <w:r w:rsidRPr="007D109D">
        <w:rPr>
          <w:rFonts w:cstheme="minorHAnsi"/>
          <w:sz w:val="24"/>
          <w:szCs w:val="24"/>
        </w:rPr>
        <w:t xml:space="preserve"> ordered not </w:t>
      </w:r>
      <w:r w:rsidR="00E81856" w:rsidRPr="007D109D">
        <w:rPr>
          <w:rFonts w:cstheme="minorHAnsi"/>
          <w:sz w:val="24"/>
          <w:szCs w:val="24"/>
        </w:rPr>
        <w:t xml:space="preserve">to </w:t>
      </w:r>
      <w:r w:rsidRPr="007D109D">
        <w:rPr>
          <w:rFonts w:cstheme="minorHAnsi"/>
          <w:sz w:val="24"/>
          <w:szCs w:val="24"/>
        </w:rPr>
        <w:t xml:space="preserve">replace the temporary balustrade and banisters, it was removed pending installation of the final structure to the stair. There were three employees, including the claimant, who attended the home to work on the security system. They were not expecting the contractors for the security system and it was not possible to replace the banisters at short notice. There was a warning about the missing bannister </w:t>
      </w:r>
      <w:r w:rsidR="00E81856" w:rsidRPr="007D109D">
        <w:rPr>
          <w:rFonts w:cstheme="minorHAnsi"/>
          <w:sz w:val="24"/>
          <w:szCs w:val="24"/>
        </w:rPr>
        <w:t xml:space="preserve">but </w:t>
      </w:r>
      <w:r w:rsidRPr="007D109D">
        <w:rPr>
          <w:rFonts w:cstheme="minorHAnsi"/>
          <w:sz w:val="24"/>
          <w:szCs w:val="24"/>
        </w:rPr>
        <w:t>no supervision. Due to no supervision, the claimant ended up falling from the unguarded landing and ended up with a severe injury. The claim was settled that the other contr</w:t>
      </w:r>
      <w:r w:rsidR="00F772F1" w:rsidRPr="007D109D">
        <w:rPr>
          <w:rFonts w:cstheme="minorHAnsi"/>
          <w:sz w:val="24"/>
          <w:szCs w:val="24"/>
        </w:rPr>
        <w:t xml:space="preserve">actor fixing the stairs was to owe a duty of care to the claimant under section 2 of the Occupiers Liability Act 1957. The judge has mentioned that the claimant should have been supervised by another employee, whether it was the person doing the staircase, or another one of their own employees, especially knowing the state of the premises and knowing the risks, they were free to leave. The other person had no supervisory role and another appealed. The outcome of this case was that no matter the amount of supervision, realistically it could not stop this accident, someone could have been watching the employee and they still could of fell regardless. It was a split responsibility; third party was to take 25% of the responsibility </w:t>
      </w:r>
      <w:r w:rsidR="00F772F1" w:rsidRPr="007D109D">
        <w:rPr>
          <w:rFonts w:cstheme="minorHAnsi"/>
          <w:sz w:val="24"/>
          <w:szCs w:val="24"/>
        </w:rPr>
        <w:lastRenderedPageBreak/>
        <w:t xml:space="preserve">from the accident. The defendant was to then take the rest of the responsibility as they had to make sure the premises was a safe place of work. </w:t>
      </w:r>
      <w:r w:rsidR="007D109D" w:rsidRPr="007D109D">
        <w:rPr>
          <w:rFonts w:cstheme="minorHAnsi"/>
          <w:sz w:val="24"/>
          <w:szCs w:val="24"/>
        </w:rPr>
        <w:t>(www.brownejacobson.com, n.d.)</w:t>
      </w:r>
    </w:p>
    <w:p w14:paraId="490FF8D3" w14:textId="77777777" w:rsidR="005E4B5B" w:rsidRPr="007D109D" w:rsidRDefault="005E4B5B" w:rsidP="006418F0">
      <w:pPr>
        <w:spacing w:line="480" w:lineRule="auto"/>
        <w:rPr>
          <w:rFonts w:cstheme="minorHAnsi"/>
          <w:sz w:val="24"/>
          <w:szCs w:val="24"/>
        </w:rPr>
      </w:pPr>
    </w:p>
    <w:p w14:paraId="0FD80550" w14:textId="1A2AE887" w:rsidR="007D7CA0" w:rsidRPr="007D109D" w:rsidRDefault="004566B9" w:rsidP="006418F0">
      <w:pPr>
        <w:spacing w:line="480" w:lineRule="auto"/>
        <w:rPr>
          <w:rFonts w:cstheme="minorHAnsi"/>
          <w:sz w:val="24"/>
          <w:szCs w:val="24"/>
        </w:rPr>
      </w:pPr>
      <w:r w:rsidRPr="007D109D">
        <w:rPr>
          <w:rFonts w:cstheme="minorHAnsi"/>
          <w:sz w:val="24"/>
          <w:szCs w:val="24"/>
        </w:rPr>
        <w:t xml:space="preserve">There is an Act for unfair claims, one of them being Unfair Contract Terms Act 1977. There were arguments for whether it applies to the 1984 Act, but it does not, although it may be possible to extrapolate application from the 1957 Act. There are a few cases that are in connection to this, as there was no duty to protect against risks that could occur on the </w:t>
      </w:r>
      <w:r w:rsidR="00CB0E07" w:rsidRPr="007D109D">
        <w:rPr>
          <w:rFonts w:cstheme="minorHAnsi"/>
          <w:sz w:val="24"/>
          <w:szCs w:val="24"/>
        </w:rPr>
        <w:t xml:space="preserve"> </w:t>
      </w:r>
      <w:r w:rsidR="006C5CEC" w:rsidRPr="007D109D">
        <w:rPr>
          <w:rFonts w:cstheme="minorHAnsi"/>
          <w:sz w:val="24"/>
          <w:szCs w:val="24"/>
        </w:rPr>
        <w:t xml:space="preserve"> </w:t>
      </w:r>
      <w:r w:rsidRPr="007D109D">
        <w:rPr>
          <w:rFonts w:cstheme="minorHAnsi"/>
          <w:sz w:val="24"/>
          <w:szCs w:val="24"/>
        </w:rPr>
        <w:t xml:space="preserve">property, it was said that it would diminish the social value of land. Tomlinson V </w:t>
      </w:r>
      <w:r w:rsidR="00692609" w:rsidRPr="007D109D">
        <w:rPr>
          <w:rFonts w:cstheme="minorHAnsi"/>
          <w:sz w:val="24"/>
          <w:szCs w:val="24"/>
        </w:rPr>
        <w:t>Congleton</w:t>
      </w:r>
      <w:r w:rsidRPr="007D109D">
        <w:rPr>
          <w:rFonts w:cstheme="minorHAnsi"/>
          <w:sz w:val="24"/>
          <w:szCs w:val="24"/>
        </w:rPr>
        <w:t xml:space="preserve"> BC [2003] being one of them. </w:t>
      </w:r>
      <w:r w:rsidR="007D7CA0" w:rsidRPr="007D109D">
        <w:rPr>
          <w:rFonts w:cstheme="minorHAnsi"/>
          <w:sz w:val="24"/>
          <w:szCs w:val="24"/>
        </w:rPr>
        <w:t xml:space="preserve">If the occupier has a private right of </w:t>
      </w:r>
      <w:r w:rsidR="001A0BBE" w:rsidRPr="007D109D">
        <w:rPr>
          <w:rFonts w:cstheme="minorHAnsi"/>
          <w:sz w:val="24"/>
          <w:szCs w:val="24"/>
        </w:rPr>
        <w:t>way,</w:t>
      </w:r>
      <w:r w:rsidR="007D7CA0" w:rsidRPr="007D109D">
        <w:rPr>
          <w:rFonts w:cstheme="minorHAnsi"/>
          <w:sz w:val="24"/>
          <w:szCs w:val="24"/>
        </w:rPr>
        <w:t xml:space="preserve"> they could sell it on, which then no duty is owed to highway users under section 1 (7) </w:t>
      </w:r>
    </w:p>
    <w:p w14:paraId="420CD203" w14:textId="287107C9" w:rsidR="006978D8" w:rsidRPr="007D109D" w:rsidRDefault="007D109D" w:rsidP="006418F0">
      <w:pPr>
        <w:spacing w:line="480" w:lineRule="auto"/>
        <w:rPr>
          <w:rFonts w:cstheme="minorHAnsi"/>
          <w:sz w:val="24"/>
          <w:szCs w:val="24"/>
        </w:rPr>
      </w:pPr>
      <w:r w:rsidRPr="007D109D">
        <w:rPr>
          <w:rFonts w:cstheme="minorHAnsi"/>
          <w:sz w:val="24"/>
          <w:szCs w:val="24"/>
        </w:rPr>
        <w:t>(Anon, n.d.)</w:t>
      </w:r>
    </w:p>
    <w:p w14:paraId="40EDAA78" w14:textId="77777777" w:rsidR="00B73810" w:rsidRPr="007D109D" w:rsidRDefault="006978D8" w:rsidP="006418F0">
      <w:pPr>
        <w:spacing w:line="480" w:lineRule="auto"/>
        <w:rPr>
          <w:rFonts w:cstheme="minorHAnsi"/>
          <w:sz w:val="24"/>
          <w:szCs w:val="24"/>
        </w:rPr>
      </w:pPr>
      <w:r w:rsidRPr="007D109D">
        <w:rPr>
          <w:rFonts w:cstheme="minorHAnsi"/>
          <w:sz w:val="24"/>
          <w:szCs w:val="24"/>
        </w:rPr>
        <w:t>To conclude, looking at</w:t>
      </w:r>
      <w:r w:rsidR="008A2BAB" w:rsidRPr="007D109D">
        <w:rPr>
          <w:rFonts w:cstheme="minorHAnsi"/>
          <w:sz w:val="24"/>
          <w:szCs w:val="24"/>
        </w:rPr>
        <w:t xml:space="preserve"> this assignment it is surprising to see how many people can be held liable for occupier’s liability, for example as stated, you could be </w:t>
      </w:r>
      <w:r w:rsidR="00B73810" w:rsidRPr="007D109D">
        <w:rPr>
          <w:rFonts w:cstheme="minorHAnsi"/>
          <w:sz w:val="24"/>
          <w:szCs w:val="24"/>
        </w:rPr>
        <w:t>“the</w:t>
      </w:r>
      <w:r w:rsidR="008A2BAB" w:rsidRPr="007D109D">
        <w:rPr>
          <w:rFonts w:cstheme="minorHAnsi"/>
          <w:sz w:val="24"/>
          <w:szCs w:val="24"/>
        </w:rPr>
        <w:t xml:space="preserve"> owner of the property, manager, landlord, tenant</w:t>
      </w:r>
      <w:r w:rsidR="008A2BAB" w:rsidRPr="007D109D">
        <w:rPr>
          <w:rFonts w:cstheme="minorHAnsi"/>
          <w:sz w:val="24"/>
          <w:szCs w:val="24"/>
        </w:rPr>
        <w:t xml:space="preserve">, or </w:t>
      </w:r>
      <w:r w:rsidR="008A2BAB" w:rsidRPr="007D109D">
        <w:rPr>
          <w:rFonts w:cstheme="minorHAnsi"/>
          <w:sz w:val="24"/>
          <w:szCs w:val="24"/>
        </w:rPr>
        <w:t>temporary lessee</w:t>
      </w:r>
      <w:r w:rsidR="008A2BAB" w:rsidRPr="007D109D">
        <w:rPr>
          <w:rFonts w:cstheme="minorHAnsi"/>
          <w:sz w:val="24"/>
          <w:szCs w:val="24"/>
        </w:rPr>
        <w:t xml:space="preserve">”, you </w:t>
      </w:r>
      <w:r w:rsidR="00B73810" w:rsidRPr="007D109D">
        <w:rPr>
          <w:rFonts w:cstheme="minorHAnsi"/>
          <w:sz w:val="24"/>
          <w:szCs w:val="24"/>
        </w:rPr>
        <w:t>do not</w:t>
      </w:r>
      <w:r w:rsidR="008A2BAB" w:rsidRPr="007D109D">
        <w:rPr>
          <w:rFonts w:cstheme="minorHAnsi"/>
          <w:sz w:val="24"/>
          <w:szCs w:val="24"/>
        </w:rPr>
        <w:t xml:space="preserve"> have to own the property, which not a lot of people are aware of</w:t>
      </w:r>
      <w:r w:rsidR="00B73810" w:rsidRPr="007D109D">
        <w:rPr>
          <w:rFonts w:cstheme="minorHAnsi"/>
          <w:sz w:val="24"/>
          <w:szCs w:val="24"/>
        </w:rPr>
        <w:t xml:space="preserve">, most would think that you would have to be the owner, reading up, that is not the case. </w:t>
      </w:r>
    </w:p>
    <w:p w14:paraId="4ED4DCF6" w14:textId="65D80B1F" w:rsidR="00B73810" w:rsidRPr="007D109D" w:rsidRDefault="00B73810" w:rsidP="006418F0">
      <w:pPr>
        <w:spacing w:line="480" w:lineRule="auto"/>
        <w:rPr>
          <w:rFonts w:cstheme="minorHAnsi"/>
          <w:sz w:val="24"/>
          <w:szCs w:val="24"/>
        </w:rPr>
      </w:pPr>
      <w:r w:rsidRPr="007D109D">
        <w:rPr>
          <w:rFonts w:cstheme="minorHAnsi"/>
          <w:sz w:val="24"/>
          <w:szCs w:val="24"/>
        </w:rPr>
        <w:t xml:space="preserve">To be able to make a claim you </w:t>
      </w:r>
      <w:r w:rsidR="00692609" w:rsidRPr="007D109D">
        <w:rPr>
          <w:rFonts w:cstheme="minorHAnsi"/>
          <w:sz w:val="24"/>
          <w:szCs w:val="24"/>
        </w:rPr>
        <w:t>do not</w:t>
      </w:r>
      <w:r w:rsidRPr="007D109D">
        <w:rPr>
          <w:rFonts w:cstheme="minorHAnsi"/>
          <w:sz w:val="24"/>
          <w:szCs w:val="24"/>
        </w:rPr>
        <w:t xml:space="preserve"> have to be an “invited visitor”, you can be a “trespasser” and still have the chance to win a court case as it states that the occupier of the property is still liable, either way. </w:t>
      </w:r>
    </w:p>
    <w:p w14:paraId="453826B6" w14:textId="06D5D8F4" w:rsidR="0065340D" w:rsidRPr="007D109D" w:rsidRDefault="00B73810" w:rsidP="006418F0">
      <w:pPr>
        <w:spacing w:line="480" w:lineRule="auto"/>
        <w:rPr>
          <w:rFonts w:cstheme="minorHAnsi"/>
          <w:sz w:val="24"/>
          <w:szCs w:val="24"/>
        </w:rPr>
      </w:pPr>
      <w:r w:rsidRPr="007D109D">
        <w:rPr>
          <w:rFonts w:cstheme="minorHAnsi"/>
          <w:sz w:val="24"/>
          <w:szCs w:val="24"/>
        </w:rPr>
        <w:t xml:space="preserve">Just because you have one warning sign does not mean that you are fully covered as an occupier, you must give plenty of warning, this could be more signs, verbal warnings and more supervision. To support that statement, it could be argued that the staircase case </w:t>
      </w:r>
      <w:r w:rsidRPr="007D109D">
        <w:rPr>
          <w:rFonts w:cstheme="minorHAnsi"/>
          <w:sz w:val="24"/>
          <w:szCs w:val="24"/>
        </w:rPr>
        <w:lastRenderedPageBreak/>
        <w:t>(</w:t>
      </w:r>
      <w:r w:rsidRPr="007D109D">
        <w:rPr>
          <w:rFonts w:cstheme="minorHAnsi"/>
          <w:sz w:val="24"/>
          <w:szCs w:val="24"/>
        </w:rPr>
        <w:t>John Lough v Intruder Detection and Surveillance Fire &amp; Security Ltd (Defendant) &amp; Robert Fulton (Third Party) [2008]</w:t>
      </w:r>
      <w:r w:rsidRPr="007D109D">
        <w:rPr>
          <w:rFonts w:cstheme="minorHAnsi"/>
          <w:sz w:val="24"/>
          <w:szCs w:val="24"/>
        </w:rPr>
        <w:t>) was an unfair case. The claimant had 75% of the blame, whereas it should be the other way round because he should have been reminded verbally about the stairs not being secure. There should have been extra supervision regardless on site to make sure he did not come close to falling. Yes</w:t>
      </w:r>
      <w:r w:rsidR="00692609" w:rsidRPr="007D109D">
        <w:rPr>
          <w:rFonts w:cstheme="minorHAnsi"/>
          <w:sz w:val="24"/>
          <w:szCs w:val="24"/>
        </w:rPr>
        <w:t xml:space="preserve">, </w:t>
      </w:r>
      <w:r w:rsidRPr="007D109D">
        <w:rPr>
          <w:rFonts w:cstheme="minorHAnsi"/>
          <w:sz w:val="24"/>
          <w:szCs w:val="24"/>
        </w:rPr>
        <w:t>he fell</w:t>
      </w:r>
      <w:r w:rsidR="00692609" w:rsidRPr="007D109D">
        <w:rPr>
          <w:rFonts w:cstheme="minorHAnsi"/>
          <w:sz w:val="24"/>
          <w:szCs w:val="24"/>
        </w:rPr>
        <w:t xml:space="preserve"> </w:t>
      </w:r>
      <w:r w:rsidRPr="007D109D">
        <w:rPr>
          <w:rFonts w:cstheme="minorHAnsi"/>
          <w:sz w:val="24"/>
          <w:szCs w:val="24"/>
        </w:rPr>
        <w:t>and did not notice</w:t>
      </w:r>
      <w:r w:rsidR="00692609" w:rsidRPr="007D109D">
        <w:rPr>
          <w:rFonts w:cstheme="minorHAnsi"/>
          <w:sz w:val="24"/>
          <w:szCs w:val="24"/>
        </w:rPr>
        <w:t xml:space="preserve">, </w:t>
      </w:r>
      <w:r w:rsidRPr="007D109D">
        <w:rPr>
          <w:rFonts w:cstheme="minorHAnsi"/>
          <w:sz w:val="24"/>
          <w:szCs w:val="24"/>
        </w:rPr>
        <w:t xml:space="preserve">but that </w:t>
      </w:r>
      <w:r w:rsidR="00692609" w:rsidRPr="007D109D">
        <w:rPr>
          <w:rFonts w:cstheme="minorHAnsi"/>
          <w:sz w:val="24"/>
          <w:szCs w:val="24"/>
        </w:rPr>
        <w:t>does not</w:t>
      </w:r>
      <w:r w:rsidRPr="007D109D">
        <w:rPr>
          <w:rFonts w:cstheme="minorHAnsi"/>
          <w:sz w:val="24"/>
          <w:szCs w:val="24"/>
        </w:rPr>
        <w:t xml:space="preserve"> mean he </w:t>
      </w:r>
      <w:r w:rsidR="00692609" w:rsidRPr="007D109D">
        <w:rPr>
          <w:rFonts w:cstheme="minorHAnsi"/>
          <w:sz w:val="24"/>
          <w:szCs w:val="24"/>
        </w:rPr>
        <w:t>should not</w:t>
      </w:r>
      <w:r w:rsidRPr="007D109D">
        <w:rPr>
          <w:rFonts w:cstheme="minorHAnsi"/>
          <w:sz w:val="24"/>
          <w:szCs w:val="24"/>
        </w:rPr>
        <w:t xml:space="preserve"> </w:t>
      </w:r>
      <w:r w:rsidR="00692609" w:rsidRPr="007D109D">
        <w:rPr>
          <w:rFonts w:cstheme="minorHAnsi"/>
          <w:sz w:val="24"/>
          <w:szCs w:val="24"/>
        </w:rPr>
        <w:t>have</w:t>
      </w:r>
      <w:r w:rsidRPr="007D109D">
        <w:rPr>
          <w:rFonts w:cstheme="minorHAnsi"/>
          <w:sz w:val="24"/>
          <w:szCs w:val="24"/>
        </w:rPr>
        <w:t xml:space="preserve"> been made extra aware. </w:t>
      </w:r>
    </w:p>
    <w:p w14:paraId="39A35F6F" w14:textId="2995F7AD" w:rsidR="00692609" w:rsidRPr="007D109D" w:rsidRDefault="00692609" w:rsidP="006418F0">
      <w:pPr>
        <w:spacing w:line="480" w:lineRule="auto"/>
        <w:rPr>
          <w:rFonts w:cstheme="minorHAnsi"/>
          <w:sz w:val="24"/>
          <w:szCs w:val="24"/>
        </w:rPr>
      </w:pPr>
      <w:r w:rsidRPr="007D109D">
        <w:rPr>
          <w:rFonts w:cstheme="minorHAnsi"/>
          <w:sz w:val="24"/>
          <w:szCs w:val="24"/>
        </w:rPr>
        <w:t xml:space="preserve">Even though you are a thief, you should be made aware of security devices that are put into place. If a thief ends up injured from not being warned by a security device, the occupier can still be held accountable for his injuries, all because of no signage. </w:t>
      </w:r>
    </w:p>
    <w:p w14:paraId="12213D19" w14:textId="2031926B" w:rsidR="0065340D" w:rsidRPr="007D109D" w:rsidRDefault="0065340D" w:rsidP="006418F0">
      <w:pPr>
        <w:spacing w:line="480" w:lineRule="auto"/>
        <w:rPr>
          <w:rFonts w:cstheme="minorHAnsi"/>
          <w:sz w:val="24"/>
          <w:szCs w:val="24"/>
        </w:rPr>
      </w:pPr>
    </w:p>
    <w:p w14:paraId="1E119B5F" w14:textId="07867A88" w:rsidR="0065340D" w:rsidRPr="007D109D" w:rsidRDefault="0065340D" w:rsidP="006418F0">
      <w:pPr>
        <w:spacing w:line="480" w:lineRule="auto"/>
        <w:rPr>
          <w:rFonts w:cstheme="minorHAnsi"/>
          <w:sz w:val="24"/>
          <w:szCs w:val="24"/>
        </w:rPr>
      </w:pPr>
    </w:p>
    <w:p w14:paraId="4392427A" w14:textId="4CB22881" w:rsidR="007D109D" w:rsidRPr="007D109D" w:rsidRDefault="0065340D" w:rsidP="006418F0">
      <w:pPr>
        <w:spacing w:line="480" w:lineRule="auto"/>
        <w:rPr>
          <w:rFonts w:cstheme="minorHAnsi"/>
          <w:sz w:val="24"/>
          <w:szCs w:val="24"/>
        </w:rPr>
      </w:pPr>
      <w:r w:rsidRPr="007D109D">
        <w:rPr>
          <w:rFonts w:cstheme="minorHAnsi"/>
          <w:sz w:val="24"/>
          <w:szCs w:val="24"/>
        </w:rPr>
        <w:t>Reference List:</w:t>
      </w:r>
    </w:p>
    <w:p w14:paraId="506926EA" w14:textId="79299E7D" w:rsidR="007D109D" w:rsidRPr="007D109D" w:rsidRDefault="007D109D" w:rsidP="007D109D">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Anon, (n.d.). </w:t>
      </w:r>
      <w:r w:rsidRPr="007D109D">
        <w:rPr>
          <w:rFonts w:asciiTheme="minorHAnsi" w:hAnsiTheme="minorHAnsi" w:cstheme="minorHAnsi"/>
          <w:i/>
          <w:iCs/>
          <w:color w:val="000000"/>
        </w:rPr>
        <w:t xml:space="preserve">Occupiers’ liability – </w:t>
      </w:r>
      <w:proofErr w:type="spellStart"/>
      <w:r w:rsidRPr="007D109D">
        <w:rPr>
          <w:rFonts w:asciiTheme="minorHAnsi" w:hAnsiTheme="minorHAnsi" w:cstheme="minorHAnsi"/>
          <w:i/>
          <w:iCs/>
          <w:color w:val="000000"/>
        </w:rPr>
        <w:t>Webstroke</w:t>
      </w:r>
      <w:proofErr w:type="spellEnd"/>
      <w:r w:rsidRPr="007D109D">
        <w:rPr>
          <w:rFonts w:asciiTheme="minorHAnsi" w:hAnsiTheme="minorHAnsi" w:cstheme="minorHAnsi"/>
          <w:i/>
          <w:iCs/>
          <w:color w:val="000000"/>
        </w:rPr>
        <w:t xml:space="preserve"> Law</w:t>
      </w:r>
      <w:r w:rsidRPr="007D109D">
        <w:rPr>
          <w:rFonts w:asciiTheme="minorHAnsi" w:hAnsiTheme="minorHAnsi" w:cstheme="minorHAnsi"/>
          <w:color w:val="000000"/>
        </w:rPr>
        <w:t xml:space="preserve">. [online] Available at: </w:t>
      </w:r>
      <w:hyperlink r:id="rId7" w:history="1">
        <w:r w:rsidRPr="007D109D">
          <w:rPr>
            <w:rStyle w:val="Hyperlink"/>
            <w:rFonts w:asciiTheme="minorHAnsi" w:hAnsiTheme="minorHAnsi" w:cstheme="minorHAnsi"/>
          </w:rPr>
          <w:t>https://webstroke.co.uk/law/tort-law/occupiers-liability</w:t>
        </w:r>
      </w:hyperlink>
      <w:r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 2021].</w:t>
      </w:r>
    </w:p>
    <w:p w14:paraId="5BC199C5" w14:textId="7953AB73" w:rsidR="007D109D" w:rsidRPr="007D109D" w:rsidRDefault="007D109D" w:rsidP="007D109D">
      <w:pPr>
        <w:pStyle w:val="NormalWeb"/>
        <w:rPr>
          <w:rFonts w:asciiTheme="minorHAnsi" w:hAnsiTheme="minorHAnsi" w:cstheme="minorHAnsi"/>
          <w:color w:val="000000"/>
        </w:rPr>
      </w:pPr>
      <w:r w:rsidRPr="007D109D">
        <w:rPr>
          <w:rFonts w:asciiTheme="minorHAnsi" w:hAnsiTheme="minorHAnsi" w:cstheme="minorHAnsi"/>
          <w:color w:val="000000"/>
        </w:rPr>
        <w:t>‌</w:t>
      </w:r>
    </w:p>
    <w:p w14:paraId="750F5C7C" w14:textId="58358B01" w:rsidR="00347B79" w:rsidRPr="007D109D" w:rsidRDefault="00347B79" w:rsidP="00347B79">
      <w:pPr>
        <w:pStyle w:val="NormalWeb"/>
        <w:rPr>
          <w:rFonts w:asciiTheme="minorHAnsi" w:hAnsiTheme="minorHAnsi" w:cstheme="minorHAnsi"/>
          <w:color w:val="000000"/>
        </w:rPr>
      </w:pPr>
      <w:r w:rsidRPr="007D109D">
        <w:rPr>
          <w:rFonts w:asciiTheme="minorHAnsi" w:hAnsiTheme="minorHAnsi" w:cstheme="minorHAnsi"/>
          <w:color w:val="000000"/>
        </w:rPr>
        <w:t xml:space="preserve">Cilexlawschool.ac.uk. (2018). </w:t>
      </w:r>
      <w:r w:rsidRPr="007D109D">
        <w:rPr>
          <w:rFonts w:asciiTheme="minorHAnsi" w:hAnsiTheme="minorHAnsi" w:cstheme="minorHAnsi"/>
          <w:i/>
          <w:iCs/>
          <w:color w:val="000000"/>
        </w:rPr>
        <w:t>Negligence: The Duty Of Care – General Principles And Public Policy</w:t>
      </w:r>
      <w:r w:rsidRPr="007D109D">
        <w:rPr>
          <w:rFonts w:asciiTheme="minorHAnsi" w:hAnsiTheme="minorHAnsi" w:cstheme="minorHAnsi"/>
          <w:color w:val="000000"/>
        </w:rPr>
        <w:t xml:space="preserve">. [online] Available at: </w:t>
      </w:r>
      <w:hyperlink r:id="rId8" w:history="1">
        <w:r w:rsidR="005E4B5B" w:rsidRPr="007D109D">
          <w:rPr>
            <w:rStyle w:val="Hyperlink"/>
            <w:rFonts w:asciiTheme="minorHAnsi" w:hAnsiTheme="minorHAnsi" w:cstheme="minorHAnsi"/>
          </w:rPr>
          <w:t>https://cilexlawschool.ac.uk/wp-content/uploads/2018/10/HQ13-Law-of-Tort-Sample-2018.pdf</w:t>
        </w:r>
      </w:hyperlink>
      <w:r w:rsidR="005E4B5B"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January 2021].</w:t>
      </w:r>
    </w:p>
    <w:p w14:paraId="069DC8F9" w14:textId="7C76471D" w:rsidR="00347B79" w:rsidRPr="007D109D" w:rsidRDefault="00347B79" w:rsidP="00347B79">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HMC Lawyers. (2018). </w:t>
      </w:r>
      <w:r w:rsidRPr="007D109D">
        <w:rPr>
          <w:rFonts w:asciiTheme="minorHAnsi" w:hAnsiTheme="minorHAnsi" w:cstheme="minorHAnsi"/>
          <w:i/>
          <w:iCs/>
          <w:color w:val="000000"/>
        </w:rPr>
        <w:t>Occupiers Liability: What Does it Mean For You?</w:t>
      </w:r>
      <w:r w:rsidRPr="007D109D">
        <w:rPr>
          <w:rFonts w:asciiTheme="minorHAnsi" w:hAnsiTheme="minorHAnsi" w:cstheme="minorHAnsi"/>
          <w:color w:val="000000"/>
        </w:rPr>
        <w:t xml:space="preserve"> [online] Available at: </w:t>
      </w:r>
      <w:hyperlink r:id="rId9" w:history="1">
        <w:r w:rsidR="005E4B5B" w:rsidRPr="007D109D">
          <w:rPr>
            <w:rStyle w:val="Hyperlink"/>
            <w:rFonts w:asciiTheme="minorHAnsi" w:hAnsiTheme="minorHAnsi" w:cstheme="minorHAnsi"/>
          </w:rPr>
          <w:t>https://hmclawyers.com/occupiers-liability-2/occupiers-liability-mean/</w:t>
        </w:r>
      </w:hyperlink>
      <w:r w:rsidR="005E4B5B"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 2021].</w:t>
      </w:r>
    </w:p>
    <w:p w14:paraId="1CBEFE2D" w14:textId="77777777" w:rsidR="00347B79" w:rsidRPr="007D109D" w:rsidRDefault="00347B79" w:rsidP="00347B79">
      <w:pPr>
        <w:pStyle w:val="NormalWeb"/>
        <w:spacing w:before="0" w:beforeAutospacing="0" w:after="0" w:afterAutospacing="0" w:line="360" w:lineRule="atLeast"/>
        <w:rPr>
          <w:rFonts w:asciiTheme="minorHAnsi" w:hAnsiTheme="minorHAnsi" w:cstheme="minorHAnsi"/>
          <w:color w:val="000000"/>
        </w:rPr>
      </w:pPr>
    </w:p>
    <w:p w14:paraId="5197F411" w14:textId="5551F4A6" w:rsidR="00347B79" w:rsidRPr="007D109D" w:rsidRDefault="00347B79" w:rsidP="00347B79">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Legislation.gov.uk. (2011). </w:t>
      </w:r>
      <w:r w:rsidRPr="007D109D">
        <w:rPr>
          <w:rFonts w:asciiTheme="minorHAnsi" w:hAnsiTheme="minorHAnsi" w:cstheme="minorHAnsi"/>
          <w:i/>
          <w:iCs/>
          <w:color w:val="000000"/>
        </w:rPr>
        <w:t>Occupiers’ Liability Act 1957</w:t>
      </w:r>
      <w:r w:rsidRPr="007D109D">
        <w:rPr>
          <w:rFonts w:asciiTheme="minorHAnsi" w:hAnsiTheme="minorHAnsi" w:cstheme="minorHAnsi"/>
          <w:color w:val="000000"/>
        </w:rPr>
        <w:t xml:space="preserve">. [online] Available at: </w:t>
      </w:r>
      <w:hyperlink r:id="rId10" w:history="1">
        <w:r w:rsidR="005E4B5B" w:rsidRPr="007D109D">
          <w:rPr>
            <w:rStyle w:val="Hyperlink"/>
            <w:rFonts w:asciiTheme="minorHAnsi" w:hAnsiTheme="minorHAnsi" w:cstheme="minorHAnsi"/>
          </w:rPr>
          <w:t>https://www.legislation.gov.uk/ukpga/Eliz2/5-6/31/introduction</w:t>
        </w:r>
      </w:hyperlink>
      <w:r w:rsidR="005E4B5B"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 2021].</w:t>
      </w:r>
    </w:p>
    <w:p w14:paraId="442359DF" w14:textId="1B3BAA7D" w:rsidR="005E4B5B" w:rsidRPr="007D109D" w:rsidRDefault="005E4B5B" w:rsidP="00347B79">
      <w:pPr>
        <w:pStyle w:val="NormalWeb"/>
        <w:spacing w:before="0" w:beforeAutospacing="0" w:after="0" w:afterAutospacing="0" w:line="360" w:lineRule="atLeast"/>
        <w:rPr>
          <w:rFonts w:asciiTheme="minorHAnsi" w:hAnsiTheme="minorHAnsi" w:cstheme="minorHAnsi"/>
          <w:color w:val="000000"/>
        </w:rPr>
      </w:pPr>
    </w:p>
    <w:p w14:paraId="5B083528" w14:textId="2903E47E" w:rsidR="005E4B5B" w:rsidRPr="007D109D" w:rsidRDefault="005E4B5B" w:rsidP="005E4B5B">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lastRenderedPageBreak/>
        <w:t xml:space="preserve">OCCUPIERS LIABILITY Top Tips. (n.d.). [online] Available at: </w:t>
      </w:r>
      <w:hyperlink r:id="rId11" w:history="1">
        <w:r w:rsidRPr="007D109D">
          <w:rPr>
            <w:rStyle w:val="Hyperlink"/>
            <w:rFonts w:asciiTheme="minorHAnsi" w:hAnsiTheme="minorHAnsi" w:cstheme="minorHAnsi"/>
          </w:rPr>
          <w:t>https://www.norfolk.police.uk/sites/norfolk/files/occupiersliability2_.pdf</w:t>
        </w:r>
      </w:hyperlink>
      <w:r w:rsidRPr="007D109D">
        <w:rPr>
          <w:rFonts w:asciiTheme="minorHAnsi" w:hAnsiTheme="minorHAnsi" w:cstheme="minorHAnsi"/>
          <w:color w:val="000000"/>
        </w:rPr>
        <w:t xml:space="preserve"> </w:t>
      </w:r>
      <w:r w:rsidRPr="007D109D">
        <w:rPr>
          <w:rFonts w:asciiTheme="minorHAnsi" w:hAnsiTheme="minorHAnsi" w:cstheme="minorHAnsi"/>
          <w:color w:val="000000"/>
        </w:rPr>
        <w:t>[Accessed 8 Jan. 2021].</w:t>
      </w:r>
    </w:p>
    <w:p w14:paraId="1E411969" w14:textId="77777777" w:rsidR="005E4B5B" w:rsidRPr="007D109D" w:rsidRDefault="005E4B5B" w:rsidP="00347B79">
      <w:pPr>
        <w:pStyle w:val="NormalWeb"/>
        <w:spacing w:before="0" w:beforeAutospacing="0" w:after="0" w:afterAutospacing="0" w:line="360" w:lineRule="atLeast"/>
        <w:rPr>
          <w:rFonts w:asciiTheme="minorHAnsi" w:hAnsiTheme="minorHAnsi" w:cstheme="minorHAnsi"/>
          <w:color w:val="000000"/>
        </w:rPr>
      </w:pPr>
    </w:p>
    <w:p w14:paraId="1E80371E" w14:textId="4A7F754C" w:rsidR="005E4B5B" w:rsidRPr="007D109D" w:rsidRDefault="00347B79" w:rsidP="005E4B5B">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w:t>
      </w:r>
      <w:r w:rsidR="005E4B5B" w:rsidRPr="007D109D">
        <w:rPr>
          <w:rFonts w:asciiTheme="minorHAnsi" w:hAnsiTheme="minorHAnsi" w:cstheme="minorHAnsi"/>
          <w:color w:val="000000"/>
        </w:rPr>
        <w:t>W</w:t>
      </w:r>
      <w:r w:rsidR="005E4B5B" w:rsidRPr="007D109D">
        <w:rPr>
          <w:rFonts w:asciiTheme="minorHAnsi" w:hAnsiTheme="minorHAnsi" w:cstheme="minorHAnsi"/>
          <w:color w:val="000000"/>
        </w:rPr>
        <w:t>ww.injurylawyersdevon.co.uk. (n.d.). </w:t>
      </w:r>
      <w:r w:rsidR="005E4B5B" w:rsidRPr="007D109D">
        <w:rPr>
          <w:rFonts w:asciiTheme="minorHAnsi" w:hAnsiTheme="minorHAnsi" w:cstheme="minorHAnsi"/>
          <w:i/>
          <w:iCs/>
          <w:color w:val="000000"/>
        </w:rPr>
        <w:t>Occupiers Liability Injury Compensation Claim Solicitors Devon/Somerset</w:t>
      </w:r>
      <w:r w:rsidR="005E4B5B" w:rsidRPr="007D109D">
        <w:rPr>
          <w:rFonts w:asciiTheme="minorHAnsi" w:hAnsiTheme="minorHAnsi" w:cstheme="minorHAnsi"/>
          <w:color w:val="000000"/>
        </w:rPr>
        <w:t xml:space="preserve">. [online] Available at: </w:t>
      </w:r>
      <w:hyperlink r:id="rId12" w:history="1">
        <w:r w:rsidR="005E4B5B" w:rsidRPr="007D109D">
          <w:rPr>
            <w:rStyle w:val="Hyperlink"/>
            <w:rFonts w:asciiTheme="minorHAnsi" w:hAnsiTheme="minorHAnsi" w:cstheme="minorHAnsi"/>
          </w:rPr>
          <w:t>https://www.injurylawyersdevon.co.uk/occupiers-liability-claims.html#:~:text=</w:t>
        </w:r>
      </w:hyperlink>
      <w:r w:rsidR="005E4B5B" w:rsidRPr="007D109D">
        <w:rPr>
          <w:rFonts w:asciiTheme="minorHAnsi" w:hAnsiTheme="minorHAnsi" w:cstheme="minorHAnsi"/>
          <w:color w:val="000000"/>
        </w:rPr>
        <w:t xml:space="preserve"> </w:t>
      </w:r>
      <w:r w:rsidR="005E4B5B" w:rsidRPr="007D109D">
        <w:rPr>
          <w:rFonts w:asciiTheme="minorHAnsi" w:hAnsiTheme="minorHAnsi" w:cstheme="minorHAnsi"/>
          <w:color w:val="000000"/>
        </w:rPr>
        <w:t>[Accessed 8 Jan. 2021].</w:t>
      </w:r>
    </w:p>
    <w:p w14:paraId="16C3C1C0" w14:textId="77777777" w:rsidR="005E4B5B" w:rsidRPr="007D109D" w:rsidRDefault="005E4B5B" w:rsidP="005E4B5B">
      <w:pPr>
        <w:pStyle w:val="NormalWeb"/>
        <w:spacing w:before="0" w:beforeAutospacing="0" w:after="0" w:afterAutospacing="0" w:line="360" w:lineRule="atLeast"/>
        <w:rPr>
          <w:rFonts w:asciiTheme="minorHAnsi" w:hAnsiTheme="minorHAnsi" w:cstheme="minorHAnsi"/>
          <w:color w:val="000000"/>
        </w:rPr>
      </w:pPr>
    </w:p>
    <w:p w14:paraId="4AAC7600" w14:textId="50B0432D" w:rsidR="005E4B5B" w:rsidRPr="007D109D" w:rsidRDefault="005E4B5B" w:rsidP="005E4B5B">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w:t>
      </w:r>
      <w:r w:rsidRPr="007D109D">
        <w:rPr>
          <w:rFonts w:asciiTheme="minorHAnsi" w:hAnsiTheme="minorHAnsi" w:cstheme="minorHAnsi"/>
          <w:color w:val="000000"/>
        </w:rPr>
        <w:t>W</w:t>
      </w:r>
      <w:r w:rsidRPr="007D109D">
        <w:rPr>
          <w:rFonts w:asciiTheme="minorHAnsi" w:hAnsiTheme="minorHAnsi" w:cstheme="minorHAnsi"/>
          <w:color w:val="000000"/>
        </w:rPr>
        <w:t>ww.lawteacher.net. (n.d.). </w:t>
      </w:r>
      <w:r w:rsidRPr="007D109D">
        <w:rPr>
          <w:rFonts w:asciiTheme="minorHAnsi" w:hAnsiTheme="minorHAnsi" w:cstheme="minorHAnsi"/>
          <w:i/>
          <w:iCs/>
          <w:color w:val="000000"/>
        </w:rPr>
        <w:t>Young v Kent County Council - Case Summary</w:t>
      </w:r>
      <w:r w:rsidRPr="007D109D">
        <w:rPr>
          <w:rFonts w:asciiTheme="minorHAnsi" w:hAnsiTheme="minorHAnsi" w:cstheme="minorHAnsi"/>
          <w:color w:val="000000"/>
        </w:rPr>
        <w:t xml:space="preserve">. [online] Available at: </w:t>
      </w:r>
      <w:hyperlink r:id="rId13" w:history="1">
        <w:r w:rsidRPr="007D109D">
          <w:rPr>
            <w:rStyle w:val="Hyperlink"/>
            <w:rFonts w:asciiTheme="minorHAnsi" w:hAnsiTheme="minorHAnsi" w:cstheme="minorHAnsi"/>
          </w:rPr>
          <w:t>https://www.lawteacher.net/cases/young-v-kent-county-council.php</w:t>
        </w:r>
      </w:hyperlink>
      <w:r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 2021].</w:t>
      </w:r>
    </w:p>
    <w:p w14:paraId="7CA22FAD" w14:textId="77777777" w:rsidR="005E4B5B" w:rsidRPr="007D109D" w:rsidRDefault="005E4B5B" w:rsidP="005E4B5B">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w:t>
      </w:r>
    </w:p>
    <w:p w14:paraId="1DB613BD" w14:textId="5F87ABA7" w:rsidR="005E4B5B" w:rsidRPr="007D109D" w:rsidRDefault="005E4B5B" w:rsidP="005E4B5B">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W</w:t>
      </w:r>
      <w:r w:rsidRPr="007D109D">
        <w:rPr>
          <w:rFonts w:asciiTheme="minorHAnsi" w:hAnsiTheme="minorHAnsi" w:cstheme="minorHAnsi"/>
          <w:color w:val="000000"/>
        </w:rPr>
        <w:t>ww.brownejacobson.com. (n.d.). </w:t>
      </w:r>
      <w:r w:rsidRPr="007D109D">
        <w:rPr>
          <w:rFonts w:asciiTheme="minorHAnsi" w:hAnsiTheme="minorHAnsi" w:cstheme="minorHAnsi"/>
          <w:i/>
          <w:iCs/>
          <w:color w:val="000000"/>
        </w:rPr>
        <w:t>Tomlinson v Congleton Borough Council and Others House of Lords 31st July 2003</w:t>
      </w:r>
      <w:r w:rsidRPr="007D109D">
        <w:rPr>
          <w:rFonts w:asciiTheme="minorHAnsi" w:hAnsiTheme="minorHAnsi" w:cstheme="minorHAnsi"/>
          <w:color w:val="000000"/>
        </w:rPr>
        <w:t xml:space="preserve">. [online] Available at: </w:t>
      </w:r>
      <w:hyperlink r:id="rId14" w:history="1">
        <w:r w:rsidRPr="007D109D">
          <w:rPr>
            <w:rStyle w:val="Hyperlink"/>
            <w:rFonts w:asciiTheme="minorHAnsi" w:hAnsiTheme="minorHAnsi" w:cstheme="minorHAnsi"/>
          </w:rPr>
          <w:t>https://www.brownejacobson.com/insurance/training-and-resources/legal-updates/2003/08/tomlinson-v-congleton-borough-council-and-others-house-of-lords-31st-july-2003</w:t>
        </w:r>
      </w:hyperlink>
      <w:r w:rsidRPr="007D109D">
        <w:rPr>
          <w:rFonts w:asciiTheme="minorHAnsi" w:hAnsiTheme="minorHAnsi" w:cstheme="minorHAnsi"/>
          <w:color w:val="000000"/>
        </w:rPr>
        <w:t xml:space="preserve"> </w:t>
      </w:r>
      <w:r w:rsidRPr="007D109D">
        <w:rPr>
          <w:rFonts w:asciiTheme="minorHAnsi" w:hAnsiTheme="minorHAnsi" w:cstheme="minorHAnsi"/>
          <w:color w:val="000000"/>
        </w:rPr>
        <w:t xml:space="preserve"> [Accessed 8 Jan. 2021].</w:t>
      </w:r>
    </w:p>
    <w:p w14:paraId="72D10FB0" w14:textId="77777777" w:rsidR="007D109D" w:rsidRPr="007D109D" w:rsidRDefault="007D109D" w:rsidP="005E4B5B">
      <w:pPr>
        <w:pStyle w:val="NormalWeb"/>
        <w:spacing w:before="0" w:beforeAutospacing="0" w:after="0" w:afterAutospacing="0" w:line="360" w:lineRule="atLeast"/>
        <w:rPr>
          <w:rFonts w:asciiTheme="minorHAnsi" w:hAnsiTheme="minorHAnsi" w:cstheme="minorHAnsi"/>
          <w:color w:val="000000"/>
        </w:rPr>
      </w:pPr>
    </w:p>
    <w:p w14:paraId="19A3E839" w14:textId="1241050A" w:rsidR="007D109D" w:rsidRPr="007D109D" w:rsidRDefault="005E4B5B" w:rsidP="007D109D">
      <w:pPr>
        <w:pStyle w:val="NormalWeb"/>
        <w:spacing w:before="0" w:beforeAutospacing="0" w:after="0" w:afterAutospacing="0" w:line="360" w:lineRule="atLeast"/>
        <w:rPr>
          <w:rFonts w:asciiTheme="minorHAnsi" w:hAnsiTheme="minorHAnsi" w:cstheme="minorHAnsi"/>
          <w:color w:val="000000"/>
        </w:rPr>
      </w:pPr>
      <w:r w:rsidRPr="007D109D">
        <w:rPr>
          <w:rFonts w:asciiTheme="minorHAnsi" w:hAnsiTheme="minorHAnsi" w:cstheme="minorHAnsi"/>
          <w:color w:val="000000"/>
        </w:rPr>
        <w:t>‌</w:t>
      </w:r>
      <w:r w:rsidR="007D109D" w:rsidRPr="007D109D">
        <w:rPr>
          <w:rFonts w:asciiTheme="minorHAnsi" w:hAnsiTheme="minorHAnsi" w:cstheme="minorHAnsi"/>
          <w:color w:val="000000"/>
        </w:rPr>
        <w:t xml:space="preserve"> W</w:t>
      </w:r>
      <w:r w:rsidR="007D109D" w:rsidRPr="007D109D">
        <w:rPr>
          <w:rFonts w:asciiTheme="minorHAnsi" w:hAnsiTheme="minorHAnsi" w:cstheme="minorHAnsi"/>
          <w:color w:val="000000"/>
        </w:rPr>
        <w:t>ww.brownejacobson.com. (n.d.). </w:t>
      </w:r>
      <w:r w:rsidR="007D109D" w:rsidRPr="007D109D">
        <w:rPr>
          <w:rFonts w:asciiTheme="minorHAnsi" w:hAnsiTheme="minorHAnsi" w:cstheme="minorHAnsi"/>
          <w:i/>
          <w:iCs/>
          <w:color w:val="000000"/>
        </w:rPr>
        <w:t>Lough v Intruder Detention &amp; Surveillance Fire &amp; Security Ltd &amp; Anor, Court of Appeal, 26 June 2008</w:t>
      </w:r>
      <w:r w:rsidR="007D109D" w:rsidRPr="007D109D">
        <w:rPr>
          <w:rFonts w:asciiTheme="minorHAnsi" w:hAnsiTheme="minorHAnsi" w:cstheme="minorHAnsi"/>
          <w:color w:val="000000"/>
        </w:rPr>
        <w:t xml:space="preserve">. [online] Available at: </w:t>
      </w:r>
      <w:hyperlink r:id="rId15" w:history="1">
        <w:r w:rsidR="007D109D" w:rsidRPr="007D109D">
          <w:rPr>
            <w:rStyle w:val="Hyperlink"/>
            <w:rFonts w:asciiTheme="minorHAnsi" w:hAnsiTheme="minorHAnsi" w:cstheme="minorHAnsi"/>
          </w:rPr>
          <w:t>https://www.brownejacobson.com/insurance/training-and-resources/legal-updates/2008/09/lough-v-intruder-detention-surveillance-fire-security-ltd-anorcourt-of-appeal-26th-june-2008</w:t>
        </w:r>
      </w:hyperlink>
      <w:r w:rsidR="007D109D" w:rsidRPr="007D109D">
        <w:rPr>
          <w:rFonts w:asciiTheme="minorHAnsi" w:hAnsiTheme="minorHAnsi" w:cstheme="minorHAnsi"/>
          <w:color w:val="000000"/>
        </w:rPr>
        <w:t xml:space="preserve"> </w:t>
      </w:r>
      <w:r w:rsidR="007D109D" w:rsidRPr="007D109D">
        <w:rPr>
          <w:rFonts w:asciiTheme="minorHAnsi" w:hAnsiTheme="minorHAnsi" w:cstheme="minorHAnsi"/>
          <w:color w:val="000000"/>
        </w:rPr>
        <w:t xml:space="preserve"> [Accessed 8 Jan. 2021].</w:t>
      </w:r>
    </w:p>
    <w:p w14:paraId="4010A3B4" w14:textId="77777777" w:rsidR="007D109D" w:rsidRPr="007D109D" w:rsidRDefault="007D109D" w:rsidP="007D109D">
      <w:pPr>
        <w:pStyle w:val="NormalWeb"/>
        <w:rPr>
          <w:rFonts w:asciiTheme="minorHAnsi" w:hAnsiTheme="minorHAnsi" w:cstheme="minorHAnsi"/>
          <w:color w:val="000000"/>
        </w:rPr>
      </w:pPr>
      <w:r w:rsidRPr="007D109D">
        <w:rPr>
          <w:rFonts w:asciiTheme="minorHAnsi" w:hAnsiTheme="minorHAnsi" w:cstheme="minorHAnsi"/>
          <w:color w:val="000000"/>
        </w:rPr>
        <w:t>‌</w:t>
      </w:r>
    </w:p>
    <w:p w14:paraId="4E648503" w14:textId="596517CA" w:rsidR="007D109D" w:rsidRPr="007D109D" w:rsidRDefault="007D109D" w:rsidP="007D109D">
      <w:pPr>
        <w:pStyle w:val="NormalWeb"/>
        <w:rPr>
          <w:rFonts w:ascii="Calibri" w:hAnsi="Calibri" w:cs="Calibri"/>
          <w:color w:val="000000"/>
          <w:sz w:val="27"/>
          <w:szCs w:val="27"/>
        </w:rPr>
      </w:pPr>
    </w:p>
    <w:sectPr w:rsidR="007D109D" w:rsidRPr="007D109D" w:rsidSect="00DB516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57CD11" w14:textId="77777777" w:rsidR="00FA6A91" w:rsidRDefault="00FA6A91" w:rsidP="006418F0">
      <w:pPr>
        <w:spacing w:after="0" w:line="240" w:lineRule="auto"/>
      </w:pPr>
      <w:r>
        <w:separator/>
      </w:r>
    </w:p>
  </w:endnote>
  <w:endnote w:type="continuationSeparator" w:id="0">
    <w:p w14:paraId="17727A6E" w14:textId="77777777" w:rsidR="00FA6A91" w:rsidRDefault="00FA6A91" w:rsidP="00641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9025062"/>
      <w:docPartObj>
        <w:docPartGallery w:val="Page Numbers (Bottom of Page)"/>
        <w:docPartUnique/>
      </w:docPartObj>
    </w:sdtPr>
    <w:sdtEndPr>
      <w:rPr>
        <w:color w:val="7F7F7F" w:themeColor="background1" w:themeShade="7F"/>
        <w:spacing w:val="60"/>
      </w:rPr>
    </w:sdtEndPr>
    <w:sdtContent>
      <w:p w14:paraId="7C11212A" w14:textId="78BA1AB0" w:rsidR="006418F0" w:rsidRDefault="006418F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716CE2" w14:textId="77777777" w:rsidR="006418F0" w:rsidRDefault="00641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ACB359" w14:textId="77777777" w:rsidR="00FA6A91" w:rsidRDefault="00FA6A91" w:rsidP="006418F0">
      <w:pPr>
        <w:spacing w:after="0" w:line="240" w:lineRule="auto"/>
      </w:pPr>
      <w:r>
        <w:separator/>
      </w:r>
    </w:p>
  </w:footnote>
  <w:footnote w:type="continuationSeparator" w:id="0">
    <w:p w14:paraId="2D072340" w14:textId="77777777" w:rsidR="00FA6A91" w:rsidRDefault="00FA6A91" w:rsidP="00641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B2675E"/>
    <w:multiLevelType w:val="hybridMultilevel"/>
    <w:tmpl w:val="64463F2C"/>
    <w:lvl w:ilvl="0" w:tplc="10E0AD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EB"/>
    <w:rsid w:val="00037B54"/>
    <w:rsid w:val="000975DD"/>
    <w:rsid w:val="000A33D3"/>
    <w:rsid w:val="000A396E"/>
    <w:rsid w:val="00132FCF"/>
    <w:rsid w:val="0017307E"/>
    <w:rsid w:val="001774C8"/>
    <w:rsid w:val="001A0BBE"/>
    <w:rsid w:val="001D7C7A"/>
    <w:rsid w:val="00274E70"/>
    <w:rsid w:val="002D315B"/>
    <w:rsid w:val="002E73C6"/>
    <w:rsid w:val="002F53F1"/>
    <w:rsid w:val="002F7656"/>
    <w:rsid w:val="00302025"/>
    <w:rsid w:val="00310126"/>
    <w:rsid w:val="00322F3C"/>
    <w:rsid w:val="00347B79"/>
    <w:rsid w:val="00384A1E"/>
    <w:rsid w:val="0038762C"/>
    <w:rsid w:val="003B377A"/>
    <w:rsid w:val="003F3A61"/>
    <w:rsid w:val="00423E45"/>
    <w:rsid w:val="00427B83"/>
    <w:rsid w:val="00432AC7"/>
    <w:rsid w:val="00441F3E"/>
    <w:rsid w:val="00447484"/>
    <w:rsid w:val="004566B9"/>
    <w:rsid w:val="00471A9B"/>
    <w:rsid w:val="004C467E"/>
    <w:rsid w:val="004C6E66"/>
    <w:rsid w:val="004E5240"/>
    <w:rsid w:val="004F348D"/>
    <w:rsid w:val="00506A74"/>
    <w:rsid w:val="005465BE"/>
    <w:rsid w:val="00563EE8"/>
    <w:rsid w:val="00591BBF"/>
    <w:rsid w:val="005963AD"/>
    <w:rsid w:val="005A761B"/>
    <w:rsid w:val="005E364D"/>
    <w:rsid w:val="005E4A2C"/>
    <w:rsid w:val="005E4B5B"/>
    <w:rsid w:val="00600BFC"/>
    <w:rsid w:val="00602102"/>
    <w:rsid w:val="006418F0"/>
    <w:rsid w:val="00644C84"/>
    <w:rsid w:val="0065340D"/>
    <w:rsid w:val="00656089"/>
    <w:rsid w:val="0068096B"/>
    <w:rsid w:val="00692609"/>
    <w:rsid w:val="006978D8"/>
    <w:rsid w:val="006B070C"/>
    <w:rsid w:val="006C51AB"/>
    <w:rsid w:val="006C5CEC"/>
    <w:rsid w:val="00726B1C"/>
    <w:rsid w:val="00765B11"/>
    <w:rsid w:val="007B6668"/>
    <w:rsid w:val="007C180A"/>
    <w:rsid w:val="007D075B"/>
    <w:rsid w:val="007D109D"/>
    <w:rsid w:val="007D7CA0"/>
    <w:rsid w:val="007E08F4"/>
    <w:rsid w:val="00802854"/>
    <w:rsid w:val="0086327A"/>
    <w:rsid w:val="00866359"/>
    <w:rsid w:val="00880200"/>
    <w:rsid w:val="008805DD"/>
    <w:rsid w:val="008A2BAB"/>
    <w:rsid w:val="008D07C4"/>
    <w:rsid w:val="008D723D"/>
    <w:rsid w:val="008E5360"/>
    <w:rsid w:val="008F16E9"/>
    <w:rsid w:val="009100F5"/>
    <w:rsid w:val="00937F2A"/>
    <w:rsid w:val="00A47D20"/>
    <w:rsid w:val="00A95394"/>
    <w:rsid w:val="00AA5E91"/>
    <w:rsid w:val="00AC5733"/>
    <w:rsid w:val="00AC5B26"/>
    <w:rsid w:val="00AC7AD9"/>
    <w:rsid w:val="00AE0709"/>
    <w:rsid w:val="00B15C9A"/>
    <w:rsid w:val="00B73810"/>
    <w:rsid w:val="00B81526"/>
    <w:rsid w:val="00BA2B56"/>
    <w:rsid w:val="00BB2EBC"/>
    <w:rsid w:val="00BC20CA"/>
    <w:rsid w:val="00C22C6E"/>
    <w:rsid w:val="00C44BC1"/>
    <w:rsid w:val="00CA53A8"/>
    <w:rsid w:val="00CA5651"/>
    <w:rsid w:val="00CB0E07"/>
    <w:rsid w:val="00CE059A"/>
    <w:rsid w:val="00CE0BDD"/>
    <w:rsid w:val="00D0365C"/>
    <w:rsid w:val="00D036BA"/>
    <w:rsid w:val="00D304B9"/>
    <w:rsid w:val="00D46DB6"/>
    <w:rsid w:val="00D5246F"/>
    <w:rsid w:val="00D82B6F"/>
    <w:rsid w:val="00DA776C"/>
    <w:rsid w:val="00DB5163"/>
    <w:rsid w:val="00DB58A9"/>
    <w:rsid w:val="00DB66D5"/>
    <w:rsid w:val="00DB7A41"/>
    <w:rsid w:val="00E551D1"/>
    <w:rsid w:val="00E74169"/>
    <w:rsid w:val="00E80E5E"/>
    <w:rsid w:val="00E81856"/>
    <w:rsid w:val="00EA0AEB"/>
    <w:rsid w:val="00EB7B28"/>
    <w:rsid w:val="00EC7F79"/>
    <w:rsid w:val="00ED1D90"/>
    <w:rsid w:val="00ED6550"/>
    <w:rsid w:val="00F410E2"/>
    <w:rsid w:val="00F5101B"/>
    <w:rsid w:val="00F526B1"/>
    <w:rsid w:val="00F552B7"/>
    <w:rsid w:val="00F772F1"/>
    <w:rsid w:val="00FA6A91"/>
    <w:rsid w:val="00FD0142"/>
    <w:rsid w:val="00FD589F"/>
    <w:rsid w:val="00FE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CA8C5"/>
  <w15:chartTrackingRefBased/>
  <w15:docId w15:val="{A50EFF3B-BB5B-471D-9FC8-28A8D5C3F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51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163"/>
    <w:rPr>
      <w:rFonts w:eastAsiaTheme="minorEastAsia"/>
      <w:lang w:val="en-US"/>
    </w:rPr>
  </w:style>
  <w:style w:type="character" w:styleId="Hyperlink">
    <w:name w:val="Hyperlink"/>
    <w:basedOn w:val="DefaultParagraphFont"/>
    <w:uiPriority w:val="99"/>
    <w:unhideWhenUsed/>
    <w:rsid w:val="001774C8"/>
    <w:rPr>
      <w:color w:val="0563C1" w:themeColor="hyperlink"/>
      <w:u w:val="single"/>
    </w:rPr>
  </w:style>
  <w:style w:type="character" w:styleId="UnresolvedMention">
    <w:name w:val="Unresolved Mention"/>
    <w:basedOn w:val="DefaultParagraphFont"/>
    <w:uiPriority w:val="99"/>
    <w:semiHidden/>
    <w:unhideWhenUsed/>
    <w:rsid w:val="001774C8"/>
    <w:rPr>
      <w:color w:val="605E5C"/>
      <w:shd w:val="clear" w:color="auto" w:fill="E1DFDD"/>
    </w:rPr>
  </w:style>
  <w:style w:type="paragraph" w:styleId="ListParagraph">
    <w:name w:val="List Paragraph"/>
    <w:basedOn w:val="Normal"/>
    <w:uiPriority w:val="34"/>
    <w:qFormat/>
    <w:rsid w:val="00866359"/>
    <w:pPr>
      <w:ind w:left="720"/>
      <w:contextualSpacing/>
    </w:pPr>
  </w:style>
  <w:style w:type="character" w:styleId="FollowedHyperlink">
    <w:name w:val="FollowedHyperlink"/>
    <w:basedOn w:val="DefaultParagraphFont"/>
    <w:uiPriority w:val="99"/>
    <w:semiHidden/>
    <w:unhideWhenUsed/>
    <w:rsid w:val="00B15C9A"/>
    <w:rPr>
      <w:color w:val="954F72" w:themeColor="followedHyperlink"/>
      <w:u w:val="single"/>
    </w:rPr>
  </w:style>
  <w:style w:type="paragraph" w:styleId="Header">
    <w:name w:val="header"/>
    <w:basedOn w:val="Normal"/>
    <w:link w:val="HeaderChar"/>
    <w:uiPriority w:val="99"/>
    <w:unhideWhenUsed/>
    <w:rsid w:val="006418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8F0"/>
  </w:style>
  <w:style w:type="paragraph" w:styleId="Footer">
    <w:name w:val="footer"/>
    <w:basedOn w:val="Normal"/>
    <w:link w:val="FooterChar"/>
    <w:uiPriority w:val="99"/>
    <w:unhideWhenUsed/>
    <w:rsid w:val="006418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8F0"/>
  </w:style>
  <w:style w:type="paragraph" w:styleId="NormalWeb">
    <w:name w:val="Normal (Web)"/>
    <w:basedOn w:val="Normal"/>
    <w:uiPriority w:val="99"/>
    <w:unhideWhenUsed/>
    <w:rsid w:val="00347B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9384138">
      <w:bodyDiv w:val="1"/>
      <w:marLeft w:val="0"/>
      <w:marRight w:val="0"/>
      <w:marTop w:val="0"/>
      <w:marBottom w:val="0"/>
      <w:divBdr>
        <w:top w:val="none" w:sz="0" w:space="0" w:color="auto"/>
        <w:left w:val="none" w:sz="0" w:space="0" w:color="auto"/>
        <w:bottom w:val="none" w:sz="0" w:space="0" w:color="auto"/>
        <w:right w:val="none" w:sz="0" w:space="0" w:color="auto"/>
      </w:divBdr>
    </w:div>
    <w:div w:id="313879349">
      <w:bodyDiv w:val="1"/>
      <w:marLeft w:val="0"/>
      <w:marRight w:val="0"/>
      <w:marTop w:val="0"/>
      <w:marBottom w:val="0"/>
      <w:divBdr>
        <w:top w:val="none" w:sz="0" w:space="0" w:color="auto"/>
        <w:left w:val="none" w:sz="0" w:space="0" w:color="auto"/>
        <w:bottom w:val="none" w:sz="0" w:space="0" w:color="auto"/>
        <w:right w:val="none" w:sz="0" w:space="0" w:color="auto"/>
      </w:divBdr>
    </w:div>
    <w:div w:id="597519715">
      <w:bodyDiv w:val="1"/>
      <w:marLeft w:val="0"/>
      <w:marRight w:val="0"/>
      <w:marTop w:val="0"/>
      <w:marBottom w:val="0"/>
      <w:divBdr>
        <w:top w:val="none" w:sz="0" w:space="0" w:color="auto"/>
        <w:left w:val="none" w:sz="0" w:space="0" w:color="auto"/>
        <w:bottom w:val="none" w:sz="0" w:space="0" w:color="auto"/>
        <w:right w:val="none" w:sz="0" w:space="0" w:color="auto"/>
      </w:divBdr>
    </w:div>
    <w:div w:id="782110048">
      <w:bodyDiv w:val="1"/>
      <w:marLeft w:val="0"/>
      <w:marRight w:val="0"/>
      <w:marTop w:val="0"/>
      <w:marBottom w:val="0"/>
      <w:divBdr>
        <w:top w:val="none" w:sz="0" w:space="0" w:color="auto"/>
        <w:left w:val="none" w:sz="0" w:space="0" w:color="auto"/>
        <w:bottom w:val="none" w:sz="0" w:space="0" w:color="auto"/>
        <w:right w:val="none" w:sz="0" w:space="0" w:color="auto"/>
      </w:divBdr>
    </w:div>
    <w:div w:id="998776836">
      <w:bodyDiv w:val="1"/>
      <w:marLeft w:val="0"/>
      <w:marRight w:val="0"/>
      <w:marTop w:val="0"/>
      <w:marBottom w:val="0"/>
      <w:divBdr>
        <w:top w:val="none" w:sz="0" w:space="0" w:color="auto"/>
        <w:left w:val="none" w:sz="0" w:space="0" w:color="auto"/>
        <w:bottom w:val="none" w:sz="0" w:space="0" w:color="auto"/>
        <w:right w:val="none" w:sz="0" w:space="0" w:color="auto"/>
      </w:divBdr>
    </w:div>
    <w:div w:id="1253778692">
      <w:bodyDiv w:val="1"/>
      <w:marLeft w:val="0"/>
      <w:marRight w:val="0"/>
      <w:marTop w:val="0"/>
      <w:marBottom w:val="0"/>
      <w:divBdr>
        <w:top w:val="none" w:sz="0" w:space="0" w:color="auto"/>
        <w:left w:val="none" w:sz="0" w:space="0" w:color="auto"/>
        <w:bottom w:val="none" w:sz="0" w:space="0" w:color="auto"/>
        <w:right w:val="none" w:sz="0" w:space="0" w:color="auto"/>
      </w:divBdr>
    </w:div>
    <w:div w:id="1410343938">
      <w:bodyDiv w:val="1"/>
      <w:marLeft w:val="0"/>
      <w:marRight w:val="0"/>
      <w:marTop w:val="0"/>
      <w:marBottom w:val="0"/>
      <w:divBdr>
        <w:top w:val="none" w:sz="0" w:space="0" w:color="auto"/>
        <w:left w:val="none" w:sz="0" w:space="0" w:color="auto"/>
        <w:bottom w:val="none" w:sz="0" w:space="0" w:color="auto"/>
        <w:right w:val="none" w:sz="0" w:space="0" w:color="auto"/>
      </w:divBdr>
    </w:div>
    <w:div w:id="182330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lexlawschool.ac.uk/wp-content/uploads/2018/10/HQ13-Law-of-Tort-Sample-2018.pdf" TargetMode="External"/><Relationship Id="rId13" Type="http://schemas.openxmlformats.org/officeDocument/2006/relationships/hyperlink" Target="https://www.lawteacher.net/cases/young-v-kent-county-council.ph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ebstroke.co.uk/law/tort-law/occupiers-liability" TargetMode="External"/><Relationship Id="rId12" Type="http://schemas.openxmlformats.org/officeDocument/2006/relationships/hyperlink" Target="https://www.injurylawyersdevon.co.uk/occupiers-liability-claims.html#:~:tex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folk.police.uk/sites/norfolk/files/occupiersliability2_.pdf" TargetMode="External"/><Relationship Id="rId5" Type="http://schemas.openxmlformats.org/officeDocument/2006/relationships/footnotes" Target="footnotes.xml"/><Relationship Id="rId15" Type="http://schemas.openxmlformats.org/officeDocument/2006/relationships/hyperlink" Target="https://www.brownejacobson.com/insurance/training-and-resources/legal-updates/2008/09/lough-v-intruder-detention-surveillance-fire-security-ltd-anorcourt-of-appeal-26th-june-2008" TargetMode="External"/><Relationship Id="rId10" Type="http://schemas.openxmlformats.org/officeDocument/2006/relationships/hyperlink" Target="https://www.legislation.gov.uk/ukpga/Eliz2/5-6/31/introduction" TargetMode="External"/><Relationship Id="rId4" Type="http://schemas.openxmlformats.org/officeDocument/2006/relationships/webSettings" Target="webSettings.xml"/><Relationship Id="rId9" Type="http://schemas.openxmlformats.org/officeDocument/2006/relationships/hyperlink" Target="https://hmclawyers.com/occupiers-liability-2/occupiers-liability-mean/" TargetMode="External"/><Relationship Id="rId14" Type="http://schemas.openxmlformats.org/officeDocument/2006/relationships/hyperlink" Target="https://www.brownejacobson.com/insurance/training-and-resources/legal-updates/2003/08/tomlinson-v-congleton-borough-council-and-others-house-of-lords-31st-july-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4452</TotalTime>
  <Pages>11</Pages>
  <Words>2536</Words>
  <Characters>14458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occupiers liability</vt:lpstr>
    </vt:vector>
  </TitlesOfParts>
  <Company/>
  <LinksUpToDate>false</LinksUpToDate>
  <CharactersWithSpaces>16961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occupiers liability</dc:title>
  <dc:subject/>
  <dc:creator>Hollie Owen</dc:creator>
  <cp:keywords/>
  <dc:description/>
  <cp:lastModifiedBy>Samantha Colbron</cp:lastModifiedBy>
  <cp:revision>37</cp:revision>
  <dcterms:created xsi:type="dcterms:W3CDTF">2021-01-05T20:17:00Z</dcterms:created>
  <dcterms:modified xsi:type="dcterms:W3CDTF">2021-01-08T23:38:00Z</dcterms:modified>
</cp:coreProperties>
</file>