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187C52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62BE1">
        <w:rPr>
          <w:rFonts w:asciiTheme="minorBidi" w:hAnsiTheme="minorBidi"/>
          <w:sz w:val="28"/>
          <w:szCs w:val="28"/>
        </w:rPr>
        <w:t>Fareen Riaz</w:t>
      </w:r>
    </w:p>
    <w:p w14:paraId="485B6F49" w14:textId="7935A47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62BE1">
        <w:rPr>
          <w:rFonts w:asciiTheme="minorBidi" w:hAnsiTheme="minorBidi"/>
          <w:sz w:val="28"/>
          <w:szCs w:val="28"/>
        </w:rPr>
        <w:t>2540330</w:t>
      </w:r>
    </w:p>
    <w:p w14:paraId="3C1E7A20" w14:textId="1892B2E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62BE1">
        <w:rPr>
          <w:rFonts w:asciiTheme="minorBidi" w:hAnsiTheme="minorBidi"/>
          <w:sz w:val="28"/>
          <w:szCs w:val="28"/>
        </w:rPr>
        <w:t>LCHS4001</w:t>
      </w:r>
    </w:p>
    <w:p w14:paraId="4EEB2DA3" w14:textId="7D7461C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62BE1">
        <w:rPr>
          <w:rFonts w:asciiTheme="minorBidi" w:hAnsiTheme="minorBidi"/>
          <w:sz w:val="28"/>
          <w:szCs w:val="28"/>
        </w:rPr>
        <w:t>Academic and Employability Skills</w:t>
      </w:r>
    </w:p>
    <w:p w14:paraId="112342CB" w14:textId="4BD1751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62BE1">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0C6F95D6" w14:textId="3D856EDC" w:rsidR="00ED5964" w:rsidRDefault="00A62BE1" w:rsidP="00A62BE1">
      <w:pPr>
        <w:tabs>
          <w:tab w:val="left" w:pos="7570"/>
        </w:tabs>
        <w:jc w:val="both"/>
        <w:rPr>
          <w:rFonts w:asciiTheme="minorBidi" w:hAnsiTheme="minorBidi"/>
          <w:sz w:val="28"/>
          <w:szCs w:val="28"/>
        </w:rPr>
      </w:pPr>
      <w:r>
        <w:rPr>
          <w:rFonts w:asciiTheme="minorBidi" w:hAnsiTheme="minorBidi"/>
          <w:sz w:val="28"/>
          <w:szCs w:val="28"/>
        </w:rPr>
        <w:tab/>
      </w:r>
    </w:p>
    <w:p w14:paraId="71D7459F" w14:textId="77777777" w:rsidR="00ED5964" w:rsidRDefault="00ED5964" w:rsidP="00ED5964">
      <w:pPr>
        <w:jc w:val="both"/>
        <w:rPr>
          <w:rFonts w:asciiTheme="minorBidi" w:hAnsiTheme="minorBidi"/>
          <w:sz w:val="28"/>
          <w:szCs w:val="28"/>
        </w:rPr>
      </w:pPr>
    </w:p>
    <w:p w14:paraId="4332189B" w14:textId="77777777" w:rsidR="001D2DCB" w:rsidRDefault="001D2DCB"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473631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F27FC">
        <w:rPr>
          <w:rFonts w:asciiTheme="minorBidi" w:hAnsiTheme="minorBidi"/>
          <w:sz w:val="28"/>
          <w:szCs w:val="28"/>
        </w:rPr>
        <w:t>24/07/2026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54889250" w14:textId="4490C9A2" w:rsidR="00AF27FC" w:rsidRDefault="007B2036">
          <w:pPr>
            <w:pStyle w:val="TOC1"/>
            <w:tabs>
              <w:tab w:val="right" w:pos="9016"/>
            </w:tabs>
            <w:rPr>
              <w:rFonts w:asciiTheme="minorHAnsi" w:hAnsiTheme="minorHAnsi" w:cstheme="minorBidi"/>
              <w:b w:val="0"/>
              <w:bCs w:val="0"/>
              <w:caps w:val="0"/>
              <w:noProof/>
              <w:szCs w:val="24"/>
              <w:lang w:eastAsia="en-GB"/>
            </w:rPr>
          </w:pPr>
          <w:r>
            <w:fldChar w:fldCharType="begin"/>
          </w:r>
          <w:r>
            <w:instrText xml:space="preserve"> TOC \o "1-3" \h \z \u </w:instrText>
          </w:r>
          <w:r>
            <w:fldChar w:fldCharType="separate"/>
          </w:r>
          <w:hyperlink w:anchor="_Toc235756671" w:history="1">
            <w:r w:rsidR="00AF27FC" w:rsidRPr="00C02902">
              <w:rPr>
                <w:rStyle w:val="Hyperlink"/>
                <w:noProof/>
              </w:rPr>
              <w:t>1: Written Report</w:t>
            </w:r>
            <w:r w:rsidR="00AF27FC">
              <w:rPr>
                <w:noProof/>
                <w:webHidden/>
              </w:rPr>
              <w:tab/>
            </w:r>
            <w:r w:rsidR="00AF27FC">
              <w:rPr>
                <w:noProof/>
                <w:webHidden/>
              </w:rPr>
              <w:fldChar w:fldCharType="begin"/>
            </w:r>
            <w:r w:rsidR="00AF27FC">
              <w:rPr>
                <w:noProof/>
                <w:webHidden/>
              </w:rPr>
              <w:instrText xml:space="preserve"> PAGEREF _Toc235756671 \h </w:instrText>
            </w:r>
            <w:r w:rsidR="00AF27FC">
              <w:rPr>
                <w:noProof/>
                <w:webHidden/>
              </w:rPr>
            </w:r>
            <w:r w:rsidR="00AF27FC">
              <w:rPr>
                <w:noProof/>
                <w:webHidden/>
              </w:rPr>
              <w:fldChar w:fldCharType="separate"/>
            </w:r>
            <w:r w:rsidR="00AF27FC">
              <w:rPr>
                <w:noProof/>
                <w:webHidden/>
              </w:rPr>
              <w:t>3</w:t>
            </w:r>
            <w:r w:rsidR="00AF27FC">
              <w:rPr>
                <w:noProof/>
                <w:webHidden/>
              </w:rPr>
              <w:fldChar w:fldCharType="end"/>
            </w:r>
          </w:hyperlink>
        </w:p>
        <w:p w14:paraId="1661DBA9" w14:textId="2B6B497E" w:rsidR="00AF27FC" w:rsidRDefault="00AF27FC">
          <w:pPr>
            <w:pStyle w:val="TOC2"/>
            <w:tabs>
              <w:tab w:val="left" w:pos="600"/>
              <w:tab w:val="right" w:pos="9016"/>
            </w:tabs>
            <w:rPr>
              <w:rFonts w:cstheme="minorBidi"/>
              <w:b w:val="0"/>
              <w:bCs w:val="0"/>
              <w:noProof/>
              <w:sz w:val="24"/>
              <w:lang w:eastAsia="en-GB"/>
            </w:rPr>
          </w:pPr>
          <w:hyperlink w:anchor="_Toc235756672" w:history="1">
            <w:r w:rsidRPr="00C02902">
              <w:rPr>
                <w:rStyle w:val="Hyperlink"/>
                <w:noProof/>
              </w:rPr>
              <w:t>1.1</w:t>
            </w:r>
            <w:r>
              <w:rPr>
                <w:rFonts w:cstheme="minorBidi"/>
                <w:b w:val="0"/>
                <w:bCs w:val="0"/>
                <w:noProof/>
                <w:sz w:val="24"/>
                <w:lang w:eastAsia="en-GB"/>
              </w:rPr>
              <w:tab/>
            </w:r>
            <w:r w:rsidRPr="00C02902">
              <w:rPr>
                <w:rStyle w:val="Hyperlink"/>
                <w:noProof/>
              </w:rPr>
              <w:t>Introduction</w:t>
            </w:r>
            <w:r>
              <w:rPr>
                <w:noProof/>
                <w:webHidden/>
              </w:rPr>
              <w:tab/>
            </w:r>
            <w:r>
              <w:rPr>
                <w:noProof/>
                <w:webHidden/>
              </w:rPr>
              <w:fldChar w:fldCharType="begin"/>
            </w:r>
            <w:r>
              <w:rPr>
                <w:noProof/>
                <w:webHidden/>
              </w:rPr>
              <w:instrText xml:space="preserve"> PAGEREF _Toc235756672 \h </w:instrText>
            </w:r>
            <w:r>
              <w:rPr>
                <w:noProof/>
                <w:webHidden/>
              </w:rPr>
            </w:r>
            <w:r>
              <w:rPr>
                <w:noProof/>
                <w:webHidden/>
              </w:rPr>
              <w:fldChar w:fldCharType="separate"/>
            </w:r>
            <w:r>
              <w:rPr>
                <w:noProof/>
                <w:webHidden/>
              </w:rPr>
              <w:t>3</w:t>
            </w:r>
            <w:r>
              <w:rPr>
                <w:noProof/>
                <w:webHidden/>
              </w:rPr>
              <w:fldChar w:fldCharType="end"/>
            </w:r>
          </w:hyperlink>
        </w:p>
        <w:p w14:paraId="433498A5" w14:textId="6B360ABF" w:rsidR="00AF27FC" w:rsidRDefault="00AF27FC">
          <w:pPr>
            <w:pStyle w:val="TOC2"/>
            <w:tabs>
              <w:tab w:val="left" w:pos="600"/>
              <w:tab w:val="right" w:pos="9016"/>
            </w:tabs>
            <w:rPr>
              <w:rFonts w:cstheme="minorBidi"/>
              <w:b w:val="0"/>
              <w:bCs w:val="0"/>
              <w:noProof/>
              <w:sz w:val="24"/>
              <w:lang w:eastAsia="en-GB"/>
            </w:rPr>
          </w:pPr>
          <w:hyperlink w:anchor="_Toc235756673" w:history="1">
            <w:r w:rsidRPr="00C02902">
              <w:rPr>
                <w:rStyle w:val="Hyperlink"/>
                <w:noProof/>
              </w:rPr>
              <w:t>1.2</w:t>
            </w:r>
            <w:r>
              <w:rPr>
                <w:rFonts w:cstheme="minorBidi"/>
                <w:b w:val="0"/>
                <w:bCs w:val="0"/>
                <w:noProof/>
                <w:sz w:val="24"/>
                <w:lang w:eastAsia="en-GB"/>
              </w:rPr>
              <w:tab/>
            </w:r>
            <w:r w:rsidRPr="00C02902">
              <w:rPr>
                <w:rStyle w:val="Hyperlink"/>
                <w:noProof/>
              </w:rPr>
              <w:t>Description of, and background to, Children’s Social Worker in healthcare</w:t>
            </w:r>
            <w:r>
              <w:rPr>
                <w:noProof/>
                <w:webHidden/>
              </w:rPr>
              <w:tab/>
            </w:r>
            <w:r>
              <w:rPr>
                <w:noProof/>
                <w:webHidden/>
              </w:rPr>
              <w:fldChar w:fldCharType="begin"/>
            </w:r>
            <w:r>
              <w:rPr>
                <w:noProof/>
                <w:webHidden/>
              </w:rPr>
              <w:instrText xml:space="preserve"> PAGEREF _Toc235756673 \h </w:instrText>
            </w:r>
            <w:r>
              <w:rPr>
                <w:noProof/>
                <w:webHidden/>
              </w:rPr>
            </w:r>
            <w:r>
              <w:rPr>
                <w:noProof/>
                <w:webHidden/>
              </w:rPr>
              <w:fldChar w:fldCharType="separate"/>
            </w:r>
            <w:r>
              <w:rPr>
                <w:noProof/>
                <w:webHidden/>
              </w:rPr>
              <w:t>3</w:t>
            </w:r>
            <w:r>
              <w:rPr>
                <w:noProof/>
                <w:webHidden/>
              </w:rPr>
              <w:fldChar w:fldCharType="end"/>
            </w:r>
          </w:hyperlink>
        </w:p>
        <w:p w14:paraId="53D0B8E6" w14:textId="2C1CD8AD" w:rsidR="00AF27FC" w:rsidRDefault="00AF27FC">
          <w:pPr>
            <w:pStyle w:val="TOC2"/>
            <w:tabs>
              <w:tab w:val="left" w:pos="600"/>
              <w:tab w:val="right" w:pos="9016"/>
            </w:tabs>
            <w:rPr>
              <w:rFonts w:cstheme="minorBidi"/>
              <w:b w:val="0"/>
              <w:bCs w:val="0"/>
              <w:noProof/>
              <w:sz w:val="24"/>
              <w:lang w:eastAsia="en-GB"/>
            </w:rPr>
          </w:pPr>
          <w:hyperlink w:anchor="_Toc235756674" w:history="1">
            <w:r w:rsidRPr="00C02902">
              <w:rPr>
                <w:rStyle w:val="Hyperlink"/>
                <w:noProof/>
              </w:rPr>
              <w:t>1.3</w:t>
            </w:r>
            <w:r>
              <w:rPr>
                <w:rFonts w:cstheme="minorBidi"/>
                <w:b w:val="0"/>
                <w:bCs w:val="0"/>
                <w:noProof/>
                <w:sz w:val="24"/>
                <w:lang w:eastAsia="en-GB"/>
              </w:rPr>
              <w:tab/>
            </w:r>
            <w:r w:rsidRPr="00C02902">
              <w:rPr>
                <w:rStyle w:val="Hyperlink"/>
                <w:noProof/>
              </w:rPr>
              <w:t>Evaluation of the skills needed for Childrens Social Worker in healthcare</w:t>
            </w:r>
            <w:r>
              <w:rPr>
                <w:noProof/>
                <w:webHidden/>
              </w:rPr>
              <w:tab/>
            </w:r>
            <w:r>
              <w:rPr>
                <w:noProof/>
                <w:webHidden/>
              </w:rPr>
              <w:fldChar w:fldCharType="begin"/>
            </w:r>
            <w:r>
              <w:rPr>
                <w:noProof/>
                <w:webHidden/>
              </w:rPr>
              <w:instrText xml:space="preserve"> PAGEREF _Toc235756674 \h </w:instrText>
            </w:r>
            <w:r>
              <w:rPr>
                <w:noProof/>
                <w:webHidden/>
              </w:rPr>
            </w:r>
            <w:r>
              <w:rPr>
                <w:noProof/>
                <w:webHidden/>
              </w:rPr>
              <w:fldChar w:fldCharType="separate"/>
            </w:r>
            <w:r>
              <w:rPr>
                <w:noProof/>
                <w:webHidden/>
              </w:rPr>
              <w:t>4</w:t>
            </w:r>
            <w:r>
              <w:rPr>
                <w:noProof/>
                <w:webHidden/>
              </w:rPr>
              <w:fldChar w:fldCharType="end"/>
            </w:r>
          </w:hyperlink>
        </w:p>
        <w:p w14:paraId="095229EC" w14:textId="4C51FF0E" w:rsidR="00AF27FC" w:rsidRDefault="00AF27FC">
          <w:pPr>
            <w:pStyle w:val="TOC2"/>
            <w:tabs>
              <w:tab w:val="left" w:pos="600"/>
              <w:tab w:val="right" w:pos="9016"/>
            </w:tabs>
            <w:rPr>
              <w:rFonts w:cstheme="minorBidi"/>
              <w:b w:val="0"/>
              <w:bCs w:val="0"/>
              <w:noProof/>
              <w:sz w:val="24"/>
              <w:lang w:eastAsia="en-GB"/>
            </w:rPr>
          </w:pPr>
          <w:hyperlink w:anchor="_Toc235756675" w:history="1">
            <w:r w:rsidRPr="00C02902">
              <w:rPr>
                <w:rStyle w:val="Hyperlink"/>
                <w:noProof/>
              </w:rPr>
              <w:t>1.4</w:t>
            </w:r>
            <w:r>
              <w:rPr>
                <w:rFonts w:cstheme="minorBidi"/>
                <w:b w:val="0"/>
                <w:bCs w:val="0"/>
                <w:noProof/>
                <w:sz w:val="24"/>
                <w:lang w:eastAsia="en-GB"/>
              </w:rPr>
              <w:tab/>
            </w:r>
            <w:r w:rsidRPr="00C02902">
              <w:rPr>
                <w:rStyle w:val="Hyperlink"/>
                <w:noProof/>
              </w:rPr>
              <w:t>Strategies to improve the skills for Childrens Social Worker</w:t>
            </w:r>
            <w:r>
              <w:rPr>
                <w:noProof/>
                <w:webHidden/>
              </w:rPr>
              <w:tab/>
            </w:r>
            <w:r>
              <w:rPr>
                <w:noProof/>
                <w:webHidden/>
              </w:rPr>
              <w:fldChar w:fldCharType="begin"/>
            </w:r>
            <w:r>
              <w:rPr>
                <w:noProof/>
                <w:webHidden/>
              </w:rPr>
              <w:instrText xml:space="preserve"> PAGEREF _Toc235756675 \h </w:instrText>
            </w:r>
            <w:r>
              <w:rPr>
                <w:noProof/>
                <w:webHidden/>
              </w:rPr>
            </w:r>
            <w:r>
              <w:rPr>
                <w:noProof/>
                <w:webHidden/>
              </w:rPr>
              <w:fldChar w:fldCharType="separate"/>
            </w:r>
            <w:r>
              <w:rPr>
                <w:noProof/>
                <w:webHidden/>
              </w:rPr>
              <w:t>4</w:t>
            </w:r>
            <w:r>
              <w:rPr>
                <w:noProof/>
                <w:webHidden/>
              </w:rPr>
              <w:fldChar w:fldCharType="end"/>
            </w:r>
          </w:hyperlink>
        </w:p>
        <w:p w14:paraId="301EF876" w14:textId="5CC16731" w:rsidR="00AF27FC" w:rsidRDefault="00AF27FC">
          <w:pPr>
            <w:pStyle w:val="TOC2"/>
            <w:tabs>
              <w:tab w:val="left" w:pos="600"/>
              <w:tab w:val="right" w:pos="9016"/>
            </w:tabs>
            <w:rPr>
              <w:rFonts w:cstheme="minorBidi"/>
              <w:b w:val="0"/>
              <w:bCs w:val="0"/>
              <w:noProof/>
              <w:sz w:val="24"/>
              <w:lang w:eastAsia="en-GB"/>
            </w:rPr>
          </w:pPr>
          <w:hyperlink w:anchor="_Toc235756676" w:history="1">
            <w:r w:rsidRPr="00C02902">
              <w:rPr>
                <w:rStyle w:val="Hyperlink"/>
                <w:noProof/>
              </w:rPr>
              <w:t>1.5</w:t>
            </w:r>
            <w:r>
              <w:rPr>
                <w:rFonts w:cstheme="minorBidi"/>
                <w:b w:val="0"/>
                <w:bCs w:val="0"/>
                <w:noProof/>
                <w:sz w:val="24"/>
                <w:lang w:eastAsia="en-GB"/>
              </w:rPr>
              <w:tab/>
            </w:r>
            <w:r w:rsidRPr="00C02902">
              <w:rPr>
                <w:rStyle w:val="Hyperlink"/>
                <w:noProof/>
              </w:rPr>
              <w:t>Conclusion</w:t>
            </w:r>
            <w:r>
              <w:rPr>
                <w:noProof/>
                <w:webHidden/>
              </w:rPr>
              <w:tab/>
            </w:r>
            <w:r>
              <w:rPr>
                <w:noProof/>
                <w:webHidden/>
              </w:rPr>
              <w:fldChar w:fldCharType="begin"/>
            </w:r>
            <w:r>
              <w:rPr>
                <w:noProof/>
                <w:webHidden/>
              </w:rPr>
              <w:instrText xml:space="preserve"> PAGEREF _Toc235756676 \h </w:instrText>
            </w:r>
            <w:r>
              <w:rPr>
                <w:noProof/>
                <w:webHidden/>
              </w:rPr>
            </w:r>
            <w:r>
              <w:rPr>
                <w:noProof/>
                <w:webHidden/>
              </w:rPr>
              <w:fldChar w:fldCharType="separate"/>
            </w:r>
            <w:r>
              <w:rPr>
                <w:noProof/>
                <w:webHidden/>
              </w:rPr>
              <w:t>5</w:t>
            </w:r>
            <w:r>
              <w:rPr>
                <w:noProof/>
                <w:webHidden/>
              </w:rPr>
              <w:fldChar w:fldCharType="end"/>
            </w:r>
          </w:hyperlink>
        </w:p>
        <w:p w14:paraId="2F2E8369" w14:textId="6A4692F1" w:rsidR="00AF27FC" w:rsidRDefault="00AF27FC">
          <w:pPr>
            <w:pStyle w:val="TOC2"/>
            <w:tabs>
              <w:tab w:val="left" w:pos="600"/>
              <w:tab w:val="right" w:pos="9016"/>
            </w:tabs>
            <w:rPr>
              <w:rFonts w:cstheme="minorBidi"/>
              <w:b w:val="0"/>
              <w:bCs w:val="0"/>
              <w:noProof/>
              <w:sz w:val="24"/>
              <w:lang w:eastAsia="en-GB"/>
            </w:rPr>
          </w:pPr>
          <w:hyperlink w:anchor="_Toc235756677" w:history="1">
            <w:r w:rsidRPr="00C02902">
              <w:rPr>
                <w:rStyle w:val="Hyperlink"/>
                <w:noProof/>
              </w:rPr>
              <w:t>1.6</w:t>
            </w:r>
            <w:r>
              <w:rPr>
                <w:rFonts w:cstheme="minorBidi"/>
                <w:b w:val="0"/>
                <w:bCs w:val="0"/>
                <w:noProof/>
                <w:sz w:val="24"/>
                <w:lang w:eastAsia="en-GB"/>
              </w:rPr>
              <w:tab/>
            </w:r>
            <w:r w:rsidRPr="00C02902">
              <w:rPr>
                <w:rStyle w:val="Hyperlink"/>
                <w:noProof/>
              </w:rPr>
              <w:t>Reference List</w:t>
            </w:r>
            <w:r>
              <w:rPr>
                <w:noProof/>
                <w:webHidden/>
              </w:rPr>
              <w:tab/>
            </w:r>
            <w:r>
              <w:rPr>
                <w:noProof/>
                <w:webHidden/>
              </w:rPr>
              <w:fldChar w:fldCharType="begin"/>
            </w:r>
            <w:r>
              <w:rPr>
                <w:noProof/>
                <w:webHidden/>
              </w:rPr>
              <w:instrText xml:space="preserve"> PAGEREF _Toc235756677 \h </w:instrText>
            </w:r>
            <w:r>
              <w:rPr>
                <w:noProof/>
                <w:webHidden/>
              </w:rPr>
            </w:r>
            <w:r>
              <w:rPr>
                <w:noProof/>
                <w:webHidden/>
              </w:rPr>
              <w:fldChar w:fldCharType="separate"/>
            </w:r>
            <w:r>
              <w:rPr>
                <w:noProof/>
                <w:webHidden/>
              </w:rPr>
              <w:t>6</w:t>
            </w:r>
            <w:r>
              <w:rPr>
                <w:noProof/>
                <w:webHidden/>
              </w:rPr>
              <w:fldChar w:fldCharType="end"/>
            </w:r>
          </w:hyperlink>
        </w:p>
        <w:p w14:paraId="12DB58C2" w14:textId="267423FE"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35756671"/>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7E817B09" w14:textId="0A3BFE63" w:rsidR="00A035CD" w:rsidRDefault="00A035CD" w:rsidP="008019F6">
      <w:pPr>
        <w:pStyle w:val="Heading2"/>
        <w:numPr>
          <w:ilvl w:val="1"/>
          <w:numId w:val="23"/>
        </w:numPr>
        <w:rPr>
          <w:color w:val="4472C4" w:themeColor="accent1"/>
        </w:rPr>
      </w:pPr>
      <w:bookmarkStart w:id="4" w:name="_Toc228861925"/>
      <w:bookmarkStart w:id="5" w:name="_Toc228861968"/>
      <w:bookmarkStart w:id="6" w:name="_Toc228862231"/>
      <w:bookmarkStart w:id="7" w:name="_Toc235756672"/>
      <w:r w:rsidRPr="002976D4">
        <w:rPr>
          <w:color w:val="4472C4" w:themeColor="accent1"/>
        </w:rPr>
        <w:t>Introduction</w:t>
      </w:r>
      <w:bookmarkEnd w:id="4"/>
      <w:bookmarkEnd w:id="5"/>
      <w:bookmarkEnd w:id="6"/>
      <w:bookmarkEnd w:id="7"/>
    </w:p>
    <w:p w14:paraId="35F16EFF" w14:textId="77777777" w:rsidR="008019F6" w:rsidRPr="008019F6" w:rsidRDefault="008019F6" w:rsidP="008019F6"/>
    <w:p w14:paraId="4CC61BC1" w14:textId="216EBC97" w:rsidR="00F36ADC"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The role of a Children's Social Worker is central to the health and social care sector. This profession was selected for examination due to its critical function in safeguarding vulnerable demographics and advocating for children facing severe adversity. Children's social workers are vitally important because they intervene in high-risk situations to prevent harm, abuse, and neglect, while simultaneously promoting family cohesion and social justice. This report will explore the background and primary duties of this profession. Furthermore, it will evaluate three essential skills required for the role, detail the potential impacts of lacking these competencies, and propose three evidence</w:t>
      </w:r>
      <w:r w:rsidR="00AF27FC">
        <w:rPr>
          <w:rFonts w:ascii="Arial" w:hAnsi="Arial" w:cs="Arial"/>
          <w:sz w:val="21"/>
          <w:szCs w:val="21"/>
        </w:rPr>
        <w:t xml:space="preserve"> </w:t>
      </w:r>
      <w:r w:rsidRPr="008019F6">
        <w:rPr>
          <w:rFonts w:ascii="Arial" w:hAnsi="Arial" w:cs="Arial"/>
          <w:sz w:val="21"/>
          <w:szCs w:val="21"/>
        </w:rPr>
        <w:t>based strategies for professional skill development.</w:t>
      </w:r>
    </w:p>
    <w:p w14:paraId="0E0D7D15" w14:textId="77777777" w:rsidR="008019F6" w:rsidRPr="00242974" w:rsidRDefault="008019F6" w:rsidP="008019F6">
      <w:pPr>
        <w:spacing w:after="0" w:line="360" w:lineRule="auto"/>
        <w:jc w:val="both"/>
        <w:rPr>
          <w:sz w:val="21"/>
          <w:szCs w:val="21"/>
        </w:rPr>
      </w:pPr>
    </w:p>
    <w:p w14:paraId="50A9FBC6" w14:textId="3ABB0780" w:rsidR="008B0B22" w:rsidRDefault="006912C4" w:rsidP="008019F6">
      <w:pPr>
        <w:pStyle w:val="Heading2"/>
        <w:numPr>
          <w:ilvl w:val="1"/>
          <w:numId w:val="23"/>
        </w:numPr>
      </w:pPr>
      <w:bookmarkStart w:id="8" w:name="_Toc228861926"/>
      <w:bookmarkStart w:id="9" w:name="_Toc228861969"/>
      <w:bookmarkStart w:id="10" w:name="_Toc228862232"/>
      <w:bookmarkStart w:id="11" w:name="_Toc235756673"/>
      <w:r w:rsidRPr="004D1EE6">
        <w:t>Description</w:t>
      </w:r>
      <w:r w:rsidR="00070818" w:rsidRPr="004D1EE6">
        <w:t xml:space="preserve"> of</w:t>
      </w:r>
      <w:r w:rsidRPr="004D1EE6">
        <w:t>, and background to</w:t>
      </w:r>
      <w:r w:rsidR="00CD4774" w:rsidRPr="004D1EE6">
        <w:t>,</w:t>
      </w:r>
      <w:r w:rsidR="00070818" w:rsidRPr="004D1EE6">
        <w:t xml:space="preserve"> </w:t>
      </w:r>
      <w:r w:rsidR="00AF27FC">
        <w:t>Children’s</w:t>
      </w:r>
      <w:r w:rsidR="008019F6">
        <w:t xml:space="preserve"> Social Worker</w:t>
      </w:r>
      <w:r w:rsidR="008B0B22" w:rsidRPr="004D1EE6">
        <w:t xml:space="preserve"> in </w:t>
      </w:r>
      <w:r w:rsidR="00634D18" w:rsidRPr="004D1EE6">
        <w:t>h</w:t>
      </w:r>
      <w:r w:rsidR="008B0B22" w:rsidRPr="004D1EE6">
        <w:t>ealthcare</w:t>
      </w:r>
      <w:bookmarkEnd w:id="8"/>
      <w:bookmarkEnd w:id="9"/>
      <w:bookmarkEnd w:id="10"/>
      <w:bookmarkEnd w:id="11"/>
      <w:r w:rsidR="008B0B22" w:rsidRPr="004D1EE6">
        <w:t xml:space="preserve"> </w:t>
      </w:r>
    </w:p>
    <w:p w14:paraId="3A19104E" w14:textId="77777777" w:rsidR="008019F6" w:rsidRPr="008019F6" w:rsidRDefault="008019F6" w:rsidP="008019F6">
      <w:pPr>
        <w:pStyle w:val="ListParagraph"/>
        <w:ind w:left="440"/>
      </w:pPr>
    </w:p>
    <w:p w14:paraId="14EDC0E7" w14:textId="77777777" w:rsidR="008019F6"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Children’s social workers operate at the intersection of healthcare, social services, and the legal system to protect the welfare of minors. This role is paramount in health and social care because these professionals act as the primary safety net for children at risk of abuse, neglect, or exploitation, ensuring that statutory safeguarding requirements are met (Munro, 2020).</w:t>
      </w:r>
    </w:p>
    <w:p w14:paraId="000E0C3A" w14:textId="77777777" w:rsidR="008019F6" w:rsidRPr="008019F6" w:rsidRDefault="008019F6" w:rsidP="008019F6">
      <w:pPr>
        <w:spacing w:after="0" w:line="360" w:lineRule="auto"/>
        <w:jc w:val="both"/>
        <w:rPr>
          <w:rFonts w:ascii="Arial" w:hAnsi="Arial" w:cs="Arial"/>
          <w:sz w:val="21"/>
          <w:szCs w:val="21"/>
        </w:rPr>
      </w:pPr>
    </w:p>
    <w:p w14:paraId="35F7CA4A" w14:textId="77777777" w:rsidR="008019F6"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 xml:space="preserve">The duties performed by individuals in this role are multifaceted and highly complex. They include conducting in-depth risk assessments of home environments, collaborating with multi-agency teams such as </w:t>
      </w:r>
      <w:proofErr w:type="spellStart"/>
      <w:r w:rsidRPr="008019F6">
        <w:rPr>
          <w:rFonts w:ascii="Arial" w:hAnsi="Arial" w:cs="Arial"/>
          <w:sz w:val="21"/>
          <w:szCs w:val="21"/>
        </w:rPr>
        <w:t>pediatricians</w:t>
      </w:r>
      <w:proofErr w:type="spellEnd"/>
      <w:r w:rsidRPr="008019F6">
        <w:rPr>
          <w:rFonts w:ascii="Arial" w:hAnsi="Arial" w:cs="Arial"/>
          <w:sz w:val="21"/>
          <w:szCs w:val="21"/>
        </w:rPr>
        <w:t>, health visitors, and police, and representing local authorities in family court care proceedings (Department for Education, 2018). However, the most important duty of a children’s social worker is arguably direct engagement with the child. Ensuring that the child’s voice, wishes, and feelings remain the central focus of any intervention is a legal requirement and the ethical core of the profession.</w:t>
      </w:r>
    </w:p>
    <w:p w14:paraId="7E183BB7" w14:textId="77777777" w:rsidR="008019F6" w:rsidRPr="008019F6" w:rsidRDefault="008019F6" w:rsidP="008019F6">
      <w:pPr>
        <w:spacing w:after="0" w:line="360" w:lineRule="auto"/>
        <w:jc w:val="both"/>
        <w:rPr>
          <w:rFonts w:ascii="Arial" w:hAnsi="Arial" w:cs="Arial"/>
          <w:sz w:val="21"/>
          <w:szCs w:val="21"/>
        </w:rPr>
      </w:pPr>
    </w:p>
    <w:p w14:paraId="35CEB088" w14:textId="02B7EA39" w:rsidR="008E1C20" w:rsidRDefault="008019F6" w:rsidP="008019F6">
      <w:pPr>
        <w:spacing w:after="0" w:line="360" w:lineRule="auto"/>
        <w:jc w:val="both"/>
        <w:rPr>
          <w:rFonts w:ascii="Arial" w:hAnsi="Arial" w:cs="Arial"/>
          <w:sz w:val="21"/>
          <w:szCs w:val="21"/>
        </w:rPr>
      </w:pPr>
      <w:r w:rsidRPr="008019F6">
        <w:rPr>
          <w:rFonts w:ascii="Arial" w:hAnsi="Arial" w:cs="Arial"/>
          <w:sz w:val="21"/>
          <w:szCs w:val="21"/>
        </w:rPr>
        <w:t>To navigate these complex responsibilities safely, practitioners require a highly developed skill set. A brief overview of these essential skills includes adaptable communication abilities to interact with diverse populations, emotional resilience to process traumatic case files, and rigorous analytical thinking to accurately assess risk and synthesize contradictory information (BASW, 2021).</w:t>
      </w:r>
    </w:p>
    <w:p w14:paraId="67DBBDE8" w14:textId="77777777" w:rsidR="00AF27FC" w:rsidRDefault="00AF27FC" w:rsidP="008019F6">
      <w:pPr>
        <w:spacing w:after="0" w:line="360" w:lineRule="auto"/>
        <w:jc w:val="both"/>
        <w:rPr>
          <w:rFonts w:ascii="Arial" w:hAnsi="Arial" w:cs="Arial"/>
          <w:sz w:val="21"/>
          <w:szCs w:val="21"/>
        </w:rPr>
      </w:pPr>
    </w:p>
    <w:p w14:paraId="462642F2" w14:textId="19AA9893" w:rsidR="00AF27FC" w:rsidRDefault="00AF27FC" w:rsidP="008019F6">
      <w:pPr>
        <w:spacing w:after="0" w:line="360" w:lineRule="auto"/>
        <w:jc w:val="both"/>
        <w:rPr>
          <w:rFonts w:ascii="Arial" w:hAnsi="Arial" w:cs="Arial"/>
          <w:sz w:val="21"/>
          <w:szCs w:val="21"/>
        </w:rPr>
      </w:pPr>
    </w:p>
    <w:p w14:paraId="1F12F91A" w14:textId="77777777" w:rsidR="00AF27FC" w:rsidRPr="008019F6" w:rsidRDefault="00AF27FC" w:rsidP="008019F6">
      <w:pPr>
        <w:spacing w:after="0" w:line="360" w:lineRule="auto"/>
        <w:jc w:val="both"/>
        <w:rPr>
          <w:rFonts w:ascii="Arial" w:hAnsi="Arial" w:cs="Arial"/>
          <w:sz w:val="21"/>
          <w:szCs w:val="21"/>
        </w:rPr>
      </w:pPr>
    </w:p>
    <w:p w14:paraId="4010C35E" w14:textId="4216BF55" w:rsidR="00EC7EBE" w:rsidRDefault="00805726" w:rsidP="008019F6">
      <w:pPr>
        <w:pStyle w:val="Heading2"/>
        <w:numPr>
          <w:ilvl w:val="1"/>
          <w:numId w:val="23"/>
        </w:numPr>
      </w:pPr>
      <w:bookmarkStart w:id="12" w:name="_Toc235756674"/>
      <w:r w:rsidRPr="008E1C20">
        <w:lastRenderedPageBreak/>
        <w:t xml:space="preserve">Evaluation of the </w:t>
      </w:r>
      <w:r w:rsidR="00D4006B" w:rsidRPr="008E1C20">
        <w:t xml:space="preserve">skills needed for </w:t>
      </w:r>
      <w:proofErr w:type="spellStart"/>
      <w:r w:rsidR="008019F6">
        <w:t>Childrens</w:t>
      </w:r>
      <w:proofErr w:type="spellEnd"/>
      <w:r w:rsidR="008019F6">
        <w:t xml:space="preserve"> Social Worker</w:t>
      </w:r>
      <w:r w:rsidR="007138EF" w:rsidRPr="008E1C20">
        <w:t xml:space="preserve"> in </w:t>
      </w:r>
      <w:r w:rsidR="00634D18" w:rsidRPr="008E1C20">
        <w:t>h</w:t>
      </w:r>
      <w:r w:rsidR="007138EF" w:rsidRPr="008E1C20">
        <w:t>ealthcare</w:t>
      </w:r>
      <w:bookmarkEnd w:id="12"/>
    </w:p>
    <w:p w14:paraId="3690FE99" w14:textId="77777777" w:rsidR="008019F6" w:rsidRPr="008019F6" w:rsidRDefault="008019F6" w:rsidP="008019F6">
      <w:pPr>
        <w:pStyle w:val="ListParagraph"/>
        <w:ind w:left="440"/>
      </w:pPr>
    </w:p>
    <w:p w14:paraId="5740DF7E" w14:textId="77777777" w:rsidR="008019F6"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Three of the most important skills required for a children's social worker are adaptable communication, emotional resilience, and analytical thinking. These skills were selected for evaluation because they directly correlate with a practitioner's ability to safely assess risk, sustain professional longevity, and execute statutory duties (BASW, 2021).</w:t>
      </w:r>
    </w:p>
    <w:p w14:paraId="6ECACF65" w14:textId="77777777" w:rsidR="008019F6" w:rsidRPr="008019F6" w:rsidRDefault="008019F6" w:rsidP="008019F6">
      <w:pPr>
        <w:spacing w:after="0" w:line="360" w:lineRule="auto"/>
        <w:jc w:val="both"/>
        <w:rPr>
          <w:rFonts w:ascii="Arial" w:hAnsi="Arial" w:cs="Arial"/>
          <w:sz w:val="21"/>
          <w:szCs w:val="21"/>
        </w:rPr>
      </w:pPr>
    </w:p>
    <w:p w14:paraId="758341BC" w14:textId="6475EA71" w:rsidR="008019F6"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Adaptable communication enables social workers to build rapport and extract vital information from both adults and children. In practice, this allows staff to adjust their approach</w:t>
      </w:r>
      <w:r w:rsidR="00AF27FC">
        <w:rPr>
          <w:rFonts w:ascii="Arial" w:hAnsi="Arial" w:cs="Arial"/>
          <w:sz w:val="21"/>
          <w:szCs w:val="21"/>
        </w:rPr>
        <w:t xml:space="preserve"> - </w:t>
      </w:r>
      <w:r w:rsidRPr="008019F6">
        <w:rPr>
          <w:rFonts w:ascii="Arial" w:hAnsi="Arial" w:cs="Arial"/>
          <w:sz w:val="21"/>
          <w:szCs w:val="21"/>
        </w:rPr>
        <w:t>using play therapy techniques to interview a traumati</w:t>
      </w:r>
      <w:r w:rsidR="00AF27FC">
        <w:rPr>
          <w:rFonts w:ascii="Arial" w:hAnsi="Arial" w:cs="Arial"/>
          <w:sz w:val="21"/>
          <w:szCs w:val="21"/>
        </w:rPr>
        <w:t>s</w:t>
      </w:r>
      <w:r w:rsidRPr="008019F6">
        <w:rPr>
          <w:rFonts w:ascii="Arial" w:hAnsi="Arial" w:cs="Arial"/>
          <w:sz w:val="21"/>
          <w:szCs w:val="21"/>
        </w:rPr>
        <w:t>ed toddler, while using formal, de-escalating language with an aggressive parent (Lefevre, 2018). This skill helps practitioners establish trust, leading to more accurate holistic assessments. Conversely, if a social worker lacks adaptable communication, they risk alienating families or failing to uncover covert abuse, potentially leaving a child in a highly dangerous environment.</w:t>
      </w:r>
    </w:p>
    <w:p w14:paraId="477DC6CD" w14:textId="77777777" w:rsidR="008019F6" w:rsidRPr="008019F6" w:rsidRDefault="008019F6" w:rsidP="008019F6">
      <w:pPr>
        <w:spacing w:after="0" w:line="360" w:lineRule="auto"/>
        <w:jc w:val="both"/>
        <w:rPr>
          <w:rFonts w:ascii="Arial" w:hAnsi="Arial" w:cs="Arial"/>
          <w:sz w:val="21"/>
          <w:szCs w:val="21"/>
        </w:rPr>
      </w:pPr>
    </w:p>
    <w:p w14:paraId="3F4089E7" w14:textId="721655D2" w:rsidR="008019F6"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Emotional resilience is the capacity to manage personal distress while maintaining professional functioning in the face of secondary trauma (Ruch, Turney and Ward, 2018). This skill helps social workers process the distressing realities of child abuse, ensuring they remain objective and compassionate. For example, when removing a child from a neglectful household, a resilient social worker can manage the emotional volatility of the situation without becoming paraly</w:t>
      </w:r>
      <w:r w:rsidR="00AF27FC">
        <w:rPr>
          <w:rFonts w:ascii="Arial" w:hAnsi="Arial" w:cs="Arial"/>
          <w:sz w:val="21"/>
          <w:szCs w:val="21"/>
        </w:rPr>
        <w:t>s</w:t>
      </w:r>
      <w:r w:rsidRPr="008019F6">
        <w:rPr>
          <w:rFonts w:ascii="Arial" w:hAnsi="Arial" w:cs="Arial"/>
          <w:sz w:val="21"/>
          <w:szCs w:val="21"/>
        </w:rPr>
        <w:t>ed by distress. Without emotional resilience, practitioners are highly susceptible to compassion fatigue and burnout. This not only leads to high staff turnover but can also result in cynical or apathetic decisio</w:t>
      </w:r>
      <w:r w:rsidR="00AF27FC">
        <w:rPr>
          <w:rFonts w:ascii="Arial" w:hAnsi="Arial" w:cs="Arial"/>
          <w:sz w:val="21"/>
          <w:szCs w:val="21"/>
        </w:rPr>
        <w:t xml:space="preserve">n </w:t>
      </w:r>
      <w:r w:rsidRPr="008019F6">
        <w:rPr>
          <w:rFonts w:ascii="Arial" w:hAnsi="Arial" w:cs="Arial"/>
          <w:sz w:val="21"/>
          <w:szCs w:val="21"/>
        </w:rPr>
        <w:t>making, which severely compromises child safety.</w:t>
      </w:r>
    </w:p>
    <w:p w14:paraId="29F73E2F" w14:textId="77777777" w:rsidR="008019F6" w:rsidRPr="008019F6" w:rsidRDefault="008019F6" w:rsidP="008019F6">
      <w:pPr>
        <w:spacing w:after="0" w:line="360" w:lineRule="auto"/>
        <w:jc w:val="both"/>
        <w:rPr>
          <w:rFonts w:ascii="Arial" w:hAnsi="Arial" w:cs="Arial"/>
          <w:sz w:val="21"/>
          <w:szCs w:val="21"/>
        </w:rPr>
      </w:pPr>
    </w:p>
    <w:p w14:paraId="7338813D" w14:textId="21CE3019" w:rsidR="00C85A7C" w:rsidRPr="008019F6" w:rsidRDefault="008019F6" w:rsidP="008019F6">
      <w:pPr>
        <w:spacing w:after="0" w:line="360" w:lineRule="auto"/>
        <w:jc w:val="both"/>
        <w:rPr>
          <w:rFonts w:ascii="Arial" w:hAnsi="Arial" w:cs="Arial"/>
          <w:sz w:val="21"/>
          <w:szCs w:val="21"/>
        </w:rPr>
      </w:pPr>
      <w:r w:rsidRPr="008019F6">
        <w:rPr>
          <w:rFonts w:ascii="Arial" w:hAnsi="Arial" w:cs="Arial"/>
          <w:sz w:val="21"/>
          <w:szCs w:val="21"/>
        </w:rPr>
        <w:t>Finally, analytical thinking is essential for synthesi</w:t>
      </w:r>
      <w:r w:rsidR="00AF27FC">
        <w:rPr>
          <w:rFonts w:ascii="Arial" w:hAnsi="Arial" w:cs="Arial"/>
          <w:sz w:val="21"/>
          <w:szCs w:val="21"/>
        </w:rPr>
        <w:t>s</w:t>
      </w:r>
      <w:r w:rsidRPr="008019F6">
        <w:rPr>
          <w:rFonts w:ascii="Arial" w:hAnsi="Arial" w:cs="Arial"/>
          <w:sz w:val="21"/>
          <w:szCs w:val="21"/>
        </w:rPr>
        <w:t>ing complex, often conflicting information to make sound, evidence</w:t>
      </w:r>
      <w:r w:rsidR="00AF27FC">
        <w:rPr>
          <w:rFonts w:ascii="Arial" w:hAnsi="Arial" w:cs="Arial"/>
          <w:sz w:val="21"/>
          <w:szCs w:val="21"/>
        </w:rPr>
        <w:t xml:space="preserve"> </w:t>
      </w:r>
      <w:r w:rsidRPr="008019F6">
        <w:rPr>
          <w:rFonts w:ascii="Arial" w:hAnsi="Arial" w:cs="Arial"/>
          <w:sz w:val="21"/>
          <w:szCs w:val="21"/>
        </w:rPr>
        <w:t xml:space="preserve">based judgments (Munro, 2020). Social workers must constantly differentiate between families struggling with systemic poverty and those exhibiting deliberate neglect. For instance, if a child presents with unexplained bruising, an analytical social worker will carefully weigh medical reports, parental explanations, and the child's </w:t>
      </w:r>
      <w:r w:rsidR="00AF27FC" w:rsidRPr="008019F6">
        <w:rPr>
          <w:rFonts w:ascii="Arial" w:hAnsi="Arial" w:cs="Arial"/>
          <w:sz w:val="21"/>
          <w:szCs w:val="21"/>
        </w:rPr>
        <w:t>behavioural</w:t>
      </w:r>
      <w:r w:rsidRPr="008019F6">
        <w:rPr>
          <w:rFonts w:ascii="Arial" w:hAnsi="Arial" w:cs="Arial"/>
          <w:sz w:val="21"/>
          <w:szCs w:val="21"/>
        </w:rPr>
        <w:t xml:space="preserve"> cues before taking action. A deficit in analytical thinking can lead to catastrophic outcomes, such as a dangerous under</w:t>
      </w:r>
      <w:r w:rsidR="00AF27FC">
        <w:rPr>
          <w:rFonts w:ascii="Arial" w:hAnsi="Arial" w:cs="Arial"/>
          <w:sz w:val="21"/>
          <w:szCs w:val="21"/>
        </w:rPr>
        <w:t xml:space="preserve"> </w:t>
      </w:r>
      <w:r w:rsidRPr="008019F6">
        <w:rPr>
          <w:rFonts w:ascii="Arial" w:hAnsi="Arial" w:cs="Arial"/>
          <w:sz w:val="21"/>
          <w:szCs w:val="21"/>
        </w:rPr>
        <w:t>reaction that leaves a child exposed to further non-accidental injury, or a traumatic ove</w:t>
      </w:r>
      <w:r w:rsidR="00AF27FC">
        <w:rPr>
          <w:rFonts w:ascii="Arial" w:hAnsi="Arial" w:cs="Arial"/>
          <w:sz w:val="21"/>
          <w:szCs w:val="21"/>
        </w:rPr>
        <w:t xml:space="preserve">r </w:t>
      </w:r>
      <w:r w:rsidRPr="008019F6">
        <w:rPr>
          <w:rFonts w:ascii="Arial" w:hAnsi="Arial" w:cs="Arial"/>
          <w:sz w:val="21"/>
          <w:szCs w:val="21"/>
        </w:rPr>
        <w:t>reaction that unnecessarily and permanently separates a family.</w:t>
      </w:r>
    </w:p>
    <w:p w14:paraId="01C49510" w14:textId="1DACDB7F" w:rsidR="002370CE" w:rsidRDefault="003003FD" w:rsidP="008019F6">
      <w:pPr>
        <w:pStyle w:val="Heading2"/>
        <w:numPr>
          <w:ilvl w:val="1"/>
          <w:numId w:val="23"/>
        </w:numPr>
      </w:pPr>
      <w:bookmarkStart w:id="13" w:name="_Toc228861927"/>
      <w:bookmarkStart w:id="14" w:name="_Toc228861970"/>
      <w:bookmarkStart w:id="15" w:name="_Toc228862233"/>
      <w:bookmarkStart w:id="16" w:name="_Toc235756675"/>
      <w:r w:rsidRPr="004D1EE6">
        <w:t>Strategies</w:t>
      </w:r>
      <w:r w:rsidR="00183CB9" w:rsidRPr="004D1EE6">
        <w:t xml:space="preserve"> to improve the skills</w:t>
      </w:r>
      <w:r w:rsidR="005D5457" w:rsidRPr="004D1EE6">
        <w:t xml:space="preserve"> </w:t>
      </w:r>
      <w:r w:rsidR="00070818" w:rsidRPr="004D1EE6">
        <w:t>for</w:t>
      </w:r>
      <w:bookmarkEnd w:id="13"/>
      <w:bookmarkEnd w:id="14"/>
      <w:bookmarkEnd w:id="15"/>
      <w:r w:rsidR="008019F6">
        <w:t xml:space="preserve"> </w:t>
      </w:r>
      <w:proofErr w:type="spellStart"/>
      <w:r w:rsidR="008019F6">
        <w:t>Childrens</w:t>
      </w:r>
      <w:proofErr w:type="spellEnd"/>
      <w:r w:rsidR="008019F6">
        <w:t xml:space="preserve"> Social Worker</w:t>
      </w:r>
      <w:bookmarkEnd w:id="16"/>
    </w:p>
    <w:p w14:paraId="4363CCC1" w14:textId="77777777" w:rsidR="008019F6" w:rsidRPr="008019F6" w:rsidRDefault="008019F6" w:rsidP="008019F6">
      <w:pPr>
        <w:pStyle w:val="ListParagraph"/>
        <w:ind w:left="440"/>
      </w:pPr>
    </w:p>
    <w:p w14:paraId="6819AF02" w14:textId="1CCC411B" w:rsidR="008019F6" w:rsidRPr="008019F6" w:rsidRDefault="008019F6" w:rsidP="008019F6">
      <w:pPr>
        <w:spacing w:after="0" w:line="360" w:lineRule="auto"/>
        <w:rPr>
          <w:rFonts w:ascii="Arial" w:hAnsi="Arial" w:cs="Arial"/>
          <w:sz w:val="21"/>
          <w:szCs w:val="21"/>
        </w:rPr>
      </w:pPr>
      <w:r w:rsidRPr="008019F6">
        <w:rPr>
          <w:rFonts w:ascii="Arial" w:hAnsi="Arial" w:cs="Arial"/>
          <w:sz w:val="21"/>
          <w:szCs w:val="21"/>
        </w:rPr>
        <w:t>Continuous professional development is vital in social work. Three useful strategies to improve the aforementioned skills include engaging in speciali</w:t>
      </w:r>
      <w:r w:rsidR="00AF27FC">
        <w:rPr>
          <w:rFonts w:ascii="Arial" w:hAnsi="Arial" w:cs="Arial"/>
          <w:sz w:val="21"/>
          <w:szCs w:val="21"/>
        </w:rPr>
        <w:t>s</w:t>
      </w:r>
      <w:r w:rsidRPr="008019F6">
        <w:rPr>
          <w:rFonts w:ascii="Arial" w:hAnsi="Arial" w:cs="Arial"/>
          <w:sz w:val="21"/>
          <w:szCs w:val="21"/>
        </w:rPr>
        <w:t>ed role</w:t>
      </w:r>
      <w:r w:rsidR="00AF27FC">
        <w:rPr>
          <w:rFonts w:ascii="Arial" w:hAnsi="Arial" w:cs="Arial"/>
          <w:sz w:val="21"/>
          <w:szCs w:val="21"/>
        </w:rPr>
        <w:t xml:space="preserve"> </w:t>
      </w:r>
      <w:r w:rsidRPr="008019F6">
        <w:rPr>
          <w:rFonts w:ascii="Arial" w:hAnsi="Arial" w:cs="Arial"/>
          <w:sz w:val="21"/>
          <w:szCs w:val="21"/>
        </w:rPr>
        <w:t xml:space="preserve">play training, participating in </w:t>
      </w:r>
      <w:r w:rsidRPr="008019F6">
        <w:rPr>
          <w:rFonts w:ascii="Arial" w:hAnsi="Arial" w:cs="Arial"/>
          <w:sz w:val="21"/>
          <w:szCs w:val="21"/>
        </w:rPr>
        <w:lastRenderedPageBreak/>
        <w:t>reflective supervision, and utili</w:t>
      </w:r>
      <w:r w:rsidR="00AF27FC">
        <w:rPr>
          <w:rFonts w:ascii="Arial" w:hAnsi="Arial" w:cs="Arial"/>
          <w:sz w:val="21"/>
          <w:szCs w:val="21"/>
        </w:rPr>
        <w:t>s</w:t>
      </w:r>
      <w:r w:rsidRPr="008019F6">
        <w:rPr>
          <w:rFonts w:ascii="Arial" w:hAnsi="Arial" w:cs="Arial"/>
          <w:sz w:val="21"/>
          <w:szCs w:val="21"/>
        </w:rPr>
        <w:t>ing structured reflective models like Gibbs' Reflective Cycle. These strategies were chosen because they seamlessly integrate theoretical academic knowledge with practical, workplace application.</w:t>
      </w:r>
    </w:p>
    <w:p w14:paraId="3C5BC2DB" w14:textId="77777777" w:rsidR="008019F6" w:rsidRPr="008019F6" w:rsidRDefault="008019F6" w:rsidP="008019F6">
      <w:pPr>
        <w:spacing w:after="0" w:line="360" w:lineRule="auto"/>
        <w:rPr>
          <w:rFonts w:ascii="Arial" w:hAnsi="Arial" w:cs="Arial"/>
          <w:sz w:val="21"/>
          <w:szCs w:val="21"/>
        </w:rPr>
      </w:pPr>
    </w:p>
    <w:p w14:paraId="274F3150" w14:textId="77D356D6" w:rsidR="008019F6" w:rsidRPr="008019F6" w:rsidRDefault="008019F6" w:rsidP="008019F6">
      <w:pPr>
        <w:spacing w:after="0" w:line="360" w:lineRule="auto"/>
        <w:rPr>
          <w:rFonts w:ascii="Arial" w:hAnsi="Arial" w:cs="Arial"/>
          <w:sz w:val="21"/>
          <w:szCs w:val="21"/>
        </w:rPr>
      </w:pPr>
      <w:r w:rsidRPr="008019F6">
        <w:rPr>
          <w:rFonts w:ascii="Arial" w:hAnsi="Arial" w:cs="Arial"/>
          <w:sz w:val="21"/>
          <w:szCs w:val="21"/>
        </w:rPr>
        <w:t>To improve adaptable communication, practitioners can engage in speciali</w:t>
      </w:r>
      <w:r w:rsidR="00AF27FC">
        <w:rPr>
          <w:rFonts w:ascii="Arial" w:hAnsi="Arial" w:cs="Arial"/>
          <w:sz w:val="21"/>
          <w:szCs w:val="21"/>
        </w:rPr>
        <w:t>s</w:t>
      </w:r>
      <w:r w:rsidRPr="008019F6">
        <w:rPr>
          <w:rFonts w:ascii="Arial" w:hAnsi="Arial" w:cs="Arial"/>
          <w:sz w:val="21"/>
          <w:szCs w:val="21"/>
        </w:rPr>
        <w:t>ed training and role</w:t>
      </w:r>
      <w:r w:rsidR="00AF27FC">
        <w:rPr>
          <w:rFonts w:ascii="Arial" w:hAnsi="Arial" w:cs="Arial"/>
          <w:sz w:val="21"/>
          <w:szCs w:val="21"/>
        </w:rPr>
        <w:t xml:space="preserve"> </w:t>
      </w:r>
      <w:r w:rsidRPr="008019F6">
        <w:rPr>
          <w:rFonts w:ascii="Arial" w:hAnsi="Arial" w:cs="Arial"/>
          <w:sz w:val="21"/>
          <w:szCs w:val="21"/>
        </w:rPr>
        <w:t xml:space="preserve">play simulations focused on </w:t>
      </w:r>
      <w:r w:rsidR="00AF27FC" w:rsidRPr="008019F6">
        <w:rPr>
          <w:rFonts w:ascii="Arial" w:hAnsi="Arial" w:cs="Arial"/>
          <w:sz w:val="21"/>
          <w:szCs w:val="21"/>
        </w:rPr>
        <w:t>paediatric</w:t>
      </w:r>
      <w:r w:rsidRPr="008019F6">
        <w:rPr>
          <w:rFonts w:ascii="Arial" w:hAnsi="Arial" w:cs="Arial"/>
          <w:sz w:val="21"/>
          <w:szCs w:val="21"/>
        </w:rPr>
        <w:t xml:space="preserve"> communication techniques, such as the Makaton sign program or active listening workshops. This strategy works by providing a safe, controlled environment where social workers can practice de-escalating conflicts or interviewing non-verbal children, receiving immediate peer feedback before applying these techniques in the field (Lefevre, 2018). For example, practicing age-appropriate phrasing in a simulation helps a social worker naturally elicit a child's experiences during a real-world child protection investigation without accidentally leading the witness.</w:t>
      </w:r>
    </w:p>
    <w:p w14:paraId="2423972A" w14:textId="77777777" w:rsidR="008019F6" w:rsidRPr="008019F6" w:rsidRDefault="008019F6" w:rsidP="008019F6">
      <w:pPr>
        <w:spacing w:after="0" w:line="360" w:lineRule="auto"/>
        <w:rPr>
          <w:rFonts w:ascii="Arial" w:hAnsi="Arial" w:cs="Arial"/>
          <w:sz w:val="21"/>
          <w:szCs w:val="21"/>
        </w:rPr>
      </w:pPr>
    </w:p>
    <w:p w14:paraId="046AFC94" w14:textId="77777777" w:rsidR="008019F6" w:rsidRPr="008019F6" w:rsidRDefault="008019F6" w:rsidP="008019F6">
      <w:pPr>
        <w:spacing w:after="0" w:line="360" w:lineRule="auto"/>
        <w:rPr>
          <w:rFonts w:ascii="Arial" w:hAnsi="Arial" w:cs="Arial"/>
          <w:sz w:val="21"/>
          <w:szCs w:val="21"/>
        </w:rPr>
      </w:pPr>
      <w:r w:rsidRPr="008019F6">
        <w:rPr>
          <w:rFonts w:ascii="Arial" w:hAnsi="Arial" w:cs="Arial"/>
          <w:sz w:val="21"/>
          <w:szCs w:val="21"/>
        </w:rPr>
        <w:t>To develop emotional resilience, the consistent use of reflective supervision is highly effective. Reflective supervision involves regular, structured meetings between a practitioner and a senior manager to discuss the emotional and psychological impacts of their caseload (Ruch, Turney and Ward, 2018). It works by providing a dedicated space to process trauma and identify emotional triggers. For instance, if a social worker is overly affected by a case involving domestic violence due to a personal history, reflective supervision allows them to acknowledge this bias and establish psychological boundaries, thereby maintaining professional objectivity.</w:t>
      </w:r>
    </w:p>
    <w:p w14:paraId="176876D6" w14:textId="77777777" w:rsidR="008019F6" w:rsidRPr="008019F6" w:rsidRDefault="008019F6" w:rsidP="008019F6">
      <w:pPr>
        <w:spacing w:after="0" w:line="360" w:lineRule="auto"/>
        <w:rPr>
          <w:rFonts w:ascii="Arial" w:hAnsi="Arial" w:cs="Arial"/>
          <w:sz w:val="21"/>
          <w:szCs w:val="21"/>
        </w:rPr>
      </w:pPr>
    </w:p>
    <w:p w14:paraId="2703A512" w14:textId="1DC63050" w:rsidR="00500295" w:rsidRPr="008019F6" w:rsidRDefault="008019F6" w:rsidP="008019F6">
      <w:pPr>
        <w:spacing w:after="0" w:line="360" w:lineRule="auto"/>
        <w:rPr>
          <w:rFonts w:ascii="Arial" w:hAnsi="Arial" w:cs="Arial"/>
          <w:sz w:val="21"/>
          <w:szCs w:val="21"/>
        </w:rPr>
      </w:pPr>
      <w:r w:rsidRPr="008019F6">
        <w:rPr>
          <w:rFonts w:ascii="Arial" w:hAnsi="Arial" w:cs="Arial"/>
          <w:sz w:val="21"/>
          <w:szCs w:val="21"/>
        </w:rPr>
        <w:t>To enhance analytical thinking, practitioners can utili</w:t>
      </w:r>
      <w:r w:rsidR="00AF27FC">
        <w:rPr>
          <w:rFonts w:ascii="Arial" w:hAnsi="Arial" w:cs="Arial"/>
          <w:sz w:val="21"/>
          <w:szCs w:val="21"/>
        </w:rPr>
        <w:t>s</w:t>
      </w:r>
      <w:r w:rsidRPr="008019F6">
        <w:rPr>
          <w:rFonts w:ascii="Arial" w:hAnsi="Arial" w:cs="Arial"/>
          <w:sz w:val="21"/>
          <w:szCs w:val="21"/>
        </w:rPr>
        <w:t>e structured frameworks such as Gibbs’ Reflective Cycle (comprising description, feelings, evaluation, analysis, conclusion, and action plan) when writing case notes or journals. This strategy works by forcing the practitioner to move beyond simply describing events and into critically evaluating their own decision</w:t>
      </w:r>
      <w:r w:rsidR="00AF27FC">
        <w:rPr>
          <w:rFonts w:ascii="Arial" w:hAnsi="Arial" w:cs="Arial"/>
          <w:sz w:val="21"/>
          <w:szCs w:val="21"/>
        </w:rPr>
        <w:t xml:space="preserve"> </w:t>
      </w:r>
      <w:r w:rsidRPr="008019F6">
        <w:rPr>
          <w:rFonts w:ascii="Arial" w:hAnsi="Arial" w:cs="Arial"/>
          <w:sz w:val="21"/>
          <w:szCs w:val="21"/>
        </w:rPr>
        <w:t>making processes. For example, after conducting a risk assessment on a family, applying Gibbs' Cycle compels the social worker to analy</w:t>
      </w:r>
      <w:r w:rsidR="00AF27FC">
        <w:rPr>
          <w:rFonts w:ascii="Arial" w:hAnsi="Arial" w:cs="Arial"/>
          <w:sz w:val="21"/>
          <w:szCs w:val="21"/>
        </w:rPr>
        <w:t>s</w:t>
      </w:r>
      <w:r w:rsidRPr="008019F6">
        <w:rPr>
          <w:rFonts w:ascii="Arial" w:hAnsi="Arial" w:cs="Arial"/>
          <w:sz w:val="21"/>
          <w:szCs w:val="21"/>
        </w:rPr>
        <w:t>e why certain conclusions were drawn and whether unconscious biases influenced the assessment. This continuous loop of action and rigorous reflection systematically sharpens clinical judgment over time.</w:t>
      </w:r>
    </w:p>
    <w:p w14:paraId="1519F1A9" w14:textId="77777777" w:rsidR="008019F6" w:rsidRPr="00242974" w:rsidRDefault="008019F6" w:rsidP="008019F6">
      <w:pPr>
        <w:spacing w:after="0" w:line="360" w:lineRule="auto"/>
        <w:rPr>
          <w:sz w:val="21"/>
          <w:szCs w:val="21"/>
        </w:rPr>
      </w:pPr>
    </w:p>
    <w:p w14:paraId="1497148C" w14:textId="10909DC6" w:rsidR="00A946CB" w:rsidRDefault="00A946CB" w:rsidP="008019F6">
      <w:pPr>
        <w:pStyle w:val="Heading2"/>
        <w:numPr>
          <w:ilvl w:val="1"/>
          <w:numId w:val="23"/>
        </w:numPr>
      </w:pPr>
      <w:bookmarkStart w:id="17" w:name="_Toc228861928"/>
      <w:bookmarkStart w:id="18" w:name="_Toc228861971"/>
      <w:bookmarkStart w:id="19" w:name="_Toc228862234"/>
      <w:bookmarkStart w:id="20" w:name="_Toc235756676"/>
      <w:r w:rsidRPr="004D1EE6">
        <w:t>Conclusion</w:t>
      </w:r>
      <w:bookmarkEnd w:id="17"/>
      <w:bookmarkEnd w:id="18"/>
      <w:bookmarkEnd w:id="19"/>
      <w:bookmarkEnd w:id="20"/>
    </w:p>
    <w:p w14:paraId="64629D19" w14:textId="77777777" w:rsidR="008019F6" w:rsidRPr="008019F6" w:rsidRDefault="008019F6" w:rsidP="008019F6"/>
    <w:p w14:paraId="707340FA" w14:textId="21560803" w:rsidR="008019F6" w:rsidRPr="008019F6" w:rsidRDefault="008019F6" w:rsidP="008019F6">
      <w:pPr>
        <w:spacing w:line="360" w:lineRule="auto"/>
        <w:rPr>
          <w:rFonts w:ascii="Arial" w:hAnsi="Arial" w:cs="Arial"/>
        </w:rPr>
      </w:pPr>
      <w:r w:rsidRPr="008019F6">
        <w:rPr>
          <w:rFonts w:ascii="Arial" w:hAnsi="Arial" w:cs="Arial"/>
        </w:rPr>
        <w:t xml:space="preserve">In conclusion, the role of a children’s social worker is indispensable for the provision of safe, high-quality care and the protection of vulnerable youth. The complexities of safeguarding require practitioners to possess highly developed adaptable communication, emotional resilience, and analytical thinking. Lacking these competencies can result in systemic failures and severe harm to children and families. However, through targeted strategies such as specialized simulation training, reflective supervision, and structured analytical reflection, these essential skills can be continuously </w:t>
      </w:r>
      <w:r w:rsidRPr="008019F6">
        <w:rPr>
          <w:rFonts w:ascii="Arial" w:hAnsi="Arial" w:cs="Arial"/>
        </w:rPr>
        <w:lastRenderedPageBreak/>
        <w:t>refined. Ultimately, a well-supported, highly skilled social care workforce is the most effective mechanism society possesses to secure the welfare and future of at</w:t>
      </w:r>
      <w:r w:rsidR="00AF27FC">
        <w:rPr>
          <w:rFonts w:ascii="Arial" w:hAnsi="Arial" w:cs="Arial"/>
        </w:rPr>
        <w:t xml:space="preserve"> </w:t>
      </w:r>
      <w:r w:rsidRPr="008019F6">
        <w:rPr>
          <w:rFonts w:ascii="Arial" w:hAnsi="Arial" w:cs="Arial"/>
        </w:rPr>
        <w:t>risk children.</w:t>
      </w:r>
    </w:p>
    <w:p w14:paraId="2DC696BD" w14:textId="77777777" w:rsidR="008019F6" w:rsidRPr="008019F6" w:rsidRDefault="008019F6" w:rsidP="008019F6">
      <w:pPr>
        <w:spacing w:line="360" w:lineRule="auto"/>
      </w:pPr>
    </w:p>
    <w:p w14:paraId="6C4B494D" w14:textId="4A588838" w:rsidR="00226D31" w:rsidRDefault="00226D31" w:rsidP="008019F6">
      <w:pPr>
        <w:pStyle w:val="Heading2"/>
        <w:numPr>
          <w:ilvl w:val="1"/>
          <w:numId w:val="23"/>
        </w:numPr>
      </w:pPr>
      <w:bookmarkStart w:id="21" w:name="_Toc228861929"/>
      <w:bookmarkStart w:id="22" w:name="_Toc228861972"/>
      <w:bookmarkStart w:id="23" w:name="_Toc228862235"/>
      <w:bookmarkStart w:id="24" w:name="_Toc235756677"/>
      <w:r w:rsidRPr="004D1EE6">
        <w:t>Reference List</w:t>
      </w:r>
      <w:bookmarkEnd w:id="21"/>
      <w:bookmarkEnd w:id="22"/>
      <w:bookmarkEnd w:id="23"/>
      <w:bookmarkEnd w:id="24"/>
    </w:p>
    <w:p w14:paraId="69E326E8" w14:textId="77777777" w:rsidR="008019F6" w:rsidRPr="008019F6" w:rsidRDefault="008019F6" w:rsidP="008019F6">
      <w:pPr>
        <w:pStyle w:val="ListParagraph"/>
        <w:ind w:left="440"/>
      </w:pPr>
    </w:p>
    <w:p w14:paraId="40EA26C3" w14:textId="77777777" w:rsidR="008019F6" w:rsidRPr="008019F6" w:rsidRDefault="008019F6" w:rsidP="008019F6">
      <w:pPr>
        <w:rPr>
          <w:rFonts w:ascii="Arial" w:hAnsi="Arial" w:cs="Arial"/>
        </w:rPr>
      </w:pPr>
      <w:r w:rsidRPr="008019F6">
        <w:rPr>
          <w:rFonts w:ascii="Arial" w:hAnsi="Arial" w:cs="Arial"/>
        </w:rPr>
        <w:t xml:space="preserve">British Association of Social Workers (BASW) (2021) </w:t>
      </w:r>
      <w:r w:rsidRPr="008019F6">
        <w:rPr>
          <w:rFonts w:ascii="Arial" w:hAnsi="Arial" w:cs="Arial"/>
          <w:i/>
          <w:iCs/>
        </w:rPr>
        <w:t>The Professional Capabilities Framework (PCF)</w:t>
      </w:r>
      <w:r w:rsidRPr="008019F6">
        <w:rPr>
          <w:rFonts w:ascii="Arial" w:hAnsi="Arial" w:cs="Arial"/>
        </w:rPr>
        <w:t xml:space="preserve">. Available at: </w:t>
      </w:r>
      <w:hyperlink r:id="rId9" w:tgtFrame="_blank" w:history="1">
        <w:r w:rsidRPr="008019F6">
          <w:rPr>
            <w:rStyle w:val="Hyperlink"/>
            <w:rFonts w:ascii="Arial" w:hAnsi="Arial" w:cs="Arial"/>
            <w:color w:val="auto"/>
          </w:rPr>
          <w:t>https://www.basw.co.uk/professional-development/professional-capabilities-framework-pcf</w:t>
        </w:r>
      </w:hyperlink>
      <w:r w:rsidRPr="008019F6">
        <w:rPr>
          <w:rFonts w:ascii="Arial" w:hAnsi="Arial" w:cs="Arial"/>
        </w:rPr>
        <w:t xml:space="preserve"> (Accessed: 15 July 2026).</w:t>
      </w:r>
    </w:p>
    <w:p w14:paraId="71DDE000" w14:textId="77777777" w:rsidR="008019F6" w:rsidRPr="008019F6" w:rsidRDefault="008019F6" w:rsidP="008019F6">
      <w:pPr>
        <w:rPr>
          <w:rFonts w:ascii="Arial" w:hAnsi="Arial" w:cs="Arial"/>
        </w:rPr>
      </w:pPr>
      <w:r w:rsidRPr="008019F6">
        <w:rPr>
          <w:rFonts w:ascii="Arial" w:hAnsi="Arial" w:cs="Arial"/>
        </w:rPr>
        <w:t xml:space="preserve">Department for Education (2018) </w:t>
      </w:r>
      <w:r w:rsidRPr="008019F6">
        <w:rPr>
          <w:rFonts w:ascii="Arial" w:hAnsi="Arial" w:cs="Arial"/>
          <w:i/>
          <w:iCs/>
        </w:rPr>
        <w:t>Working Together to Safeguard Children: A guide to inter-agency working to safeguard and promote the welfare of children</w:t>
      </w:r>
      <w:r w:rsidRPr="008019F6">
        <w:rPr>
          <w:rFonts w:ascii="Arial" w:hAnsi="Arial" w:cs="Arial"/>
        </w:rPr>
        <w:t>. London: HM Government.</w:t>
      </w:r>
    </w:p>
    <w:p w14:paraId="67E7660B" w14:textId="77777777" w:rsidR="008019F6" w:rsidRPr="008019F6" w:rsidRDefault="008019F6" w:rsidP="008019F6">
      <w:pPr>
        <w:rPr>
          <w:rFonts w:ascii="Arial" w:hAnsi="Arial" w:cs="Arial"/>
        </w:rPr>
      </w:pPr>
      <w:r w:rsidRPr="008019F6">
        <w:rPr>
          <w:rFonts w:ascii="Arial" w:hAnsi="Arial" w:cs="Arial"/>
        </w:rPr>
        <w:t xml:space="preserve">Lefevre, M. (2018) </w:t>
      </w:r>
      <w:r w:rsidRPr="008019F6">
        <w:rPr>
          <w:rFonts w:ascii="Arial" w:hAnsi="Arial" w:cs="Arial"/>
          <w:i/>
          <w:iCs/>
        </w:rPr>
        <w:t>Communicating with Children and Young People: Making a Difference</w:t>
      </w:r>
      <w:r w:rsidRPr="008019F6">
        <w:rPr>
          <w:rFonts w:ascii="Arial" w:hAnsi="Arial" w:cs="Arial"/>
        </w:rPr>
        <w:t xml:space="preserve">. 2nd </w:t>
      </w:r>
      <w:proofErr w:type="spellStart"/>
      <w:r w:rsidRPr="008019F6">
        <w:rPr>
          <w:rFonts w:ascii="Arial" w:hAnsi="Arial" w:cs="Arial"/>
        </w:rPr>
        <w:t>edn</w:t>
      </w:r>
      <w:proofErr w:type="spellEnd"/>
      <w:r w:rsidRPr="008019F6">
        <w:rPr>
          <w:rFonts w:ascii="Arial" w:hAnsi="Arial" w:cs="Arial"/>
        </w:rPr>
        <w:t>. Bristol: Policy Press.</w:t>
      </w:r>
    </w:p>
    <w:p w14:paraId="3342B28D" w14:textId="77777777" w:rsidR="008019F6" w:rsidRPr="008019F6" w:rsidRDefault="008019F6" w:rsidP="008019F6">
      <w:pPr>
        <w:rPr>
          <w:rFonts w:ascii="Arial" w:hAnsi="Arial" w:cs="Arial"/>
        </w:rPr>
      </w:pPr>
      <w:r w:rsidRPr="008019F6">
        <w:rPr>
          <w:rFonts w:ascii="Arial" w:hAnsi="Arial" w:cs="Arial"/>
        </w:rPr>
        <w:t xml:space="preserve">Munro, E. (2020) </w:t>
      </w:r>
      <w:r w:rsidRPr="008019F6">
        <w:rPr>
          <w:rFonts w:ascii="Arial" w:hAnsi="Arial" w:cs="Arial"/>
          <w:i/>
          <w:iCs/>
        </w:rPr>
        <w:t>Effective Child Protection</w:t>
      </w:r>
      <w:r w:rsidRPr="008019F6">
        <w:rPr>
          <w:rFonts w:ascii="Arial" w:hAnsi="Arial" w:cs="Arial"/>
        </w:rPr>
        <w:t xml:space="preserve">. 3rd </w:t>
      </w:r>
      <w:proofErr w:type="spellStart"/>
      <w:r w:rsidRPr="008019F6">
        <w:rPr>
          <w:rFonts w:ascii="Arial" w:hAnsi="Arial" w:cs="Arial"/>
        </w:rPr>
        <w:t>edn</w:t>
      </w:r>
      <w:proofErr w:type="spellEnd"/>
      <w:r w:rsidRPr="008019F6">
        <w:rPr>
          <w:rFonts w:ascii="Arial" w:hAnsi="Arial" w:cs="Arial"/>
        </w:rPr>
        <w:t>. London: SAGE Publications.</w:t>
      </w:r>
    </w:p>
    <w:p w14:paraId="20C89D0C" w14:textId="77777777" w:rsidR="008019F6" w:rsidRPr="008019F6" w:rsidRDefault="008019F6" w:rsidP="008019F6">
      <w:pPr>
        <w:rPr>
          <w:rFonts w:ascii="Arial" w:hAnsi="Arial" w:cs="Arial"/>
        </w:rPr>
      </w:pPr>
      <w:r w:rsidRPr="008019F6">
        <w:rPr>
          <w:rFonts w:ascii="Arial" w:hAnsi="Arial" w:cs="Arial"/>
        </w:rPr>
        <w:t xml:space="preserve">Ruch, G., Turney, D. and Ward, A. (2018) </w:t>
      </w:r>
      <w:r w:rsidRPr="008019F6">
        <w:rPr>
          <w:rFonts w:ascii="Arial" w:hAnsi="Arial" w:cs="Arial"/>
          <w:i/>
          <w:iCs/>
        </w:rPr>
        <w:t>Relationship-Based Social Work: Getting to the Heart of Practice</w:t>
      </w:r>
      <w:r w:rsidRPr="008019F6">
        <w:rPr>
          <w:rFonts w:ascii="Arial" w:hAnsi="Arial" w:cs="Arial"/>
        </w:rPr>
        <w:t xml:space="preserve">. 2nd </w:t>
      </w:r>
      <w:proofErr w:type="spellStart"/>
      <w:r w:rsidRPr="008019F6">
        <w:rPr>
          <w:rFonts w:ascii="Arial" w:hAnsi="Arial" w:cs="Arial"/>
        </w:rPr>
        <w:t>edn</w:t>
      </w:r>
      <w:proofErr w:type="spellEnd"/>
      <w:r w:rsidRPr="008019F6">
        <w:rPr>
          <w:rFonts w:ascii="Arial" w:hAnsi="Arial" w:cs="Arial"/>
        </w:rPr>
        <w:t>. London: Jessica Kingsley Publishers.</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57247" w14:textId="77777777" w:rsidR="00635435" w:rsidRDefault="00635435" w:rsidP="003C7C97">
      <w:pPr>
        <w:spacing w:after="0" w:line="240" w:lineRule="auto"/>
      </w:pPr>
      <w:r>
        <w:separator/>
      </w:r>
    </w:p>
  </w:endnote>
  <w:endnote w:type="continuationSeparator" w:id="0">
    <w:p w14:paraId="36B70AE1" w14:textId="77777777" w:rsidR="00635435" w:rsidRDefault="0063543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D9F29" w14:textId="77777777" w:rsidR="00635435" w:rsidRDefault="00635435" w:rsidP="003C7C97">
      <w:pPr>
        <w:spacing w:after="0" w:line="240" w:lineRule="auto"/>
      </w:pPr>
      <w:r>
        <w:separator/>
      </w:r>
    </w:p>
  </w:footnote>
  <w:footnote w:type="continuationSeparator" w:id="0">
    <w:p w14:paraId="41C81091" w14:textId="77777777" w:rsidR="00635435" w:rsidRDefault="0063543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DD0F07"/>
    <w:multiLevelType w:val="multilevel"/>
    <w:tmpl w:val="66E4D67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14485470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1D2DCB"/>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35435"/>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19F6"/>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2BE1"/>
    <w:rsid w:val="00A63F7F"/>
    <w:rsid w:val="00A667CE"/>
    <w:rsid w:val="00A75042"/>
    <w:rsid w:val="00A774BC"/>
    <w:rsid w:val="00A82678"/>
    <w:rsid w:val="00A946CB"/>
    <w:rsid w:val="00AA77C8"/>
    <w:rsid w:val="00AC7BE2"/>
    <w:rsid w:val="00AE35BF"/>
    <w:rsid w:val="00AF27FC"/>
    <w:rsid w:val="00B1067E"/>
    <w:rsid w:val="00B81790"/>
    <w:rsid w:val="00B81BBC"/>
    <w:rsid w:val="00BD03D5"/>
    <w:rsid w:val="00BF34E1"/>
    <w:rsid w:val="00C3215E"/>
    <w:rsid w:val="00C45272"/>
    <w:rsid w:val="00C47770"/>
    <w:rsid w:val="00C61A7D"/>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019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search?q=https://www.basw.co.uk/professional-development/professional-capabilities-framework-pc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1496</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Fareen Riaz (2540330)</cp:lastModifiedBy>
  <cp:revision>2</cp:revision>
  <dcterms:created xsi:type="dcterms:W3CDTF">2026-07-24T02:39:00Z</dcterms:created>
  <dcterms:modified xsi:type="dcterms:W3CDTF">2026-07-24T02:39:00Z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