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CE39C" w14:textId="77777777" w:rsidR="00E85B12" w:rsidRPr="00606561" w:rsidRDefault="00E85B12" w:rsidP="00E85B12">
      <w:pPr>
        <w:spacing w:line="276" w:lineRule="auto"/>
        <w:rPr>
          <w:rFonts w:ascii="Arial" w:hAnsi="Arial" w:cs="Arial"/>
          <w:b/>
          <w:bCs/>
          <w:sz w:val="36"/>
          <w:szCs w:val="36"/>
        </w:rPr>
      </w:pPr>
      <w:r w:rsidRPr="00606561">
        <w:rPr>
          <w:rFonts w:ascii="Arial" w:hAnsi="Arial" w:cs="Arial"/>
          <w:noProof/>
        </w:rPr>
        <w:drawing>
          <wp:anchor distT="0" distB="0" distL="114300" distR="114300" simplePos="0" relativeHeight="251659264" behindDoc="0" locked="0" layoutInCell="1" allowOverlap="1" wp14:anchorId="4830F6B8" wp14:editId="1975D2A1">
            <wp:simplePos x="0" y="0"/>
            <wp:positionH relativeFrom="column">
              <wp:posOffset>-312420</wp:posOffset>
            </wp:positionH>
            <wp:positionV relativeFrom="paragraph">
              <wp:posOffset>0</wp:posOffset>
            </wp:positionV>
            <wp:extent cx="1809750" cy="723900"/>
            <wp:effectExtent l="0" t="0" r="0" b="0"/>
            <wp:wrapSquare wrapText="bothSides"/>
            <wp:docPr id="18" name="Picture 1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A54B674" w14:textId="77777777" w:rsidR="00E85B12" w:rsidRPr="00606561" w:rsidRDefault="00E85B12" w:rsidP="00E85B12">
      <w:pPr>
        <w:spacing w:line="276" w:lineRule="auto"/>
        <w:rPr>
          <w:rFonts w:ascii="Arial" w:hAnsi="Arial" w:cs="Arial"/>
          <w:b/>
          <w:bCs/>
          <w:sz w:val="36"/>
          <w:szCs w:val="36"/>
        </w:rPr>
      </w:pPr>
    </w:p>
    <w:p w14:paraId="7EE877B9" w14:textId="77777777" w:rsidR="00E85B12" w:rsidRPr="00606561" w:rsidRDefault="00E85B12" w:rsidP="00E85B12">
      <w:pPr>
        <w:spacing w:line="276" w:lineRule="auto"/>
        <w:rPr>
          <w:rFonts w:ascii="Arial" w:hAnsi="Arial" w:cs="Arial"/>
          <w:b/>
          <w:bCs/>
          <w:sz w:val="36"/>
          <w:szCs w:val="36"/>
        </w:rPr>
      </w:pPr>
    </w:p>
    <w:p w14:paraId="3745F084" w14:textId="77777777" w:rsidR="00E85B12" w:rsidRPr="00606561" w:rsidRDefault="00E85B12" w:rsidP="00E85B12">
      <w:pPr>
        <w:spacing w:line="276" w:lineRule="auto"/>
        <w:rPr>
          <w:rFonts w:ascii="Arial" w:hAnsi="Arial" w:cs="Arial"/>
          <w:b/>
          <w:bCs/>
          <w:sz w:val="36"/>
          <w:szCs w:val="36"/>
        </w:rPr>
      </w:pPr>
    </w:p>
    <w:p w14:paraId="1128B89F" w14:textId="77777777" w:rsidR="00E85B12" w:rsidRPr="00606561" w:rsidRDefault="00E85B12" w:rsidP="00E85B12">
      <w:pPr>
        <w:spacing w:line="276" w:lineRule="auto"/>
        <w:jc w:val="center"/>
        <w:rPr>
          <w:rFonts w:ascii="Arial" w:hAnsi="Arial" w:cs="Arial"/>
          <w:b/>
          <w:bCs/>
          <w:sz w:val="36"/>
          <w:szCs w:val="36"/>
        </w:rPr>
      </w:pPr>
      <w:bookmarkStart w:id="0" w:name="_Hlk214092511"/>
      <w:r w:rsidRPr="00606561">
        <w:rPr>
          <w:rFonts w:ascii="Arial" w:hAnsi="Arial" w:cs="Arial"/>
          <w:b/>
          <w:bCs/>
          <w:sz w:val="36"/>
          <w:szCs w:val="36"/>
        </w:rPr>
        <w:t>UNIVERSITY OF WALES – TRINITY SAINT DAVID</w:t>
      </w:r>
    </w:p>
    <w:bookmarkEnd w:id="0"/>
    <w:p w14:paraId="623F55DF" w14:textId="77777777" w:rsidR="00E85B12" w:rsidRPr="00606561" w:rsidRDefault="00E85B12" w:rsidP="00E85B12">
      <w:pPr>
        <w:spacing w:line="276" w:lineRule="auto"/>
        <w:jc w:val="center"/>
        <w:rPr>
          <w:rFonts w:ascii="Arial" w:hAnsi="Arial" w:cs="Arial"/>
          <w:b/>
          <w:bCs/>
          <w:sz w:val="48"/>
          <w:szCs w:val="48"/>
        </w:rPr>
      </w:pPr>
    </w:p>
    <w:p w14:paraId="32CE2900" w14:textId="77777777" w:rsidR="00E85B12" w:rsidRPr="00606561" w:rsidRDefault="00E85B12" w:rsidP="00E85B12">
      <w:pPr>
        <w:spacing w:line="360" w:lineRule="auto"/>
        <w:jc w:val="center"/>
        <w:rPr>
          <w:rFonts w:ascii="Arial" w:hAnsi="Arial" w:cs="Arial"/>
          <w:b/>
          <w:bCs/>
          <w:sz w:val="32"/>
          <w:szCs w:val="32"/>
        </w:rPr>
      </w:pPr>
    </w:p>
    <w:p w14:paraId="2A07A870" w14:textId="77777777" w:rsidR="00E85B12" w:rsidRPr="00606561" w:rsidRDefault="00E85B12" w:rsidP="00E85B12">
      <w:pPr>
        <w:spacing w:line="360" w:lineRule="auto"/>
        <w:jc w:val="center"/>
        <w:rPr>
          <w:rFonts w:ascii="Arial" w:hAnsi="Arial" w:cs="Arial"/>
          <w:b/>
          <w:bCs/>
          <w:sz w:val="32"/>
          <w:szCs w:val="32"/>
        </w:rPr>
      </w:pPr>
    </w:p>
    <w:p w14:paraId="56F97160" w14:textId="77777777" w:rsidR="00E85B12" w:rsidRPr="00606561" w:rsidRDefault="00E85B12" w:rsidP="00E85B12">
      <w:pPr>
        <w:spacing w:line="360" w:lineRule="auto"/>
        <w:jc w:val="center"/>
        <w:rPr>
          <w:rFonts w:ascii="Arial" w:hAnsi="Arial" w:cs="Arial"/>
          <w:b/>
          <w:bCs/>
          <w:sz w:val="32"/>
          <w:szCs w:val="32"/>
        </w:rPr>
      </w:pPr>
    </w:p>
    <w:p w14:paraId="3A7F412D" w14:textId="3CF59CCF" w:rsidR="00E85B12" w:rsidRPr="00606561" w:rsidRDefault="00E85B12" w:rsidP="00E85B12">
      <w:pPr>
        <w:spacing w:line="360" w:lineRule="auto"/>
        <w:jc w:val="center"/>
        <w:rPr>
          <w:rFonts w:ascii="Arial" w:hAnsi="Arial" w:cs="Arial"/>
          <w:b/>
          <w:bCs/>
          <w:sz w:val="32"/>
          <w:szCs w:val="32"/>
        </w:rPr>
      </w:pPr>
      <w:r w:rsidRPr="00606561">
        <w:rPr>
          <w:rFonts w:ascii="Arial" w:hAnsi="Arial" w:cs="Arial"/>
          <w:b/>
          <w:bCs/>
          <w:sz w:val="32"/>
          <w:szCs w:val="32"/>
        </w:rPr>
        <w:t>LCLM5004 MANAGING BUSINESS INFORMATION</w:t>
      </w:r>
    </w:p>
    <w:p w14:paraId="23B032B3" w14:textId="74BE5CF6" w:rsidR="009B3CC4" w:rsidRPr="00606561" w:rsidRDefault="009B3CC4" w:rsidP="00E85B12">
      <w:pPr>
        <w:spacing w:line="360" w:lineRule="auto"/>
        <w:jc w:val="center"/>
        <w:rPr>
          <w:rFonts w:ascii="Arial" w:hAnsi="Arial" w:cs="Arial"/>
          <w:b/>
          <w:bCs/>
          <w:sz w:val="32"/>
          <w:szCs w:val="32"/>
        </w:rPr>
      </w:pPr>
      <w:r w:rsidRPr="00606561">
        <w:rPr>
          <w:rFonts w:ascii="Arial" w:hAnsi="Arial" w:cs="Arial"/>
          <w:b/>
          <w:bCs/>
          <w:sz w:val="32"/>
          <w:szCs w:val="32"/>
        </w:rPr>
        <w:t>Individual report - Information Systems Improvements</w:t>
      </w:r>
    </w:p>
    <w:p w14:paraId="3EF428E6" w14:textId="77777777" w:rsidR="00E85B12" w:rsidRPr="00606561" w:rsidRDefault="00E85B12" w:rsidP="00E85B12">
      <w:pPr>
        <w:spacing w:line="360" w:lineRule="auto"/>
        <w:jc w:val="center"/>
        <w:rPr>
          <w:rFonts w:ascii="Arial" w:hAnsi="Arial" w:cs="Arial"/>
          <w:b/>
          <w:bCs/>
          <w:sz w:val="32"/>
          <w:szCs w:val="32"/>
        </w:rPr>
      </w:pPr>
    </w:p>
    <w:p w14:paraId="542C6448" w14:textId="77777777" w:rsidR="00E85B12" w:rsidRPr="00606561" w:rsidRDefault="00E85B12" w:rsidP="00E85B12">
      <w:pPr>
        <w:spacing w:line="276" w:lineRule="auto"/>
        <w:rPr>
          <w:rFonts w:ascii="Arial" w:hAnsi="Arial" w:cs="Arial"/>
          <w:b/>
          <w:bCs/>
          <w:sz w:val="48"/>
          <w:szCs w:val="48"/>
        </w:rPr>
      </w:pPr>
    </w:p>
    <w:p w14:paraId="4610125F" w14:textId="77777777" w:rsidR="00E85B12" w:rsidRPr="00606561" w:rsidRDefault="00E85B12" w:rsidP="00E85B12">
      <w:pPr>
        <w:spacing w:line="276" w:lineRule="auto"/>
        <w:rPr>
          <w:rFonts w:ascii="Arial" w:hAnsi="Arial" w:cs="Arial"/>
          <w:b/>
          <w:bCs/>
          <w:sz w:val="48"/>
          <w:szCs w:val="48"/>
        </w:rPr>
      </w:pPr>
    </w:p>
    <w:p w14:paraId="4588209A" w14:textId="77777777" w:rsidR="00E85B12" w:rsidRPr="00606561" w:rsidRDefault="00E85B12" w:rsidP="00E85B12">
      <w:pPr>
        <w:spacing w:line="360" w:lineRule="auto"/>
        <w:jc w:val="center"/>
        <w:rPr>
          <w:rFonts w:ascii="Arial" w:hAnsi="Arial" w:cs="Arial"/>
          <w:b/>
          <w:bCs/>
          <w:sz w:val="32"/>
          <w:szCs w:val="32"/>
        </w:rPr>
      </w:pPr>
    </w:p>
    <w:p w14:paraId="12579308" w14:textId="77777777" w:rsidR="00E85B12" w:rsidRPr="00606561" w:rsidRDefault="00E85B12" w:rsidP="009B3CC4">
      <w:pPr>
        <w:pStyle w:val="NoSpacing"/>
        <w:spacing w:line="360" w:lineRule="auto"/>
        <w:jc w:val="right"/>
        <w:rPr>
          <w:rFonts w:ascii="Arial" w:hAnsi="Arial" w:cs="Arial"/>
          <w:sz w:val="32"/>
          <w:szCs w:val="32"/>
        </w:rPr>
      </w:pPr>
      <w:r w:rsidRPr="00606561">
        <w:rPr>
          <w:rFonts w:ascii="Arial" w:hAnsi="Arial" w:cs="Arial"/>
          <w:b/>
          <w:bCs/>
          <w:sz w:val="32"/>
          <w:szCs w:val="32"/>
        </w:rPr>
        <w:t xml:space="preserve">Student name: </w:t>
      </w:r>
      <w:r w:rsidRPr="00606561">
        <w:rPr>
          <w:rFonts w:ascii="Arial" w:hAnsi="Arial" w:cs="Arial"/>
          <w:sz w:val="32"/>
          <w:szCs w:val="32"/>
        </w:rPr>
        <w:t>Alexandru Constantin Popa</w:t>
      </w:r>
    </w:p>
    <w:p w14:paraId="44B060A3" w14:textId="77777777" w:rsidR="00E85B12" w:rsidRPr="00606561" w:rsidRDefault="00E85B12" w:rsidP="009B3CC4">
      <w:pPr>
        <w:pStyle w:val="NoSpacing"/>
        <w:spacing w:line="360" w:lineRule="auto"/>
        <w:jc w:val="right"/>
        <w:rPr>
          <w:rFonts w:ascii="Arial" w:hAnsi="Arial" w:cs="Arial"/>
          <w:b/>
          <w:bCs/>
          <w:sz w:val="32"/>
          <w:szCs w:val="32"/>
        </w:rPr>
      </w:pPr>
      <w:r w:rsidRPr="00606561">
        <w:rPr>
          <w:rFonts w:ascii="Arial" w:hAnsi="Arial" w:cs="Arial"/>
          <w:b/>
          <w:bCs/>
          <w:sz w:val="32"/>
          <w:szCs w:val="32"/>
        </w:rPr>
        <w:t xml:space="preserve">Student id: </w:t>
      </w:r>
      <w:r w:rsidRPr="00606561">
        <w:rPr>
          <w:rFonts w:ascii="Arial" w:hAnsi="Arial" w:cs="Arial"/>
          <w:sz w:val="32"/>
          <w:szCs w:val="32"/>
        </w:rPr>
        <w:t>2332748</w:t>
      </w:r>
    </w:p>
    <w:p w14:paraId="3D78390A" w14:textId="15E7AC25" w:rsidR="00E85B12" w:rsidRPr="00606561" w:rsidRDefault="00E85B12" w:rsidP="009B3CC4">
      <w:pPr>
        <w:pStyle w:val="NoSpacing"/>
        <w:spacing w:line="360" w:lineRule="auto"/>
        <w:jc w:val="right"/>
        <w:rPr>
          <w:rFonts w:ascii="Arial" w:hAnsi="Arial" w:cs="Arial"/>
          <w:b/>
          <w:bCs/>
          <w:kern w:val="36"/>
          <w:sz w:val="32"/>
          <w:szCs w:val="32"/>
        </w:rPr>
      </w:pPr>
      <w:r w:rsidRPr="00606561">
        <w:rPr>
          <w:rFonts w:ascii="Arial" w:hAnsi="Arial" w:cs="Arial"/>
          <w:b/>
          <w:bCs/>
          <w:sz w:val="32"/>
          <w:szCs w:val="32"/>
        </w:rPr>
        <w:t xml:space="preserve">Lecturer’s Name: </w:t>
      </w:r>
      <w:r w:rsidRPr="00606561">
        <w:rPr>
          <w:rFonts w:ascii="Arial" w:hAnsi="Arial" w:cs="Arial"/>
          <w:sz w:val="32"/>
          <w:szCs w:val="32"/>
        </w:rPr>
        <w:t xml:space="preserve">Chinomso </w:t>
      </w:r>
      <w:proofErr w:type="spellStart"/>
      <w:r w:rsidRPr="00606561">
        <w:rPr>
          <w:rFonts w:ascii="Arial" w:hAnsi="Arial" w:cs="Arial"/>
          <w:sz w:val="32"/>
          <w:szCs w:val="32"/>
        </w:rPr>
        <w:t>Nwagboso</w:t>
      </w:r>
      <w:proofErr w:type="spellEnd"/>
    </w:p>
    <w:p w14:paraId="7E158891" w14:textId="7A61A75D" w:rsidR="00E85B12" w:rsidRPr="00606561" w:rsidRDefault="00E85B12">
      <w:pPr>
        <w:rPr>
          <w:rFonts w:ascii="Arial" w:hAnsi="Arial" w:cs="Arial"/>
          <w:b/>
          <w:bCs/>
        </w:rPr>
      </w:pPr>
      <w:r w:rsidRPr="00606561">
        <w:rPr>
          <w:rFonts w:ascii="Arial" w:hAnsi="Arial" w:cs="Arial"/>
          <w:b/>
          <w:bCs/>
        </w:rPr>
        <w:br w:type="page"/>
      </w:r>
    </w:p>
    <w:p w14:paraId="00A0EB55" w14:textId="77777777" w:rsidR="00E85B12" w:rsidRPr="00606561" w:rsidRDefault="00E85B12" w:rsidP="00A7012D">
      <w:pPr>
        <w:rPr>
          <w:rFonts w:ascii="Arial" w:hAnsi="Arial" w:cs="Arial"/>
          <w:b/>
          <w:bCs/>
        </w:rPr>
      </w:pPr>
    </w:p>
    <w:sdt>
      <w:sdtPr>
        <w:rPr>
          <w:rFonts w:ascii="Arial" w:eastAsiaTheme="minorHAnsi" w:hAnsi="Arial" w:cs="Arial"/>
          <w:color w:val="auto"/>
          <w:kern w:val="2"/>
          <w:sz w:val="24"/>
          <w:szCs w:val="24"/>
          <w14:ligatures w14:val="standardContextual"/>
        </w:rPr>
        <w:id w:val="1701738898"/>
        <w:docPartObj>
          <w:docPartGallery w:val="Table of Contents"/>
          <w:docPartUnique/>
        </w:docPartObj>
      </w:sdtPr>
      <w:sdtEndPr>
        <w:rPr>
          <w:b/>
          <w:bCs/>
          <w:noProof/>
        </w:rPr>
      </w:sdtEndPr>
      <w:sdtContent>
        <w:p w14:paraId="3D67B8F4" w14:textId="15A33F12" w:rsidR="00E85B12" w:rsidRPr="00606561" w:rsidRDefault="00E85B12">
          <w:pPr>
            <w:pStyle w:val="TOCHeading"/>
            <w:rPr>
              <w:rFonts w:ascii="Arial" w:hAnsi="Arial" w:cs="Arial"/>
              <w:color w:val="auto"/>
            </w:rPr>
          </w:pPr>
          <w:r w:rsidRPr="00606561">
            <w:rPr>
              <w:rFonts w:ascii="Arial" w:hAnsi="Arial" w:cs="Arial"/>
              <w:color w:val="auto"/>
            </w:rPr>
            <w:t>Contents</w:t>
          </w:r>
        </w:p>
        <w:p w14:paraId="4A4C2327" w14:textId="33E93462" w:rsidR="00777B29" w:rsidRPr="00606561" w:rsidRDefault="00E85B12">
          <w:pPr>
            <w:pStyle w:val="TOC1"/>
            <w:tabs>
              <w:tab w:val="right" w:leader="dot" w:pos="9350"/>
            </w:tabs>
            <w:rPr>
              <w:rFonts w:ascii="Arial" w:eastAsiaTheme="minorEastAsia" w:hAnsi="Arial" w:cs="Arial"/>
              <w:noProof/>
            </w:rPr>
          </w:pPr>
          <w:r w:rsidRPr="00606561">
            <w:rPr>
              <w:rFonts w:ascii="Arial" w:hAnsi="Arial" w:cs="Arial"/>
            </w:rPr>
            <w:fldChar w:fldCharType="begin"/>
          </w:r>
          <w:r w:rsidRPr="00606561">
            <w:rPr>
              <w:rFonts w:ascii="Arial" w:hAnsi="Arial" w:cs="Arial"/>
            </w:rPr>
            <w:instrText xml:space="preserve"> TOC \o "1-3" \h \z \u </w:instrText>
          </w:r>
          <w:r w:rsidRPr="00606561">
            <w:rPr>
              <w:rFonts w:ascii="Arial" w:hAnsi="Arial" w:cs="Arial"/>
            </w:rPr>
            <w:fldChar w:fldCharType="separate"/>
          </w:r>
          <w:hyperlink w:anchor="_Toc214116660" w:history="1">
            <w:r w:rsidR="00777B29" w:rsidRPr="00606561">
              <w:rPr>
                <w:rStyle w:val="Hyperlink"/>
                <w:rFonts w:ascii="Arial" w:hAnsi="Arial" w:cs="Arial"/>
                <w:b/>
                <w:bCs/>
                <w:noProof/>
              </w:rPr>
              <w:t>Executive Summary</w:t>
            </w:r>
            <w:r w:rsidR="00777B29" w:rsidRPr="00606561">
              <w:rPr>
                <w:rFonts w:ascii="Arial" w:hAnsi="Arial" w:cs="Arial"/>
                <w:noProof/>
                <w:webHidden/>
              </w:rPr>
              <w:tab/>
            </w:r>
            <w:r w:rsidR="00777B29" w:rsidRPr="00606561">
              <w:rPr>
                <w:rFonts w:ascii="Arial" w:hAnsi="Arial" w:cs="Arial"/>
                <w:noProof/>
                <w:webHidden/>
              </w:rPr>
              <w:fldChar w:fldCharType="begin"/>
            </w:r>
            <w:r w:rsidR="00777B29" w:rsidRPr="00606561">
              <w:rPr>
                <w:rFonts w:ascii="Arial" w:hAnsi="Arial" w:cs="Arial"/>
                <w:noProof/>
                <w:webHidden/>
              </w:rPr>
              <w:instrText xml:space="preserve"> PAGEREF _Toc214116660 \h </w:instrText>
            </w:r>
            <w:r w:rsidR="00777B29" w:rsidRPr="00606561">
              <w:rPr>
                <w:rFonts w:ascii="Arial" w:hAnsi="Arial" w:cs="Arial"/>
                <w:noProof/>
                <w:webHidden/>
              </w:rPr>
            </w:r>
            <w:r w:rsidR="00777B29" w:rsidRPr="00606561">
              <w:rPr>
                <w:rFonts w:ascii="Arial" w:hAnsi="Arial" w:cs="Arial"/>
                <w:noProof/>
                <w:webHidden/>
              </w:rPr>
              <w:fldChar w:fldCharType="separate"/>
            </w:r>
            <w:r w:rsidR="00777B29" w:rsidRPr="00606561">
              <w:rPr>
                <w:rFonts w:ascii="Arial" w:hAnsi="Arial" w:cs="Arial"/>
                <w:noProof/>
                <w:webHidden/>
              </w:rPr>
              <w:t>3</w:t>
            </w:r>
            <w:r w:rsidR="00777B29" w:rsidRPr="00606561">
              <w:rPr>
                <w:rFonts w:ascii="Arial" w:hAnsi="Arial" w:cs="Arial"/>
                <w:noProof/>
                <w:webHidden/>
              </w:rPr>
              <w:fldChar w:fldCharType="end"/>
            </w:r>
          </w:hyperlink>
        </w:p>
        <w:p w14:paraId="65ED68B5" w14:textId="41B37397" w:rsidR="00777B29" w:rsidRPr="00606561" w:rsidRDefault="00777B29">
          <w:pPr>
            <w:pStyle w:val="TOC1"/>
            <w:tabs>
              <w:tab w:val="right" w:leader="dot" w:pos="9350"/>
            </w:tabs>
            <w:rPr>
              <w:rFonts w:ascii="Arial" w:eastAsiaTheme="minorEastAsia" w:hAnsi="Arial" w:cs="Arial"/>
              <w:noProof/>
            </w:rPr>
          </w:pPr>
          <w:hyperlink w:anchor="_Toc214116661" w:history="1">
            <w:r w:rsidRPr="00606561">
              <w:rPr>
                <w:rStyle w:val="Hyperlink"/>
                <w:rFonts w:ascii="Arial" w:hAnsi="Arial" w:cs="Arial"/>
                <w:b/>
                <w:bCs/>
                <w:noProof/>
              </w:rPr>
              <w:t>1. Introduction</w:t>
            </w:r>
            <w:r w:rsidRPr="00606561">
              <w:rPr>
                <w:rFonts w:ascii="Arial" w:hAnsi="Arial" w:cs="Arial"/>
                <w:noProof/>
                <w:webHidden/>
              </w:rPr>
              <w:tab/>
            </w:r>
            <w:r w:rsidRPr="00606561">
              <w:rPr>
                <w:rFonts w:ascii="Arial" w:hAnsi="Arial" w:cs="Arial"/>
                <w:noProof/>
                <w:webHidden/>
              </w:rPr>
              <w:fldChar w:fldCharType="begin"/>
            </w:r>
            <w:r w:rsidRPr="00606561">
              <w:rPr>
                <w:rFonts w:ascii="Arial" w:hAnsi="Arial" w:cs="Arial"/>
                <w:noProof/>
                <w:webHidden/>
              </w:rPr>
              <w:instrText xml:space="preserve"> PAGEREF _Toc214116661 \h </w:instrText>
            </w:r>
            <w:r w:rsidRPr="00606561">
              <w:rPr>
                <w:rFonts w:ascii="Arial" w:hAnsi="Arial" w:cs="Arial"/>
                <w:noProof/>
                <w:webHidden/>
              </w:rPr>
            </w:r>
            <w:r w:rsidRPr="00606561">
              <w:rPr>
                <w:rFonts w:ascii="Arial" w:hAnsi="Arial" w:cs="Arial"/>
                <w:noProof/>
                <w:webHidden/>
              </w:rPr>
              <w:fldChar w:fldCharType="separate"/>
            </w:r>
            <w:r w:rsidRPr="00606561">
              <w:rPr>
                <w:rFonts w:ascii="Arial" w:hAnsi="Arial" w:cs="Arial"/>
                <w:noProof/>
                <w:webHidden/>
              </w:rPr>
              <w:t>3</w:t>
            </w:r>
            <w:r w:rsidRPr="00606561">
              <w:rPr>
                <w:rFonts w:ascii="Arial" w:hAnsi="Arial" w:cs="Arial"/>
                <w:noProof/>
                <w:webHidden/>
              </w:rPr>
              <w:fldChar w:fldCharType="end"/>
            </w:r>
          </w:hyperlink>
        </w:p>
        <w:p w14:paraId="5FD6C3EA" w14:textId="16EAFE42" w:rsidR="00777B29" w:rsidRPr="00606561" w:rsidRDefault="00777B29">
          <w:pPr>
            <w:pStyle w:val="TOC1"/>
            <w:tabs>
              <w:tab w:val="right" w:leader="dot" w:pos="9350"/>
            </w:tabs>
            <w:rPr>
              <w:rFonts w:ascii="Arial" w:eastAsiaTheme="minorEastAsia" w:hAnsi="Arial" w:cs="Arial"/>
              <w:noProof/>
            </w:rPr>
          </w:pPr>
          <w:hyperlink w:anchor="_Toc214116662" w:history="1">
            <w:r w:rsidRPr="00606561">
              <w:rPr>
                <w:rStyle w:val="Hyperlink"/>
                <w:rFonts w:ascii="Arial" w:hAnsi="Arial" w:cs="Arial"/>
                <w:b/>
                <w:bCs/>
                <w:noProof/>
              </w:rPr>
              <w:t>2. Business Scenario and Strategic Context</w:t>
            </w:r>
            <w:r w:rsidRPr="00606561">
              <w:rPr>
                <w:rFonts w:ascii="Arial" w:hAnsi="Arial" w:cs="Arial"/>
                <w:noProof/>
                <w:webHidden/>
              </w:rPr>
              <w:tab/>
            </w:r>
            <w:r w:rsidRPr="00606561">
              <w:rPr>
                <w:rFonts w:ascii="Arial" w:hAnsi="Arial" w:cs="Arial"/>
                <w:noProof/>
                <w:webHidden/>
              </w:rPr>
              <w:fldChar w:fldCharType="begin"/>
            </w:r>
            <w:r w:rsidRPr="00606561">
              <w:rPr>
                <w:rFonts w:ascii="Arial" w:hAnsi="Arial" w:cs="Arial"/>
                <w:noProof/>
                <w:webHidden/>
              </w:rPr>
              <w:instrText xml:space="preserve"> PAGEREF _Toc214116662 \h </w:instrText>
            </w:r>
            <w:r w:rsidRPr="00606561">
              <w:rPr>
                <w:rFonts w:ascii="Arial" w:hAnsi="Arial" w:cs="Arial"/>
                <w:noProof/>
                <w:webHidden/>
              </w:rPr>
            </w:r>
            <w:r w:rsidRPr="00606561">
              <w:rPr>
                <w:rFonts w:ascii="Arial" w:hAnsi="Arial" w:cs="Arial"/>
                <w:noProof/>
                <w:webHidden/>
              </w:rPr>
              <w:fldChar w:fldCharType="separate"/>
            </w:r>
            <w:r w:rsidRPr="00606561">
              <w:rPr>
                <w:rFonts w:ascii="Arial" w:hAnsi="Arial" w:cs="Arial"/>
                <w:noProof/>
                <w:webHidden/>
              </w:rPr>
              <w:t>4</w:t>
            </w:r>
            <w:r w:rsidRPr="00606561">
              <w:rPr>
                <w:rFonts w:ascii="Arial" w:hAnsi="Arial" w:cs="Arial"/>
                <w:noProof/>
                <w:webHidden/>
              </w:rPr>
              <w:fldChar w:fldCharType="end"/>
            </w:r>
          </w:hyperlink>
        </w:p>
        <w:p w14:paraId="4D26D1E2" w14:textId="4AB8FD54" w:rsidR="00777B29" w:rsidRPr="00606561" w:rsidRDefault="00777B29">
          <w:pPr>
            <w:pStyle w:val="TOC1"/>
            <w:tabs>
              <w:tab w:val="right" w:leader="dot" w:pos="9350"/>
            </w:tabs>
            <w:rPr>
              <w:rFonts w:ascii="Arial" w:eastAsiaTheme="minorEastAsia" w:hAnsi="Arial" w:cs="Arial"/>
              <w:noProof/>
            </w:rPr>
          </w:pPr>
          <w:hyperlink w:anchor="_Toc214116663" w:history="1">
            <w:r w:rsidRPr="00606561">
              <w:rPr>
                <w:rStyle w:val="Hyperlink"/>
                <w:rFonts w:ascii="Arial" w:hAnsi="Arial" w:cs="Arial"/>
                <w:b/>
                <w:bCs/>
                <w:noProof/>
              </w:rPr>
              <w:t>3. Evaluation of Current Systems: Real Business Examples and Academic Analysis</w:t>
            </w:r>
            <w:r w:rsidRPr="00606561">
              <w:rPr>
                <w:rFonts w:ascii="Arial" w:hAnsi="Arial" w:cs="Arial"/>
                <w:noProof/>
                <w:webHidden/>
              </w:rPr>
              <w:tab/>
            </w:r>
            <w:r w:rsidRPr="00606561">
              <w:rPr>
                <w:rFonts w:ascii="Arial" w:hAnsi="Arial" w:cs="Arial"/>
                <w:noProof/>
                <w:webHidden/>
              </w:rPr>
              <w:fldChar w:fldCharType="begin"/>
            </w:r>
            <w:r w:rsidRPr="00606561">
              <w:rPr>
                <w:rFonts w:ascii="Arial" w:hAnsi="Arial" w:cs="Arial"/>
                <w:noProof/>
                <w:webHidden/>
              </w:rPr>
              <w:instrText xml:space="preserve"> PAGEREF _Toc214116663 \h </w:instrText>
            </w:r>
            <w:r w:rsidRPr="00606561">
              <w:rPr>
                <w:rFonts w:ascii="Arial" w:hAnsi="Arial" w:cs="Arial"/>
                <w:noProof/>
                <w:webHidden/>
              </w:rPr>
            </w:r>
            <w:r w:rsidRPr="00606561">
              <w:rPr>
                <w:rFonts w:ascii="Arial" w:hAnsi="Arial" w:cs="Arial"/>
                <w:noProof/>
                <w:webHidden/>
              </w:rPr>
              <w:fldChar w:fldCharType="separate"/>
            </w:r>
            <w:r w:rsidRPr="00606561">
              <w:rPr>
                <w:rFonts w:ascii="Arial" w:hAnsi="Arial" w:cs="Arial"/>
                <w:noProof/>
                <w:webHidden/>
              </w:rPr>
              <w:t>5</w:t>
            </w:r>
            <w:r w:rsidRPr="00606561">
              <w:rPr>
                <w:rFonts w:ascii="Arial" w:hAnsi="Arial" w:cs="Arial"/>
                <w:noProof/>
                <w:webHidden/>
              </w:rPr>
              <w:fldChar w:fldCharType="end"/>
            </w:r>
          </w:hyperlink>
        </w:p>
        <w:p w14:paraId="654E97D4" w14:textId="3D66EE0E" w:rsidR="00777B29" w:rsidRPr="00606561" w:rsidRDefault="00777B29">
          <w:pPr>
            <w:pStyle w:val="TOC1"/>
            <w:tabs>
              <w:tab w:val="right" w:leader="dot" w:pos="9350"/>
            </w:tabs>
            <w:rPr>
              <w:rFonts w:ascii="Arial" w:eastAsiaTheme="minorEastAsia" w:hAnsi="Arial" w:cs="Arial"/>
              <w:noProof/>
            </w:rPr>
          </w:pPr>
          <w:hyperlink w:anchor="_Toc214116664" w:history="1">
            <w:r w:rsidRPr="00606561">
              <w:rPr>
                <w:rStyle w:val="Hyperlink"/>
                <w:rFonts w:ascii="Arial" w:hAnsi="Arial" w:cs="Arial"/>
                <w:b/>
                <w:bCs/>
                <w:noProof/>
              </w:rPr>
              <w:t>4. Recommended Solution: ERP and CRM Transformation</w:t>
            </w:r>
            <w:r w:rsidRPr="00606561">
              <w:rPr>
                <w:rFonts w:ascii="Arial" w:hAnsi="Arial" w:cs="Arial"/>
                <w:noProof/>
                <w:webHidden/>
              </w:rPr>
              <w:tab/>
            </w:r>
            <w:r w:rsidRPr="00606561">
              <w:rPr>
                <w:rFonts w:ascii="Arial" w:hAnsi="Arial" w:cs="Arial"/>
                <w:noProof/>
                <w:webHidden/>
              </w:rPr>
              <w:fldChar w:fldCharType="begin"/>
            </w:r>
            <w:r w:rsidRPr="00606561">
              <w:rPr>
                <w:rFonts w:ascii="Arial" w:hAnsi="Arial" w:cs="Arial"/>
                <w:noProof/>
                <w:webHidden/>
              </w:rPr>
              <w:instrText xml:space="preserve"> PAGEREF _Toc214116664 \h </w:instrText>
            </w:r>
            <w:r w:rsidRPr="00606561">
              <w:rPr>
                <w:rFonts w:ascii="Arial" w:hAnsi="Arial" w:cs="Arial"/>
                <w:noProof/>
                <w:webHidden/>
              </w:rPr>
            </w:r>
            <w:r w:rsidRPr="00606561">
              <w:rPr>
                <w:rFonts w:ascii="Arial" w:hAnsi="Arial" w:cs="Arial"/>
                <w:noProof/>
                <w:webHidden/>
              </w:rPr>
              <w:fldChar w:fldCharType="separate"/>
            </w:r>
            <w:r w:rsidRPr="00606561">
              <w:rPr>
                <w:rFonts w:ascii="Arial" w:hAnsi="Arial" w:cs="Arial"/>
                <w:noProof/>
                <w:webHidden/>
              </w:rPr>
              <w:t>6</w:t>
            </w:r>
            <w:r w:rsidRPr="00606561">
              <w:rPr>
                <w:rFonts w:ascii="Arial" w:hAnsi="Arial" w:cs="Arial"/>
                <w:noProof/>
                <w:webHidden/>
              </w:rPr>
              <w:fldChar w:fldCharType="end"/>
            </w:r>
          </w:hyperlink>
        </w:p>
        <w:p w14:paraId="132379DC" w14:textId="6D111DC4" w:rsidR="00777B29" w:rsidRPr="00606561" w:rsidRDefault="00777B29">
          <w:pPr>
            <w:pStyle w:val="TOC1"/>
            <w:tabs>
              <w:tab w:val="right" w:leader="dot" w:pos="9350"/>
            </w:tabs>
            <w:rPr>
              <w:rFonts w:ascii="Arial" w:eastAsiaTheme="minorEastAsia" w:hAnsi="Arial" w:cs="Arial"/>
              <w:noProof/>
            </w:rPr>
          </w:pPr>
          <w:hyperlink w:anchor="_Toc214116665" w:history="1">
            <w:r w:rsidRPr="00606561">
              <w:rPr>
                <w:rStyle w:val="Hyperlink"/>
                <w:rFonts w:ascii="Arial" w:hAnsi="Arial" w:cs="Arial"/>
                <w:b/>
                <w:bCs/>
                <w:noProof/>
              </w:rPr>
              <w:t>5. Justification and Critical Appraisal</w:t>
            </w:r>
            <w:r w:rsidRPr="00606561">
              <w:rPr>
                <w:rFonts w:ascii="Arial" w:hAnsi="Arial" w:cs="Arial"/>
                <w:noProof/>
                <w:webHidden/>
              </w:rPr>
              <w:tab/>
            </w:r>
            <w:r w:rsidRPr="00606561">
              <w:rPr>
                <w:rFonts w:ascii="Arial" w:hAnsi="Arial" w:cs="Arial"/>
                <w:noProof/>
                <w:webHidden/>
              </w:rPr>
              <w:fldChar w:fldCharType="begin"/>
            </w:r>
            <w:r w:rsidRPr="00606561">
              <w:rPr>
                <w:rFonts w:ascii="Arial" w:hAnsi="Arial" w:cs="Arial"/>
                <w:noProof/>
                <w:webHidden/>
              </w:rPr>
              <w:instrText xml:space="preserve"> PAGEREF _Toc214116665 \h </w:instrText>
            </w:r>
            <w:r w:rsidRPr="00606561">
              <w:rPr>
                <w:rFonts w:ascii="Arial" w:hAnsi="Arial" w:cs="Arial"/>
                <w:noProof/>
                <w:webHidden/>
              </w:rPr>
            </w:r>
            <w:r w:rsidRPr="00606561">
              <w:rPr>
                <w:rFonts w:ascii="Arial" w:hAnsi="Arial" w:cs="Arial"/>
                <w:noProof/>
                <w:webHidden/>
              </w:rPr>
              <w:fldChar w:fldCharType="separate"/>
            </w:r>
            <w:r w:rsidRPr="00606561">
              <w:rPr>
                <w:rFonts w:ascii="Arial" w:hAnsi="Arial" w:cs="Arial"/>
                <w:noProof/>
                <w:webHidden/>
              </w:rPr>
              <w:t>7</w:t>
            </w:r>
            <w:r w:rsidRPr="00606561">
              <w:rPr>
                <w:rFonts w:ascii="Arial" w:hAnsi="Arial" w:cs="Arial"/>
                <w:noProof/>
                <w:webHidden/>
              </w:rPr>
              <w:fldChar w:fldCharType="end"/>
            </w:r>
          </w:hyperlink>
        </w:p>
        <w:p w14:paraId="5306983B" w14:textId="2B62704E" w:rsidR="00777B29" w:rsidRPr="00606561" w:rsidRDefault="00777B29">
          <w:pPr>
            <w:pStyle w:val="TOC1"/>
            <w:tabs>
              <w:tab w:val="right" w:leader="dot" w:pos="9350"/>
            </w:tabs>
            <w:rPr>
              <w:rFonts w:ascii="Arial" w:eastAsiaTheme="minorEastAsia" w:hAnsi="Arial" w:cs="Arial"/>
              <w:noProof/>
            </w:rPr>
          </w:pPr>
          <w:hyperlink w:anchor="_Toc214116666" w:history="1">
            <w:r w:rsidRPr="00606561">
              <w:rPr>
                <w:rStyle w:val="Hyperlink"/>
                <w:rFonts w:ascii="Arial" w:hAnsi="Arial" w:cs="Arial"/>
                <w:b/>
                <w:bCs/>
                <w:noProof/>
              </w:rPr>
              <w:t>6. Implementation Plan</w:t>
            </w:r>
            <w:r w:rsidRPr="00606561">
              <w:rPr>
                <w:rFonts w:ascii="Arial" w:hAnsi="Arial" w:cs="Arial"/>
                <w:noProof/>
                <w:webHidden/>
              </w:rPr>
              <w:tab/>
            </w:r>
            <w:r w:rsidRPr="00606561">
              <w:rPr>
                <w:rFonts w:ascii="Arial" w:hAnsi="Arial" w:cs="Arial"/>
                <w:noProof/>
                <w:webHidden/>
              </w:rPr>
              <w:fldChar w:fldCharType="begin"/>
            </w:r>
            <w:r w:rsidRPr="00606561">
              <w:rPr>
                <w:rFonts w:ascii="Arial" w:hAnsi="Arial" w:cs="Arial"/>
                <w:noProof/>
                <w:webHidden/>
              </w:rPr>
              <w:instrText xml:space="preserve"> PAGEREF _Toc214116666 \h </w:instrText>
            </w:r>
            <w:r w:rsidRPr="00606561">
              <w:rPr>
                <w:rFonts w:ascii="Arial" w:hAnsi="Arial" w:cs="Arial"/>
                <w:noProof/>
                <w:webHidden/>
              </w:rPr>
            </w:r>
            <w:r w:rsidRPr="00606561">
              <w:rPr>
                <w:rFonts w:ascii="Arial" w:hAnsi="Arial" w:cs="Arial"/>
                <w:noProof/>
                <w:webHidden/>
              </w:rPr>
              <w:fldChar w:fldCharType="separate"/>
            </w:r>
            <w:r w:rsidRPr="00606561">
              <w:rPr>
                <w:rFonts w:ascii="Arial" w:hAnsi="Arial" w:cs="Arial"/>
                <w:noProof/>
                <w:webHidden/>
              </w:rPr>
              <w:t>8</w:t>
            </w:r>
            <w:r w:rsidRPr="00606561">
              <w:rPr>
                <w:rFonts w:ascii="Arial" w:hAnsi="Arial" w:cs="Arial"/>
                <w:noProof/>
                <w:webHidden/>
              </w:rPr>
              <w:fldChar w:fldCharType="end"/>
            </w:r>
          </w:hyperlink>
        </w:p>
        <w:p w14:paraId="3F0AE8D3" w14:textId="63628E4E" w:rsidR="00777B29" w:rsidRPr="00606561" w:rsidRDefault="00777B29">
          <w:pPr>
            <w:pStyle w:val="TOC1"/>
            <w:tabs>
              <w:tab w:val="right" w:leader="dot" w:pos="9350"/>
            </w:tabs>
            <w:rPr>
              <w:rFonts w:ascii="Arial" w:eastAsiaTheme="minorEastAsia" w:hAnsi="Arial" w:cs="Arial"/>
              <w:noProof/>
            </w:rPr>
          </w:pPr>
          <w:hyperlink w:anchor="_Toc214116667" w:history="1">
            <w:r w:rsidRPr="00606561">
              <w:rPr>
                <w:rStyle w:val="Hyperlink"/>
                <w:rFonts w:ascii="Arial" w:hAnsi="Arial" w:cs="Arial"/>
                <w:b/>
                <w:bCs/>
                <w:noProof/>
              </w:rPr>
              <w:t>7. Conclusion</w:t>
            </w:r>
            <w:r w:rsidRPr="00606561">
              <w:rPr>
                <w:rFonts w:ascii="Arial" w:hAnsi="Arial" w:cs="Arial"/>
                <w:noProof/>
                <w:webHidden/>
              </w:rPr>
              <w:tab/>
            </w:r>
            <w:r w:rsidRPr="00606561">
              <w:rPr>
                <w:rFonts w:ascii="Arial" w:hAnsi="Arial" w:cs="Arial"/>
                <w:noProof/>
                <w:webHidden/>
              </w:rPr>
              <w:fldChar w:fldCharType="begin"/>
            </w:r>
            <w:r w:rsidRPr="00606561">
              <w:rPr>
                <w:rFonts w:ascii="Arial" w:hAnsi="Arial" w:cs="Arial"/>
                <w:noProof/>
                <w:webHidden/>
              </w:rPr>
              <w:instrText xml:space="preserve"> PAGEREF _Toc214116667 \h </w:instrText>
            </w:r>
            <w:r w:rsidRPr="00606561">
              <w:rPr>
                <w:rFonts w:ascii="Arial" w:hAnsi="Arial" w:cs="Arial"/>
                <w:noProof/>
                <w:webHidden/>
              </w:rPr>
            </w:r>
            <w:r w:rsidRPr="00606561">
              <w:rPr>
                <w:rFonts w:ascii="Arial" w:hAnsi="Arial" w:cs="Arial"/>
                <w:noProof/>
                <w:webHidden/>
              </w:rPr>
              <w:fldChar w:fldCharType="separate"/>
            </w:r>
            <w:r w:rsidRPr="00606561">
              <w:rPr>
                <w:rFonts w:ascii="Arial" w:hAnsi="Arial" w:cs="Arial"/>
                <w:noProof/>
                <w:webHidden/>
              </w:rPr>
              <w:t>10</w:t>
            </w:r>
            <w:r w:rsidRPr="00606561">
              <w:rPr>
                <w:rFonts w:ascii="Arial" w:hAnsi="Arial" w:cs="Arial"/>
                <w:noProof/>
                <w:webHidden/>
              </w:rPr>
              <w:fldChar w:fldCharType="end"/>
            </w:r>
          </w:hyperlink>
        </w:p>
        <w:p w14:paraId="2092B4E1" w14:textId="55D0A316" w:rsidR="00777B29" w:rsidRPr="00606561" w:rsidRDefault="00777B29">
          <w:pPr>
            <w:pStyle w:val="TOC1"/>
            <w:tabs>
              <w:tab w:val="right" w:leader="dot" w:pos="9350"/>
            </w:tabs>
            <w:rPr>
              <w:rFonts w:ascii="Arial" w:eastAsiaTheme="minorEastAsia" w:hAnsi="Arial" w:cs="Arial"/>
              <w:noProof/>
            </w:rPr>
          </w:pPr>
          <w:hyperlink w:anchor="_Toc214116668" w:history="1">
            <w:r w:rsidRPr="00606561">
              <w:rPr>
                <w:rStyle w:val="Hyperlink"/>
                <w:rFonts w:ascii="Arial" w:hAnsi="Arial" w:cs="Arial"/>
                <w:b/>
                <w:bCs/>
                <w:noProof/>
              </w:rPr>
              <w:t>References</w:t>
            </w:r>
            <w:r w:rsidRPr="00606561">
              <w:rPr>
                <w:rFonts w:ascii="Arial" w:hAnsi="Arial" w:cs="Arial"/>
                <w:noProof/>
                <w:webHidden/>
              </w:rPr>
              <w:tab/>
            </w:r>
            <w:r w:rsidRPr="00606561">
              <w:rPr>
                <w:rFonts w:ascii="Arial" w:hAnsi="Arial" w:cs="Arial"/>
                <w:noProof/>
                <w:webHidden/>
              </w:rPr>
              <w:fldChar w:fldCharType="begin"/>
            </w:r>
            <w:r w:rsidRPr="00606561">
              <w:rPr>
                <w:rFonts w:ascii="Arial" w:hAnsi="Arial" w:cs="Arial"/>
                <w:noProof/>
                <w:webHidden/>
              </w:rPr>
              <w:instrText xml:space="preserve"> PAGEREF _Toc214116668 \h </w:instrText>
            </w:r>
            <w:r w:rsidRPr="00606561">
              <w:rPr>
                <w:rFonts w:ascii="Arial" w:hAnsi="Arial" w:cs="Arial"/>
                <w:noProof/>
                <w:webHidden/>
              </w:rPr>
            </w:r>
            <w:r w:rsidRPr="00606561">
              <w:rPr>
                <w:rFonts w:ascii="Arial" w:hAnsi="Arial" w:cs="Arial"/>
                <w:noProof/>
                <w:webHidden/>
              </w:rPr>
              <w:fldChar w:fldCharType="separate"/>
            </w:r>
            <w:r w:rsidRPr="00606561">
              <w:rPr>
                <w:rFonts w:ascii="Arial" w:hAnsi="Arial" w:cs="Arial"/>
                <w:noProof/>
                <w:webHidden/>
              </w:rPr>
              <w:t>11</w:t>
            </w:r>
            <w:r w:rsidRPr="00606561">
              <w:rPr>
                <w:rFonts w:ascii="Arial" w:hAnsi="Arial" w:cs="Arial"/>
                <w:noProof/>
                <w:webHidden/>
              </w:rPr>
              <w:fldChar w:fldCharType="end"/>
            </w:r>
          </w:hyperlink>
        </w:p>
        <w:p w14:paraId="4F2F366A" w14:textId="3731E77E" w:rsidR="00E85B12" w:rsidRPr="00606561" w:rsidRDefault="00E85B12">
          <w:pPr>
            <w:rPr>
              <w:rFonts w:ascii="Arial" w:hAnsi="Arial" w:cs="Arial"/>
            </w:rPr>
          </w:pPr>
          <w:r w:rsidRPr="00606561">
            <w:rPr>
              <w:rFonts w:ascii="Arial" w:hAnsi="Arial" w:cs="Arial"/>
              <w:b/>
              <w:bCs/>
              <w:noProof/>
            </w:rPr>
            <w:fldChar w:fldCharType="end"/>
          </w:r>
        </w:p>
      </w:sdtContent>
    </w:sdt>
    <w:p w14:paraId="6D0665F3" w14:textId="77777777" w:rsidR="00E85B12" w:rsidRPr="00606561" w:rsidRDefault="00E85B12" w:rsidP="00A7012D">
      <w:pPr>
        <w:rPr>
          <w:rFonts w:ascii="Arial" w:hAnsi="Arial" w:cs="Arial"/>
          <w:b/>
          <w:bCs/>
        </w:rPr>
      </w:pPr>
    </w:p>
    <w:p w14:paraId="7E1D5E2C" w14:textId="77777777" w:rsidR="00E85B12" w:rsidRPr="00606561" w:rsidRDefault="00E85B12" w:rsidP="00A7012D">
      <w:pPr>
        <w:rPr>
          <w:rFonts w:ascii="Arial" w:hAnsi="Arial" w:cs="Arial"/>
          <w:b/>
          <w:bCs/>
        </w:rPr>
      </w:pPr>
    </w:p>
    <w:p w14:paraId="66B0A9B2" w14:textId="77777777" w:rsidR="009B3CC4" w:rsidRPr="00606561" w:rsidRDefault="009B3CC4">
      <w:pPr>
        <w:rPr>
          <w:rFonts w:ascii="Arial" w:eastAsiaTheme="majorEastAsia" w:hAnsi="Arial" w:cs="Arial"/>
          <w:sz w:val="40"/>
          <w:szCs w:val="40"/>
        </w:rPr>
      </w:pPr>
      <w:r w:rsidRPr="00606561">
        <w:rPr>
          <w:rFonts w:ascii="Arial" w:hAnsi="Arial" w:cs="Arial"/>
        </w:rPr>
        <w:br w:type="page"/>
      </w:r>
    </w:p>
    <w:p w14:paraId="2DBB2377" w14:textId="60C452FD" w:rsidR="00A7012D" w:rsidRPr="00606561" w:rsidRDefault="00A7012D" w:rsidP="009B3CC4">
      <w:pPr>
        <w:pStyle w:val="Heading1"/>
        <w:spacing w:line="360" w:lineRule="auto"/>
        <w:rPr>
          <w:rFonts w:ascii="Arial" w:hAnsi="Arial" w:cs="Arial"/>
          <w:b/>
          <w:bCs/>
          <w:color w:val="auto"/>
          <w:sz w:val="24"/>
          <w:szCs w:val="24"/>
        </w:rPr>
      </w:pPr>
      <w:bookmarkStart w:id="1" w:name="_Toc214116660"/>
      <w:r w:rsidRPr="00606561">
        <w:rPr>
          <w:rFonts w:ascii="Arial" w:hAnsi="Arial" w:cs="Arial"/>
          <w:b/>
          <w:bCs/>
          <w:color w:val="auto"/>
          <w:sz w:val="24"/>
          <w:szCs w:val="24"/>
        </w:rPr>
        <w:lastRenderedPageBreak/>
        <w:t>Executive Summary</w:t>
      </w:r>
      <w:bookmarkEnd w:id="1"/>
    </w:p>
    <w:p w14:paraId="7F4C49E5" w14:textId="77777777" w:rsidR="00A7012D" w:rsidRPr="00606561" w:rsidRDefault="00A7012D" w:rsidP="009B3CC4">
      <w:pPr>
        <w:spacing w:line="360" w:lineRule="auto"/>
        <w:jc w:val="both"/>
        <w:rPr>
          <w:rFonts w:ascii="Arial" w:hAnsi="Arial" w:cs="Arial"/>
        </w:rPr>
      </w:pPr>
      <w:r w:rsidRPr="00606561">
        <w:rPr>
          <w:rFonts w:ascii="Arial" w:hAnsi="Arial" w:cs="Arial"/>
        </w:rPr>
        <w:t>AKPerog Ltd., a prominent UK consumer electronics retailer, seeks to resolve critical operational and strategic challenges associated with legacy information systems. This report comprehensively evaluates the business context, systemic weaknesses, and industry benchmarks, recommending adoption of a fully integrated ERP and CRM platform. Real-world cases and contemporary academic insights guide both justification and a sequenced implementation approach, ensuring regulatory compliance, improved efficiency, and enhanced customer engagement.</w:t>
      </w:r>
    </w:p>
    <w:p w14:paraId="2CBBC2D7" w14:textId="77777777" w:rsidR="00A7012D" w:rsidRPr="00606561" w:rsidRDefault="00A7012D" w:rsidP="009B3CC4">
      <w:pPr>
        <w:pStyle w:val="Heading1"/>
        <w:spacing w:line="360" w:lineRule="auto"/>
        <w:rPr>
          <w:rFonts w:ascii="Arial" w:hAnsi="Arial" w:cs="Arial"/>
          <w:b/>
          <w:bCs/>
          <w:color w:val="auto"/>
          <w:sz w:val="24"/>
          <w:szCs w:val="24"/>
        </w:rPr>
      </w:pPr>
      <w:bookmarkStart w:id="2" w:name="_Toc214116661"/>
      <w:r w:rsidRPr="00606561">
        <w:rPr>
          <w:rFonts w:ascii="Arial" w:hAnsi="Arial" w:cs="Arial"/>
          <w:b/>
          <w:bCs/>
          <w:color w:val="auto"/>
          <w:sz w:val="24"/>
          <w:szCs w:val="24"/>
        </w:rPr>
        <w:t>1. Introduction</w:t>
      </w:r>
      <w:bookmarkEnd w:id="2"/>
    </w:p>
    <w:p w14:paraId="3A2E7445" w14:textId="1A98D346" w:rsidR="00A7012D" w:rsidRPr="00606561" w:rsidRDefault="00A7012D" w:rsidP="009B3CC4">
      <w:pPr>
        <w:pStyle w:val="NoSpacing"/>
        <w:spacing w:line="360" w:lineRule="auto"/>
        <w:jc w:val="both"/>
        <w:rPr>
          <w:rFonts w:ascii="Arial" w:hAnsi="Arial" w:cs="Arial"/>
        </w:rPr>
      </w:pPr>
      <w:r w:rsidRPr="00606561">
        <w:rPr>
          <w:rFonts w:ascii="Arial" w:hAnsi="Arial" w:cs="Arial"/>
        </w:rPr>
        <w:t>The landscape for consumer electronics retailers is becoming increasingly competitive, fueled by digitization, evolving customer expectations, and frequent regulatory changes. Company performance and market reputation hinge on accurate, actionable business information that informs major decisions at every organizational level</w:t>
      </w:r>
      <w:r w:rsidR="009D3468" w:rsidRPr="00606561">
        <w:rPr>
          <w:rFonts w:ascii="Arial" w:hAnsi="Arial" w:cs="Arial"/>
        </w:rPr>
        <w:t xml:space="preserve"> (</w:t>
      </w:r>
      <w:r w:rsidRPr="00606561">
        <w:rPr>
          <w:rFonts w:ascii="Arial" w:hAnsi="Arial" w:cs="Arial"/>
        </w:rPr>
        <w:t>GSConlinepress.com, 2024).</w:t>
      </w:r>
      <w:r w:rsidR="00FC0E39" w:rsidRPr="00606561">
        <w:rPr>
          <w:rFonts w:ascii="Arial" w:hAnsi="Arial" w:cs="Arial"/>
        </w:rPr>
        <w:t xml:space="preserve"> </w:t>
      </w:r>
      <w:r w:rsidRPr="00606561">
        <w:rPr>
          <w:rFonts w:ascii="Arial" w:hAnsi="Arial" w:cs="Arial"/>
        </w:rPr>
        <w:t>AKPerog Ltd. faces the dual challenge of maintaining growth momentum while modernizing core systems to ensure operational resilience. Centralized data, advanced analytics, and system integration no longer represent strategic luxuries but critical success factors. Research consistently highlights that firms maximizing information flow and technology often outperform peers in profit, agility, and customer satisfaction (Ivend, 2025; ERPFoucs.com, 2025). At AKPerog Ltd., the need to update legacy information platforms is thus not simply about efficiency, but foundational to its vision and future viability. In addition, the increased risk exposure from data breaches and legal penalties in the UK reinforces information management modernization as a key priority (BigID, 2025).</w:t>
      </w:r>
    </w:p>
    <w:p w14:paraId="232F3D74" w14:textId="73EDD701" w:rsidR="00A7012D" w:rsidRPr="00606561" w:rsidRDefault="00A7012D" w:rsidP="009B3CC4">
      <w:pPr>
        <w:spacing w:line="360" w:lineRule="auto"/>
        <w:jc w:val="both"/>
        <w:rPr>
          <w:rFonts w:ascii="Arial" w:hAnsi="Arial" w:cs="Arial"/>
        </w:rPr>
      </w:pPr>
      <w:r w:rsidRPr="00606561">
        <w:rPr>
          <w:rFonts w:ascii="Arial" w:hAnsi="Arial" w:cs="Arial"/>
        </w:rPr>
        <w:t>A holistic approach, considering consumer experience, operational security, ethical practices, and strategic opportunity, is both recommended and necessary for AKPerog Ltd. to sustain its market leadership. This report therefore adopts an integrative, evidence-driven perspective, deploying a wide lens on retail information systems transformation.</w:t>
      </w:r>
    </w:p>
    <w:p w14:paraId="6655626E" w14:textId="77777777" w:rsidR="00A7012D" w:rsidRPr="00606561" w:rsidRDefault="00A7012D" w:rsidP="009B3CC4">
      <w:pPr>
        <w:pStyle w:val="Heading1"/>
        <w:spacing w:line="360" w:lineRule="auto"/>
        <w:rPr>
          <w:rFonts w:ascii="Arial" w:hAnsi="Arial" w:cs="Arial"/>
          <w:b/>
          <w:bCs/>
          <w:color w:val="auto"/>
          <w:sz w:val="24"/>
          <w:szCs w:val="24"/>
        </w:rPr>
      </w:pPr>
      <w:bookmarkStart w:id="3" w:name="_Toc214116662"/>
      <w:r w:rsidRPr="00606561">
        <w:rPr>
          <w:rFonts w:ascii="Arial" w:hAnsi="Arial" w:cs="Arial"/>
          <w:b/>
          <w:bCs/>
          <w:color w:val="auto"/>
          <w:sz w:val="24"/>
          <w:szCs w:val="24"/>
        </w:rPr>
        <w:lastRenderedPageBreak/>
        <w:t>2. Business Scenario and Strategic Context</w:t>
      </w:r>
      <w:bookmarkEnd w:id="3"/>
    </w:p>
    <w:p w14:paraId="74AE0740" w14:textId="6D9EDAEC" w:rsidR="00A7012D" w:rsidRPr="00606561" w:rsidRDefault="00A7012D" w:rsidP="009B3CC4">
      <w:pPr>
        <w:pStyle w:val="NoSpacing"/>
        <w:spacing w:line="360" w:lineRule="auto"/>
        <w:jc w:val="both"/>
        <w:rPr>
          <w:rFonts w:ascii="Arial" w:hAnsi="Arial" w:cs="Arial"/>
        </w:rPr>
      </w:pPr>
      <w:r w:rsidRPr="00606561">
        <w:rPr>
          <w:rFonts w:ascii="Arial" w:hAnsi="Arial" w:cs="Arial"/>
        </w:rPr>
        <w:t xml:space="preserve">Operating thirty physical stores alongside an e-commerce platform, AKPerog Ltd. benefits from multi-channel market presence. However, industry analysis shows that operational silos, antiquated tracking, and fragmented customer databases hamper scalability, responsiveness, and profitability (Linnworks, 2025). Inventory inaccuracy stands out as a persistent risk: stock discrepancies lead to failed online orders, unfulfilled customer expectations, and lost </w:t>
      </w:r>
      <w:r w:rsidR="009D3468" w:rsidRPr="00606561">
        <w:rPr>
          <w:rFonts w:ascii="Arial" w:hAnsi="Arial" w:cs="Arial"/>
        </w:rPr>
        <w:t xml:space="preserve">revenue, </w:t>
      </w:r>
      <w:r w:rsidRPr="00606561">
        <w:rPr>
          <w:rFonts w:ascii="Arial" w:hAnsi="Arial" w:cs="Arial"/>
        </w:rPr>
        <w:t>a pattern repeatedly observed in retail supply chain failures (WJARR, 2024; Netsuite.com, 2025).</w:t>
      </w:r>
    </w:p>
    <w:p w14:paraId="535914AA" w14:textId="19637021" w:rsidR="00A7012D" w:rsidRPr="00606561" w:rsidRDefault="00A7012D" w:rsidP="009B3CC4">
      <w:pPr>
        <w:pStyle w:val="NoSpacing"/>
        <w:spacing w:line="360" w:lineRule="auto"/>
        <w:jc w:val="both"/>
        <w:rPr>
          <w:rFonts w:ascii="Arial" w:hAnsi="Arial" w:cs="Arial"/>
        </w:rPr>
      </w:pPr>
      <w:r w:rsidRPr="00606561">
        <w:rPr>
          <w:rFonts w:ascii="Arial" w:hAnsi="Arial" w:cs="Arial"/>
        </w:rPr>
        <w:t xml:space="preserve">Fragmented information flows equally </w:t>
      </w:r>
      <w:r w:rsidR="009D3468" w:rsidRPr="00606561">
        <w:rPr>
          <w:rFonts w:ascii="Arial" w:hAnsi="Arial" w:cs="Arial"/>
        </w:rPr>
        <w:t>impedes</w:t>
      </w:r>
      <w:r w:rsidRPr="00606561">
        <w:rPr>
          <w:rFonts w:ascii="Arial" w:hAnsi="Arial" w:cs="Arial"/>
        </w:rPr>
        <w:t xml:space="preserve"> the pursuit of sophisticated customer engagement. Disconnected CRM systems limit marketing outreach, complicate complaint resolution, and block effective loyalty programs, making AKPerog Ltd. vulnerable to churn among its most profitable segments (Shopify, 2025; Leadsquared, 2025). The result is not only lost sales but an erosion of brand reputation and missed opportunities for cross- and up-selling.</w:t>
      </w:r>
    </w:p>
    <w:p w14:paraId="1B7AA5B0" w14:textId="77777777" w:rsidR="00A7012D" w:rsidRPr="00606561" w:rsidRDefault="00A7012D" w:rsidP="009B3CC4">
      <w:pPr>
        <w:pStyle w:val="NoSpacing"/>
        <w:spacing w:line="360" w:lineRule="auto"/>
        <w:jc w:val="both"/>
        <w:rPr>
          <w:rFonts w:ascii="Arial" w:hAnsi="Arial" w:cs="Arial"/>
        </w:rPr>
      </w:pPr>
      <w:r w:rsidRPr="00606561">
        <w:rPr>
          <w:rFonts w:ascii="Arial" w:hAnsi="Arial" w:cs="Arial"/>
        </w:rPr>
        <w:t>Sales reporting, laboriously compiled via spreadsheets, is outpaced by competitors who leverage automated dashboards and predictive analytics (GSConlinepress.com, 2024). Without real-time insight, AKPerog Ltd. risks overreacting to old trends and missing emergent opportunities, which is especially crucial in consumer electronics with fast product cycles and frequent innovation (Vorecol.com, 2024).</w:t>
      </w:r>
    </w:p>
    <w:p w14:paraId="4B3301F1" w14:textId="77777777" w:rsidR="00A7012D" w:rsidRPr="00606561" w:rsidRDefault="00A7012D" w:rsidP="009B3CC4">
      <w:pPr>
        <w:pStyle w:val="NoSpacing"/>
        <w:spacing w:line="360" w:lineRule="auto"/>
        <w:jc w:val="both"/>
        <w:rPr>
          <w:rFonts w:ascii="Arial" w:hAnsi="Arial" w:cs="Arial"/>
        </w:rPr>
      </w:pPr>
      <w:r w:rsidRPr="00606561">
        <w:rPr>
          <w:rFonts w:ascii="Arial" w:hAnsi="Arial" w:cs="Arial"/>
        </w:rPr>
        <w:t>Additional constraints derive from compliance challenges. New data protection laws, such as GDPR and sector-specific requirements for payments and warranties, mandate comprehensive process visibility and privacy safeguards (Fortis-DPC, 2025; Jolt.Law.Harvard.edu, 2018). Breaches can result in reputational harm and substantial financial penalties, which, for high-frequency retailers, present existential threats. Industry cases illustrate that robust governance and embedded legal controls are integral to successful digital transformation (BigID, 2025).</w:t>
      </w:r>
    </w:p>
    <w:p w14:paraId="7EDE4C72" w14:textId="78F65A52" w:rsidR="00A7012D" w:rsidRPr="00606561" w:rsidRDefault="00A7012D" w:rsidP="009B3CC4">
      <w:pPr>
        <w:pStyle w:val="NoSpacing"/>
        <w:spacing w:line="360" w:lineRule="auto"/>
        <w:jc w:val="both"/>
        <w:rPr>
          <w:rFonts w:ascii="Arial" w:hAnsi="Arial" w:cs="Arial"/>
        </w:rPr>
      </w:pPr>
      <w:r w:rsidRPr="00606561">
        <w:rPr>
          <w:rFonts w:ascii="Arial" w:hAnsi="Arial" w:cs="Arial"/>
        </w:rPr>
        <w:t>Lastly, persistent silos force AKPerog Ltd. staff to manually re-enter and reconcile data across inventory, sales, and finance</w:t>
      </w:r>
      <w:r w:rsidR="009D3468" w:rsidRPr="00606561">
        <w:rPr>
          <w:rFonts w:ascii="Arial" w:hAnsi="Arial" w:cs="Arial"/>
        </w:rPr>
        <w:t xml:space="preserve"> </w:t>
      </w:r>
      <w:r w:rsidRPr="00606561">
        <w:rPr>
          <w:rFonts w:ascii="Arial" w:hAnsi="Arial" w:cs="Arial"/>
        </w:rPr>
        <w:t>diverting valuable resources from customer-facing activities and innovation. Academic reviews of the retail sector claim this operational drag stifles competitive energy, creativity, and growth, especially in mid-size companies aiming for national scale (ERPFoucs.com, 2025).</w:t>
      </w:r>
    </w:p>
    <w:p w14:paraId="31279FB6" w14:textId="77777777" w:rsidR="00A7012D" w:rsidRPr="00606561" w:rsidRDefault="00A7012D" w:rsidP="009B3CC4">
      <w:pPr>
        <w:pStyle w:val="Heading1"/>
        <w:spacing w:line="360" w:lineRule="auto"/>
        <w:rPr>
          <w:rFonts w:ascii="Arial" w:hAnsi="Arial" w:cs="Arial"/>
          <w:b/>
          <w:bCs/>
          <w:color w:val="auto"/>
          <w:sz w:val="24"/>
          <w:szCs w:val="24"/>
        </w:rPr>
      </w:pPr>
      <w:bookmarkStart w:id="4" w:name="_Toc214116663"/>
      <w:r w:rsidRPr="00606561">
        <w:rPr>
          <w:rFonts w:ascii="Arial" w:hAnsi="Arial" w:cs="Arial"/>
          <w:b/>
          <w:bCs/>
          <w:color w:val="auto"/>
          <w:sz w:val="24"/>
          <w:szCs w:val="24"/>
        </w:rPr>
        <w:lastRenderedPageBreak/>
        <w:t>3. Evaluation of Current Systems: Real Business Examples and Academic Analysis</w:t>
      </w:r>
      <w:bookmarkEnd w:id="4"/>
    </w:p>
    <w:p w14:paraId="79E329D5" w14:textId="77777777" w:rsidR="009B3CC4" w:rsidRPr="00606561" w:rsidRDefault="009B3CC4" w:rsidP="009B3CC4">
      <w:pPr>
        <w:spacing w:line="360" w:lineRule="auto"/>
        <w:rPr>
          <w:rFonts w:ascii="Arial" w:hAnsi="Arial" w:cs="Arial"/>
        </w:rPr>
      </w:pPr>
    </w:p>
    <w:p w14:paraId="21762D33" w14:textId="77777777" w:rsidR="009D3468" w:rsidRPr="00606561" w:rsidRDefault="00A7012D" w:rsidP="009B3CC4">
      <w:pPr>
        <w:pStyle w:val="ListParagraph"/>
        <w:numPr>
          <w:ilvl w:val="0"/>
          <w:numId w:val="3"/>
        </w:numPr>
        <w:tabs>
          <w:tab w:val="left" w:pos="360"/>
        </w:tabs>
        <w:spacing w:line="360" w:lineRule="auto"/>
        <w:ind w:left="0" w:firstLine="0"/>
        <w:rPr>
          <w:rFonts w:ascii="Arial" w:hAnsi="Arial" w:cs="Arial"/>
        </w:rPr>
      </w:pPr>
      <w:r w:rsidRPr="00606561">
        <w:rPr>
          <w:rFonts w:ascii="Arial" w:hAnsi="Arial" w:cs="Arial"/>
          <w:b/>
          <w:bCs/>
        </w:rPr>
        <w:t>Inventory Management</w:t>
      </w:r>
    </w:p>
    <w:p w14:paraId="448AB218" w14:textId="1AC8C5A5" w:rsidR="004C794F" w:rsidRPr="00606561" w:rsidRDefault="00A7012D" w:rsidP="009B3CC4">
      <w:pPr>
        <w:pStyle w:val="ListParagraph"/>
        <w:tabs>
          <w:tab w:val="left" w:pos="360"/>
        </w:tabs>
        <w:spacing w:line="360" w:lineRule="auto"/>
        <w:ind w:left="0"/>
        <w:jc w:val="both"/>
        <w:rPr>
          <w:rFonts w:ascii="Arial" w:hAnsi="Arial" w:cs="Arial"/>
        </w:rPr>
      </w:pPr>
      <w:r w:rsidRPr="00606561">
        <w:rPr>
          <w:rFonts w:ascii="Arial" w:hAnsi="Arial" w:cs="Arial"/>
        </w:rPr>
        <w:t>Leading retailers have resolved inventory accuracy issues through large-scale ERP deployments. Walmart’s SAP ERP integration enabled real-time stock optics and rapid supply chain rebalancing, reportedly decreasing overstock losses and reducing labor costs by millions per year (WJARR, 2024). Target’s adoption of Oracle’s cloud-based solutions further optimized multi-site synchronization, improving on-time delivery and unlocking the ‘endless aisle’ model for online shoppers. Best Buy leveraged Oracle ERP to connect its digital and physical stock systems, virtually eliminating mismatches and supporting “ship-to-home” sales that captured revenue otherwise lost to out-of-stock scenarios (Netsuite.com, 2025).</w:t>
      </w:r>
    </w:p>
    <w:p w14:paraId="2BAD505F" w14:textId="77777777" w:rsidR="009D3468" w:rsidRPr="00606561" w:rsidRDefault="009D3468" w:rsidP="009B3CC4">
      <w:pPr>
        <w:pStyle w:val="ListParagraph"/>
        <w:tabs>
          <w:tab w:val="left" w:pos="360"/>
        </w:tabs>
        <w:spacing w:line="360" w:lineRule="auto"/>
        <w:ind w:left="0"/>
        <w:jc w:val="both"/>
        <w:rPr>
          <w:rFonts w:ascii="Arial" w:hAnsi="Arial" w:cs="Arial"/>
        </w:rPr>
      </w:pPr>
    </w:p>
    <w:p w14:paraId="7893D3CF" w14:textId="6BBE7B0E" w:rsidR="009D3468" w:rsidRPr="00606561" w:rsidRDefault="00A7012D" w:rsidP="009B3CC4">
      <w:pPr>
        <w:pStyle w:val="ListParagraph"/>
        <w:numPr>
          <w:ilvl w:val="0"/>
          <w:numId w:val="3"/>
        </w:numPr>
        <w:tabs>
          <w:tab w:val="left" w:pos="360"/>
        </w:tabs>
        <w:spacing w:line="360" w:lineRule="auto"/>
        <w:ind w:left="0" w:firstLine="0"/>
        <w:jc w:val="both"/>
        <w:rPr>
          <w:rFonts w:ascii="Arial" w:hAnsi="Arial" w:cs="Arial"/>
        </w:rPr>
      </w:pPr>
      <w:r w:rsidRPr="00606561">
        <w:rPr>
          <w:rFonts w:ascii="Arial" w:hAnsi="Arial" w:cs="Arial"/>
          <w:b/>
          <w:bCs/>
        </w:rPr>
        <w:t>Customer Relationship Management</w:t>
      </w:r>
    </w:p>
    <w:p w14:paraId="6205DC44" w14:textId="235308C2" w:rsidR="004C794F" w:rsidRPr="00606561" w:rsidRDefault="00A7012D" w:rsidP="009B3CC4">
      <w:pPr>
        <w:pStyle w:val="ListParagraph"/>
        <w:tabs>
          <w:tab w:val="left" w:pos="360"/>
        </w:tabs>
        <w:spacing w:line="360" w:lineRule="auto"/>
        <w:ind w:left="0"/>
        <w:jc w:val="both"/>
        <w:rPr>
          <w:rFonts w:ascii="Arial" w:hAnsi="Arial" w:cs="Arial"/>
        </w:rPr>
      </w:pPr>
      <w:r w:rsidRPr="00606561">
        <w:rPr>
          <w:rFonts w:ascii="Arial" w:hAnsi="Arial" w:cs="Arial"/>
        </w:rPr>
        <w:t>Spotify Advertising’s unification of customer data through Salesforce CRM allowed hyper-targeted marketing, doubling e-commerce conversions and providing robust feedback on campaign ROI (Salesforce, 2024). Good American’s CRM integration reduced its product return rate and established quicker complaint resolution pathways, resulting in tangible improvements in customer satisfaction scores (Shopify, 2025).</w:t>
      </w:r>
      <w:r w:rsidRPr="00606561">
        <w:rPr>
          <w:rFonts w:ascii="Arial" w:hAnsi="Arial" w:cs="Arial"/>
        </w:rPr>
        <w:br/>
        <w:t xml:space="preserve">Similarly, John Lewis employed analytics-driven CRM to segment and respond to individual customer needs across channels. Within a year, its Net Promoter Score rose </w:t>
      </w:r>
      <w:r w:rsidR="009D3468" w:rsidRPr="00606561">
        <w:rPr>
          <w:rFonts w:ascii="Arial" w:hAnsi="Arial" w:cs="Arial"/>
        </w:rPr>
        <w:t>dramatically,</w:t>
      </w:r>
      <w:r w:rsidRPr="00606561">
        <w:rPr>
          <w:rFonts w:ascii="Arial" w:hAnsi="Arial" w:cs="Arial"/>
        </w:rPr>
        <w:t xml:space="preserve"> and customer lifetime value increased for its most engaged cohorts (Leadsquared, 2025).</w:t>
      </w:r>
    </w:p>
    <w:p w14:paraId="2863C728" w14:textId="77777777" w:rsidR="009D3468" w:rsidRPr="00606561" w:rsidRDefault="009D3468" w:rsidP="009B3CC4">
      <w:pPr>
        <w:pStyle w:val="ListParagraph"/>
        <w:tabs>
          <w:tab w:val="left" w:pos="360"/>
        </w:tabs>
        <w:spacing w:line="360" w:lineRule="auto"/>
        <w:ind w:left="0"/>
        <w:jc w:val="both"/>
        <w:rPr>
          <w:rFonts w:ascii="Arial" w:hAnsi="Arial" w:cs="Arial"/>
        </w:rPr>
      </w:pPr>
    </w:p>
    <w:p w14:paraId="03BEDD3E" w14:textId="77777777" w:rsidR="009D3468" w:rsidRPr="00606561" w:rsidRDefault="00A7012D" w:rsidP="009B3CC4">
      <w:pPr>
        <w:pStyle w:val="ListParagraph"/>
        <w:numPr>
          <w:ilvl w:val="0"/>
          <w:numId w:val="3"/>
        </w:numPr>
        <w:tabs>
          <w:tab w:val="left" w:pos="360"/>
        </w:tabs>
        <w:spacing w:line="360" w:lineRule="auto"/>
        <w:ind w:left="0" w:firstLine="0"/>
        <w:jc w:val="both"/>
        <w:rPr>
          <w:rFonts w:ascii="Arial" w:hAnsi="Arial" w:cs="Arial"/>
        </w:rPr>
      </w:pPr>
      <w:r w:rsidRPr="00606561">
        <w:rPr>
          <w:rFonts w:ascii="Arial" w:hAnsi="Arial" w:cs="Arial"/>
          <w:b/>
          <w:bCs/>
        </w:rPr>
        <w:t>Reporting and Analytics</w:t>
      </w:r>
    </w:p>
    <w:p w14:paraId="722EC988" w14:textId="73F1C35C" w:rsidR="004C794F" w:rsidRPr="00606561" w:rsidRDefault="00A7012D" w:rsidP="009B3CC4">
      <w:pPr>
        <w:pStyle w:val="ListParagraph"/>
        <w:tabs>
          <w:tab w:val="left" w:pos="360"/>
        </w:tabs>
        <w:spacing w:line="360" w:lineRule="auto"/>
        <w:ind w:left="0"/>
        <w:jc w:val="both"/>
        <w:rPr>
          <w:rFonts w:ascii="Arial" w:hAnsi="Arial" w:cs="Arial"/>
        </w:rPr>
      </w:pPr>
      <w:r w:rsidRPr="00606561">
        <w:rPr>
          <w:rFonts w:ascii="Arial" w:hAnsi="Arial" w:cs="Arial"/>
        </w:rPr>
        <w:t xml:space="preserve">Tesco and McDonald’s UK implemented real-time business intelligence platforms, allowing managers to adjust staff and inventory daily in line with emerging </w:t>
      </w:r>
      <w:proofErr w:type="gramStart"/>
      <w:r w:rsidRPr="00606561">
        <w:rPr>
          <w:rFonts w:ascii="Arial" w:hAnsi="Arial" w:cs="Arial"/>
        </w:rPr>
        <w:t>evidence</w:t>
      </w:r>
      <w:proofErr w:type="gramEnd"/>
      <w:r w:rsidR="009B3CC4" w:rsidRPr="00606561">
        <w:rPr>
          <w:rFonts w:ascii="Arial" w:hAnsi="Arial" w:cs="Arial"/>
        </w:rPr>
        <w:t xml:space="preserve"> </w:t>
      </w:r>
      <w:r w:rsidRPr="00606561">
        <w:rPr>
          <w:rFonts w:ascii="Arial" w:hAnsi="Arial" w:cs="Arial"/>
        </w:rPr>
        <w:t>driving efficiency, waste reduction, and overall profitability (GSConlinepress.com, 2024; Vorecol.com, 2024). Companies relying on manual reporting, in contrast, struggle to anticipate trends or shift strategy effectively.</w:t>
      </w:r>
    </w:p>
    <w:p w14:paraId="4262F730" w14:textId="77777777" w:rsidR="00777B29" w:rsidRPr="00606561" w:rsidRDefault="00777B29" w:rsidP="009B3CC4">
      <w:pPr>
        <w:pStyle w:val="ListParagraph"/>
        <w:tabs>
          <w:tab w:val="left" w:pos="360"/>
        </w:tabs>
        <w:spacing w:line="360" w:lineRule="auto"/>
        <w:ind w:left="0"/>
        <w:jc w:val="both"/>
        <w:rPr>
          <w:rFonts w:ascii="Arial" w:hAnsi="Arial" w:cs="Arial"/>
        </w:rPr>
      </w:pPr>
    </w:p>
    <w:p w14:paraId="60EEDC3E" w14:textId="77777777" w:rsidR="009D3468" w:rsidRPr="00606561" w:rsidRDefault="00A7012D" w:rsidP="009B3CC4">
      <w:pPr>
        <w:pStyle w:val="ListParagraph"/>
        <w:numPr>
          <w:ilvl w:val="0"/>
          <w:numId w:val="3"/>
        </w:numPr>
        <w:tabs>
          <w:tab w:val="left" w:pos="360"/>
        </w:tabs>
        <w:spacing w:line="360" w:lineRule="auto"/>
        <w:ind w:left="0" w:firstLine="0"/>
        <w:rPr>
          <w:rFonts w:ascii="Arial" w:hAnsi="Arial" w:cs="Arial"/>
        </w:rPr>
      </w:pPr>
      <w:r w:rsidRPr="00606561">
        <w:rPr>
          <w:rFonts w:ascii="Arial" w:hAnsi="Arial" w:cs="Arial"/>
          <w:b/>
          <w:bCs/>
        </w:rPr>
        <w:t>Compliance and Data Security</w:t>
      </w:r>
    </w:p>
    <w:p w14:paraId="62EB2155" w14:textId="329D62CC" w:rsidR="004C794F" w:rsidRPr="00606561" w:rsidRDefault="00A7012D" w:rsidP="009B3CC4">
      <w:pPr>
        <w:pStyle w:val="ListParagraph"/>
        <w:tabs>
          <w:tab w:val="left" w:pos="360"/>
        </w:tabs>
        <w:spacing w:line="360" w:lineRule="auto"/>
        <w:ind w:left="0"/>
        <w:jc w:val="both"/>
        <w:rPr>
          <w:rFonts w:ascii="Arial" w:hAnsi="Arial" w:cs="Arial"/>
        </w:rPr>
      </w:pPr>
      <w:r w:rsidRPr="00606561">
        <w:rPr>
          <w:rFonts w:ascii="Arial" w:hAnsi="Arial" w:cs="Arial"/>
        </w:rPr>
        <w:t>The contrast between British Airways’ £20 million GDPR fine (for inadequate controls) and Marks &amp; Spencer’s seamless audit after proactive system upgrades illustrates the real financial and reputational impact of compliance-oriented information systems (BigID, 2025). M&amp;S’s automation of user privileges and encrypted data storage protected brand trust and supported legal conformity, now recognized as a benchmark in UK retail (NBER, 2024; Fortis-DPC, 2025).</w:t>
      </w:r>
    </w:p>
    <w:p w14:paraId="095F389B" w14:textId="77777777" w:rsidR="009D3468" w:rsidRPr="00606561" w:rsidRDefault="009D3468" w:rsidP="009B3CC4">
      <w:pPr>
        <w:pStyle w:val="ListParagraph"/>
        <w:tabs>
          <w:tab w:val="left" w:pos="360"/>
        </w:tabs>
        <w:spacing w:line="360" w:lineRule="auto"/>
        <w:ind w:left="0"/>
        <w:rPr>
          <w:rFonts w:ascii="Arial" w:hAnsi="Arial" w:cs="Arial"/>
        </w:rPr>
      </w:pPr>
    </w:p>
    <w:p w14:paraId="38A497AD" w14:textId="77777777" w:rsidR="009D3468" w:rsidRPr="00606561" w:rsidRDefault="00A7012D" w:rsidP="009B3CC4">
      <w:pPr>
        <w:pStyle w:val="ListParagraph"/>
        <w:numPr>
          <w:ilvl w:val="0"/>
          <w:numId w:val="3"/>
        </w:numPr>
        <w:tabs>
          <w:tab w:val="left" w:pos="360"/>
        </w:tabs>
        <w:spacing w:line="360" w:lineRule="auto"/>
        <w:ind w:left="0" w:firstLine="0"/>
        <w:jc w:val="both"/>
        <w:rPr>
          <w:rFonts w:ascii="Arial" w:hAnsi="Arial" w:cs="Arial"/>
        </w:rPr>
      </w:pPr>
      <w:r w:rsidRPr="00606561">
        <w:rPr>
          <w:rFonts w:ascii="Arial" w:hAnsi="Arial" w:cs="Arial"/>
          <w:b/>
          <w:bCs/>
        </w:rPr>
        <w:t>Integration and Cross-functional Efficiency</w:t>
      </w:r>
    </w:p>
    <w:p w14:paraId="4576F5A4" w14:textId="5AE407AC" w:rsidR="00A7012D" w:rsidRPr="00606561" w:rsidRDefault="00A7012D" w:rsidP="009B3CC4">
      <w:pPr>
        <w:pStyle w:val="ListParagraph"/>
        <w:tabs>
          <w:tab w:val="left" w:pos="360"/>
        </w:tabs>
        <w:spacing w:line="360" w:lineRule="auto"/>
        <w:ind w:left="0"/>
        <w:jc w:val="both"/>
        <w:rPr>
          <w:rFonts w:ascii="Arial" w:hAnsi="Arial" w:cs="Arial"/>
        </w:rPr>
      </w:pPr>
      <w:r w:rsidRPr="00606561">
        <w:rPr>
          <w:rFonts w:ascii="Arial" w:hAnsi="Arial" w:cs="Arial"/>
        </w:rPr>
        <w:t>Zara (Inditex Group) uses ERP and artful system integration to manage production, logistics, and retail data in a single digital environment. Immediate data sharing between procurement and inventory allowed Zara to become famous for agility and trend responsiveness, outperforming rivals and minimizing unsold stock (Ivend, 2025). Debenhams, by contrast, experienced decline as it resisted digital transformation and could not offer comparable speed or coordination (Leadsquared, 2025).</w:t>
      </w:r>
    </w:p>
    <w:p w14:paraId="7FBA5BC2" w14:textId="77777777" w:rsidR="00A7012D" w:rsidRPr="00606561" w:rsidRDefault="00A7012D" w:rsidP="009B3CC4">
      <w:pPr>
        <w:tabs>
          <w:tab w:val="left" w:pos="360"/>
        </w:tabs>
        <w:spacing w:line="360" w:lineRule="auto"/>
        <w:jc w:val="both"/>
        <w:rPr>
          <w:rFonts w:ascii="Arial" w:hAnsi="Arial" w:cs="Arial"/>
        </w:rPr>
      </w:pPr>
      <w:r w:rsidRPr="00606561">
        <w:rPr>
          <w:rFonts w:ascii="Arial" w:hAnsi="Arial" w:cs="Arial"/>
        </w:rPr>
        <w:t>From a theoretical angle, Lewin’s change management theory and Kotter’s eight-step transformation framework highlight the necessity of clear communication and leadership in IT reengineering (Harvard SEAS, 2025). Cultural adoption, not just technical performance, is at the heart of enduring retail technology gains. Academic surveys also confirm that failure to invest in staff readiness undermines even the most advanced business tools (Harvard SEAS, 2025).</w:t>
      </w:r>
    </w:p>
    <w:p w14:paraId="2B5F10BF" w14:textId="77777777" w:rsidR="00A7012D" w:rsidRPr="00606561" w:rsidRDefault="00A7012D" w:rsidP="009B3CC4">
      <w:pPr>
        <w:pStyle w:val="Heading1"/>
        <w:spacing w:line="360" w:lineRule="auto"/>
        <w:rPr>
          <w:rFonts w:ascii="Arial" w:hAnsi="Arial" w:cs="Arial"/>
          <w:b/>
          <w:bCs/>
          <w:color w:val="auto"/>
          <w:sz w:val="24"/>
          <w:szCs w:val="24"/>
        </w:rPr>
      </w:pPr>
      <w:bookmarkStart w:id="5" w:name="_Toc214116664"/>
      <w:r w:rsidRPr="00606561">
        <w:rPr>
          <w:rFonts w:ascii="Arial" w:hAnsi="Arial" w:cs="Arial"/>
          <w:b/>
          <w:bCs/>
          <w:color w:val="auto"/>
          <w:sz w:val="24"/>
          <w:szCs w:val="24"/>
        </w:rPr>
        <w:t>4. Recommended Solution: ERP and CRM Transformation</w:t>
      </w:r>
      <w:bookmarkEnd w:id="5"/>
    </w:p>
    <w:p w14:paraId="79123F2F" w14:textId="2A6DA37C" w:rsidR="00A7012D" w:rsidRPr="00606561" w:rsidRDefault="00A7012D" w:rsidP="009B3CC4">
      <w:pPr>
        <w:spacing w:line="360" w:lineRule="auto"/>
        <w:rPr>
          <w:rFonts w:ascii="Arial" w:hAnsi="Arial" w:cs="Arial"/>
        </w:rPr>
      </w:pPr>
      <w:r w:rsidRPr="00606561">
        <w:rPr>
          <w:rFonts w:ascii="Arial" w:hAnsi="Arial" w:cs="Arial"/>
        </w:rPr>
        <w:t>AKPerog Ltd. should pursue staged deployment of a cloud-based, modular ERP system, tightly integrated with enterprise-grade CRM, analytics, and compliance modules. Leading options include Oracle NetSuite, SAP Business One, and Microsoft Dynamics 365</w:t>
      </w:r>
      <w:r w:rsidR="009D3468" w:rsidRPr="00606561">
        <w:rPr>
          <w:rFonts w:ascii="Arial" w:hAnsi="Arial" w:cs="Arial"/>
        </w:rPr>
        <w:t xml:space="preserve">, </w:t>
      </w:r>
      <w:r w:rsidRPr="00606561">
        <w:rPr>
          <w:rFonts w:ascii="Arial" w:hAnsi="Arial" w:cs="Arial"/>
        </w:rPr>
        <w:t xml:space="preserve">which have succeeded in retail settings </w:t>
      </w:r>
      <w:r w:rsidR="009D3468" w:rsidRPr="00606561">
        <w:rPr>
          <w:rFonts w:ascii="Arial" w:hAnsi="Arial" w:cs="Arial"/>
        </w:rPr>
        <w:t>like</w:t>
      </w:r>
      <w:r w:rsidRPr="00606561">
        <w:rPr>
          <w:rFonts w:ascii="Arial" w:hAnsi="Arial" w:cs="Arial"/>
        </w:rPr>
        <w:t xml:space="preserve"> AKPerog Ltd. (Netsuite.com, 2025; ERPFoucs.com, 2025).</w:t>
      </w:r>
    </w:p>
    <w:p w14:paraId="4C0ED912" w14:textId="432C16B2" w:rsidR="00A7012D" w:rsidRPr="00606561" w:rsidRDefault="00A7012D" w:rsidP="009B3CC4">
      <w:pPr>
        <w:spacing w:line="360" w:lineRule="auto"/>
        <w:rPr>
          <w:rFonts w:ascii="Arial" w:hAnsi="Arial" w:cs="Arial"/>
        </w:rPr>
      </w:pPr>
      <w:r w:rsidRPr="00606561">
        <w:rPr>
          <w:rFonts w:ascii="Arial" w:hAnsi="Arial" w:cs="Arial"/>
        </w:rPr>
        <w:lastRenderedPageBreak/>
        <w:t>A modern ERP would automate inventory, predict stock needs, and alert managers to reorder points</w:t>
      </w:r>
      <w:r w:rsidR="009D3468" w:rsidRPr="00606561">
        <w:rPr>
          <w:rFonts w:ascii="Arial" w:hAnsi="Arial" w:cs="Arial"/>
        </w:rPr>
        <w:t xml:space="preserve"> </w:t>
      </w:r>
      <w:r w:rsidRPr="00606561">
        <w:rPr>
          <w:rFonts w:ascii="Arial" w:hAnsi="Arial" w:cs="Arial"/>
        </w:rPr>
        <w:t>preventing lost sales and costly surpluses. This investment aligns with industry trends toward data-driven supply chains, as seen at Walmart, Target, and Best Buy (WJARR, 2024; Netsuite.com, 2025).</w:t>
      </w:r>
      <w:r w:rsidRPr="00606561">
        <w:rPr>
          <w:rFonts w:ascii="Arial" w:hAnsi="Arial" w:cs="Arial"/>
        </w:rPr>
        <w:br/>
        <w:t>CRM capabilities would unify purchase history and communications, enabling personalized promotions and rapid support. Case studies at Spotify and John Lewis show direct improvements in conversion rates and satisfaction alongside margin enhancements (Salesforce, 2024; Leadsquared, 2025).</w:t>
      </w:r>
    </w:p>
    <w:p w14:paraId="70AA7010" w14:textId="77777777" w:rsidR="00A7012D" w:rsidRPr="00606561" w:rsidRDefault="00A7012D" w:rsidP="009B3CC4">
      <w:pPr>
        <w:spacing w:line="360" w:lineRule="auto"/>
        <w:rPr>
          <w:rFonts w:ascii="Arial" w:hAnsi="Arial" w:cs="Arial"/>
        </w:rPr>
      </w:pPr>
      <w:r w:rsidRPr="00606561">
        <w:rPr>
          <w:rFonts w:ascii="Arial" w:hAnsi="Arial" w:cs="Arial"/>
        </w:rPr>
        <w:t>Centralized analytics would offer dashboards, predictive trends, and real-time exception alerts, letting leadership act on emerging market dynamics without delay (GSConlinepress.com, 2024; Vorecol.com, 2024).</w:t>
      </w:r>
      <w:r w:rsidRPr="00606561">
        <w:rPr>
          <w:rFonts w:ascii="Arial" w:hAnsi="Arial" w:cs="Arial"/>
        </w:rPr>
        <w:br/>
        <w:t>Compliance controls embedded at the core are now standard, supporting data privacy laws through advanced user authentication, full audit trails, and encrypted storage (BigID, 2025; Jolt.Law.Harvard.edu, 2018).</w:t>
      </w:r>
    </w:p>
    <w:p w14:paraId="5599FE90" w14:textId="77421FAF" w:rsidR="00A7012D" w:rsidRPr="00606561" w:rsidRDefault="00A7012D" w:rsidP="009B3CC4">
      <w:pPr>
        <w:spacing w:line="360" w:lineRule="auto"/>
        <w:rPr>
          <w:rFonts w:ascii="Arial" w:hAnsi="Arial" w:cs="Arial"/>
        </w:rPr>
      </w:pPr>
      <w:r w:rsidRPr="00606561">
        <w:rPr>
          <w:rFonts w:ascii="Arial" w:hAnsi="Arial" w:cs="Arial"/>
        </w:rPr>
        <w:t>Modular deployment, recommended by consulting literature, allows AKPerog Ltd. to tackle the highest risks first (inventory and CRM), then expand functionality in phases</w:t>
      </w:r>
      <w:r w:rsidR="009D3468" w:rsidRPr="00606561">
        <w:rPr>
          <w:rFonts w:ascii="Arial" w:hAnsi="Arial" w:cs="Arial"/>
        </w:rPr>
        <w:t xml:space="preserve">, </w:t>
      </w:r>
      <w:r w:rsidRPr="00606561">
        <w:rPr>
          <w:rFonts w:ascii="Arial" w:hAnsi="Arial" w:cs="Arial"/>
        </w:rPr>
        <w:t>minimizing business disruption and optimizing cost (Netsuite.com, 2025; RCS UK, 2024).</w:t>
      </w:r>
    </w:p>
    <w:p w14:paraId="0FC7B1C2" w14:textId="77777777" w:rsidR="00A7012D" w:rsidRPr="00606561" w:rsidRDefault="00A7012D" w:rsidP="009B3CC4">
      <w:pPr>
        <w:pStyle w:val="Heading1"/>
        <w:spacing w:line="360" w:lineRule="auto"/>
        <w:rPr>
          <w:rFonts w:ascii="Arial" w:hAnsi="Arial" w:cs="Arial"/>
          <w:b/>
          <w:bCs/>
          <w:color w:val="auto"/>
          <w:sz w:val="24"/>
          <w:szCs w:val="24"/>
        </w:rPr>
      </w:pPr>
      <w:bookmarkStart w:id="6" w:name="_Toc214116665"/>
      <w:r w:rsidRPr="00606561">
        <w:rPr>
          <w:rFonts w:ascii="Arial" w:hAnsi="Arial" w:cs="Arial"/>
          <w:b/>
          <w:bCs/>
          <w:color w:val="auto"/>
          <w:sz w:val="24"/>
          <w:szCs w:val="24"/>
        </w:rPr>
        <w:t>5. Justification and Critical Appraisal</w:t>
      </w:r>
      <w:bookmarkEnd w:id="6"/>
    </w:p>
    <w:p w14:paraId="7AFB11FA" w14:textId="77777777" w:rsidR="00A7012D" w:rsidRPr="00606561" w:rsidRDefault="00A7012D" w:rsidP="009B3CC4">
      <w:pPr>
        <w:spacing w:line="360" w:lineRule="auto"/>
        <w:jc w:val="both"/>
        <w:rPr>
          <w:rFonts w:ascii="Arial" w:hAnsi="Arial" w:cs="Arial"/>
        </w:rPr>
      </w:pPr>
      <w:r w:rsidRPr="00606561">
        <w:rPr>
          <w:rFonts w:ascii="Arial" w:hAnsi="Arial" w:cs="Arial"/>
        </w:rPr>
        <w:t>The evidence across sector reports and academic studies converges on the benefits of full system modernization. Return on investment is typically achieved in two to three years through reduced process complexity, improved data quality, and direct revenue enhancement from customer-centric marketing (Netsuite.com, 2025). ERP/CRM integration also supports staff retention and satisfaction, as redundant manual labor is replaced by higher-value problem-solving and customer engagement (Harvard SEAS, 2025).</w:t>
      </w:r>
    </w:p>
    <w:p w14:paraId="0CED8DFF" w14:textId="77777777" w:rsidR="00A7012D" w:rsidRPr="00606561" w:rsidRDefault="00A7012D" w:rsidP="009B3CC4">
      <w:pPr>
        <w:spacing w:line="360" w:lineRule="auto"/>
        <w:jc w:val="both"/>
        <w:rPr>
          <w:rFonts w:ascii="Arial" w:hAnsi="Arial" w:cs="Arial"/>
        </w:rPr>
      </w:pPr>
      <w:r w:rsidRPr="00606561">
        <w:rPr>
          <w:rFonts w:ascii="Arial" w:hAnsi="Arial" w:cs="Arial"/>
        </w:rPr>
        <w:t>Incremental legacy upgrades are shown to be less sustainable. Companies who chose piecemeal toolsets frequently found their processes became more fragmented and difficult to manage, especially as business models evolved (ERPFoucs.com, 2025).</w:t>
      </w:r>
    </w:p>
    <w:p w14:paraId="106D31F4" w14:textId="5E773E01" w:rsidR="00A7012D" w:rsidRPr="00606561" w:rsidRDefault="00A7012D" w:rsidP="009B3CC4">
      <w:pPr>
        <w:spacing w:line="360" w:lineRule="auto"/>
        <w:jc w:val="both"/>
        <w:rPr>
          <w:rFonts w:ascii="Arial" w:hAnsi="Arial" w:cs="Arial"/>
        </w:rPr>
      </w:pPr>
      <w:r w:rsidRPr="00606561">
        <w:rPr>
          <w:rFonts w:ascii="Arial" w:hAnsi="Arial" w:cs="Arial"/>
        </w:rPr>
        <w:lastRenderedPageBreak/>
        <w:t>From a risk perspective, the holistic approach mitigates exposure to fraud, compliance lapses, and operational delays</w:t>
      </w:r>
      <w:r w:rsidR="009D3468" w:rsidRPr="00606561">
        <w:rPr>
          <w:rFonts w:ascii="Arial" w:hAnsi="Arial" w:cs="Arial"/>
        </w:rPr>
        <w:t xml:space="preserve"> </w:t>
      </w:r>
      <w:r w:rsidRPr="00606561">
        <w:rPr>
          <w:rFonts w:ascii="Arial" w:hAnsi="Arial" w:cs="Arial"/>
        </w:rPr>
        <w:t>a key concern as both product cycles and regulatory expectations accelerate in electronic retail (Fortis-DPC, 2025; BigID, 2025).</w:t>
      </w:r>
    </w:p>
    <w:p w14:paraId="4822079A" w14:textId="57A2B77A" w:rsidR="00A7012D" w:rsidRPr="00606561" w:rsidRDefault="00A7012D" w:rsidP="009B3CC4">
      <w:pPr>
        <w:spacing w:line="360" w:lineRule="auto"/>
        <w:jc w:val="both"/>
        <w:rPr>
          <w:rFonts w:ascii="Arial" w:hAnsi="Arial" w:cs="Arial"/>
        </w:rPr>
      </w:pPr>
      <w:r w:rsidRPr="00606561">
        <w:rPr>
          <w:rFonts w:ascii="Arial" w:hAnsi="Arial" w:cs="Arial"/>
        </w:rPr>
        <w:t xml:space="preserve">Financially, the initial investment is offset by process cost reduction, reduced inventory carrying costs, and uplift in conversion rates and customer retention. This is evidenced in the experience of retailers cited throughout this </w:t>
      </w:r>
      <w:r w:rsidR="009D3468" w:rsidRPr="00606561">
        <w:rPr>
          <w:rFonts w:ascii="Arial" w:hAnsi="Arial" w:cs="Arial"/>
        </w:rPr>
        <w:t>report and</w:t>
      </w:r>
      <w:r w:rsidRPr="00606561">
        <w:rPr>
          <w:rFonts w:ascii="Arial" w:hAnsi="Arial" w:cs="Arial"/>
        </w:rPr>
        <w:t xml:space="preserve"> affirmed by leading consulting and academic sources (GSConlinepress.com, 2024; Netsuite.com, 2025).</w:t>
      </w:r>
    </w:p>
    <w:p w14:paraId="5C8A6DFE" w14:textId="77777777" w:rsidR="00A7012D" w:rsidRPr="00606561" w:rsidRDefault="00A7012D" w:rsidP="009B3CC4">
      <w:pPr>
        <w:spacing w:line="360" w:lineRule="auto"/>
        <w:jc w:val="both"/>
        <w:rPr>
          <w:rFonts w:ascii="Arial" w:hAnsi="Arial" w:cs="Arial"/>
        </w:rPr>
      </w:pPr>
      <w:r w:rsidRPr="00606561">
        <w:rPr>
          <w:rFonts w:ascii="Arial" w:hAnsi="Arial" w:cs="Arial"/>
        </w:rPr>
        <w:t>Ethically, robust privacy controls support responsible data stewardship and build enduring brand loyalty, increasingly important as privacy emerges as a differentiator in consumer choice (SuperOffice, 2025; Jolt.Law.Harvard.edu, 2018).</w:t>
      </w:r>
    </w:p>
    <w:p w14:paraId="45AA9B50" w14:textId="77777777" w:rsidR="00A7012D" w:rsidRPr="00606561" w:rsidRDefault="00A7012D" w:rsidP="009B3CC4">
      <w:pPr>
        <w:pStyle w:val="Heading1"/>
        <w:spacing w:line="360" w:lineRule="auto"/>
        <w:rPr>
          <w:rFonts w:ascii="Arial" w:hAnsi="Arial" w:cs="Arial"/>
          <w:b/>
          <w:bCs/>
          <w:color w:val="auto"/>
          <w:sz w:val="24"/>
          <w:szCs w:val="24"/>
        </w:rPr>
      </w:pPr>
      <w:bookmarkStart w:id="7" w:name="_Toc214116666"/>
      <w:r w:rsidRPr="00606561">
        <w:rPr>
          <w:rFonts w:ascii="Arial" w:hAnsi="Arial" w:cs="Arial"/>
          <w:b/>
          <w:bCs/>
          <w:color w:val="auto"/>
          <w:sz w:val="24"/>
          <w:szCs w:val="24"/>
        </w:rPr>
        <w:t>6. Implementation Plan</w:t>
      </w:r>
      <w:bookmarkEnd w:id="7"/>
    </w:p>
    <w:p w14:paraId="3D15376F" w14:textId="39BE559E" w:rsidR="00A7012D" w:rsidRPr="00606561" w:rsidRDefault="00A7012D" w:rsidP="009B3CC4">
      <w:pPr>
        <w:spacing w:line="360" w:lineRule="auto"/>
        <w:jc w:val="both"/>
        <w:rPr>
          <w:rFonts w:ascii="Arial" w:hAnsi="Arial" w:cs="Arial"/>
        </w:rPr>
      </w:pPr>
      <w:r w:rsidRPr="00606561">
        <w:rPr>
          <w:rFonts w:ascii="Arial" w:hAnsi="Arial" w:cs="Arial"/>
        </w:rPr>
        <w:t xml:space="preserve">Strategic transformation demands a multi-phase, participatory change </w:t>
      </w:r>
      <w:r w:rsidR="009D3468" w:rsidRPr="00606561">
        <w:rPr>
          <w:rFonts w:ascii="Arial" w:hAnsi="Arial" w:cs="Arial"/>
        </w:rPr>
        <w:t>programmes</w:t>
      </w:r>
      <w:r w:rsidRPr="00606561">
        <w:rPr>
          <w:rFonts w:ascii="Arial" w:hAnsi="Arial" w:cs="Arial"/>
        </w:rPr>
        <w:t>. The following table details each stage, ensuring technical rigor, user engagement, and compliance.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85"/>
        <w:gridCol w:w="1282"/>
        <w:gridCol w:w="1521"/>
        <w:gridCol w:w="1393"/>
        <w:gridCol w:w="1383"/>
        <w:gridCol w:w="1567"/>
        <w:gridCol w:w="919"/>
      </w:tblGrid>
      <w:tr w:rsidR="009B3CC4" w:rsidRPr="00606561" w14:paraId="6A95898A" w14:textId="77777777" w:rsidTr="00E85B12">
        <w:trPr>
          <w:tblHeader/>
          <w:tblCellSpacing w:w="15" w:type="dxa"/>
        </w:trPr>
        <w:tc>
          <w:tcPr>
            <w:tcW w:w="0" w:type="auto"/>
            <w:vAlign w:val="center"/>
            <w:hideMark/>
          </w:tcPr>
          <w:p w14:paraId="71FC8253" w14:textId="77777777" w:rsidR="00A7012D" w:rsidRPr="00606561" w:rsidRDefault="00A7012D" w:rsidP="00A7012D">
            <w:pPr>
              <w:rPr>
                <w:rFonts w:ascii="Arial" w:hAnsi="Arial" w:cs="Arial"/>
                <w:b/>
                <w:bCs/>
                <w:sz w:val="20"/>
                <w:szCs w:val="20"/>
              </w:rPr>
            </w:pPr>
            <w:r w:rsidRPr="00606561">
              <w:rPr>
                <w:rFonts w:ascii="Arial" w:hAnsi="Arial" w:cs="Arial"/>
                <w:b/>
                <w:bCs/>
                <w:sz w:val="20"/>
                <w:szCs w:val="20"/>
              </w:rPr>
              <w:t>Step</w:t>
            </w:r>
          </w:p>
        </w:tc>
        <w:tc>
          <w:tcPr>
            <w:tcW w:w="0" w:type="auto"/>
            <w:vAlign w:val="center"/>
            <w:hideMark/>
          </w:tcPr>
          <w:p w14:paraId="7F20A4A8" w14:textId="77777777" w:rsidR="00A7012D" w:rsidRPr="00606561" w:rsidRDefault="00A7012D" w:rsidP="00A7012D">
            <w:pPr>
              <w:rPr>
                <w:rFonts w:ascii="Arial" w:hAnsi="Arial" w:cs="Arial"/>
                <w:b/>
                <w:bCs/>
                <w:sz w:val="20"/>
                <w:szCs w:val="20"/>
              </w:rPr>
            </w:pPr>
            <w:r w:rsidRPr="00606561">
              <w:rPr>
                <w:rFonts w:ascii="Arial" w:hAnsi="Arial" w:cs="Arial"/>
                <w:b/>
                <w:bCs/>
                <w:sz w:val="20"/>
                <w:szCs w:val="20"/>
              </w:rPr>
              <w:t>Objective</w:t>
            </w:r>
          </w:p>
        </w:tc>
        <w:tc>
          <w:tcPr>
            <w:tcW w:w="0" w:type="auto"/>
            <w:vAlign w:val="center"/>
            <w:hideMark/>
          </w:tcPr>
          <w:p w14:paraId="2259C0A3" w14:textId="77777777" w:rsidR="00A7012D" w:rsidRPr="00606561" w:rsidRDefault="00A7012D" w:rsidP="00A7012D">
            <w:pPr>
              <w:rPr>
                <w:rFonts w:ascii="Arial" w:hAnsi="Arial" w:cs="Arial"/>
                <w:b/>
                <w:bCs/>
                <w:sz w:val="20"/>
                <w:szCs w:val="20"/>
              </w:rPr>
            </w:pPr>
            <w:r w:rsidRPr="00606561">
              <w:rPr>
                <w:rFonts w:ascii="Arial" w:hAnsi="Arial" w:cs="Arial"/>
                <w:b/>
                <w:bCs/>
                <w:sz w:val="20"/>
                <w:szCs w:val="20"/>
              </w:rPr>
              <w:t>Actions</w:t>
            </w:r>
          </w:p>
        </w:tc>
        <w:tc>
          <w:tcPr>
            <w:tcW w:w="0" w:type="auto"/>
            <w:vAlign w:val="center"/>
            <w:hideMark/>
          </w:tcPr>
          <w:p w14:paraId="683FED93" w14:textId="77777777" w:rsidR="00A7012D" w:rsidRPr="00606561" w:rsidRDefault="00A7012D" w:rsidP="00A7012D">
            <w:pPr>
              <w:rPr>
                <w:rFonts w:ascii="Arial" w:hAnsi="Arial" w:cs="Arial"/>
                <w:b/>
                <w:bCs/>
                <w:sz w:val="20"/>
                <w:szCs w:val="20"/>
              </w:rPr>
            </w:pPr>
            <w:r w:rsidRPr="00606561">
              <w:rPr>
                <w:rFonts w:ascii="Arial" w:hAnsi="Arial" w:cs="Arial"/>
                <w:b/>
                <w:bCs/>
                <w:sz w:val="20"/>
                <w:szCs w:val="20"/>
              </w:rPr>
              <w:t>Stakeholders Involved</w:t>
            </w:r>
          </w:p>
        </w:tc>
        <w:tc>
          <w:tcPr>
            <w:tcW w:w="0" w:type="auto"/>
            <w:vAlign w:val="center"/>
            <w:hideMark/>
          </w:tcPr>
          <w:p w14:paraId="778A21BA" w14:textId="77777777" w:rsidR="00A7012D" w:rsidRPr="00606561" w:rsidRDefault="00A7012D" w:rsidP="00A7012D">
            <w:pPr>
              <w:rPr>
                <w:rFonts w:ascii="Arial" w:hAnsi="Arial" w:cs="Arial"/>
                <w:b/>
                <w:bCs/>
                <w:sz w:val="20"/>
                <w:szCs w:val="20"/>
              </w:rPr>
            </w:pPr>
            <w:r w:rsidRPr="00606561">
              <w:rPr>
                <w:rFonts w:ascii="Arial" w:hAnsi="Arial" w:cs="Arial"/>
                <w:b/>
                <w:bCs/>
                <w:sz w:val="20"/>
                <w:szCs w:val="20"/>
              </w:rPr>
              <w:t>Potential Challenges</w:t>
            </w:r>
          </w:p>
        </w:tc>
        <w:tc>
          <w:tcPr>
            <w:tcW w:w="0" w:type="auto"/>
            <w:vAlign w:val="center"/>
            <w:hideMark/>
          </w:tcPr>
          <w:p w14:paraId="093CCA0B" w14:textId="77777777" w:rsidR="00A7012D" w:rsidRPr="00606561" w:rsidRDefault="00A7012D" w:rsidP="00A7012D">
            <w:pPr>
              <w:rPr>
                <w:rFonts w:ascii="Arial" w:hAnsi="Arial" w:cs="Arial"/>
                <w:b/>
                <w:bCs/>
                <w:sz w:val="20"/>
                <w:szCs w:val="20"/>
              </w:rPr>
            </w:pPr>
            <w:r w:rsidRPr="00606561">
              <w:rPr>
                <w:rFonts w:ascii="Arial" w:hAnsi="Arial" w:cs="Arial"/>
                <w:b/>
                <w:bCs/>
                <w:sz w:val="20"/>
                <w:szCs w:val="20"/>
              </w:rPr>
              <w:t>Mitigation Strategies</w:t>
            </w:r>
          </w:p>
        </w:tc>
        <w:tc>
          <w:tcPr>
            <w:tcW w:w="0" w:type="auto"/>
            <w:vAlign w:val="center"/>
            <w:hideMark/>
          </w:tcPr>
          <w:p w14:paraId="7C1FCA01" w14:textId="77777777" w:rsidR="00A7012D" w:rsidRPr="00606561" w:rsidRDefault="00A7012D" w:rsidP="00A7012D">
            <w:pPr>
              <w:rPr>
                <w:rFonts w:ascii="Arial" w:hAnsi="Arial" w:cs="Arial"/>
                <w:b/>
                <w:bCs/>
                <w:sz w:val="20"/>
                <w:szCs w:val="20"/>
              </w:rPr>
            </w:pPr>
            <w:r w:rsidRPr="00606561">
              <w:rPr>
                <w:rFonts w:ascii="Arial" w:hAnsi="Arial" w:cs="Arial"/>
                <w:b/>
                <w:bCs/>
                <w:sz w:val="20"/>
                <w:szCs w:val="20"/>
              </w:rPr>
              <w:t>Duration</w:t>
            </w:r>
          </w:p>
        </w:tc>
      </w:tr>
      <w:tr w:rsidR="009B3CC4" w:rsidRPr="00606561" w14:paraId="6770AAFC" w14:textId="77777777" w:rsidTr="00E85B12">
        <w:trPr>
          <w:tblCellSpacing w:w="15" w:type="dxa"/>
        </w:trPr>
        <w:tc>
          <w:tcPr>
            <w:tcW w:w="0" w:type="auto"/>
            <w:vAlign w:val="center"/>
            <w:hideMark/>
          </w:tcPr>
          <w:p w14:paraId="05CA52AC" w14:textId="77777777" w:rsidR="00A7012D" w:rsidRPr="00606561" w:rsidRDefault="00A7012D" w:rsidP="00A7012D">
            <w:pPr>
              <w:rPr>
                <w:rFonts w:ascii="Arial" w:hAnsi="Arial" w:cs="Arial"/>
                <w:sz w:val="20"/>
                <w:szCs w:val="20"/>
              </w:rPr>
            </w:pPr>
            <w:r w:rsidRPr="00606561">
              <w:rPr>
                <w:rFonts w:ascii="Arial" w:hAnsi="Arial" w:cs="Arial"/>
                <w:sz w:val="20"/>
                <w:szCs w:val="20"/>
              </w:rPr>
              <w:t>System Selection</w:t>
            </w:r>
          </w:p>
        </w:tc>
        <w:tc>
          <w:tcPr>
            <w:tcW w:w="0" w:type="auto"/>
            <w:vAlign w:val="center"/>
            <w:hideMark/>
          </w:tcPr>
          <w:p w14:paraId="3DD2344D" w14:textId="77777777" w:rsidR="00A7012D" w:rsidRPr="00606561" w:rsidRDefault="00A7012D" w:rsidP="00A7012D">
            <w:pPr>
              <w:rPr>
                <w:rFonts w:ascii="Arial" w:hAnsi="Arial" w:cs="Arial"/>
                <w:sz w:val="20"/>
                <w:szCs w:val="20"/>
              </w:rPr>
            </w:pPr>
            <w:r w:rsidRPr="00606561">
              <w:rPr>
                <w:rFonts w:ascii="Arial" w:hAnsi="Arial" w:cs="Arial"/>
                <w:sz w:val="20"/>
                <w:szCs w:val="20"/>
              </w:rPr>
              <w:t>Choose optimal ERP/CRM platform for retail and cross-channel demands.</w:t>
            </w:r>
          </w:p>
        </w:tc>
        <w:tc>
          <w:tcPr>
            <w:tcW w:w="0" w:type="auto"/>
            <w:vAlign w:val="center"/>
            <w:hideMark/>
          </w:tcPr>
          <w:p w14:paraId="442D4111" w14:textId="77777777" w:rsidR="00A7012D" w:rsidRPr="00606561" w:rsidRDefault="00A7012D" w:rsidP="00A7012D">
            <w:pPr>
              <w:rPr>
                <w:rFonts w:ascii="Arial" w:hAnsi="Arial" w:cs="Arial"/>
                <w:sz w:val="20"/>
                <w:szCs w:val="20"/>
              </w:rPr>
            </w:pPr>
            <w:r w:rsidRPr="00606561">
              <w:rPr>
                <w:rFonts w:ascii="Arial" w:hAnsi="Arial" w:cs="Arial"/>
                <w:sz w:val="20"/>
                <w:szCs w:val="20"/>
              </w:rPr>
              <w:t>Requirements benchmarking, vendor mapping, pilot demos, weighted evaluation, reference interviews.</w:t>
            </w:r>
          </w:p>
        </w:tc>
        <w:tc>
          <w:tcPr>
            <w:tcW w:w="0" w:type="auto"/>
            <w:vAlign w:val="center"/>
            <w:hideMark/>
          </w:tcPr>
          <w:p w14:paraId="172613E0" w14:textId="77777777" w:rsidR="00A7012D" w:rsidRPr="00606561" w:rsidRDefault="00A7012D" w:rsidP="00A7012D">
            <w:pPr>
              <w:rPr>
                <w:rFonts w:ascii="Arial" w:hAnsi="Arial" w:cs="Arial"/>
                <w:sz w:val="20"/>
                <w:szCs w:val="20"/>
              </w:rPr>
            </w:pPr>
            <w:r w:rsidRPr="00606561">
              <w:rPr>
                <w:rFonts w:ascii="Arial" w:hAnsi="Arial" w:cs="Arial"/>
                <w:sz w:val="20"/>
                <w:szCs w:val="20"/>
              </w:rPr>
              <w:t>Executive Board, IT Project Leads, Dept. Managers, Consultants</w:t>
            </w:r>
          </w:p>
        </w:tc>
        <w:tc>
          <w:tcPr>
            <w:tcW w:w="0" w:type="auto"/>
            <w:vAlign w:val="center"/>
            <w:hideMark/>
          </w:tcPr>
          <w:p w14:paraId="2AD54507" w14:textId="77777777" w:rsidR="00A7012D" w:rsidRPr="00606561" w:rsidRDefault="00A7012D" w:rsidP="00A7012D">
            <w:pPr>
              <w:rPr>
                <w:rFonts w:ascii="Arial" w:hAnsi="Arial" w:cs="Arial"/>
                <w:sz w:val="20"/>
                <w:szCs w:val="20"/>
              </w:rPr>
            </w:pPr>
            <w:r w:rsidRPr="00606561">
              <w:rPr>
                <w:rFonts w:ascii="Arial" w:hAnsi="Arial" w:cs="Arial"/>
                <w:sz w:val="20"/>
                <w:szCs w:val="20"/>
              </w:rPr>
              <w:t>Vendor lock-in, fit challenges.</w:t>
            </w:r>
          </w:p>
        </w:tc>
        <w:tc>
          <w:tcPr>
            <w:tcW w:w="0" w:type="auto"/>
            <w:vAlign w:val="center"/>
            <w:hideMark/>
          </w:tcPr>
          <w:p w14:paraId="52C5F06A" w14:textId="77777777" w:rsidR="00A7012D" w:rsidRPr="00606561" w:rsidRDefault="00A7012D" w:rsidP="00A7012D">
            <w:pPr>
              <w:rPr>
                <w:rFonts w:ascii="Arial" w:hAnsi="Arial" w:cs="Arial"/>
                <w:sz w:val="20"/>
                <w:szCs w:val="20"/>
              </w:rPr>
            </w:pPr>
            <w:r w:rsidRPr="00606561">
              <w:rPr>
                <w:rFonts w:ascii="Arial" w:hAnsi="Arial" w:cs="Arial"/>
                <w:sz w:val="20"/>
                <w:szCs w:val="20"/>
              </w:rPr>
              <w:t>Cross-functional input, pilot phase, transparent scoring.</w:t>
            </w:r>
          </w:p>
        </w:tc>
        <w:tc>
          <w:tcPr>
            <w:tcW w:w="0" w:type="auto"/>
            <w:vAlign w:val="center"/>
            <w:hideMark/>
          </w:tcPr>
          <w:p w14:paraId="0EA4E84E" w14:textId="77777777" w:rsidR="00A7012D" w:rsidRPr="00606561" w:rsidRDefault="00A7012D" w:rsidP="00A7012D">
            <w:pPr>
              <w:rPr>
                <w:rFonts w:ascii="Arial" w:hAnsi="Arial" w:cs="Arial"/>
                <w:sz w:val="20"/>
                <w:szCs w:val="20"/>
              </w:rPr>
            </w:pPr>
            <w:r w:rsidRPr="00606561">
              <w:rPr>
                <w:rFonts w:ascii="Arial" w:hAnsi="Arial" w:cs="Arial"/>
                <w:sz w:val="20"/>
                <w:szCs w:val="20"/>
              </w:rPr>
              <w:t>4–6 weeks</w:t>
            </w:r>
          </w:p>
        </w:tc>
      </w:tr>
      <w:tr w:rsidR="009B3CC4" w:rsidRPr="00606561" w14:paraId="6DE83EAC" w14:textId="77777777" w:rsidTr="00E85B12">
        <w:trPr>
          <w:tblCellSpacing w:w="15" w:type="dxa"/>
        </w:trPr>
        <w:tc>
          <w:tcPr>
            <w:tcW w:w="0" w:type="auto"/>
            <w:vAlign w:val="center"/>
            <w:hideMark/>
          </w:tcPr>
          <w:p w14:paraId="685C7DA8" w14:textId="77777777" w:rsidR="00A7012D" w:rsidRPr="00606561" w:rsidRDefault="00A7012D" w:rsidP="00A7012D">
            <w:pPr>
              <w:rPr>
                <w:rFonts w:ascii="Arial" w:hAnsi="Arial" w:cs="Arial"/>
                <w:sz w:val="20"/>
                <w:szCs w:val="20"/>
              </w:rPr>
            </w:pPr>
            <w:r w:rsidRPr="00606561">
              <w:rPr>
                <w:rFonts w:ascii="Arial" w:hAnsi="Arial" w:cs="Arial"/>
                <w:sz w:val="20"/>
                <w:szCs w:val="20"/>
              </w:rPr>
              <w:t>Infrastructure Provision</w:t>
            </w:r>
          </w:p>
        </w:tc>
        <w:tc>
          <w:tcPr>
            <w:tcW w:w="0" w:type="auto"/>
            <w:vAlign w:val="center"/>
            <w:hideMark/>
          </w:tcPr>
          <w:p w14:paraId="3F4D7664" w14:textId="77777777" w:rsidR="00A7012D" w:rsidRPr="00606561" w:rsidRDefault="00A7012D" w:rsidP="00A7012D">
            <w:pPr>
              <w:rPr>
                <w:rFonts w:ascii="Arial" w:hAnsi="Arial" w:cs="Arial"/>
                <w:sz w:val="20"/>
                <w:szCs w:val="20"/>
              </w:rPr>
            </w:pPr>
            <w:r w:rsidRPr="00606561">
              <w:rPr>
                <w:rFonts w:ascii="Arial" w:hAnsi="Arial" w:cs="Arial"/>
                <w:sz w:val="20"/>
                <w:szCs w:val="20"/>
              </w:rPr>
              <w:t>Deploy scalable, secure networks and storage.</w:t>
            </w:r>
          </w:p>
        </w:tc>
        <w:tc>
          <w:tcPr>
            <w:tcW w:w="0" w:type="auto"/>
            <w:vAlign w:val="center"/>
            <w:hideMark/>
          </w:tcPr>
          <w:p w14:paraId="19C3A46F" w14:textId="77777777" w:rsidR="00A7012D" w:rsidRPr="00606561" w:rsidRDefault="00A7012D" w:rsidP="00A7012D">
            <w:pPr>
              <w:rPr>
                <w:rFonts w:ascii="Arial" w:hAnsi="Arial" w:cs="Arial"/>
                <w:sz w:val="20"/>
                <w:szCs w:val="20"/>
              </w:rPr>
            </w:pPr>
            <w:r w:rsidRPr="00606561">
              <w:rPr>
                <w:rFonts w:ascii="Arial" w:hAnsi="Arial" w:cs="Arial"/>
                <w:sz w:val="20"/>
                <w:szCs w:val="20"/>
              </w:rPr>
              <w:t>Data center upgrade, cloud vs hybrid analysis, PCI/GDPR technical review, backup and DR planning.</w:t>
            </w:r>
          </w:p>
        </w:tc>
        <w:tc>
          <w:tcPr>
            <w:tcW w:w="0" w:type="auto"/>
            <w:vAlign w:val="center"/>
            <w:hideMark/>
          </w:tcPr>
          <w:p w14:paraId="01880275" w14:textId="77777777" w:rsidR="00A7012D" w:rsidRPr="00606561" w:rsidRDefault="00A7012D" w:rsidP="00A7012D">
            <w:pPr>
              <w:rPr>
                <w:rFonts w:ascii="Arial" w:hAnsi="Arial" w:cs="Arial"/>
                <w:sz w:val="20"/>
                <w:szCs w:val="20"/>
              </w:rPr>
            </w:pPr>
            <w:r w:rsidRPr="00606561">
              <w:rPr>
                <w:rFonts w:ascii="Arial" w:hAnsi="Arial" w:cs="Arial"/>
                <w:sz w:val="20"/>
                <w:szCs w:val="20"/>
              </w:rPr>
              <w:t>IT, Vendors, Cybersecurity, Compliance Officers</w:t>
            </w:r>
          </w:p>
        </w:tc>
        <w:tc>
          <w:tcPr>
            <w:tcW w:w="0" w:type="auto"/>
            <w:vAlign w:val="center"/>
            <w:hideMark/>
          </w:tcPr>
          <w:p w14:paraId="59D2E498" w14:textId="77777777" w:rsidR="00A7012D" w:rsidRPr="00606561" w:rsidRDefault="00A7012D" w:rsidP="00A7012D">
            <w:pPr>
              <w:rPr>
                <w:rFonts w:ascii="Arial" w:hAnsi="Arial" w:cs="Arial"/>
                <w:sz w:val="20"/>
                <w:szCs w:val="20"/>
              </w:rPr>
            </w:pPr>
            <w:r w:rsidRPr="00606561">
              <w:rPr>
                <w:rFonts w:ascii="Arial" w:hAnsi="Arial" w:cs="Arial"/>
                <w:sz w:val="20"/>
                <w:szCs w:val="20"/>
              </w:rPr>
              <w:t>Legacy downtime, integration complexity.</w:t>
            </w:r>
          </w:p>
        </w:tc>
        <w:tc>
          <w:tcPr>
            <w:tcW w:w="0" w:type="auto"/>
            <w:vAlign w:val="center"/>
            <w:hideMark/>
          </w:tcPr>
          <w:p w14:paraId="0A988DDD" w14:textId="77777777" w:rsidR="00A7012D" w:rsidRPr="00606561" w:rsidRDefault="00A7012D" w:rsidP="00A7012D">
            <w:pPr>
              <w:rPr>
                <w:rFonts w:ascii="Arial" w:hAnsi="Arial" w:cs="Arial"/>
                <w:sz w:val="20"/>
                <w:szCs w:val="20"/>
              </w:rPr>
            </w:pPr>
            <w:r w:rsidRPr="00606561">
              <w:rPr>
                <w:rFonts w:ascii="Arial" w:hAnsi="Arial" w:cs="Arial"/>
                <w:sz w:val="20"/>
                <w:szCs w:val="20"/>
              </w:rPr>
              <w:t>Off-peak migration, dual-running, external risk validation.</w:t>
            </w:r>
          </w:p>
        </w:tc>
        <w:tc>
          <w:tcPr>
            <w:tcW w:w="0" w:type="auto"/>
            <w:vAlign w:val="center"/>
            <w:hideMark/>
          </w:tcPr>
          <w:p w14:paraId="198712C8" w14:textId="77777777" w:rsidR="00A7012D" w:rsidRPr="00606561" w:rsidRDefault="00A7012D" w:rsidP="00A7012D">
            <w:pPr>
              <w:rPr>
                <w:rFonts w:ascii="Arial" w:hAnsi="Arial" w:cs="Arial"/>
                <w:sz w:val="20"/>
                <w:szCs w:val="20"/>
              </w:rPr>
            </w:pPr>
            <w:r w:rsidRPr="00606561">
              <w:rPr>
                <w:rFonts w:ascii="Arial" w:hAnsi="Arial" w:cs="Arial"/>
                <w:sz w:val="20"/>
                <w:szCs w:val="20"/>
              </w:rPr>
              <w:t>3–4 weeks</w:t>
            </w:r>
          </w:p>
        </w:tc>
      </w:tr>
      <w:tr w:rsidR="009B3CC4" w:rsidRPr="00606561" w14:paraId="36D41B0B" w14:textId="77777777" w:rsidTr="00E85B12">
        <w:trPr>
          <w:tblCellSpacing w:w="15" w:type="dxa"/>
        </w:trPr>
        <w:tc>
          <w:tcPr>
            <w:tcW w:w="0" w:type="auto"/>
            <w:vAlign w:val="center"/>
            <w:hideMark/>
          </w:tcPr>
          <w:p w14:paraId="01B93949" w14:textId="77777777" w:rsidR="00A7012D" w:rsidRPr="00606561" w:rsidRDefault="00A7012D" w:rsidP="00A7012D">
            <w:pPr>
              <w:rPr>
                <w:rFonts w:ascii="Arial" w:hAnsi="Arial" w:cs="Arial"/>
                <w:sz w:val="20"/>
                <w:szCs w:val="20"/>
              </w:rPr>
            </w:pPr>
            <w:r w:rsidRPr="00606561">
              <w:rPr>
                <w:rFonts w:ascii="Arial" w:hAnsi="Arial" w:cs="Arial"/>
                <w:sz w:val="20"/>
                <w:szCs w:val="20"/>
              </w:rPr>
              <w:lastRenderedPageBreak/>
              <w:t>Data Migration</w:t>
            </w:r>
          </w:p>
        </w:tc>
        <w:tc>
          <w:tcPr>
            <w:tcW w:w="0" w:type="auto"/>
            <w:vAlign w:val="center"/>
            <w:hideMark/>
          </w:tcPr>
          <w:p w14:paraId="39D74F1B" w14:textId="77777777" w:rsidR="00A7012D" w:rsidRPr="00606561" w:rsidRDefault="00A7012D" w:rsidP="00A7012D">
            <w:pPr>
              <w:rPr>
                <w:rFonts w:ascii="Arial" w:hAnsi="Arial" w:cs="Arial"/>
                <w:sz w:val="20"/>
                <w:szCs w:val="20"/>
              </w:rPr>
            </w:pPr>
            <w:r w:rsidRPr="00606561">
              <w:rPr>
                <w:rFonts w:ascii="Arial" w:hAnsi="Arial" w:cs="Arial"/>
                <w:sz w:val="20"/>
                <w:szCs w:val="20"/>
              </w:rPr>
              <w:t>Move legacy data to the new platform safely and accurately.</w:t>
            </w:r>
          </w:p>
        </w:tc>
        <w:tc>
          <w:tcPr>
            <w:tcW w:w="0" w:type="auto"/>
            <w:vAlign w:val="center"/>
            <w:hideMark/>
          </w:tcPr>
          <w:p w14:paraId="14029163" w14:textId="77777777" w:rsidR="00A7012D" w:rsidRPr="00606561" w:rsidRDefault="00A7012D" w:rsidP="00A7012D">
            <w:pPr>
              <w:rPr>
                <w:rFonts w:ascii="Arial" w:hAnsi="Arial" w:cs="Arial"/>
                <w:sz w:val="20"/>
                <w:szCs w:val="20"/>
              </w:rPr>
            </w:pPr>
            <w:r w:rsidRPr="00606561">
              <w:rPr>
                <w:rFonts w:ascii="Arial" w:hAnsi="Arial" w:cs="Arial"/>
                <w:sz w:val="20"/>
                <w:szCs w:val="20"/>
              </w:rPr>
              <w:t>Cleansing, mapping, trial migrations, reconciliation, security and privacy review.</w:t>
            </w:r>
          </w:p>
        </w:tc>
        <w:tc>
          <w:tcPr>
            <w:tcW w:w="0" w:type="auto"/>
            <w:vAlign w:val="center"/>
            <w:hideMark/>
          </w:tcPr>
          <w:p w14:paraId="41902D86" w14:textId="77777777" w:rsidR="00A7012D" w:rsidRPr="00606561" w:rsidRDefault="00A7012D" w:rsidP="00A7012D">
            <w:pPr>
              <w:rPr>
                <w:rFonts w:ascii="Arial" w:hAnsi="Arial" w:cs="Arial"/>
                <w:sz w:val="20"/>
                <w:szCs w:val="20"/>
              </w:rPr>
            </w:pPr>
            <w:r w:rsidRPr="00606561">
              <w:rPr>
                <w:rFonts w:ascii="Arial" w:hAnsi="Arial" w:cs="Arial"/>
                <w:sz w:val="20"/>
                <w:szCs w:val="20"/>
              </w:rPr>
              <w:t>IT/Data Teams, Business Units, Vendors, Legal Advisors</w:t>
            </w:r>
          </w:p>
        </w:tc>
        <w:tc>
          <w:tcPr>
            <w:tcW w:w="0" w:type="auto"/>
            <w:vAlign w:val="center"/>
            <w:hideMark/>
          </w:tcPr>
          <w:p w14:paraId="532F4E1D" w14:textId="77777777" w:rsidR="00A7012D" w:rsidRPr="00606561" w:rsidRDefault="00A7012D" w:rsidP="00A7012D">
            <w:pPr>
              <w:rPr>
                <w:rFonts w:ascii="Arial" w:hAnsi="Arial" w:cs="Arial"/>
                <w:sz w:val="20"/>
                <w:szCs w:val="20"/>
              </w:rPr>
            </w:pPr>
            <w:r w:rsidRPr="00606561">
              <w:rPr>
                <w:rFonts w:ascii="Arial" w:hAnsi="Arial" w:cs="Arial"/>
                <w:sz w:val="20"/>
                <w:szCs w:val="20"/>
              </w:rPr>
              <w:t>Data loss, mismatches, compliance breaches.</w:t>
            </w:r>
          </w:p>
        </w:tc>
        <w:tc>
          <w:tcPr>
            <w:tcW w:w="0" w:type="auto"/>
            <w:vAlign w:val="center"/>
            <w:hideMark/>
          </w:tcPr>
          <w:p w14:paraId="58D47F9B" w14:textId="77777777" w:rsidR="00A7012D" w:rsidRPr="00606561" w:rsidRDefault="00A7012D" w:rsidP="00A7012D">
            <w:pPr>
              <w:rPr>
                <w:rFonts w:ascii="Arial" w:hAnsi="Arial" w:cs="Arial"/>
                <w:sz w:val="20"/>
                <w:szCs w:val="20"/>
              </w:rPr>
            </w:pPr>
            <w:r w:rsidRPr="00606561">
              <w:rPr>
                <w:rFonts w:ascii="Arial" w:hAnsi="Arial" w:cs="Arial"/>
                <w:sz w:val="20"/>
                <w:szCs w:val="20"/>
              </w:rPr>
              <w:t>Multiple test cycles, robust rollback, continuous QA.</w:t>
            </w:r>
          </w:p>
        </w:tc>
        <w:tc>
          <w:tcPr>
            <w:tcW w:w="0" w:type="auto"/>
            <w:vAlign w:val="center"/>
            <w:hideMark/>
          </w:tcPr>
          <w:p w14:paraId="6B304BAD" w14:textId="77777777" w:rsidR="00A7012D" w:rsidRPr="00606561" w:rsidRDefault="00A7012D" w:rsidP="00A7012D">
            <w:pPr>
              <w:rPr>
                <w:rFonts w:ascii="Arial" w:hAnsi="Arial" w:cs="Arial"/>
                <w:sz w:val="20"/>
                <w:szCs w:val="20"/>
              </w:rPr>
            </w:pPr>
            <w:r w:rsidRPr="00606561">
              <w:rPr>
                <w:rFonts w:ascii="Arial" w:hAnsi="Arial" w:cs="Arial"/>
                <w:sz w:val="20"/>
                <w:szCs w:val="20"/>
              </w:rPr>
              <w:t>3–4 weeks</w:t>
            </w:r>
          </w:p>
        </w:tc>
      </w:tr>
      <w:tr w:rsidR="009B3CC4" w:rsidRPr="00606561" w14:paraId="2AAFD2A6" w14:textId="77777777" w:rsidTr="00E85B12">
        <w:trPr>
          <w:tblCellSpacing w:w="15" w:type="dxa"/>
        </w:trPr>
        <w:tc>
          <w:tcPr>
            <w:tcW w:w="0" w:type="auto"/>
            <w:vAlign w:val="center"/>
            <w:hideMark/>
          </w:tcPr>
          <w:p w14:paraId="021E3DC1" w14:textId="77777777" w:rsidR="00A7012D" w:rsidRPr="00606561" w:rsidRDefault="00A7012D" w:rsidP="00A7012D">
            <w:pPr>
              <w:rPr>
                <w:rFonts w:ascii="Arial" w:hAnsi="Arial" w:cs="Arial"/>
                <w:sz w:val="20"/>
                <w:szCs w:val="20"/>
              </w:rPr>
            </w:pPr>
            <w:r w:rsidRPr="00606561">
              <w:rPr>
                <w:rFonts w:ascii="Arial" w:hAnsi="Arial" w:cs="Arial"/>
                <w:sz w:val="20"/>
                <w:szCs w:val="20"/>
              </w:rPr>
              <w:t>Staff Training</w:t>
            </w:r>
          </w:p>
        </w:tc>
        <w:tc>
          <w:tcPr>
            <w:tcW w:w="0" w:type="auto"/>
            <w:vAlign w:val="center"/>
            <w:hideMark/>
          </w:tcPr>
          <w:p w14:paraId="5D33D6E6" w14:textId="77777777" w:rsidR="00A7012D" w:rsidRPr="00606561" w:rsidRDefault="00A7012D" w:rsidP="00A7012D">
            <w:pPr>
              <w:rPr>
                <w:rFonts w:ascii="Arial" w:hAnsi="Arial" w:cs="Arial"/>
                <w:sz w:val="20"/>
                <w:szCs w:val="20"/>
              </w:rPr>
            </w:pPr>
            <w:r w:rsidRPr="00606561">
              <w:rPr>
                <w:rFonts w:ascii="Arial" w:hAnsi="Arial" w:cs="Arial"/>
                <w:sz w:val="20"/>
                <w:szCs w:val="20"/>
              </w:rPr>
              <w:t>Ensure full staff proficiency and adoption.</w:t>
            </w:r>
          </w:p>
        </w:tc>
        <w:tc>
          <w:tcPr>
            <w:tcW w:w="0" w:type="auto"/>
            <w:vAlign w:val="center"/>
            <w:hideMark/>
          </w:tcPr>
          <w:p w14:paraId="28C821D5" w14:textId="77777777" w:rsidR="00A7012D" w:rsidRPr="00606561" w:rsidRDefault="00A7012D" w:rsidP="00A7012D">
            <w:pPr>
              <w:rPr>
                <w:rFonts w:ascii="Arial" w:hAnsi="Arial" w:cs="Arial"/>
                <w:sz w:val="20"/>
                <w:szCs w:val="20"/>
              </w:rPr>
            </w:pPr>
            <w:r w:rsidRPr="00606561">
              <w:rPr>
                <w:rFonts w:ascii="Arial" w:hAnsi="Arial" w:cs="Arial"/>
                <w:sz w:val="20"/>
                <w:szCs w:val="20"/>
              </w:rPr>
              <w:t>Role-based e-learning, workshops, support desk, feedback loops, refresher courses, ongoing support.</w:t>
            </w:r>
          </w:p>
        </w:tc>
        <w:tc>
          <w:tcPr>
            <w:tcW w:w="0" w:type="auto"/>
            <w:vAlign w:val="center"/>
            <w:hideMark/>
          </w:tcPr>
          <w:p w14:paraId="20C69E8E" w14:textId="77777777" w:rsidR="00A7012D" w:rsidRPr="00606561" w:rsidRDefault="00A7012D" w:rsidP="00A7012D">
            <w:pPr>
              <w:rPr>
                <w:rFonts w:ascii="Arial" w:hAnsi="Arial" w:cs="Arial"/>
                <w:sz w:val="20"/>
                <w:szCs w:val="20"/>
              </w:rPr>
            </w:pPr>
            <w:r w:rsidRPr="00606561">
              <w:rPr>
                <w:rFonts w:ascii="Arial" w:hAnsi="Arial" w:cs="Arial"/>
                <w:sz w:val="20"/>
                <w:szCs w:val="20"/>
              </w:rPr>
              <w:t>HR, Trainers, Dept. Leaders, Vendor Engagement</w:t>
            </w:r>
          </w:p>
        </w:tc>
        <w:tc>
          <w:tcPr>
            <w:tcW w:w="0" w:type="auto"/>
            <w:vAlign w:val="center"/>
            <w:hideMark/>
          </w:tcPr>
          <w:p w14:paraId="7EBD6D92" w14:textId="77777777" w:rsidR="00A7012D" w:rsidRPr="00606561" w:rsidRDefault="00A7012D" w:rsidP="00A7012D">
            <w:pPr>
              <w:rPr>
                <w:rFonts w:ascii="Arial" w:hAnsi="Arial" w:cs="Arial"/>
                <w:sz w:val="20"/>
                <w:szCs w:val="20"/>
              </w:rPr>
            </w:pPr>
            <w:r w:rsidRPr="00606561">
              <w:rPr>
                <w:rFonts w:ascii="Arial" w:hAnsi="Arial" w:cs="Arial"/>
                <w:sz w:val="20"/>
                <w:szCs w:val="20"/>
              </w:rPr>
              <w:t>Resistance, learning curve, cultural barriers, turnover.</w:t>
            </w:r>
          </w:p>
        </w:tc>
        <w:tc>
          <w:tcPr>
            <w:tcW w:w="0" w:type="auto"/>
            <w:vAlign w:val="center"/>
            <w:hideMark/>
          </w:tcPr>
          <w:p w14:paraId="44217EE3" w14:textId="77777777" w:rsidR="00A7012D" w:rsidRPr="00606561" w:rsidRDefault="00A7012D" w:rsidP="00A7012D">
            <w:pPr>
              <w:rPr>
                <w:rFonts w:ascii="Arial" w:hAnsi="Arial" w:cs="Arial"/>
                <w:sz w:val="20"/>
                <w:szCs w:val="20"/>
              </w:rPr>
            </w:pPr>
            <w:r w:rsidRPr="00606561">
              <w:rPr>
                <w:rFonts w:ascii="Arial" w:hAnsi="Arial" w:cs="Arial"/>
                <w:sz w:val="20"/>
                <w:szCs w:val="20"/>
              </w:rPr>
              <w:t>“Change champions,” ongoing support, trainer follow-ups, feedback surveys.</w:t>
            </w:r>
          </w:p>
        </w:tc>
        <w:tc>
          <w:tcPr>
            <w:tcW w:w="0" w:type="auto"/>
            <w:vAlign w:val="center"/>
            <w:hideMark/>
          </w:tcPr>
          <w:p w14:paraId="540DA640" w14:textId="77777777" w:rsidR="00A7012D" w:rsidRPr="00606561" w:rsidRDefault="00A7012D" w:rsidP="00A7012D">
            <w:pPr>
              <w:rPr>
                <w:rFonts w:ascii="Arial" w:hAnsi="Arial" w:cs="Arial"/>
                <w:sz w:val="20"/>
                <w:szCs w:val="20"/>
              </w:rPr>
            </w:pPr>
            <w:r w:rsidRPr="00606561">
              <w:rPr>
                <w:rFonts w:ascii="Arial" w:hAnsi="Arial" w:cs="Arial"/>
                <w:sz w:val="20"/>
                <w:szCs w:val="20"/>
              </w:rPr>
              <w:t>4 weeks</w:t>
            </w:r>
          </w:p>
        </w:tc>
      </w:tr>
      <w:tr w:rsidR="009B3CC4" w:rsidRPr="00606561" w14:paraId="1E8862DE" w14:textId="77777777" w:rsidTr="00E85B12">
        <w:trPr>
          <w:tblCellSpacing w:w="15" w:type="dxa"/>
        </w:trPr>
        <w:tc>
          <w:tcPr>
            <w:tcW w:w="0" w:type="auto"/>
            <w:vAlign w:val="center"/>
            <w:hideMark/>
          </w:tcPr>
          <w:p w14:paraId="3630E546" w14:textId="77777777" w:rsidR="00A7012D" w:rsidRPr="00606561" w:rsidRDefault="00A7012D" w:rsidP="00A7012D">
            <w:pPr>
              <w:rPr>
                <w:rFonts w:ascii="Arial" w:hAnsi="Arial" w:cs="Arial"/>
                <w:sz w:val="20"/>
                <w:szCs w:val="20"/>
              </w:rPr>
            </w:pPr>
            <w:r w:rsidRPr="00606561">
              <w:rPr>
                <w:rFonts w:ascii="Arial" w:hAnsi="Arial" w:cs="Arial"/>
                <w:sz w:val="20"/>
                <w:szCs w:val="20"/>
              </w:rPr>
              <w:t>Integration</w:t>
            </w:r>
          </w:p>
        </w:tc>
        <w:tc>
          <w:tcPr>
            <w:tcW w:w="0" w:type="auto"/>
            <w:vAlign w:val="center"/>
            <w:hideMark/>
          </w:tcPr>
          <w:p w14:paraId="0CD88666" w14:textId="77777777" w:rsidR="00A7012D" w:rsidRPr="00606561" w:rsidRDefault="00A7012D" w:rsidP="00A7012D">
            <w:pPr>
              <w:rPr>
                <w:rFonts w:ascii="Arial" w:hAnsi="Arial" w:cs="Arial"/>
                <w:sz w:val="20"/>
                <w:szCs w:val="20"/>
              </w:rPr>
            </w:pPr>
            <w:r w:rsidRPr="00606561">
              <w:rPr>
                <w:rFonts w:ascii="Arial" w:hAnsi="Arial" w:cs="Arial"/>
                <w:sz w:val="20"/>
                <w:szCs w:val="20"/>
              </w:rPr>
              <w:t>Link ERP with payment, finance, e-commerce, and logistics solutions for seamless operations.</w:t>
            </w:r>
          </w:p>
        </w:tc>
        <w:tc>
          <w:tcPr>
            <w:tcW w:w="0" w:type="auto"/>
            <w:vAlign w:val="center"/>
            <w:hideMark/>
          </w:tcPr>
          <w:p w14:paraId="69A8B3F8" w14:textId="77777777" w:rsidR="00A7012D" w:rsidRPr="00606561" w:rsidRDefault="00A7012D" w:rsidP="00A7012D">
            <w:pPr>
              <w:rPr>
                <w:rFonts w:ascii="Arial" w:hAnsi="Arial" w:cs="Arial"/>
                <w:sz w:val="20"/>
                <w:szCs w:val="20"/>
              </w:rPr>
            </w:pPr>
            <w:r w:rsidRPr="00606561">
              <w:rPr>
                <w:rFonts w:ascii="Arial" w:hAnsi="Arial" w:cs="Arial"/>
                <w:sz w:val="20"/>
                <w:szCs w:val="20"/>
              </w:rPr>
              <w:t>API mapping, middleware setup, cross-platform user testing, staged roll-out.</w:t>
            </w:r>
          </w:p>
        </w:tc>
        <w:tc>
          <w:tcPr>
            <w:tcW w:w="0" w:type="auto"/>
            <w:vAlign w:val="center"/>
            <w:hideMark/>
          </w:tcPr>
          <w:p w14:paraId="080D24C9" w14:textId="77777777" w:rsidR="00A7012D" w:rsidRPr="00606561" w:rsidRDefault="00A7012D" w:rsidP="00A7012D">
            <w:pPr>
              <w:rPr>
                <w:rFonts w:ascii="Arial" w:hAnsi="Arial" w:cs="Arial"/>
                <w:sz w:val="20"/>
                <w:szCs w:val="20"/>
              </w:rPr>
            </w:pPr>
            <w:r w:rsidRPr="00606561">
              <w:rPr>
                <w:rFonts w:ascii="Arial" w:hAnsi="Arial" w:cs="Arial"/>
                <w:sz w:val="20"/>
                <w:szCs w:val="20"/>
              </w:rPr>
              <w:t>IT, Partners, Vendors, Ops Managers</w:t>
            </w:r>
          </w:p>
        </w:tc>
        <w:tc>
          <w:tcPr>
            <w:tcW w:w="0" w:type="auto"/>
            <w:vAlign w:val="center"/>
            <w:hideMark/>
          </w:tcPr>
          <w:p w14:paraId="7B48F7E0" w14:textId="77777777" w:rsidR="00A7012D" w:rsidRPr="00606561" w:rsidRDefault="00A7012D" w:rsidP="00A7012D">
            <w:pPr>
              <w:rPr>
                <w:rFonts w:ascii="Arial" w:hAnsi="Arial" w:cs="Arial"/>
                <w:sz w:val="20"/>
                <w:szCs w:val="20"/>
              </w:rPr>
            </w:pPr>
            <w:r w:rsidRPr="00606561">
              <w:rPr>
                <w:rFonts w:ascii="Arial" w:hAnsi="Arial" w:cs="Arial"/>
                <w:sz w:val="20"/>
                <w:szCs w:val="20"/>
              </w:rPr>
              <w:t>Bugs, data transfer failures, user confusion, compatibility.</w:t>
            </w:r>
          </w:p>
        </w:tc>
        <w:tc>
          <w:tcPr>
            <w:tcW w:w="0" w:type="auto"/>
            <w:vAlign w:val="center"/>
            <w:hideMark/>
          </w:tcPr>
          <w:p w14:paraId="395A49CE" w14:textId="77777777" w:rsidR="00A7012D" w:rsidRPr="00606561" w:rsidRDefault="00A7012D" w:rsidP="00A7012D">
            <w:pPr>
              <w:rPr>
                <w:rFonts w:ascii="Arial" w:hAnsi="Arial" w:cs="Arial"/>
                <w:sz w:val="20"/>
                <w:szCs w:val="20"/>
              </w:rPr>
            </w:pPr>
            <w:r w:rsidRPr="00606561">
              <w:rPr>
                <w:rFonts w:ascii="Arial" w:hAnsi="Arial" w:cs="Arial"/>
                <w:sz w:val="20"/>
                <w:szCs w:val="20"/>
              </w:rPr>
              <w:t>Team-based UAT, early troubleshooting, vendor escalations.</w:t>
            </w:r>
          </w:p>
        </w:tc>
        <w:tc>
          <w:tcPr>
            <w:tcW w:w="0" w:type="auto"/>
            <w:vAlign w:val="center"/>
            <w:hideMark/>
          </w:tcPr>
          <w:p w14:paraId="57CE405F" w14:textId="77777777" w:rsidR="00A7012D" w:rsidRPr="00606561" w:rsidRDefault="00A7012D" w:rsidP="00A7012D">
            <w:pPr>
              <w:rPr>
                <w:rFonts w:ascii="Arial" w:hAnsi="Arial" w:cs="Arial"/>
                <w:sz w:val="20"/>
                <w:szCs w:val="20"/>
              </w:rPr>
            </w:pPr>
            <w:r w:rsidRPr="00606561">
              <w:rPr>
                <w:rFonts w:ascii="Arial" w:hAnsi="Arial" w:cs="Arial"/>
                <w:sz w:val="20"/>
                <w:szCs w:val="20"/>
              </w:rPr>
              <w:t>3 weeks</w:t>
            </w:r>
          </w:p>
        </w:tc>
      </w:tr>
      <w:tr w:rsidR="009B3CC4" w:rsidRPr="00606561" w14:paraId="01218BAC" w14:textId="77777777" w:rsidTr="00E85B12">
        <w:trPr>
          <w:tblCellSpacing w:w="15" w:type="dxa"/>
        </w:trPr>
        <w:tc>
          <w:tcPr>
            <w:tcW w:w="0" w:type="auto"/>
            <w:vAlign w:val="center"/>
            <w:hideMark/>
          </w:tcPr>
          <w:p w14:paraId="714596C4" w14:textId="77777777" w:rsidR="00A7012D" w:rsidRPr="00606561" w:rsidRDefault="00A7012D" w:rsidP="00A7012D">
            <w:pPr>
              <w:rPr>
                <w:rFonts w:ascii="Arial" w:hAnsi="Arial" w:cs="Arial"/>
                <w:sz w:val="20"/>
                <w:szCs w:val="20"/>
              </w:rPr>
            </w:pPr>
            <w:r w:rsidRPr="00606561">
              <w:rPr>
                <w:rFonts w:ascii="Arial" w:hAnsi="Arial" w:cs="Arial"/>
                <w:sz w:val="20"/>
                <w:szCs w:val="20"/>
              </w:rPr>
              <w:t>Testing</w:t>
            </w:r>
          </w:p>
        </w:tc>
        <w:tc>
          <w:tcPr>
            <w:tcW w:w="0" w:type="auto"/>
            <w:vAlign w:val="center"/>
            <w:hideMark/>
          </w:tcPr>
          <w:p w14:paraId="15B5DF48" w14:textId="77777777" w:rsidR="00A7012D" w:rsidRPr="00606561" w:rsidRDefault="00A7012D" w:rsidP="00A7012D">
            <w:pPr>
              <w:rPr>
                <w:rFonts w:ascii="Arial" w:hAnsi="Arial" w:cs="Arial"/>
                <w:sz w:val="20"/>
                <w:szCs w:val="20"/>
              </w:rPr>
            </w:pPr>
            <w:r w:rsidRPr="00606561">
              <w:rPr>
                <w:rFonts w:ascii="Arial" w:hAnsi="Arial" w:cs="Arial"/>
                <w:sz w:val="20"/>
                <w:szCs w:val="20"/>
              </w:rPr>
              <w:t>Validate system stability, security, and usability at scale.</w:t>
            </w:r>
          </w:p>
        </w:tc>
        <w:tc>
          <w:tcPr>
            <w:tcW w:w="0" w:type="auto"/>
            <w:vAlign w:val="center"/>
            <w:hideMark/>
          </w:tcPr>
          <w:p w14:paraId="7D438D37" w14:textId="77777777" w:rsidR="00A7012D" w:rsidRPr="00606561" w:rsidRDefault="00A7012D" w:rsidP="00A7012D">
            <w:pPr>
              <w:rPr>
                <w:rFonts w:ascii="Arial" w:hAnsi="Arial" w:cs="Arial"/>
                <w:sz w:val="20"/>
                <w:szCs w:val="20"/>
              </w:rPr>
            </w:pPr>
            <w:r w:rsidRPr="00606561">
              <w:rPr>
                <w:rFonts w:ascii="Arial" w:hAnsi="Arial" w:cs="Arial"/>
                <w:sz w:val="20"/>
                <w:szCs w:val="20"/>
              </w:rPr>
              <w:t>Functional, regression, security, load testing, user simulation, compliance review.</w:t>
            </w:r>
          </w:p>
        </w:tc>
        <w:tc>
          <w:tcPr>
            <w:tcW w:w="0" w:type="auto"/>
            <w:vAlign w:val="center"/>
            <w:hideMark/>
          </w:tcPr>
          <w:p w14:paraId="238D82CC" w14:textId="77777777" w:rsidR="00A7012D" w:rsidRPr="00606561" w:rsidRDefault="00A7012D" w:rsidP="00A7012D">
            <w:pPr>
              <w:rPr>
                <w:rFonts w:ascii="Arial" w:hAnsi="Arial" w:cs="Arial"/>
                <w:sz w:val="20"/>
                <w:szCs w:val="20"/>
              </w:rPr>
            </w:pPr>
            <w:r w:rsidRPr="00606561">
              <w:rPr>
                <w:rFonts w:ascii="Arial" w:hAnsi="Arial" w:cs="Arial"/>
                <w:sz w:val="20"/>
                <w:szCs w:val="20"/>
              </w:rPr>
              <w:t>Project Leads, End Users, IT, External Auditors</w:t>
            </w:r>
          </w:p>
        </w:tc>
        <w:tc>
          <w:tcPr>
            <w:tcW w:w="0" w:type="auto"/>
            <w:vAlign w:val="center"/>
            <w:hideMark/>
          </w:tcPr>
          <w:p w14:paraId="06DFA3DB" w14:textId="77777777" w:rsidR="00A7012D" w:rsidRPr="00606561" w:rsidRDefault="00A7012D" w:rsidP="00A7012D">
            <w:pPr>
              <w:rPr>
                <w:rFonts w:ascii="Arial" w:hAnsi="Arial" w:cs="Arial"/>
                <w:sz w:val="20"/>
                <w:szCs w:val="20"/>
              </w:rPr>
            </w:pPr>
            <w:r w:rsidRPr="00606561">
              <w:rPr>
                <w:rFonts w:ascii="Arial" w:hAnsi="Arial" w:cs="Arial"/>
                <w:sz w:val="20"/>
                <w:szCs w:val="20"/>
              </w:rPr>
              <w:t>Uncovered critical faults, schedule slippage, regulatory errors.</w:t>
            </w:r>
          </w:p>
        </w:tc>
        <w:tc>
          <w:tcPr>
            <w:tcW w:w="0" w:type="auto"/>
            <w:vAlign w:val="center"/>
            <w:hideMark/>
          </w:tcPr>
          <w:p w14:paraId="4C9DB092" w14:textId="77777777" w:rsidR="00A7012D" w:rsidRPr="00606561" w:rsidRDefault="00A7012D" w:rsidP="00A7012D">
            <w:pPr>
              <w:rPr>
                <w:rFonts w:ascii="Arial" w:hAnsi="Arial" w:cs="Arial"/>
                <w:sz w:val="20"/>
                <w:szCs w:val="20"/>
              </w:rPr>
            </w:pPr>
            <w:r w:rsidRPr="00606561">
              <w:rPr>
                <w:rFonts w:ascii="Arial" w:hAnsi="Arial" w:cs="Arial"/>
                <w:sz w:val="20"/>
                <w:szCs w:val="20"/>
              </w:rPr>
              <w:t>Modular parallel tests, rapid bug response, clear contingency.</w:t>
            </w:r>
          </w:p>
        </w:tc>
        <w:tc>
          <w:tcPr>
            <w:tcW w:w="0" w:type="auto"/>
            <w:vAlign w:val="center"/>
            <w:hideMark/>
          </w:tcPr>
          <w:p w14:paraId="588BAABA" w14:textId="77777777" w:rsidR="00A7012D" w:rsidRPr="00606561" w:rsidRDefault="00A7012D" w:rsidP="00A7012D">
            <w:pPr>
              <w:rPr>
                <w:rFonts w:ascii="Arial" w:hAnsi="Arial" w:cs="Arial"/>
                <w:sz w:val="20"/>
                <w:szCs w:val="20"/>
              </w:rPr>
            </w:pPr>
            <w:r w:rsidRPr="00606561">
              <w:rPr>
                <w:rFonts w:ascii="Arial" w:hAnsi="Arial" w:cs="Arial"/>
                <w:sz w:val="20"/>
                <w:szCs w:val="20"/>
              </w:rPr>
              <w:t>2 weeks</w:t>
            </w:r>
          </w:p>
        </w:tc>
      </w:tr>
      <w:tr w:rsidR="009B3CC4" w:rsidRPr="00606561" w14:paraId="3D96A396" w14:textId="77777777" w:rsidTr="00E85B12">
        <w:trPr>
          <w:tblCellSpacing w:w="15" w:type="dxa"/>
        </w:trPr>
        <w:tc>
          <w:tcPr>
            <w:tcW w:w="0" w:type="auto"/>
            <w:vAlign w:val="center"/>
            <w:hideMark/>
          </w:tcPr>
          <w:p w14:paraId="7EF800C0" w14:textId="77777777" w:rsidR="00A7012D" w:rsidRPr="00606561" w:rsidRDefault="00A7012D" w:rsidP="00A7012D">
            <w:pPr>
              <w:rPr>
                <w:rFonts w:ascii="Arial" w:hAnsi="Arial" w:cs="Arial"/>
                <w:sz w:val="20"/>
                <w:szCs w:val="20"/>
              </w:rPr>
            </w:pPr>
            <w:r w:rsidRPr="00606561">
              <w:rPr>
                <w:rFonts w:ascii="Arial" w:hAnsi="Arial" w:cs="Arial"/>
                <w:sz w:val="20"/>
                <w:szCs w:val="20"/>
              </w:rPr>
              <w:t>Go-Live &amp; Change Mgmt.</w:t>
            </w:r>
          </w:p>
        </w:tc>
        <w:tc>
          <w:tcPr>
            <w:tcW w:w="0" w:type="auto"/>
            <w:vAlign w:val="center"/>
            <w:hideMark/>
          </w:tcPr>
          <w:p w14:paraId="0B41B998" w14:textId="77777777" w:rsidR="00A7012D" w:rsidRPr="00606561" w:rsidRDefault="00A7012D" w:rsidP="00A7012D">
            <w:pPr>
              <w:rPr>
                <w:rFonts w:ascii="Arial" w:hAnsi="Arial" w:cs="Arial"/>
                <w:sz w:val="20"/>
                <w:szCs w:val="20"/>
              </w:rPr>
            </w:pPr>
            <w:r w:rsidRPr="00606561">
              <w:rPr>
                <w:rFonts w:ascii="Arial" w:hAnsi="Arial" w:cs="Arial"/>
                <w:sz w:val="20"/>
                <w:szCs w:val="20"/>
              </w:rPr>
              <w:t>Launch new system, provide rollout support, capture real-time feedback, build trust.</w:t>
            </w:r>
          </w:p>
        </w:tc>
        <w:tc>
          <w:tcPr>
            <w:tcW w:w="0" w:type="auto"/>
            <w:vAlign w:val="center"/>
            <w:hideMark/>
          </w:tcPr>
          <w:p w14:paraId="7379B430" w14:textId="77777777" w:rsidR="00A7012D" w:rsidRPr="00606561" w:rsidRDefault="00A7012D" w:rsidP="00A7012D">
            <w:pPr>
              <w:rPr>
                <w:rFonts w:ascii="Arial" w:hAnsi="Arial" w:cs="Arial"/>
                <w:sz w:val="20"/>
                <w:szCs w:val="20"/>
              </w:rPr>
            </w:pPr>
            <w:r w:rsidRPr="00606561">
              <w:rPr>
                <w:rFonts w:ascii="Arial" w:hAnsi="Arial" w:cs="Arial"/>
                <w:sz w:val="20"/>
                <w:szCs w:val="20"/>
              </w:rPr>
              <w:t>Phased launch, helpdesk, KPI monitoring, communication cascade, escalation protocols, user celebration events.</w:t>
            </w:r>
          </w:p>
        </w:tc>
        <w:tc>
          <w:tcPr>
            <w:tcW w:w="0" w:type="auto"/>
            <w:vAlign w:val="center"/>
            <w:hideMark/>
          </w:tcPr>
          <w:p w14:paraId="1F028994" w14:textId="77777777" w:rsidR="00A7012D" w:rsidRPr="00606561" w:rsidRDefault="00A7012D" w:rsidP="00A7012D">
            <w:pPr>
              <w:rPr>
                <w:rFonts w:ascii="Arial" w:hAnsi="Arial" w:cs="Arial"/>
                <w:sz w:val="20"/>
                <w:szCs w:val="20"/>
              </w:rPr>
            </w:pPr>
            <w:r w:rsidRPr="00606561">
              <w:rPr>
                <w:rFonts w:ascii="Arial" w:hAnsi="Arial" w:cs="Arial"/>
                <w:sz w:val="20"/>
                <w:szCs w:val="20"/>
              </w:rPr>
              <w:t>All Staff, Vendors, Change Mgmt. Leaders, HR</w:t>
            </w:r>
          </w:p>
        </w:tc>
        <w:tc>
          <w:tcPr>
            <w:tcW w:w="0" w:type="auto"/>
            <w:vAlign w:val="center"/>
            <w:hideMark/>
          </w:tcPr>
          <w:p w14:paraId="3F64BB39" w14:textId="5CA6A620" w:rsidR="00A7012D" w:rsidRPr="00606561" w:rsidRDefault="00A7012D" w:rsidP="00A7012D">
            <w:pPr>
              <w:rPr>
                <w:rFonts w:ascii="Arial" w:hAnsi="Arial" w:cs="Arial"/>
                <w:sz w:val="20"/>
                <w:szCs w:val="20"/>
              </w:rPr>
            </w:pPr>
            <w:r w:rsidRPr="00606561">
              <w:rPr>
                <w:rFonts w:ascii="Arial" w:hAnsi="Arial" w:cs="Arial"/>
                <w:sz w:val="20"/>
                <w:szCs w:val="20"/>
              </w:rPr>
              <w:t xml:space="preserve">Downtime, user complaints, </w:t>
            </w:r>
            <w:r w:rsidR="00E85B12" w:rsidRPr="00606561">
              <w:rPr>
                <w:rFonts w:ascii="Arial" w:hAnsi="Arial" w:cs="Arial"/>
                <w:sz w:val="20"/>
                <w:szCs w:val="20"/>
              </w:rPr>
              <w:t>fatigue change</w:t>
            </w:r>
            <w:r w:rsidRPr="00606561">
              <w:rPr>
                <w:rFonts w:ascii="Arial" w:hAnsi="Arial" w:cs="Arial"/>
                <w:sz w:val="20"/>
                <w:szCs w:val="20"/>
              </w:rPr>
              <w:t>, loss of productivity.</w:t>
            </w:r>
          </w:p>
        </w:tc>
        <w:tc>
          <w:tcPr>
            <w:tcW w:w="0" w:type="auto"/>
            <w:vAlign w:val="center"/>
            <w:hideMark/>
          </w:tcPr>
          <w:p w14:paraId="166F45FD" w14:textId="25D8FA34" w:rsidR="00A7012D" w:rsidRPr="00606561" w:rsidRDefault="00A7012D" w:rsidP="00A7012D">
            <w:pPr>
              <w:rPr>
                <w:rFonts w:ascii="Arial" w:hAnsi="Arial" w:cs="Arial"/>
                <w:sz w:val="20"/>
                <w:szCs w:val="20"/>
              </w:rPr>
            </w:pPr>
            <w:r w:rsidRPr="00606561">
              <w:rPr>
                <w:rFonts w:ascii="Arial" w:hAnsi="Arial" w:cs="Arial"/>
                <w:sz w:val="20"/>
                <w:szCs w:val="20"/>
              </w:rPr>
              <w:t xml:space="preserve">Real-time monitoring, rapid troubleshooting, flexible phasing, </w:t>
            </w:r>
            <w:r w:rsidR="00E85B12" w:rsidRPr="00606561">
              <w:rPr>
                <w:rFonts w:ascii="Arial" w:hAnsi="Arial" w:cs="Arial"/>
                <w:sz w:val="20"/>
                <w:szCs w:val="20"/>
              </w:rPr>
              <w:t>well-being</w:t>
            </w:r>
            <w:r w:rsidRPr="00606561">
              <w:rPr>
                <w:rFonts w:ascii="Arial" w:hAnsi="Arial" w:cs="Arial"/>
                <w:sz w:val="20"/>
                <w:szCs w:val="20"/>
              </w:rPr>
              <w:t xml:space="preserve"> support.</w:t>
            </w:r>
          </w:p>
        </w:tc>
        <w:tc>
          <w:tcPr>
            <w:tcW w:w="0" w:type="auto"/>
            <w:vAlign w:val="center"/>
            <w:hideMark/>
          </w:tcPr>
          <w:p w14:paraId="45DCAAF0" w14:textId="77777777" w:rsidR="00A7012D" w:rsidRPr="00606561" w:rsidRDefault="00A7012D" w:rsidP="00A7012D">
            <w:pPr>
              <w:rPr>
                <w:rFonts w:ascii="Arial" w:hAnsi="Arial" w:cs="Arial"/>
                <w:sz w:val="20"/>
                <w:szCs w:val="20"/>
              </w:rPr>
            </w:pPr>
            <w:r w:rsidRPr="00606561">
              <w:rPr>
                <w:rFonts w:ascii="Arial" w:hAnsi="Arial" w:cs="Arial"/>
                <w:sz w:val="20"/>
                <w:szCs w:val="20"/>
              </w:rPr>
              <w:t>2 weeks</w:t>
            </w:r>
          </w:p>
        </w:tc>
      </w:tr>
      <w:tr w:rsidR="009B3CC4" w:rsidRPr="00606561" w14:paraId="346C8526" w14:textId="77777777" w:rsidTr="00E85B12">
        <w:trPr>
          <w:tblCellSpacing w:w="15" w:type="dxa"/>
        </w:trPr>
        <w:tc>
          <w:tcPr>
            <w:tcW w:w="0" w:type="auto"/>
            <w:vAlign w:val="center"/>
            <w:hideMark/>
          </w:tcPr>
          <w:p w14:paraId="570E88A2" w14:textId="77777777" w:rsidR="00A7012D" w:rsidRPr="00606561" w:rsidRDefault="00A7012D" w:rsidP="00A7012D">
            <w:pPr>
              <w:rPr>
                <w:rFonts w:ascii="Arial" w:hAnsi="Arial" w:cs="Arial"/>
                <w:sz w:val="20"/>
                <w:szCs w:val="20"/>
              </w:rPr>
            </w:pPr>
            <w:r w:rsidRPr="00606561">
              <w:rPr>
                <w:rFonts w:ascii="Arial" w:hAnsi="Arial" w:cs="Arial"/>
                <w:sz w:val="20"/>
                <w:szCs w:val="20"/>
              </w:rPr>
              <w:lastRenderedPageBreak/>
              <w:t>Continuous Monitoring</w:t>
            </w:r>
          </w:p>
        </w:tc>
        <w:tc>
          <w:tcPr>
            <w:tcW w:w="0" w:type="auto"/>
            <w:vAlign w:val="center"/>
            <w:hideMark/>
          </w:tcPr>
          <w:p w14:paraId="639C9234" w14:textId="77777777" w:rsidR="00A7012D" w:rsidRPr="00606561" w:rsidRDefault="00A7012D" w:rsidP="00A7012D">
            <w:pPr>
              <w:rPr>
                <w:rFonts w:ascii="Arial" w:hAnsi="Arial" w:cs="Arial"/>
                <w:sz w:val="20"/>
                <w:szCs w:val="20"/>
              </w:rPr>
            </w:pPr>
            <w:r w:rsidRPr="00606561">
              <w:rPr>
                <w:rFonts w:ascii="Arial" w:hAnsi="Arial" w:cs="Arial"/>
                <w:sz w:val="20"/>
                <w:szCs w:val="20"/>
              </w:rPr>
              <w:t>Embed ongoing performance review, compliance checks, and system evolution post-launch.</w:t>
            </w:r>
          </w:p>
        </w:tc>
        <w:tc>
          <w:tcPr>
            <w:tcW w:w="0" w:type="auto"/>
            <w:vAlign w:val="center"/>
            <w:hideMark/>
          </w:tcPr>
          <w:p w14:paraId="08A1CF8D" w14:textId="77777777" w:rsidR="00A7012D" w:rsidRPr="00606561" w:rsidRDefault="00A7012D" w:rsidP="00A7012D">
            <w:pPr>
              <w:rPr>
                <w:rFonts w:ascii="Arial" w:hAnsi="Arial" w:cs="Arial"/>
                <w:sz w:val="20"/>
                <w:szCs w:val="20"/>
              </w:rPr>
            </w:pPr>
            <w:r w:rsidRPr="00606561">
              <w:rPr>
                <w:rFonts w:ascii="Arial" w:hAnsi="Arial" w:cs="Arial"/>
                <w:sz w:val="20"/>
                <w:szCs w:val="20"/>
              </w:rPr>
              <w:t>Scheduled audits, analytics review, refresher training, legal updates, stakeholder interviews, market reviewing.</w:t>
            </w:r>
          </w:p>
        </w:tc>
        <w:tc>
          <w:tcPr>
            <w:tcW w:w="0" w:type="auto"/>
            <w:vAlign w:val="center"/>
            <w:hideMark/>
          </w:tcPr>
          <w:p w14:paraId="42A414F6" w14:textId="77777777" w:rsidR="00A7012D" w:rsidRPr="00606561" w:rsidRDefault="00A7012D" w:rsidP="00A7012D">
            <w:pPr>
              <w:rPr>
                <w:rFonts w:ascii="Arial" w:hAnsi="Arial" w:cs="Arial"/>
                <w:sz w:val="20"/>
                <w:szCs w:val="20"/>
              </w:rPr>
            </w:pPr>
            <w:r w:rsidRPr="00606561">
              <w:rPr>
                <w:rFonts w:ascii="Arial" w:hAnsi="Arial" w:cs="Arial"/>
                <w:sz w:val="20"/>
                <w:szCs w:val="20"/>
              </w:rPr>
              <w:t>IT, Business Leadership, Compliance, HR, End Users</w:t>
            </w:r>
          </w:p>
        </w:tc>
        <w:tc>
          <w:tcPr>
            <w:tcW w:w="0" w:type="auto"/>
            <w:vAlign w:val="center"/>
            <w:hideMark/>
          </w:tcPr>
          <w:p w14:paraId="2BC4F8CF" w14:textId="77777777" w:rsidR="00A7012D" w:rsidRPr="00606561" w:rsidRDefault="00A7012D" w:rsidP="00A7012D">
            <w:pPr>
              <w:rPr>
                <w:rFonts w:ascii="Arial" w:hAnsi="Arial" w:cs="Arial"/>
                <w:sz w:val="20"/>
                <w:szCs w:val="20"/>
              </w:rPr>
            </w:pPr>
            <w:r w:rsidRPr="00606561">
              <w:rPr>
                <w:rFonts w:ascii="Arial" w:hAnsi="Arial" w:cs="Arial"/>
                <w:sz w:val="20"/>
                <w:szCs w:val="20"/>
              </w:rPr>
              <w:t>Complacency, regulatory shifts, evolving user needs, system drift.</w:t>
            </w:r>
          </w:p>
        </w:tc>
        <w:tc>
          <w:tcPr>
            <w:tcW w:w="0" w:type="auto"/>
            <w:vAlign w:val="center"/>
            <w:hideMark/>
          </w:tcPr>
          <w:p w14:paraId="3E89F611" w14:textId="77777777" w:rsidR="00A7012D" w:rsidRPr="00606561" w:rsidRDefault="00A7012D" w:rsidP="00A7012D">
            <w:pPr>
              <w:rPr>
                <w:rFonts w:ascii="Arial" w:hAnsi="Arial" w:cs="Arial"/>
                <w:sz w:val="20"/>
                <w:szCs w:val="20"/>
              </w:rPr>
            </w:pPr>
            <w:r w:rsidRPr="00606561">
              <w:rPr>
                <w:rFonts w:ascii="Arial" w:hAnsi="Arial" w:cs="Arial"/>
                <w:sz w:val="20"/>
                <w:szCs w:val="20"/>
              </w:rPr>
              <w:t>Institutionalize review culture, update processes, feedback loops, external audits.</w:t>
            </w:r>
          </w:p>
        </w:tc>
        <w:tc>
          <w:tcPr>
            <w:tcW w:w="0" w:type="auto"/>
            <w:vAlign w:val="center"/>
            <w:hideMark/>
          </w:tcPr>
          <w:p w14:paraId="4DB1ADFC" w14:textId="77777777" w:rsidR="00A7012D" w:rsidRPr="00606561" w:rsidRDefault="00A7012D" w:rsidP="00A7012D">
            <w:pPr>
              <w:rPr>
                <w:rFonts w:ascii="Arial" w:hAnsi="Arial" w:cs="Arial"/>
                <w:sz w:val="20"/>
                <w:szCs w:val="20"/>
              </w:rPr>
            </w:pPr>
            <w:r w:rsidRPr="00606561">
              <w:rPr>
                <w:rFonts w:ascii="Arial" w:hAnsi="Arial" w:cs="Arial"/>
                <w:sz w:val="20"/>
                <w:szCs w:val="20"/>
              </w:rPr>
              <w:t>Ongoing</w:t>
            </w:r>
          </w:p>
        </w:tc>
      </w:tr>
    </w:tbl>
    <w:p w14:paraId="4299A8B7" w14:textId="77777777" w:rsidR="00777B29" w:rsidRPr="00606561" w:rsidRDefault="00777B29" w:rsidP="009B3CC4">
      <w:pPr>
        <w:pStyle w:val="Heading1"/>
        <w:spacing w:line="360" w:lineRule="auto"/>
        <w:rPr>
          <w:rFonts w:ascii="Arial" w:hAnsi="Arial" w:cs="Arial"/>
          <w:b/>
          <w:bCs/>
          <w:color w:val="auto"/>
          <w:sz w:val="24"/>
          <w:szCs w:val="24"/>
        </w:rPr>
      </w:pPr>
    </w:p>
    <w:p w14:paraId="423CCC29" w14:textId="4BDB996C" w:rsidR="00A7012D" w:rsidRPr="00606561" w:rsidRDefault="00A7012D" w:rsidP="009B3CC4">
      <w:pPr>
        <w:pStyle w:val="Heading1"/>
        <w:spacing w:line="360" w:lineRule="auto"/>
        <w:rPr>
          <w:rFonts w:ascii="Arial" w:hAnsi="Arial" w:cs="Arial"/>
          <w:b/>
          <w:bCs/>
          <w:color w:val="auto"/>
          <w:sz w:val="24"/>
          <w:szCs w:val="24"/>
        </w:rPr>
      </w:pPr>
      <w:bookmarkStart w:id="8" w:name="_Toc214116667"/>
      <w:r w:rsidRPr="00606561">
        <w:rPr>
          <w:rFonts w:ascii="Arial" w:hAnsi="Arial" w:cs="Arial"/>
          <w:b/>
          <w:bCs/>
          <w:color w:val="auto"/>
          <w:sz w:val="24"/>
          <w:szCs w:val="24"/>
        </w:rPr>
        <w:t>7. Conclusion</w:t>
      </w:r>
      <w:bookmarkEnd w:id="8"/>
    </w:p>
    <w:p w14:paraId="31711411" w14:textId="5268E2BE" w:rsidR="00A7012D" w:rsidRPr="00606561" w:rsidRDefault="00A7012D" w:rsidP="009B3CC4">
      <w:pPr>
        <w:spacing w:line="360" w:lineRule="auto"/>
        <w:jc w:val="both"/>
        <w:rPr>
          <w:rFonts w:ascii="Arial" w:hAnsi="Arial" w:cs="Arial"/>
        </w:rPr>
      </w:pPr>
      <w:r w:rsidRPr="00606561">
        <w:rPr>
          <w:rFonts w:ascii="Arial" w:hAnsi="Arial" w:cs="Arial"/>
        </w:rPr>
        <w:t xml:space="preserve">AKPerog Ltd. stands at a strategic juncture. Legacy information systems, while once sufficient, now present risks and costs that undermine </w:t>
      </w:r>
      <w:r w:rsidR="009D3468" w:rsidRPr="00606561">
        <w:rPr>
          <w:rFonts w:ascii="Arial" w:hAnsi="Arial" w:cs="Arial"/>
        </w:rPr>
        <w:t>their</w:t>
      </w:r>
      <w:r w:rsidRPr="00606561">
        <w:rPr>
          <w:rFonts w:ascii="Arial" w:hAnsi="Arial" w:cs="Arial"/>
        </w:rPr>
        <w:t xml:space="preserve"> growth potential. By pursuing an integrated, modern ERP-CRM architecture</w:t>
      </w:r>
      <w:r w:rsidR="009D3468" w:rsidRPr="00606561">
        <w:rPr>
          <w:rFonts w:ascii="Arial" w:hAnsi="Arial" w:cs="Arial"/>
        </w:rPr>
        <w:t xml:space="preserve"> </w:t>
      </w:r>
      <w:r w:rsidRPr="00606561">
        <w:rPr>
          <w:rFonts w:ascii="Arial" w:hAnsi="Arial" w:cs="Arial"/>
        </w:rPr>
        <w:t xml:space="preserve">implemented with evidence-based change </w:t>
      </w:r>
      <w:r w:rsidR="009D3468" w:rsidRPr="00606561">
        <w:rPr>
          <w:rFonts w:ascii="Arial" w:hAnsi="Arial" w:cs="Arial"/>
        </w:rPr>
        <w:t xml:space="preserve">management, </w:t>
      </w:r>
      <w:r w:rsidRPr="00606561">
        <w:rPr>
          <w:rFonts w:ascii="Arial" w:hAnsi="Arial" w:cs="Arial"/>
        </w:rPr>
        <w:t>the company will not only resolve current inefficiencies but gain a foundation for innovation, compliance, and sustained market advantage. Industry cases and academic research both affirm that early investment in such solutions multiplies long-term returns, supports agility in dynamic environments, attracts and retains customers, and ultimately secures commercial success for years to come.</w:t>
      </w:r>
    </w:p>
    <w:p w14:paraId="5A1B9B7A" w14:textId="26F02065" w:rsidR="00A7012D" w:rsidRPr="00606561" w:rsidRDefault="00A7012D" w:rsidP="00A7012D">
      <w:pPr>
        <w:rPr>
          <w:rFonts w:ascii="Arial" w:hAnsi="Arial" w:cs="Arial"/>
        </w:rPr>
      </w:pPr>
    </w:p>
    <w:p w14:paraId="7D25B317" w14:textId="77777777" w:rsidR="004C794F" w:rsidRPr="00606561" w:rsidRDefault="004C794F">
      <w:pPr>
        <w:rPr>
          <w:rFonts w:ascii="Arial" w:eastAsiaTheme="majorEastAsia" w:hAnsi="Arial" w:cs="Arial"/>
        </w:rPr>
      </w:pPr>
      <w:r w:rsidRPr="00606561">
        <w:rPr>
          <w:rFonts w:ascii="Arial" w:hAnsi="Arial" w:cs="Arial"/>
        </w:rPr>
        <w:br w:type="page"/>
      </w:r>
    </w:p>
    <w:p w14:paraId="70288636" w14:textId="3496180E" w:rsidR="00A7012D" w:rsidRPr="00606561" w:rsidRDefault="00A7012D" w:rsidP="004C794F">
      <w:pPr>
        <w:pStyle w:val="Heading1"/>
        <w:rPr>
          <w:rFonts w:ascii="Arial" w:hAnsi="Arial" w:cs="Arial"/>
          <w:b/>
          <w:bCs/>
          <w:color w:val="auto"/>
          <w:sz w:val="24"/>
          <w:szCs w:val="24"/>
        </w:rPr>
      </w:pPr>
      <w:bookmarkStart w:id="9" w:name="_Toc214116668"/>
      <w:r w:rsidRPr="00606561">
        <w:rPr>
          <w:rFonts w:ascii="Arial" w:hAnsi="Arial" w:cs="Arial"/>
          <w:b/>
          <w:bCs/>
          <w:color w:val="auto"/>
          <w:sz w:val="24"/>
          <w:szCs w:val="24"/>
        </w:rPr>
        <w:lastRenderedPageBreak/>
        <w:t>References</w:t>
      </w:r>
      <w:bookmarkEnd w:id="9"/>
    </w:p>
    <w:p w14:paraId="5DB1BF39" w14:textId="77777777" w:rsidR="00A7012D" w:rsidRPr="00606561" w:rsidRDefault="00A7012D" w:rsidP="00A7012D">
      <w:pPr>
        <w:rPr>
          <w:rFonts w:ascii="Arial" w:hAnsi="Arial" w:cs="Arial"/>
        </w:rPr>
      </w:pPr>
      <w:r w:rsidRPr="00606561">
        <w:rPr>
          <w:rFonts w:ascii="Arial" w:hAnsi="Arial" w:cs="Arial"/>
        </w:rPr>
        <w:t xml:space="preserve">Bordonaba-Juste, V., Lucia-Palacios, L., Polo-Redondo, Y. and Grunhagen, M. (2014) ‘Customer Relationship Management in the E-Retailing Environment’, </w:t>
      </w:r>
      <w:r w:rsidRPr="00606561">
        <w:rPr>
          <w:rFonts w:ascii="Arial" w:hAnsi="Arial" w:cs="Arial"/>
          <w:i/>
          <w:iCs/>
        </w:rPr>
        <w:t>Journal of Information Technology</w:t>
      </w:r>
      <w:r w:rsidRPr="00606561">
        <w:rPr>
          <w:rFonts w:ascii="Arial" w:hAnsi="Arial" w:cs="Arial"/>
        </w:rPr>
        <w:t>, 29(2), pp. 187–204.</w:t>
      </w:r>
    </w:p>
    <w:p w14:paraId="0701E66C" w14:textId="77777777" w:rsidR="00A7012D" w:rsidRPr="00606561" w:rsidRDefault="00A7012D" w:rsidP="00A7012D">
      <w:pPr>
        <w:rPr>
          <w:rFonts w:ascii="Arial" w:hAnsi="Arial" w:cs="Arial"/>
        </w:rPr>
      </w:pPr>
      <w:r w:rsidRPr="00606561">
        <w:rPr>
          <w:rFonts w:ascii="Arial" w:hAnsi="Arial" w:cs="Arial"/>
        </w:rPr>
        <w:t>BigID (2025) ‘Key Consumer Data Privacy Laws Retailers Should Know’, BigID Blog.</w:t>
      </w:r>
    </w:p>
    <w:p w14:paraId="6EF1623F" w14:textId="77777777" w:rsidR="00A7012D" w:rsidRPr="00606561" w:rsidRDefault="00A7012D" w:rsidP="00A7012D">
      <w:pPr>
        <w:rPr>
          <w:rFonts w:ascii="Arial" w:hAnsi="Arial" w:cs="Arial"/>
        </w:rPr>
      </w:pPr>
      <w:r w:rsidRPr="00606561">
        <w:rPr>
          <w:rFonts w:ascii="Arial" w:hAnsi="Arial" w:cs="Arial"/>
        </w:rPr>
        <w:t xml:space="preserve">Cisco ERP Case, HBS.edu (1998) ‘Cisco Systems, Inc.: Implementing ERP’, </w:t>
      </w:r>
      <w:r w:rsidRPr="00606561">
        <w:rPr>
          <w:rFonts w:ascii="Arial" w:hAnsi="Arial" w:cs="Arial"/>
          <w:i/>
          <w:iCs/>
        </w:rPr>
        <w:t>Harvard Business School Case</w:t>
      </w:r>
      <w:r w:rsidRPr="00606561">
        <w:rPr>
          <w:rFonts w:ascii="Arial" w:hAnsi="Arial" w:cs="Arial"/>
        </w:rPr>
        <w:t xml:space="preserve"> 699-022.</w:t>
      </w:r>
    </w:p>
    <w:p w14:paraId="3D5300C0" w14:textId="77777777" w:rsidR="00A7012D" w:rsidRPr="00606561" w:rsidRDefault="00A7012D" w:rsidP="00A7012D">
      <w:pPr>
        <w:rPr>
          <w:rFonts w:ascii="Arial" w:hAnsi="Arial" w:cs="Arial"/>
        </w:rPr>
      </w:pPr>
      <w:r w:rsidRPr="00606561">
        <w:rPr>
          <w:rFonts w:ascii="Arial" w:hAnsi="Arial" w:cs="Arial"/>
        </w:rPr>
        <w:t>ERPFoucs.com (2025) ‘3 Successful ERP implementation case studies to learn from’, ERPFoucs.</w:t>
      </w:r>
    </w:p>
    <w:p w14:paraId="345094F3" w14:textId="77777777" w:rsidR="00A7012D" w:rsidRPr="00606561" w:rsidRDefault="00A7012D" w:rsidP="00A7012D">
      <w:pPr>
        <w:rPr>
          <w:rFonts w:ascii="Arial" w:hAnsi="Arial" w:cs="Arial"/>
        </w:rPr>
      </w:pPr>
      <w:r w:rsidRPr="00606561">
        <w:rPr>
          <w:rFonts w:ascii="Arial" w:hAnsi="Arial" w:cs="Arial"/>
        </w:rPr>
        <w:t>Fortis-DPC (2025) ‘GDPR Compliance: A Critical Checklist for Businesses in Retail’, Fortis Digital Privacy Consultants.</w:t>
      </w:r>
    </w:p>
    <w:p w14:paraId="126F07E5" w14:textId="77777777" w:rsidR="00A7012D" w:rsidRPr="00606561" w:rsidRDefault="00A7012D" w:rsidP="00A7012D">
      <w:pPr>
        <w:rPr>
          <w:rFonts w:ascii="Arial" w:hAnsi="Arial" w:cs="Arial"/>
        </w:rPr>
      </w:pPr>
      <w:r w:rsidRPr="00606561">
        <w:rPr>
          <w:rFonts w:ascii="Arial" w:hAnsi="Arial" w:cs="Arial"/>
        </w:rPr>
        <w:t>GSConlinepress.com (2024) ‘Real-time data analytics in retail: A review of USA and global practices’, GSConlinepress.</w:t>
      </w:r>
    </w:p>
    <w:p w14:paraId="488E98F5" w14:textId="77777777" w:rsidR="00A7012D" w:rsidRPr="00606561" w:rsidRDefault="00A7012D" w:rsidP="00A7012D">
      <w:pPr>
        <w:rPr>
          <w:rFonts w:ascii="Arial" w:hAnsi="Arial" w:cs="Arial"/>
        </w:rPr>
      </w:pPr>
      <w:r w:rsidRPr="00606561">
        <w:rPr>
          <w:rFonts w:ascii="Arial" w:hAnsi="Arial" w:cs="Arial"/>
        </w:rPr>
        <w:t xml:space="preserve">Harvard SEAS (2025) ‘Staff Development and Training’, </w:t>
      </w:r>
      <w:r w:rsidRPr="00606561">
        <w:rPr>
          <w:rFonts w:ascii="Arial" w:hAnsi="Arial" w:cs="Arial"/>
          <w:i/>
          <w:iCs/>
        </w:rPr>
        <w:t>Harvard School of Engineering and Applied Sciences</w:t>
      </w:r>
      <w:r w:rsidRPr="00606561">
        <w:rPr>
          <w:rFonts w:ascii="Arial" w:hAnsi="Arial" w:cs="Arial"/>
        </w:rPr>
        <w:t>.</w:t>
      </w:r>
    </w:p>
    <w:p w14:paraId="218ED4C2" w14:textId="77777777" w:rsidR="00A7012D" w:rsidRPr="00606561" w:rsidRDefault="00A7012D" w:rsidP="00A7012D">
      <w:pPr>
        <w:rPr>
          <w:rFonts w:ascii="Arial" w:hAnsi="Arial" w:cs="Arial"/>
        </w:rPr>
      </w:pPr>
      <w:r w:rsidRPr="00606561">
        <w:rPr>
          <w:rFonts w:ascii="Arial" w:hAnsi="Arial" w:cs="Arial"/>
        </w:rPr>
        <w:t>Ivend (2025) ‘Top 10 Benefits of Integrated Retail Management Systems’, iVend Retail.</w:t>
      </w:r>
    </w:p>
    <w:p w14:paraId="7F84E393" w14:textId="77777777" w:rsidR="00A7012D" w:rsidRPr="00606561" w:rsidRDefault="00A7012D" w:rsidP="00A7012D">
      <w:pPr>
        <w:rPr>
          <w:rFonts w:ascii="Arial" w:hAnsi="Arial" w:cs="Arial"/>
        </w:rPr>
      </w:pPr>
      <w:r w:rsidRPr="00606561">
        <w:rPr>
          <w:rFonts w:ascii="Arial" w:hAnsi="Arial" w:cs="Arial"/>
        </w:rPr>
        <w:t xml:space="preserve">Jolt.Law.Harvard.edu (2018) ‘Innovating in Uncertainty: Effective Compliance and the GDPR’, </w:t>
      </w:r>
      <w:r w:rsidRPr="00606561">
        <w:rPr>
          <w:rFonts w:ascii="Arial" w:hAnsi="Arial" w:cs="Arial"/>
          <w:i/>
          <w:iCs/>
        </w:rPr>
        <w:t>Harvard Journal of Law &amp; Technology</w:t>
      </w:r>
      <w:r w:rsidRPr="00606561">
        <w:rPr>
          <w:rFonts w:ascii="Arial" w:hAnsi="Arial" w:cs="Arial"/>
        </w:rPr>
        <w:t>, 32(10).</w:t>
      </w:r>
    </w:p>
    <w:p w14:paraId="281B7B16" w14:textId="77777777" w:rsidR="00A7012D" w:rsidRPr="00606561" w:rsidRDefault="00A7012D" w:rsidP="00A7012D">
      <w:pPr>
        <w:rPr>
          <w:rFonts w:ascii="Arial" w:hAnsi="Arial" w:cs="Arial"/>
        </w:rPr>
      </w:pPr>
      <w:r w:rsidRPr="00606561">
        <w:rPr>
          <w:rFonts w:ascii="Arial" w:hAnsi="Arial" w:cs="Arial"/>
        </w:rPr>
        <w:t xml:space="preserve">Leadsquared (2025) ‘25 Examples </w:t>
      </w:r>
      <w:proofErr w:type="gramStart"/>
      <w:r w:rsidRPr="00606561">
        <w:rPr>
          <w:rFonts w:ascii="Arial" w:hAnsi="Arial" w:cs="Arial"/>
        </w:rPr>
        <w:t>Of</w:t>
      </w:r>
      <w:proofErr w:type="gramEnd"/>
      <w:r w:rsidRPr="00606561">
        <w:rPr>
          <w:rFonts w:ascii="Arial" w:hAnsi="Arial" w:cs="Arial"/>
        </w:rPr>
        <w:t xml:space="preserve"> Customer Retention Strategies Using A CRM’, Leadsquared.com.</w:t>
      </w:r>
    </w:p>
    <w:p w14:paraId="414DB80F" w14:textId="77777777" w:rsidR="00A7012D" w:rsidRPr="00606561" w:rsidRDefault="00A7012D" w:rsidP="00A7012D">
      <w:pPr>
        <w:rPr>
          <w:rFonts w:ascii="Arial" w:hAnsi="Arial" w:cs="Arial"/>
        </w:rPr>
      </w:pPr>
      <w:r w:rsidRPr="00606561">
        <w:rPr>
          <w:rFonts w:ascii="Arial" w:hAnsi="Arial" w:cs="Arial"/>
        </w:rPr>
        <w:t>Linnworks (2025) ‘Top Inventory Management Challenges + How to Solve Them’, Linnworks.</w:t>
      </w:r>
    </w:p>
    <w:p w14:paraId="5D9AF2B6" w14:textId="77777777" w:rsidR="00A7012D" w:rsidRPr="00606561" w:rsidRDefault="00A7012D" w:rsidP="00A7012D">
      <w:pPr>
        <w:rPr>
          <w:rFonts w:ascii="Arial" w:hAnsi="Arial" w:cs="Arial"/>
        </w:rPr>
      </w:pPr>
      <w:r w:rsidRPr="00606561">
        <w:rPr>
          <w:rFonts w:ascii="Arial" w:hAnsi="Arial" w:cs="Arial"/>
        </w:rPr>
        <w:t xml:space="preserve">NBER (2024) ‘Data, Privacy Laws and Firm Production: Evidence from the GDPR’, </w:t>
      </w:r>
      <w:r w:rsidRPr="00606561">
        <w:rPr>
          <w:rFonts w:ascii="Arial" w:hAnsi="Arial" w:cs="Arial"/>
          <w:i/>
          <w:iCs/>
        </w:rPr>
        <w:t>National Bureau of Economic Research</w:t>
      </w:r>
      <w:r w:rsidRPr="00606561">
        <w:rPr>
          <w:rFonts w:ascii="Arial" w:hAnsi="Arial" w:cs="Arial"/>
        </w:rPr>
        <w:t>.</w:t>
      </w:r>
    </w:p>
    <w:p w14:paraId="1C5E131A" w14:textId="77777777" w:rsidR="00A7012D" w:rsidRPr="00606561" w:rsidRDefault="00A7012D" w:rsidP="00A7012D">
      <w:pPr>
        <w:rPr>
          <w:rFonts w:ascii="Arial" w:hAnsi="Arial" w:cs="Arial"/>
        </w:rPr>
      </w:pPr>
      <w:r w:rsidRPr="00606561">
        <w:rPr>
          <w:rFonts w:ascii="Arial" w:hAnsi="Arial" w:cs="Arial"/>
        </w:rPr>
        <w:t>Netsuite.com (2025) ‘3 Successful ERP Implementation Case Studies’, Oracle NetSuite.</w:t>
      </w:r>
    </w:p>
    <w:p w14:paraId="600F7DE5" w14:textId="77777777" w:rsidR="00A7012D" w:rsidRPr="00606561" w:rsidRDefault="00A7012D" w:rsidP="00A7012D">
      <w:pPr>
        <w:rPr>
          <w:rFonts w:ascii="Arial" w:hAnsi="Arial" w:cs="Arial"/>
        </w:rPr>
      </w:pPr>
      <w:r w:rsidRPr="00606561">
        <w:rPr>
          <w:rFonts w:ascii="Arial" w:hAnsi="Arial" w:cs="Arial"/>
        </w:rPr>
        <w:t>RCS UK (2024) ‘Retail System Integration: Connecting Your POS with Accounting Platforms’, RCS UK.</w:t>
      </w:r>
    </w:p>
    <w:p w14:paraId="4D5DB5E6" w14:textId="77777777" w:rsidR="00A7012D" w:rsidRPr="00606561" w:rsidRDefault="00A7012D" w:rsidP="00A7012D">
      <w:pPr>
        <w:rPr>
          <w:rFonts w:ascii="Arial" w:hAnsi="Arial" w:cs="Arial"/>
        </w:rPr>
      </w:pPr>
      <w:r w:rsidRPr="00606561">
        <w:rPr>
          <w:rFonts w:ascii="Arial" w:hAnsi="Arial" w:cs="Arial"/>
        </w:rPr>
        <w:t>Salesforce (2024) ‘5 CRM Examples That Will Inspire Any Team’, Salesforce.com.</w:t>
      </w:r>
    </w:p>
    <w:p w14:paraId="1F180E20" w14:textId="77777777" w:rsidR="00A7012D" w:rsidRPr="00606561" w:rsidRDefault="00A7012D" w:rsidP="00A7012D">
      <w:pPr>
        <w:rPr>
          <w:rFonts w:ascii="Arial" w:hAnsi="Arial" w:cs="Arial"/>
        </w:rPr>
      </w:pPr>
      <w:r w:rsidRPr="00606561">
        <w:rPr>
          <w:rFonts w:ascii="Arial" w:hAnsi="Arial" w:cs="Arial"/>
        </w:rPr>
        <w:t>SalesPlay (2023) ‘Benefits of Real-Time Reporting in Multi-Store POS’, SalesPlay.</w:t>
      </w:r>
    </w:p>
    <w:p w14:paraId="78E2A5BB" w14:textId="77777777" w:rsidR="00A7012D" w:rsidRPr="00606561" w:rsidRDefault="00A7012D" w:rsidP="00A7012D">
      <w:pPr>
        <w:rPr>
          <w:rFonts w:ascii="Arial" w:hAnsi="Arial" w:cs="Arial"/>
        </w:rPr>
      </w:pPr>
      <w:r w:rsidRPr="00606561">
        <w:rPr>
          <w:rFonts w:ascii="Arial" w:hAnsi="Arial" w:cs="Arial"/>
        </w:rPr>
        <w:t>Shopify (2025) ‘Customer Relationship Management in Retailing (Guide &amp; Examples)’, Shopify.com.</w:t>
      </w:r>
    </w:p>
    <w:p w14:paraId="29FCFB69" w14:textId="77777777" w:rsidR="00A7012D" w:rsidRPr="00606561" w:rsidRDefault="00A7012D" w:rsidP="00A7012D">
      <w:pPr>
        <w:rPr>
          <w:rFonts w:ascii="Arial" w:hAnsi="Arial" w:cs="Arial"/>
        </w:rPr>
      </w:pPr>
      <w:r w:rsidRPr="00606561">
        <w:rPr>
          <w:rFonts w:ascii="Arial" w:hAnsi="Arial" w:cs="Arial"/>
        </w:rPr>
        <w:lastRenderedPageBreak/>
        <w:t>SuperOffice (2025) ‘5 CRM Best Practices That Improve Customer Relationships’, SuperOffice.</w:t>
      </w:r>
    </w:p>
    <w:p w14:paraId="6945A403" w14:textId="77777777" w:rsidR="00A7012D" w:rsidRPr="00606561" w:rsidRDefault="00A7012D" w:rsidP="00A7012D">
      <w:pPr>
        <w:rPr>
          <w:rFonts w:ascii="Arial" w:hAnsi="Arial" w:cs="Arial"/>
        </w:rPr>
      </w:pPr>
      <w:r w:rsidRPr="00606561">
        <w:rPr>
          <w:rFonts w:ascii="Arial" w:hAnsi="Arial" w:cs="Arial"/>
        </w:rPr>
        <w:t>Trepo.tuni.fi (2014) ‘Improving master data quality in data migration of ERP implementation’, Trepo.</w:t>
      </w:r>
    </w:p>
    <w:p w14:paraId="2FB20220" w14:textId="77777777" w:rsidR="00A7012D" w:rsidRPr="00606561" w:rsidRDefault="00A7012D" w:rsidP="00A7012D">
      <w:pPr>
        <w:rPr>
          <w:rFonts w:ascii="Arial" w:hAnsi="Arial" w:cs="Arial"/>
        </w:rPr>
      </w:pPr>
      <w:r w:rsidRPr="00606561">
        <w:rPr>
          <w:rFonts w:ascii="Arial" w:hAnsi="Arial" w:cs="Arial"/>
        </w:rPr>
        <w:t>Vorecol.com (2024) ‘Impact of Real-Time Data Analytics on Performance’, Vorecol.com.</w:t>
      </w:r>
    </w:p>
    <w:p w14:paraId="5B0842D7" w14:textId="77777777" w:rsidR="00A7012D" w:rsidRPr="00606561" w:rsidRDefault="00A7012D" w:rsidP="00A7012D">
      <w:pPr>
        <w:rPr>
          <w:rFonts w:ascii="Arial" w:hAnsi="Arial" w:cs="Arial"/>
        </w:rPr>
      </w:pPr>
      <w:r w:rsidRPr="00606561">
        <w:rPr>
          <w:rFonts w:ascii="Arial" w:hAnsi="Arial" w:cs="Arial"/>
        </w:rPr>
        <w:t xml:space="preserve">WJARR (2024) ‘Evaluating the role of ERP systems in streamlining order management’, </w:t>
      </w:r>
      <w:r w:rsidRPr="00606561">
        <w:rPr>
          <w:rFonts w:ascii="Arial" w:hAnsi="Arial" w:cs="Arial"/>
          <w:i/>
          <w:iCs/>
        </w:rPr>
        <w:t>World Journal of Advanced Research &amp; Reviews</w:t>
      </w:r>
      <w:r w:rsidRPr="00606561">
        <w:rPr>
          <w:rFonts w:ascii="Arial" w:hAnsi="Arial" w:cs="Arial"/>
        </w:rPr>
        <w:t>.</w:t>
      </w:r>
    </w:p>
    <w:p w14:paraId="31BE46B6" w14:textId="77777777" w:rsidR="00D97A78" w:rsidRPr="00606561" w:rsidRDefault="00D97A78" w:rsidP="00A7012D">
      <w:pPr>
        <w:rPr>
          <w:rFonts w:ascii="Arial" w:hAnsi="Arial" w:cs="Arial"/>
        </w:rPr>
      </w:pPr>
    </w:p>
    <w:sectPr w:rsidR="00D97A78" w:rsidRPr="00606561" w:rsidSect="00606561">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A150F" w14:textId="77777777" w:rsidR="00BC3AFA" w:rsidRDefault="00BC3AFA" w:rsidP="00606561">
      <w:pPr>
        <w:spacing w:after="0" w:line="240" w:lineRule="auto"/>
      </w:pPr>
      <w:r>
        <w:separator/>
      </w:r>
    </w:p>
  </w:endnote>
  <w:endnote w:type="continuationSeparator" w:id="0">
    <w:p w14:paraId="59487121" w14:textId="77777777" w:rsidR="00BC3AFA" w:rsidRDefault="00BC3AFA" w:rsidP="006065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0956874"/>
      <w:docPartObj>
        <w:docPartGallery w:val="Page Numbers (Bottom of Page)"/>
        <w:docPartUnique/>
      </w:docPartObj>
    </w:sdtPr>
    <w:sdtEndPr>
      <w:rPr>
        <w:noProof/>
      </w:rPr>
    </w:sdtEndPr>
    <w:sdtContent>
      <w:p w14:paraId="776CAA28" w14:textId="5956E48D" w:rsidR="00606561" w:rsidRDefault="006065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90E9CC" w14:textId="77777777" w:rsidR="00606561" w:rsidRDefault="00606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7A0A87" w14:textId="77777777" w:rsidR="00BC3AFA" w:rsidRDefault="00BC3AFA" w:rsidP="00606561">
      <w:pPr>
        <w:spacing w:after="0" w:line="240" w:lineRule="auto"/>
      </w:pPr>
      <w:r>
        <w:separator/>
      </w:r>
    </w:p>
  </w:footnote>
  <w:footnote w:type="continuationSeparator" w:id="0">
    <w:p w14:paraId="661A27E5" w14:textId="77777777" w:rsidR="00BC3AFA" w:rsidRDefault="00BC3AFA" w:rsidP="006065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8558B8"/>
    <w:multiLevelType w:val="multilevel"/>
    <w:tmpl w:val="A91C1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46480D"/>
    <w:multiLevelType w:val="multilevel"/>
    <w:tmpl w:val="C6A4F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2F6477"/>
    <w:multiLevelType w:val="hybridMultilevel"/>
    <w:tmpl w:val="DB7C9F64"/>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28910943">
    <w:abstractNumId w:val="0"/>
  </w:num>
  <w:num w:numId="2" w16cid:durableId="1500538766">
    <w:abstractNumId w:val="1"/>
  </w:num>
  <w:num w:numId="3" w16cid:durableId="17031675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12D"/>
    <w:rsid w:val="00287FBF"/>
    <w:rsid w:val="00453675"/>
    <w:rsid w:val="004B585E"/>
    <w:rsid w:val="004B6EFD"/>
    <w:rsid w:val="004C794F"/>
    <w:rsid w:val="004D5F62"/>
    <w:rsid w:val="00606561"/>
    <w:rsid w:val="00744A2D"/>
    <w:rsid w:val="00777B29"/>
    <w:rsid w:val="009B3CC4"/>
    <w:rsid w:val="009D3468"/>
    <w:rsid w:val="00A7012D"/>
    <w:rsid w:val="00AB5266"/>
    <w:rsid w:val="00BC3AFA"/>
    <w:rsid w:val="00D97A78"/>
    <w:rsid w:val="00E85B12"/>
    <w:rsid w:val="00E92EEF"/>
    <w:rsid w:val="00FC0E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30AC8"/>
  <w15:chartTrackingRefBased/>
  <w15:docId w15:val="{D1BC1215-4824-4259-B852-CAC77CA52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01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01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01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01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01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01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01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01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01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1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01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01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01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01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01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01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01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012D"/>
    <w:rPr>
      <w:rFonts w:eastAsiaTheme="majorEastAsia" w:cstheme="majorBidi"/>
      <w:color w:val="272727" w:themeColor="text1" w:themeTint="D8"/>
    </w:rPr>
  </w:style>
  <w:style w:type="paragraph" w:styleId="Title">
    <w:name w:val="Title"/>
    <w:basedOn w:val="Normal"/>
    <w:next w:val="Normal"/>
    <w:link w:val="TitleChar"/>
    <w:uiPriority w:val="10"/>
    <w:qFormat/>
    <w:rsid w:val="00A701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01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01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01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012D"/>
    <w:pPr>
      <w:spacing w:before="160"/>
      <w:jc w:val="center"/>
    </w:pPr>
    <w:rPr>
      <w:i/>
      <w:iCs/>
      <w:color w:val="404040" w:themeColor="text1" w:themeTint="BF"/>
    </w:rPr>
  </w:style>
  <w:style w:type="character" w:customStyle="1" w:styleId="QuoteChar">
    <w:name w:val="Quote Char"/>
    <w:basedOn w:val="DefaultParagraphFont"/>
    <w:link w:val="Quote"/>
    <w:uiPriority w:val="29"/>
    <w:rsid w:val="00A7012D"/>
    <w:rPr>
      <w:i/>
      <w:iCs/>
      <w:color w:val="404040" w:themeColor="text1" w:themeTint="BF"/>
    </w:rPr>
  </w:style>
  <w:style w:type="paragraph" w:styleId="ListParagraph">
    <w:name w:val="List Paragraph"/>
    <w:basedOn w:val="Normal"/>
    <w:uiPriority w:val="34"/>
    <w:qFormat/>
    <w:rsid w:val="00A7012D"/>
    <w:pPr>
      <w:ind w:left="720"/>
      <w:contextualSpacing/>
    </w:pPr>
  </w:style>
  <w:style w:type="character" w:styleId="IntenseEmphasis">
    <w:name w:val="Intense Emphasis"/>
    <w:basedOn w:val="DefaultParagraphFont"/>
    <w:uiPriority w:val="21"/>
    <w:qFormat/>
    <w:rsid w:val="00A7012D"/>
    <w:rPr>
      <w:i/>
      <w:iCs/>
      <w:color w:val="0F4761" w:themeColor="accent1" w:themeShade="BF"/>
    </w:rPr>
  </w:style>
  <w:style w:type="paragraph" w:styleId="IntenseQuote">
    <w:name w:val="Intense Quote"/>
    <w:basedOn w:val="Normal"/>
    <w:next w:val="Normal"/>
    <w:link w:val="IntenseQuoteChar"/>
    <w:uiPriority w:val="30"/>
    <w:qFormat/>
    <w:rsid w:val="00A701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012D"/>
    <w:rPr>
      <w:i/>
      <w:iCs/>
      <w:color w:val="0F4761" w:themeColor="accent1" w:themeShade="BF"/>
    </w:rPr>
  </w:style>
  <w:style w:type="character" w:styleId="IntenseReference">
    <w:name w:val="Intense Reference"/>
    <w:basedOn w:val="DefaultParagraphFont"/>
    <w:uiPriority w:val="32"/>
    <w:qFormat/>
    <w:rsid w:val="00A7012D"/>
    <w:rPr>
      <w:b/>
      <w:bCs/>
      <w:smallCaps/>
      <w:color w:val="0F4761" w:themeColor="accent1" w:themeShade="BF"/>
      <w:spacing w:val="5"/>
    </w:rPr>
  </w:style>
  <w:style w:type="paragraph" w:styleId="NoSpacing">
    <w:name w:val="No Spacing"/>
    <w:uiPriority w:val="1"/>
    <w:qFormat/>
    <w:rsid w:val="00FC0E39"/>
    <w:pPr>
      <w:spacing w:after="0" w:line="240" w:lineRule="auto"/>
    </w:pPr>
  </w:style>
  <w:style w:type="paragraph" w:styleId="TOCHeading">
    <w:name w:val="TOC Heading"/>
    <w:basedOn w:val="Heading1"/>
    <w:next w:val="Normal"/>
    <w:uiPriority w:val="39"/>
    <w:unhideWhenUsed/>
    <w:qFormat/>
    <w:rsid w:val="00E85B12"/>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85B12"/>
    <w:pPr>
      <w:spacing w:after="100"/>
    </w:pPr>
  </w:style>
  <w:style w:type="character" w:styleId="Hyperlink">
    <w:name w:val="Hyperlink"/>
    <w:basedOn w:val="DefaultParagraphFont"/>
    <w:uiPriority w:val="99"/>
    <w:unhideWhenUsed/>
    <w:rsid w:val="00E85B12"/>
    <w:rPr>
      <w:color w:val="467886" w:themeColor="hyperlink"/>
      <w:u w:val="single"/>
    </w:rPr>
  </w:style>
  <w:style w:type="paragraph" w:styleId="Header">
    <w:name w:val="header"/>
    <w:basedOn w:val="Normal"/>
    <w:link w:val="HeaderChar"/>
    <w:uiPriority w:val="99"/>
    <w:unhideWhenUsed/>
    <w:rsid w:val="006065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6561"/>
  </w:style>
  <w:style w:type="paragraph" w:styleId="Footer">
    <w:name w:val="footer"/>
    <w:basedOn w:val="Normal"/>
    <w:link w:val="FooterChar"/>
    <w:uiPriority w:val="99"/>
    <w:unhideWhenUsed/>
    <w:rsid w:val="006065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65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E3085C-F1A6-4253-BA3C-B2C7398BB2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12</Pages>
  <Words>2748</Words>
  <Characters>15669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Popa (2332748)</dc:creator>
  <cp:keywords/>
  <dc:description/>
  <cp:lastModifiedBy>Alexandru Popa (2332748)</cp:lastModifiedBy>
  <cp:revision>3</cp:revision>
  <dcterms:created xsi:type="dcterms:W3CDTF">2025-11-15T15:24:00Z</dcterms:created>
  <dcterms:modified xsi:type="dcterms:W3CDTF">2025-11-15T16:58:00Z</dcterms:modified>
</cp:coreProperties>
</file>