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77777777" w:rsidR="003F7DD7" w:rsidRDefault="003F7DD7" w:rsidP="003F7DD7">
      <w:pPr>
        <w:rPr>
          <w:sz w:val="24"/>
          <w:szCs w:val="24"/>
        </w:rPr>
      </w:pPr>
      <w:r w:rsidRPr="006C2F1B">
        <w:rPr>
          <w:sz w:val="36"/>
          <w:szCs w:val="36"/>
        </w:rPr>
        <w:t>Name:</w:t>
      </w:r>
    </w:p>
    <w:p w14:paraId="1EF03A2C" w14:textId="77777777" w:rsidR="003F7DD7" w:rsidRDefault="003F7DD7" w:rsidP="003F7DD7">
      <w:pPr>
        <w:rPr>
          <w:sz w:val="24"/>
          <w:szCs w:val="24"/>
        </w:rPr>
      </w:pPr>
    </w:p>
    <w:p w14:paraId="00F47272" w14:textId="77777777" w:rsidR="003F7DD7" w:rsidRPr="00626D81" w:rsidRDefault="003F7DD7" w:rsidP="003F7DD7">
      <w:r w:rsidRPr="00626D81">
        <w:rPr>
          <w:sz w:val="32"/>
          <w:szCs w:val="32"/>
        </w:rPr>
        <w:t>Student ID:</w:t>
      </w:r>
    </w:p>
    <w:p w14:paraId="3CD72554" w14:textId="77777777" w:rsidR="003F7DD7" w:rsidRDefault="003F7DD7" w:rsidP="003F7DD7">
      <w:pPr>
        <w:rPr>
          <w:sz w:val="24"/>
          <w:szCs w:val="24"/>
        </w:rPr>
      </w:pPr>
    </w:p>
    <w:p w14:paraId="24BFDDE9" w14:textId="77777777" w:rsidR="003F7DD7" w:rsidRDefault="003F7DD7" w:rsidP="003F7DD7">
      <w:pPr>
        <w:rPr>
          <w:sz w:val="32"/>
          <w:szCs w:val="32"/>
        </w:rPr>
      </w:pPr>
      <w:r w:rsidRPr="006C2F1B">
        <w:rPr>
          <w:sz w:val="32"/>
          <w:szCs w:val="32"/>
        </w:rPr>
        <w:t>Module Name:</w:t>
      </w:r>
    </w:p>
    <w:p w14:paraId="6FB10324" w14:textId="77777777" w:rsidR="003F7DD7" w:rsidRDefault="003F7DD7" w:rsidP="003F7DD7">
      <w:pPr>
        <w:rPr>
          <w:sz w:val="32"/>
          <w:szCs w:val="32"/>
        </w:rPr>
      </w:pPr>
    </w:p>
    <w:p w14:paraId="0EC78F7C" w14:textId="74D27190" w:rsidR="006C2F1B" w:rsidRDefault="003F7DD7" w:rsidP="003F7DD7">
      <w:pPr>
        <w:rPr>
          <w:sz w:val="24"/>
          <w:szCs w:val="24"/>
        </w:rPr>
      </w:pPr>
      <w:r>
        <w:rPr>
          <w:sz w:val="32"/>
          <w:szCs w:val="32"/>
        </w:rPr>
        <w:t>Lecturer’s Name:</w:t>
      </w:r>
      <w:r w:rsidR="006C2F1B">
        <w:rPr>
          <w:sz w:val="24"/>
          <w:szCs w:val="24"/>
        </w:rPr>
        <w:br w:type="page"/>
      </w: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101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10100"/>
      </w:tblGrid>
      <w:tr w:rsidR="006A3E97" w:rsidRPr="002203CA" w14:paraId="0797A758" w14:textId="77777777" w:rsidTr="005F3AA5">
        <w:trPr>
          <w:cantSplit/>
          <w:trHeight w:hRule="exact" w:val="6037"/>
        </w:trPr>
        <w:tc>
          <w:tcPr>
            <w:tcW w:w="10100" w:type="dxa"/>
            <w:noWrap/>
            <w:tcMar>
              <w:top w:w="100" w:type="dxa"/>
              <w:bottom w:w="100" w:type="dxa"/>
              <w:left w:w="100" w:type="dxa"/>
              <w:right w:w="100" w:type="dxa"/>
            </w:tcMar>
          </w:tcPr>
          <w:p w14:paraId="5CC25466" w14:textId="77777777" w:rsidR="005F3AA5" w:rsidRDefault="005F3AA5" w:rsidP="005F3AA5">
            <w:pPr>
              <w:pStyle w:val="NormalWeb"/>
              <w:spacing w:after="160" w:before="0" w:line="276" w:lineRule="auto"/>
            </w:pPr>
            <w:r>
              <w:rPr>
                <w:sz w:val="24"/>
              </w:rPr>
              <w:t>Teamwork involves individuals working together towards a shared goal, communicating clearly and supporting one another. Members take responsibility for specific tasks, but their work must be brought together in one final project. Riebe et al. (2010) discuss helping each other, taking responsibility and communication as important aspects of effective teamwork.</w:t>
            </w:r>
          </w:p>
          <w:p>
            <w:pPr>
              <w:pStyle w:val="NormalWeb"/>
              <w:spacing w:before="0" w:after="160" w:line="276" w:lineRule="auto"/>
            </w:pPr>
            <w:r>
              <w:rPr>
                <w:sz w:val="24"/>
              </w:rPr>
              <w:t>Omar asks Lena to review his promotional text against the literature review criteria and make the final edits (Education Video, 2026, 4:00–4:24). Omar and Lena depend on each other. Omar develops the promotional text, while Lena helps ensure the quality of the academic work. Giving members tasks that suit their skills shares the workload and reduces pressure on individuals. The way they work together and check the draft shows that teamwork involves combining contributions to achieve a common objective, instead of only completing separate tasks.</w:t>
            </w: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Mar>
              <w:top w:w="100" w:type="dxa"/>
              <w:bottom w:w="100" w:type="dxa"/>
              <w:left w:w="100" w:type="dxa"/>
              <w:right w:w="100" w:type="dxa"/>
            </w:tcMar>
          </w:tcPr>
          <w:p w14:paraId="3BDAA103" w14:textId="77777777" w:rsidR="00773777" w:rsidRPr="002203CA" w:rsidRDefault="00773777" w:rsidP="00A80797">
            <w:pPr>
              <w:spacing w:after="160" w:before="0" w:line="276" w:lineRule="auto"/>
              <w:jc w:val="both"/>
              <w:rPr>
                <w:rFonts w:cstheme="minorHAnsi"/>
                <w:sz w:val="24"/>
                <w:szCs w:val="24"/>
              </w:rPr>
            </w:pPr>
            <w:r>
              <w:rPr>
                <w:sz w:val="24"/>
              </w:rPr>
              <w:t>The scene at 2:00–2:56 represents storming, the second stage of Tuckman’s model. This stage involves conflict over priorities and approaches to the task (Bonebright, 2010).</w:t>
            </w:r>
          </w:p>
          <w:p>
            <w:pPr>
              <w:spacing w:before="0" w:after="160" w:line="276" w:lineRule="auto"/>
            </w:pPr>
            <w:r>
              <w:rPr>
                <w:sz w:val="24"/>
              </w:rPr>
              <w:t>Omar wants the team to decide on the brand direction quickly so they can begin developing the digital campaign and avoid delays. Lena insists on further research to gather evidence to explain their choice of target audience and meet the assessment criteria (Education Video, 2026, 2:00–2:56). Their disagreement comes from different priorities. Omar focuses on speed, while Lena focuses on the quality of the academic work. The prolonged debate delays a shared decision, while Hannah’s interrupted contribution suggests that some members have less chance to speak. These behaviours indicate that the team has not yet established an agreed way of working. Both members raise relevant concerns, but they need to work through their disagreement together to progress.</w:t>
            </w: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42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25"/>
      </w:tblGrid>
      <w:tr w:rsidR="00773777" w:rsidRPr="002203CA" w14:paraId="0BA8C591" w14:textId="77777777" w:rsidTr="008173D9">
        <w:trPr>
          <w:cantSplit/>
          <w:trHeight w:hRule="exact" w:val="4409"/>
        </w:trPr>
        <w:tc>
          <w:tcPr>
            <w:tcW w:w="9425" w:type="dxa"/>
            <w:noWrap/>
            <w:tcMar>
              <w:top w:w="100" w:type="dxa"/>
              <w:bottom w:w="100" w:type="dxa"/>
              <w:left w:w="100" w:type="dxa"/>
              <w:right w:w="100" w:type="dxa"/>
            </w:tcMar>
          </w:tcPr>
          <w:p w14:paraId="11F28295" w14:textId="77777777" w:rsidR="008173D9" w:rsidRDefault="008173D9" w:rsidP="008173D9">
            <w:pPr>
              <w:pStyle w:val="NormalWeb"/>
              <w:spacing w:after="160" w:before="0" w:line="276" w:lineRule="auto"/>
            </w:pPr>
            <w:r>
              <w:rPr>
                <w:sz w:val="24"/>
              </w:rPr>
              <w:t>During the final two minutes of the video (4:00–5:58), the team mainly demonstrates the performing stage of Tuckman’s model. At this stage, each person’s role helps the team finish its work and members focus their efforts on reaching shared goals (Bonebright, 2010).</w:t>
            </w:r>
          </w:p>
          <w:p>
            <w:pPr>
              <w:pStyle w:val="NormalWeb"/>
              <w:spacing w:before="0" w:after="160" w:line="276" w:lineRule="auto"/>
            </w:pPr>
            <w:r>
              <w:rPr>
                <w:sz w:val="24"/>
              </w:rPr>
              <w:t>Omar asks Lena to review his promotional text, showing trust in her ability to maintain the quality of the academic work. Hannah completes the market analysis, Priya contributes external case studies, and Alex confirms that tasks are tracked and progressing on schedule (Education Video, 2026, 4:00–5:58). These contributions show that members are working together and supporting each other. Unlike the earlier disagreement, the team now focuses on producing and refining its final project. Although submission is approaching, performing is the strongest interpretation because the members are still actively completing the project rather than ending their work together.</w:t>
            </w: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50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00"/>
      </w:tblGrid>
      <w:tr w:rsidR="00773777" w:rsidRPr="002203CA" w14:paraId="3B2F8C66" w14:textId="77777777" w:rsidTr="0001313C">
        <w:trPr>
          <w:cantSplit/>
          <w:trHeight w:hRule="exact" w:val="5113"/>
        </w:trPr>
        <w:tc>
          <w:tcPr>
            <w:tcW w:w="9500" w:type="dxa"/>
            <w:noWrap/>
            <w:tcMar>
              <w:top w:w="100" w:type="dxa"/>
              <w:bottom w:w="100" w:type="dxa"/>
              <w:left w:w="100" w:type="dxa"/>
              <w:right w:w="100" w:type="dxa"/>
            </w:tcMar>
          </w:tcPr>
          <w:p w14:paraId="746A1DCD" w14:textId="77777777" w:rsidR="00773777" w:rsidRPr="002203CA" w:rsidRDefault="00773777" w:rsidP="00A80797">
            <w:pPr>
              <w:spacing w:after="160" w:before="0" w:line="276" w:lineRule="auto"/>
              <w:jc w:val="both"/>
              <w:rPr>
                <w:rFonts w:cstheme="minorHAnsi"/>
                <w:sz w:val="24"/>
                <w:szCs w:val="24"/>
              </w:rPr>
            </w:pPr>
            <w:r>
              <w:rPr>
                <w:sz w:val="24"/>
              </w:rPr>
              <w:t>Group decision making is a process in which several individuals discuss a problem, consider different options and contribute to choosing an agreed plan (UWTSD, n.d.-b).</w:t>
            </w:r>
          </w:p>
          <w:p>
            <w:pPr>
              <w:spacing w:before="0" w:after="160" w:line="276" w:lineRule="auto"/>
            </w:pPr>
            <w:r>
              <w:rPr>
                <w:sz w:val="24"/>
              </w:rPr>
              <w:t>In the video, the team must decide how to develop its digital brand campaign. Omar focuses on starting quickly, while Lena argues that the proposed direction requires support from research. At 3:20–3:36, Priya proposes approving the campaign plan while allowing 48 hours to gather supporting evidence. Alex then creates two sets of tasks that run at the same time, one for checking data and one for exploring digital platforms (Education Video, 2026, 3:20–3:54). This illustrates how different views can contribute to a practical decision that balances progress with the quality of the academic work. However, the earlier prolonged debate and interruptions also demonstrate possible problems of group decision making, including delays and unequal chances to contribute.</w:t>
            </w: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53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30"/>
      </w:tblGrid>
      <w:tr w:rsidR="00773777" w:rsidRPr="002203CA" w14:paraId="33546845" w14:textId="77777777" w:rsidTr="004C0A44">
        <w:trPr>
          <w:cantSplit/>
          <w:trHeight w:hRule="exact" w:val="4244"/>
        </w:trPr>
        <w:tc>
          <w:tcPr>
            <w:tcW w:w="9530" w:type="dxa"/>
            <w:noWrap/>
            <w:tcMar>
              <w:top w:w="100" w:type="dxa"/>
              <w:bottom w:w="100" w:type="dxa"/>
              <w:left w:w="100" w:type="dxa"/>
              <w:right w:w="100" w:type="dxa"/>
            </w:tcMar>
          </w:tcPr>
          <w:p w14:paraId="1A1ABCE6" w14:textId="77777777" w:rsidR="004C0A44" w:rsidRDefault="004C0A44" w:rsidP="004C0A44">
            <w:pPr>
              <w:spacing w:after="160" w:before="0" w:line="276" w:lineRule="auto"/>
              <w:jc w:val="both"/>
              <w:rPr>
                <w:rFonts w:cstheme="minorHAnsi"/>
                <w:sz w:val="24"/>
                <w:szCs w:val="24"/>
              </w:rPr>
            </w:pPr>
            <w:r>
              <w:rPr>
                <w:sz w:val="24"/>
              </w:rPr>
              <w:t>The Nominal Group Technique is a structured decision-making method in which members think of ideas on their own, share them for recording, explain the different options and rank them through individual voting (UWTSD, n.d.-a). This structure gives members equal chances to contribute and helps prevent one or two people from taking over.</w:t>
            </w:r>
          </w:p>
          <w:p>
            <w:pPr>
              <w:spacing w:before="0" w:after="160" w:line="276" w:lineRule="auto"/>
            </w:pPr>
            <w:r>
              <w:rPr>
                <w:sz w:val="24"/>
              </w:rPr>
              <w:t>In the video, Omar’s suggestion to vote at approximately 2:14 relates to the voting stage of the technique (Education Video, 2026, 2:01–2:14). However, voting alone is not the complete method. The scene does not clearly show silent idea generation, recording everyone’s ideas or individual ranking. The technique could help this team by allowing Hannah to contribute without interruption and enabling Omar’s campaign proposal and Lena’s research concerns to be discussed in an organised way. Therefore, the scene illustrates an opportunity to apply the technique rather than clear evidence of its full use.</w:t>
            </w: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4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46"/>
      </w:tblGrid>
      <w:tr w:rsidR="00773777" w:rsidRPr="002203CA" w14:paraId="677245E6" w14:textId="77777777" w:rsidTr="0001313C">
        <w:trPr>
          <w:cantSplit/>
          <w:trHeight w:hRule="exact" w:val="4388"/>
        </w:trPr>
        <w:tc>
          <w:tcPr>
            <w:tcW w:w="9346" w:type="dxa"/>
            <w:noWrap/>
            <w:tcMar>
              <w:top w:w="100" w:type="dxa"/>
              <w:bottom w:w="100" w:type="dxa"/>
              <w:left w:w="100" w:type="dxa"/>
              <w:right w:w="100" w:type="dxa"/>
            </w:tcMar>
          </w:tcPr>
          <w:p w14:paraId="11250F8A" w14:textId="77777777" w:rsidR="004C0A44" w:rsidRDefault="004C0A44" w:rsidP="004C0A44">
            <w:pPr>
              <w:spacing w:after="160" w:before="0" w:line="276" w:lineRule="auto"/>
              <w:jc w:val="both"/>
              <w:rPr>
                <w:rFonts w:cstheme="minorHAnsi"/>
                <w:sz w:val="24"/>
                <w:szCs w:val="24"/>
              </w:rPr>
            </w:pPr>
            <w:r>
              <w:rPr>
                <w:sz w:val="24"/>
              </w:rPr>
              <w:t>Priya demonstrates the compromising mode of the Thomas–Kilmann model. Compromising involves moderate assertiveness and cooperativeness, meaning that both sides consider their own needs and those of others, seeking a practical agreement that gives both sides part of what they want (Kilmann, 2015).</w:t>
            </w:r>
          </w:p>
          <w:p>
            <w:pPr>
              <w:spacing w:before="0" w:after="160" w:line="276" w:lineRule="auto"/>
            </w:pPr>
            <w:r>
              <w:rPr>
                <w:sz w:val="24"/>
              </w:rPr>
              <w:t>At 3:20–3:36, Priya proposes approving Omar’s digital campaign plan while giving Lena 48 hours to gather the evidence to justify it. Omar gains permission to begin creative work, but must accept further research. Lena secures time for checking the data, but accepts that the plan will proceed before the evidence has been checked (Education Video, 2026, 3:20–3:36). Both accept part of the other person’s approach, which supports the interpretation of compromising. The agreement reduces the immediate tension and helps the team move forward. For this agreement to work, the team needs to complete the research and review the plan if the evidence does not support the proposed direction.</w:t>
            </w: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42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25"/>
      </w:tblGrid>
      <w:tr w:rsidR="00773777" w:rsidRPr="002203CA" w14:paraId="6EAE9EBF" w14:textId="77777777" w:rsidTr="004C0A44">
        <w:trPr>
          <w:cantSplit/>
          <w:trHeight w:hRule="exact" w:val="4049"/>
        </w:trPr>
        <w:tc>
          <w:tcPr>
            <w:tcW w:w="9425" w:type="dxa"/>
            <w:noWrap/>
            <w:tcMar>
              <w:top w:w="100" w:type="dxa"/>
              <w:bottom w:w="100" w:type="dxa"/>
              <w:left w:w="100" w:type="dxa"/>
              <w:right w:w="100" w:type="dxa"/>
            </w:tcMar>
          </w:tcPr>
          <w:p w14:paraId="5679C7D8" w14:textId="77777777" w:rsidR="004C0A44" w:rsidRDefault="004C0A44" w:rsidP="004C0A44">
            <w:pPr>
              <w:spacing w:after="160" w:before="0" w:line="276" w:lineRule="auto"/>
              <w:jc w:val="both"/>
              <w:rPr>
                <w:rFonts w:cstheme="minorHAnsi"/>
                <w:sz w:val="24"/>
                <w:szCs w:val="24"/>
              </w:rPr>
            </w:pPr>
            <w:r>
              <w:rPr>
                <w:sz w:val="24"/>
              </w:rPr>
              <w:t>Hannah demonstrates the avoiding mode of the Thomas–Kilmann model during the disagreement at 2:00–2:45. Avoiding involves little effort to express personal needs or meet the other person’s needs. The individual withdraws rather than speaking up about their own needs or helping to address the other person’s concerns (Kilmann, 2015).</w:t>
            </w:r>
          </w:p>
          <w:p>
            <w:pPr>
              <w:spacing w:before="0" w:after="160" w:line="276" w:lineRule="auto"/>
            </w:pPr>
            <w:r>
              <w:rPr>
                <w:sz w:val="24"/>
              </w:rPr>
              <w:t>Hannah attempts to contribute, but trails off when interrupted and shrinks back in her chair (Education Video, 2026, 2:00–2:45). Her withdrawal suggests that she is not sharing her view or participating in resolving the dispute between Omar and Lena. This may prevent her from becoming involved in the argument, but it also means that the team loses a useful contribution. Avoiding can temporarily reduce tension, yet here it leaves the disagreement unresolved. Inviting Hannah to finish speaking could give everyone a fairer chance to speak and improve the team’s discussion.</w:t>
            </w: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48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84"/>
      </w:tblGrid>
      <w:tr w:rsidR="00773777" w:rsidRPr="002203CA" w14:paraId="7F44B7FC" w14:textId="77777777" w:rsidTr="004C0A44">
        <w:trPr>
          <w:cantSplit/>
          <w:trHeight w:hRule="exact" w:val="4528"/>
        </w:trPr>
        <w:tc>
          <w:tcPr>
            <w:tcW w:w="9484" w:type="dxa"/>
            <w:noWrap/>
            <w:tcMar>
              <w:top w:w="100" w:type="dxa"/>
              <w:bottom w:w="100" w:type="dxa"/>
              <w:left w:w="100" w:type="dxa"/>
              <w:right w:w="100" w:type="dxa"/>
            </w:tcMar>
          </w:tcPr>
          <w:p w14:paraId="5B812B2C" w14:textId="77777777" w:rsidR="004C0A44" w:rsidRDefault="004C0A44" w:rsidP="004C0A44">
            <w:pPr>
              <w:spacing w:after="160" w:before="0" w:line="276" w:lineRule="auto"/>
              <w:jc w:val="both"/>
              <w:rPr>
                <w:rFonts w:cstheme="minorHAnsi"/>
                <w:sz w:val="24"/>
                <w:szCs w:val="24"/>
              </w:rPr>
            </w:pPr>
            <w:r>
              <w:rPr>
                <w:sz w:val="24"/>
              </w:rPr>
              <w:t>Alex mainly demonstrates the Implementer role, which involves translating decisions into organised, practical action. Priya mainly demonstrates the Resource Investigator role, shown by exploring opportunities and bringing useful outside information to the team (Belbin, 2022).</w:t>
            </w:r>
          </w:p>
          <w:p>
            <w:pPr>
              <w:spacing w:before="0" w:after="160" w:line="276" w:lineRule="auto"/>
            </w:pPr>
            <w:r>
              <w:rPr>
                <w:sz w:val="24"/>
              </w:rPr>
              <w:t>Alex proposes a shared Notion workspace and Trello board, then sets up two sets of tasks to carry out Priya’s compromise, covering data checks and digital platforms. His clear schedule makes the agreed approach manageable and helps the team monitor progress. Priya offers to find relevant real-world examples and later obtains two case studies from external digital agencies, uploading them to the shared workspace (Education Video, 2026, 0:21–0:57, 3:37–3:54, 4:47–4:59). These actions connect the project with resources beyond the team. They support each other’s work. Priya supplies external insights, while Alex organises how these resources are used in the project.</w:t>
            </w: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lastRenderedPageBreak/>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9226" w:type="dxa"/>
        <w:tblLook w:val="04A0" w:firstRow="1" w:lastRow="0" w:firstColumn="1" w:lastColumn="0" w:noHBand="0" w:noVBand="1"/>
      </w:tblPr>
      <w:tblGrid>
        <w:gridCol w:w="9226"/>
      </w:tblGrid>
      <w:tr w:rsidR="00EF4387" w14:paraId="24A17FC7" w14:textId="77777777" w:rsidTr="004C0A44">
        <w:trPr>
          <w:trHeight w:val="992"/>
        </w:trPr>
        <w:tc>
          <w:tcPr>
            <w:tcW w:w="9226" w:type="dxa"/>
            <w:tcMar>
              <w:top w:w="100" w:type="dxa"/>
              <w:bottom w:w="100" w:type="dxa"/>
              <w:left w:w="100" w:type="dxa"/>
              <w:right w:w="100" w:type="dxa"/>
            </w:tcMar>
          </w:tcPr>
          <w:p w14:paraId="349C0423" w14:textId="77777777" w:rsidR="00EF4387" w:rsidRDefault="00EF4387" w:rsidP="00A77C0E">
            <w:pPr>
              <w:spacing w:after="160" w:before="0" w:line="276" w:lineRule="auto"/>
              <w:jc w:val="both"/>
              <w:rPr>
                <w:rFonts w:cstheme="minorHAnsi"/>
                <w:sz w:val="24"/>
                <w:szCs w:val="24"/>
              </w:rPr>
            </w:pPr>
            <w:r>
              <w:rPr>
                <w:sz w:val="24"/>
              </w:rPr>
              <w:t>Omar mainly demonstrates the Shaper role, while Lena mainly demonstrates the Completer Finisher role. Shapers provide drive and challenge a team to maintain momentum, whereas Completer Finishers check work carefully and maintain good standards (Belbin, 2022).</w:t>
            </w:r>
          </w:p>
          <w:p>
            <w:pPr>
              <w:spacing w:before="0" w:after="160" w:line="276" w:lineRule="auto"/>
            </w:pPr>
            <w:r>
              <w:rPr>
                <w:sz w:val="24"/>
              </w:rPr>
              <w:t>Omar presses the team to decide on the campaign direction because a long discussion is slowing the team down. His sense of urgency helps the team focus on finishing the work, although his forceful approach contributes to tension during the disagreement. Lena insists on support from research and alignment with the assessment criteria. Later, she agrees to check Omar’s draft against the literature review criteria and complete the final edits (Education Video, 2026, 2:01–2:35, 4:17–4:24). This is a clear example of the Completer Finisher role. Their work fits together when Omar’s wish to move forward is combined with Lena’s attention to accuracy and the quality of the academic work.</w:t>
            </w: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Mar>
              <w:top w:w="100" w:type="dxa"/>
              <w:bottom w:w="100" w:type="dxa"/>
              <w:left w:w="100" w:type="dxa"/>
              <w:right w:w="100" w:type="dxa"/>
            </w:tcMar>
          </w:tcPr>
          <w:p w14:paraId="09D9143E" w14:textId="77777777" w:rsidR="007F16AF" w:rsidRDefault="007F16AF" w:rsidP="00A77C0E">
            <w:pPr>
              <w:spacing w:after="160" w:before="0" w:line="276" w:lineRule="auto"/>
              <w:jc w:val="both"/>
              <w:rPr>
                <w:rFonts w:cstheme="minorHAnsi"/>
                <w:sz w:val="24"/>
                <w:szCs w:val="24"/>
              </w:rPr>
            </w:pPr>
            <w:r>
              <w:rPr>
                <w:sz w:val="24"/>
              </w:rPr>
              <w:t>I would naturally take the Teamworker role in this team, although I sometimes also contribute as a Co-ordinator and Plant. Belbin (2022) explains that individuals can demonstrate several preferred team roles. My main preference is Teamworker because I value cooperation, helping colleagues when possible and working towards a shared goal.</w:t>
            </w:r>
          </w:p>
          <w:p>
            <w:pPr>
              <w:spacing w:before="0" w:after="160" w:line="276" w:lineRule="auto"/>
            </w:pPr>
            <w:r>
              <w:rPr>
                <w:sz w:val="24"/>
              </w:rPr>
              <w:t>In this team, I would support members and encourage everyone, including Hannah, to contribute to discussions. My Co-ordinator tendencies would help me make responsibilities clear and keep the group focused, while my occasional Plant contribution would involve suggesting creative ideas. However, I would need to ensure that keeping everyone happy did not prevent me from addressing important disagreements. Supporting others while also raising concerns when needed would allow me to contribute to both the team’s relationships and its progress.</w:t>
            </w: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13139B56" w14:textId="77777777" w:rsidR="008D5D6E" w:rsidRPr="008D5D6E" w:rsidRDefault="008D5D6E" w:rsidP="008D5D6E">
      <w:pPr>
        <w:pStyle w:val="ListParagraph"/>
        <w:numPr>
          <w:ilvl w:val="0"/>
          <w:numId w:val="1"/>
        </w:numPr>
        <w:spacing w:after="160"/>
        <w:ind w:left="360" w:hanging="360"/>
        <w:jc w:val="both"/>
        <w:rPr>
          <w:rFonts w:cstheme="minorHAnsi"/>
          <w:sz w:val="24"/>
          <w:szCs w:val="24"/>
        </w:rPr>
      </w:pPr>
      <w:r>
        <w:rPr>
          <w:sz w:val="24"/>
        </w:rPr>
        <w:t xml:space="preserve">Belbin (2022) </w:t>
      </w:r>
      <w:r>
        <w:rPr>
          <w:i/>
          <w:sz w:val="24"/>
        </w:rPr>
        <w:t>Belbin team roles in a nutshell</w:t>
      </w:r>
      <w:r>
        <w:rPr>
          <w:sz w:val="24"/>
        </w:rPr>
        <w:t xml:space="preserve"> [PDF]. Available at: https://moodle.uwtsd.ac.uk/course/section.php?id=144826 (Accessed: 4 October 2026).</w:t>
      </w:r>
    </w:p>
    <w:p w14:paraId="723AF5AD" w14:textId="77777777" w:rsidR="008D5D6E" w:rsidRPr="008D5D6E" w:rsidRDefault="008D5D6E" w:rsidP="008D5D6E">
      <w:pPr>
        <w:pStyle w:val="ListParagraph"/>
        <w:numPr>
          <w:ilvl w:val="0"/>
          <w:numId w:val="1"/>
        </w:numPr>
        <w:spacing w:after="160"/>
        <w:ind w:left="360" w:hanging="360"/>
        <w:jc w:val="both"/>
        <w:rPr>
          <w:rFonts w:cstheme="minorHAnsi"/>
          <w:sz w:val="24"/>
          <w:szCs w:val="24"/>
        </w:rPr>
      </w:pPr>
      <w:r>
        <w:rPr>
          <w:sz w:val="24"/>
        </w:rPr>
        <w:t xml:space="preserve">Bonebright, D.A. (2010) ‘40 years of storming: a historical review of Tuckman’s model of small group development’, </w:t>
      </w:r>
      <w:r>
        <w:rPr>
          <w:i/>
          <w:sz w:val="24"/>
        </w:rPr>
        <w:t>Human Resource Development International</w:t>
      </w:r>
      <w:r>
        <w:rPr>
          <w:sz w:val="24"/>
        </w:rPr>
        <w:t>, 13(1), pp. 111–120. doi: 10.1080/13678861003589099.</w:t>
      </w:r>
    </w:p>
    <w:p w14:paraId="5AEFD9F8" w14:textId="77777777" w:rsidR="008D5D6E" w:rsidRPr="008D5D6E" w:rsidRDefault="008D5D6E" w:rsidP="008D5D6E">
      <w:pPr>
        <w:pStyle w:val="ListParagraph"/>
        <w:numPr>
          <w:ilvl w:val="0"/>
          <w:numId w:val="1"/>
        </w:numPr>
        <w:spacing w:after="160"/>
        <w:ind w:left="360" w:hanging="360"/>
        <w:jc w:val="both"/>
        <w:rPr>
          <w:rFonts w:cstheme="minorHAnsi"/>
          <w:sz w:val="24"/>
          <w:szCs w:val="24"/>
        </w:rPr>
      </w:pPr>
      <w:r>
        <w:rPr>
          <w:sz w:val="24"/>
        </w:rPr>
        <w:t xml:space="preserve">Education Video (2026) </w:t>
      </w:r>
      <w:r>
        <w:rPr>
          <w:i/>
          <w:sz w:val="24"/>
        </w:rPr>
        <w:t>LCLM4003 Effective Teamworking and Communication Component 1 Video</w:t>
      </w:r>
      <w:r>
        <w:rPr>
          <w:sz w:val="24"/>
        </w:rPr>
        <w:t>. YouTube, 16 July. Available at: https://www.youtube.com/watch?v=OZxoeE31-0I (Accessed: 4 October 2026).</w:t>
      </w:r>
    </w:p>
    <w:p w14:paraId="3E89DD21" w14:textId="77777777" w:rsidR="008D5D6E" w:rsidRPr="008D5D6E" w:rsidRDefault="008D5D6E" w:rsidP="008D5D6E">
      <w:pPr>
        <w:pStyle w:val="ListParagraph"/>
        <w:numPr>
          <w:ilvl w:val="0"/>
          <w:numId w:val="1"/>
        </w:numPr>
        <w:spacing w:after="160"/>
        <w:ind w:left="360" w:hanging="360"/>
        <w:jc w:val="both"/>
        <w:rPr>
          <w:rFonts w:cstheme="minorHAnsi"/>
          <w:sz w:val="24"/>
          <w:szCs w:val="24"/>
        </w:rPr>
      </w:pPr>
      <w:r>
        <w:rPr>
          <w:sz w:val="24"/>
        </w:rPr>
        <w:t xml:space="preserve">Kilmann, R.H. (2015) </w:t>
      </w:r>
      <w:r>
        <w:rPr>
          <w:i/>
          <w:sz w:val="24"/>
        </w:rPr>
        <w:t>A brief overview of the Thomas-Kilmann Instrument (TKI)</w:t>
      </w:r>
      <w:r>
        <w:rPr>
          <w:sz w:val="24"/>
        </w:rPr>
        <w:t>. Available at: https://kilmanndiagnostics.com/a-brief-overview-tki/ (Accessed: 4 October 2026).</w:t>
      </w:r>
    </w:p>
    <w:p w14:paraId="49F51341" w14:textId="77777777" w:rsidR="008D5D6E" w:rsidRPr="008D5D6E" w:rsidRDefault="008D5D6E" w:rsidP="008D5D6E">
      <w:pPr>
        <w:pStyle w:val="ListParagraph"/>
        <w:numPr>
          <w:ilvl w:val="0"/>
          <w:numId w:val="1"/>
        </w:numPr>
        <w:spacing w:after="160"/>
        <w:ind w:left="360" w:hanging="360"/>
        <w:jc w:val="both"/>
        <w:rPr>
          <w:rFonts w:cstheme="minorHAnsi"/>
          <w:sz w:val="24"/>
          <w:szCs w:val="24"/>
        </w:rPr>
      </w:pPr>
      <w:r>
        <w:rPr>
          <w:sz w:val="24"/>
        </w:rPr>
        <w:t xml:space="preserve">Riebe, L., Roepen, D., Santarelli, B. and Marchioro, G. (2010) ‘Teamwork: effectively teaching an employability skill’, </w:t>
      </w:r>
      <w:r>
        <w:rPr>
          <w:i/>
          <w:sz w:val="24"/>
        </w:rPr>
        <w:t>Education + Training</w:t>
      </w:r>
      <w:r>
        <w:rPr>
          <w:sz w:val="24"/>
        </w:rPr>
        <w:t>, 52(6/7), pp. 528–539. doi: 10.1108/00400911011068478.</w:t>
      </w:r>
    </w:p>
    <w:p w14:paraId="59F07D67" w14:textId="77777777" w:rsidR="008D5D6E" w:rsidRPr="008D5D6E" w:rsidRDefault="008D5D6E" w:rsidP="008D5D6E">
      <w:pPr>
        <w:pStyle w:val="ListParagraph"/>
        <w:numPr>
          <w:ilvl w:val="0"/>
          <w:numId w:val="1"/>
        </w:numPr>
        <w:spacing w:after="160"/>
        <w:ind w:left="360" w:hanging="360"/>
        <w:jc w:val="both"/>
        <w:rPr>
          <w:rFonts w:cstheme="minorHAnsi"/>
          <w:sz w:val="24"/>
          <w:szCs w:val="24"/>
        </w:rPr>
      </w:pPr>
      <w:r>
        <w:rPr>
          <w:sz w:val="24"/>
        </w:rPr>
        <w:t xml:space="preserve">University of Wales Trinity Saint David (UWTSD) (n.d.-a) </w:t>
      </w:r>
      <w:r>
        <w:rPr>
          <w:i/>
          <w:sz w:val="24"/>
        </w:rPr>
        <w:t>Additional information on Group Decision making Techniques</w:t>
      </w:r>
      <w:r>
        <w:rPr>
          <w:sz w:val="24"/>
        </w:rPr>
        <w:t xml:space="preserve"> [Moodle page]. Available at: https://moodle.uwtsd.ac.uk/mod/page/view.php?id=475327 (Accessed: 4 October 2026).</w:t>
      </w:r>
    </w:p>
    <w:p w14:paraId="3B7D4AC3" w14:textId="0D9391FC" w:rsidR="004C0A44" w:rsidRDefault="004C0A44" w:rsidP="008D5D6E">
      <w:pPr>
        <w:pStyle w:val="ListParagraph"/>
        <w:jc w:val="both"/>
        <w:rPr>
          <w:rFonts w:cstheme="minorHAnsi"/>
          <w:sz w:val="24"/>
          <w:szCs w:val="24"/>
        </w:rPr>
      </w:pPr>
    </w:p>
    <w:p w14:paraId="18777AB4" w14:textId="77777777" w:rsidR="008D5D6E" w:rsidRPr="008D5D6E" w:rsidRDefault="008D5D6E" w:rsidP="008D5D6E">
      <w:pPr>
        <w:pStyle w:val="ListParagraph"/>
        <w:spacing w:after="160"/>
        <w:ind w:left="360" w:hanging="360"/>
        <w:jc w:val="both"/>
        <w:rPr>
          <w:rFonts w:cstheme="minorHAnsi"/>
          <w:sz w:val="24"/>
          <w:szCs w:val="24"/>
        </w:rPr>
      </w:pPr>
      <w:r>
        <w:rPr>
          <w:sz w:val="24"/>
        </w:rPr>
        <w:t xml:space="preserve">University of Wales Trinity Saint David (UWTSD) (n.d.-b) </w:t>
      </w:r>
      <w:r>
        <w:rPr>
          <w:i/>
          <w:sz w:val="24"/>
        </w:rPr>
        <w:t>Week 4 – Group Decision Making</w:t>
      </w:r>
      <w:r>
        <w:rPr>
          <w:sz w:val="24"/>
        </w:rPr>
        <w:t xml:space="preserve"> [PowerPoint presentation]. Available at: https://moodle.uwtsd.ac.uk/mod/resource/view.php?id=505861 (Accessed: 4 October 2026).</w:t>
      </w:r>
    </w:p>
    <w:p w14:paraId="1F67BBAA" w14:textId="77777777" w:rsidR="008D5D6E" w:rsidRPr="008173D9" w:rsidRDefault="008D5D6E" w:rsidP="008D5D6E">
      <w:pPr>
        <w:pStyle w:val="ListParagraph"/>
        <w:jc w:val="both"/>
        <w:rPr>
          <w:rFonts w:cstheme="minorHAnsi"/>
          <w:sz w:val="24"/>
          <w:szCs w:val="24"/>
        </w:rPr>
      </w:pPr>
    </w:p>
    <w:sectPr w:rsidR="008D5D6E" w:rsidRPr="008173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A6BFE" w14:textId="77777777" w:rsidR="000E7C12" w:rsidRPr="002203CA" w:rsidRDefault="000E7C12" w:rsidP="002203CA">
      <w:pPr>
        <w:spacing w:after="0" w:line="240" w:lineRule="auto"/>
      </w:pPr>
      <w:r w:rsidRPr="002203CA">
        <w:separator/>
      </w:r>
    </w:p>
  </w:endnote>
  <w:endnote w:type="continuationSeparator" w:id="0">
    <w:p w14:paraId="3D91CED2" w14:textId="77777777" w:rsidR="000E7C12" w:rsidRPr="002203CA" w:rsidRDefault="000E7C12"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B525D" w14:textId="77777777" w:rsidR="000E7C12" w:rsidRPr="002203CA" w:rsidRDefault="000E7C12" w:rsidP="002203CA">
      <w:pPr>
        <w:spacing w:after="0" w:line="240" w:lineRule="auto"/>
      </w:pPr>
      <w:r w:rsidRPr="002203CA">
        <w:separator/>
      </w:r>
    </w:p>
  </w:footnote>
  <w:footnote w:type="continuationSeparator" w:id="0">
    <w:p w14:paraId="79897B37" w14:textId="77777777" w:rsidR="000E7C12" w:rsidRPr="002203CA" w:rsidRDefault="000E7C12"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477FC8"/>
    <w:multiLevelType w:val="hybridMultilevel"/>
    <w:tmpl w:val="D9229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1293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313C"/>
    <w:rsid w:val="00015C93"/>
    <w:rsid w:val="0003647C"/>
    <w:rsid w:val="000404DF"/>
    <w:rsid w:val="00053694"/>
    <w:rsid w:val="00065F1D"/>
    <w:rsid w:val="000A6A63"/>
    <w:rsid w:val="000B4D05"/>
    <w:rsid w:val="000D5528"/>
    <w:rsid w:val="000E1E15"/>
    <w:rsid w:val="000E7C12"/>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164FC"/>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0A44"/>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3AA5"/>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173D9"/>
    <w:rsid w:val="008304BB"/>
    <w:rsid w:val="008403C1"/>
    <w:rsid w:val="00855C5E"/>
    <w:rsid w:val="00884D33"/>
    <w:rsid w:val="00891FB9"/>
    <w:rsid w:val="008A3741"/>
    <w:rsid w:val="008D2E35"/>
    <w:rsid w:val="008D5D6E"/>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A44"/>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5F3AA5"/>
    <w:pPr>
      <w:ind w:left="720"/>
      <w:contextualSpacing/>
    </w:pPr>
  </w:style>
  <w:style w:type="character" w:styleId="Hyperlink">
    <w:name w:val="Hyperlink"/>
    <w:basedOn w:val="DefaultParagraphFont"/>
    <w:uiPriority w:val="99"/>
    <w:unhideWhenUsed/>
    <w:rsid w:val="0001313C"/>
    <w:rPr>
      <w:color w:val="0563C1" w:themeColor="hyperlink"/>
      <w:u w:val="single"/>
    </w:rPr>
  </w:style>
  <w:style w:type="character" w:styleId="UnresolvedMention">
    <w:name w:val="Unresolved Mention"/>
    <w:basedOn w:val="DefaultParagraphFont"/>
    <w:uiPriority w:val="99"/>
    <w:semiHidden/>
    <w:unhideWhenUsed/>
    <w:rsid w:val="00013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youtube.com/watch?v=OZxoeE31-0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oodle.uwtsd.ac.uk/mod/resource/view.php?id=505861" TargetMode="External"/><Relationship Id="rId2" Type="http://schemas.openxmlformats.org/officeDocument/2006/relationships/numbering" Target="numbering.xml"/><Relationship Id="rId16" Type="http://schemas.openxmlformats.org/officeDocument/2006/relationships/hyperlink" Target="https://moodle.uwtsd.ac.uk/mod/page/view.php?id=47532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kilmanndiagnostics.com/a-brief-overview-tki/"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oodle.uwtsd.ac.uk/course/section.php?id=1448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2237</Words>
  <Characters>12756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Bogdan Moga</cp:lastModifiedBy>
  <cp:revision>193</cp:revision>
  <dcterms:created xsi:type="dcterms:W3CDTF">2026-07-14T08:03:00Z</dcterms:created>
  <dcterms:modified xsi:type="dcterms:W3CDTF">2026-10-04T21:58:00Z</dcterms:modified>
</cp:coreProperties>
</file>