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1C3F6A" w14:textId="77777777" w:rsidR="00920D1B" w:rsidRDefault="009A3FCA">
      <w:r>
        <w:t>This essay is going to explain the significance of marriage and divorce laws within Judaism. Why men and women are expected to marry. The purpose of marriage within Judaism and why it is important to procreate. The importance of a dowry given by the father and the change of law with inheritance to benefit the daughter. How a woman was betrothed and overtime how it was changed. The significance of a ketubah and the impact it had on the marriage</w:t>
      </w:r>
      <w:r w:rsidR="00286C0C">
        <w:t>.</w:t>
      </w:r>
      <w:r>
        <w:t xml:space="preserve"> The rules on purity concerning niddah.</w:t>
      </w:r>
      <w:r w:rsidR="00286C0C">
        <w:t xml:space="preserve"> It is going to explain the three major steps that decrease the vulnerability of the married woman been sent away by the husband regarding divorce. The significance of a why a man could never obtain a divorce concerning rape and a false accusation that his wife was not a virgin. It is going to explain the reasons on why a woman becomes a </w:t>
      </w:r>
      <w:proofErr w:type="spellStart"/>
      <w:r w:rsidR="00286C0C">
        <w:t>agunah</w:t>
      </w:r>
      <w:proofErr w:type="spellEnd"/>
      <w:r w:rsidR="00286C0C">
        <w:t xml:space="preserve">, also regarding the </w:t>
      </w:r>
      <w:proofErr w:type="spellStart"/>
      <w:r w:rsidR="00286C0C">
        <w:t>yevamah</w:t>
      </w:r>
      <w:proofErr w:type="spellEnd"/>
      <w:r w:rsidR="00286C0C">
        <w:t xml:space="preserve">. A brief explanation on the passage from Deuteronomy explaining </w:t>
      </w:r>
      <w:proofErr w:type="spellStart"/>
      <w:r w:rsidR="00286C0C">
        <w:t>leviate</w:t>
      </w:r>
      <w:proofErr w:type="spellEnd"/>
      <w:r w:rsidR="00286C0C">
        <w:t xml:space="preserve"> marriage and </w:t>
      </w:r>
      <w:proofErr w:type="spellStart"/>
      <w:r w:rsidR="00286C0C">
        <w:t>halitzah</w:t>
      </w:r>
      <w:proofErr w:type="spellEnd"/>
      <w:r w:rsidR="00286C0C">
        <w:t xml:space="preserve">. </w:t>
      </w:r>
      <w:proofErr w:type="gramStart"/>
      <w:r w:rsidR="00286C0C">
        <w:t>Finally  why</w:t>
      </w:r>
      <w:proofErr w:type="gramEnd"/>
      <w:r w:rsidR="00286C0C">
        <w:t xml:space="preserve"> the bible states a man could not remarry his first wife.</w:t>
      </w:r>
    </w:p>
    <w:p w14:paraId="17B991DD" w14:textId="65706F8F" w:rsidR="004D2C61" w:rsidRDefault="004D2C61">
      <w:r>
        <w:t xml:space="preserve">In Judaism marriage engages the whole personality and has sacred qualities. It is a contractual bond that is commanded by God. Any man that does not marry </w:t>
      </w:r>
      <w:proofErr w:type="gramStart"/>
      <w:r>
        <w:t>is seen as</w:t>
      </w:r>
      <w:proofErr w:type="gramEnd"/>
      <w:r>
        <w:t xml:space="preserve"> incomplete. ‘A man without a woman is doomed to an existence without joy, without blessing, without experiencing life’s true goodness, without Torah, without protection and without peace.’</w:t>
      </w:r>
      <w:r>
        <w:rPr>
          <w:rStyle w:val="FootnoteReference"/>
        </w:rPr>
        <w:footnoteReference w:id="1"/>
      </w:r>
      <w:r w:rsidR="0066051D">
        <w:t xml:space="preserve"> Yet there is no law for why a woman should marry. Marriage has two purposes. The first</w:t>
      </w:r>
      <w:r w:rsidR="00586098">
        <w:t xml:space="preserve"> been companionship and self-fulfilment</w:t>
      </w:r>
      <w:r w:rsidR="0066051D">
        <w:t>. “It is not good for a man to be alone, I will make a fitting helper for him.”</w:t>
      </w:r>
      <w:r w:rsidR="0066051D">
        <w:rPr>
          <w:rStyle w:val="FootnoteReference"/>
        </w:rPr>
        <w:footnoteReference w:id="2"/>
      </w:r>
      <w:r w:rsidR="0066051D">
        <w:t>So it appears that women were created to help men.</w:t>
      </w:r>
      <w:r w:rsidR="0066051D">
        <w:rPr>
          <w:rStyle w:val="FootnoteReference"/>
        </w:rPr>
        <w:footnoteReference w:id="3"/>
      </w:r>
      <w:r w:rsidR="0066051D">
        <w:t xml:space="preserve"> The second purpose of marriage was procreation.</w:t>
      </w:r>
      <w:r w:rsidR="009B7760">
        <w:t xml:space="preserve"> “Be fruitful and multiply.”</w:t>
      </w:r>
      <w:r w:rsidR="009B7760">
        <w:rPr>
          <w:rStyle w:val="FootnoteReference"/>
        </w:rPr>
        <w:footnoteReference w:id="4"/>
      </w:r>
      <w:r w:rsidR="009B7760">
        <w:t xml:space="preserve"> Procreation was not just a life-style choice it was a commandment. Not to procreate was likened to three things, murder, lessening of the divine image and causing the divine presence to depart from the community of Israel.</w:t>
      </w:r>
      <w:r w:rsidR="009B7760">
        <w:rPr>
          <w:rStyle w:val="FootnoteReference"/>
        </w:rPr>
        <w:footnoteReference w:id="5"/>
      </w:r>
    </w:p>
    <w:p w14:paraId="3E4678B7" w14:textId="52CFA253" w:rsidR="009B7760" w:rsidRDefault="007570E1">
      <w:r>
        <w:t xml:space="preserve">A father </w:t>
      </w:r>
      <w:r w:rsidR="00B7353B">
        <w:t xml:space="preserve">is expected to give his daughter a dowry when she marries. The more money he has the larger the dowry should be. The minimum amount he could give her is fifty </w:t>
      </w:r>
      <w:proofErr w:type="spellStart"/>
      <w:r w:rsidR="00B7353B">
        <w:t>zuz</w:t>
      </w:r>
      <w:proofErr w:type="spellEnd"/>
      <w:r w:rsidR="00B7353B">
        <w:t xml:space="preserve">. If the father refused it was then the </w:t>
      </w:r>
      <w:proofErr w:type="gramStart"/>
      <w:r w:rsidR="00B7353B">
        <w:t>grooms</w:t>
      </w:r>
      <w:proofErr w:type="gramEnd"/>
      <w:r w:rsidR="00B7353B">
        <w:t xml:space="preserve"> responsibility to cloth her while she was still in the father’s home.</w:t>
      </w:r>
      <w:r w:rsidR="00B7353B">
        <w:rPr>
          <w:rStyle w:val="FootnoteReference"/>
        </w:rPr>
        <w:footnoteReference w:id="6"/>
      </w:r>
      <w:r w:rsidR="00B7353B">
        <w:t xml:space="preserve">It makes no difference what the husband does with the dowry money as long as he accepts responsibility for it and returns it to her when the marriage ends, either by divorce or death. </w:t>
      </w:r>
      <w:r w:rsidR="00864C00">
        <w:t xml:space="preserve">The bible teaches us that </w:t>
      </w:r>
      <w:r w:rsidR="00873EFF">
        <w:t>when a man dies his money passes to his sons</w:t>
      </w:r>
      <w:r w:rsidR="00873EFF">
        <w:rPr>
          <w:rStyle w:val="FootnoteReference"/>
        </w:rPr>
        <w:footnoteReference w:id="7"/>
      </w:r>
      <w:r w:rsidR="00873EFF">
        <w:t xml:space="preserve"> Only if he has no sons would it then to be passed to a daughter. The sons would inherit money and property and the daughters would have a dowry and be maintained. When a daughter marries, she would lose her maintenance but keep her dowry.</w:t>
      </w:r>
      <w:r w:rsidR="00873EFF">
        <w:rPr>
          <w:rStyle w:val="FootnoteReference"/>
        </w:rPr>
        <w:footnoteReference w:id="8"/>
      </w:r>
      <w:r w:rsidR="00873EFF">
        <w:t>The laws were changed to that if a father died before the daughter was married she was</w:t>
      </w:r>
      <w:r w:rsidR="00586098">
        <w:t xml:space="preserve"> entitled</w:t>
      </w:r>
      <w:r w:rsidR="00873EFF">
        <w:t xml:space="preserve"> to a dowry equal to a tenth of his estate.” Rabbis could introduce a legislation that frustrates, Torah Law, providing their goal is worthy. </w:t>
      </w:r>
      <w:proofErr w:type="gramStart"/>
      <w:r w:rsidR="00873EFF">
        <w:t>It is clear that they</w:t>
      </w:r>
      <w:proofErr w:type="gramEnd"/>
      <w:r w:rsidR="00873EFF">
        <w:t xml:space="preserve"> are legislating against the simple Torah rule that daughters do not inherit for the purpose of keeping the Torah in line with social justice.”</w:t>
      </w:r>
      <w:r w:rsidR="00873EFF">
        <w:rPr>
          <w:rStyle w:val="FootnoteReference"/>
        </w:rPr>
        <w:footnoteReference w:id="9"/>
      </w:r>
    </w:p>
    <w:p w14:paraId="4C754C05" w14:textId="77777777" w:rsidR="00E84E54" w:rsidRDefault="00C101EB">
      <w:r>
        <w:t>The Mishna teaches us that a woman is acquired in three ways and buys herself (back) in two ways. She is bought by money, a document, or sexual intercourse. She buys herself back with a get or by means of the death of her husband.</w:t>
      </w:r>
      <w:r>
        <w:rPr>
          <w:rStyle w:val="FootnoteReference"/>
        </w:rPr>
        <w:footnoteReference w:id="10"/>
      </w:r>
      <w:r w:rsidR="00450DB4">
        <w:t xml:space="preserve"> The rabbis ruled that such a practice was against Jewish morality “</w:t>
      </w:r>
      <w:proofErr w:type="spellStart"/>
      <w:r w:rsidR="00450DB4">
        <w:t>Rav</w:t>
      </w:r>
      <w:proofErr w:type="spellEnd"/>
      <w:r w:rsidR="00450DB4">
        <w:t xml:space="preserve"> punished any man who betrothed a woman with intercourse.”</w:t>
      </w:r>
      <w:r w:rsidR="00450DB4">
        <w:rPr>
          <w:rStyle w:val="FootnoteReference"/>
        </w:rPr>
        <w:footnoteReference w:id="11"/>
      </w:r>
      <w:r w:rsidR="00450DB4">
        <w:t xml:space="preserve">Overtime there was significant changes to how a woman was betrothed. She was no longer purchased from the father, </w:t>
      </w:r>
      <w:r w:rsidR="00450DB4">
        <w:lastRenderedPageBreak/>
        <w:t>she had to consent to the betrothal and later could even initiate a betrothal.</w:t>
      </w:r>
      <w:r w:rsidR="00450DB4">
        <w:rPr>
          <w:rStyle w:val="FootnoteReference"/>
        </w:rPr>
        <w:footnoteReference w:id="12"/>
      </w:r>
      <w:r w:rsidR="00F216E9">
        <w:t>”</w:t>
      </w:r>
      <w:proofErr w:type="spellStart"/>
      <w:r w:rsidR="00F216E9">
        <w:t>Kidushin</w:t>
      </w:r>
      <w:proofErr w:type="spellEnd"/>
      <w:r w:rsidR="00F216E9">
        <w:t>-betroth</w:t>
      </w:r>
      <w:r w:rsidR="00177D67">
        <w:t>al is a</w:t>
      </w:r>
      <w:r w:rsidR="00F216E9">
        <w:t xml:space="preserve"> legal act that creates a binding relationship between a Jewish man and a Jewish woman. The man would normally give an item of value (a ring) and declare “You are set aside to me according to the laws of Moses and Israel “They are now </w:t>
      </w:r>
      <w:proofErr w:type="gramStart"/>
      <w:r w:rsidR="00F216E9">
        <w:t>betrothed</w:t>
      </w:r>
      <w:proofErr w:type="gramEnd"/>
      <w:r w:rsidR="00F216E9">
        <w:t xml:space="preserve"> and the woman is sexually forbidden to any other man.”</w:t>
      </w:r>
      <w:r w:rsidR="00F216E9">
        <w:rPr>
          <w:rStyle w:val="FootnoteReference"/>
        </w:rPr>
        <w:footnoteReference w:id="13"/>
      </w:r>
      <w:r w:rsidR="000A0687">
        <w:t>The betrothal and marriage ceremony use to take place a year apart. Today they are joined together into one ceremony.</w:t>
      </w:r>
    </w:p>
    <w:p w14:paraId="1FA9A429" w14:textId="77777777" w:rsidR="000A0687" w:rsidRDefault="00177D67">
      <w:r>
        <w:t xml:space="preserve">The Ketubah is a prenuptial contract. It defines the obligations of the man and woman during the marriage. It guarantees support for the wife upon divorce and death. It is written in </w:t>
      </w:r>
      <w:proofErr w:type="spellStart"/>
      <w:r>
        <w:t>Aromaic</w:t>
      </w:r>
      <w:proofErr w:type="spellEnd"/>
      <w:r>
        <w:t>, the legal language of Talmudic Law. It reinstates the conditions that the Torah says the husband should provide for his wife with food, clothing and sexual satisfaction. He should ransom her if she was taken capture and</w:t>
      </w:r>
      <w:r w:rsidR="00D0419A">
        <w:t xml:space="preserve"> provide her with a proper buria</w:t>
      </w:r>
      <w:r>
        <w:t>l.</w:t>
      </w:r>
      <w:r w:rsidR="00D0419A">
        <w:rPr>
          <w:rStyle w:val="FootnoteReference"/>
        </w:rPr>
        <w:footnoteReference w:id="14"/>
      </w:r>
      <w:r w:rsidR="00D0419A">
        <w:t xml:space="preserve">It is designed to protect the </w:t>
      </w:r>
      <w:proofErr w:type="gramStart"/>
      <w:r w:rsidR="00D0419A">
        <w:t>wife</w:t>
      </w:r>
      <w:proofErr w:type="gramEnd"/>
      <w:r w:rsidR="00D0419A">
        <w:t xml:space="preserve"> so the husband would think twice about divorcing her easily. The Ketubah is an important document it consolidates basic rights for women. The patriarchal construction of marriage was greatly altered. Marriage became a relationship which two people </w:t>
      </w:r>
      <w:proofErr w:type="gramStart"/>
      <w:r w:rsidR="00D0419A">
        <w:t>entered into</w:t>
      </w:r>
      <w:proofErr w:type="gramEnd"/>
      <w:r w:rsidR="00D0419A">
        <w:t xml:space="preserve">. The husband and wife were not on an equal </w:t>
      </w:r>
      <w:proofErr w:type="gramStart"/>
      <w:r w:rsidR="00D0419A">
        <w:t>footing</w:t>
      </w:r>
      <w:proofErr w:type="gramEnd"/>
      <w:r w:rsidR="00D0419A">
        <w:t xml:space="preserve"> but they worked out the details together and for themselves.</w:t>
      </w:r>
      <w:r w:rsidR="00D0419A">
        <w:rPr>
          <w:rStyle w:val="FootnoteReference"/>
        </w:rPr>
        <w:footnoteReference w:id="15"/>
      </w:r>
    </w:p>
    <w:p w14:paraId="587217E0" w14:textId="28C9A888" w:rsidR="008E38C4" w:rsidRDefault="00D64095" w:rsidP="008E38C4">
      <w:r>
        <w:t>Niddah or (a woman in a state of niddah) meaning a menstruant woman, has a defined status, one who is “excluded”. “Daughter of Israel” is the phrase used for someone who observes the laws of niddah and mikveh. Initially women were in a period of niddah for seven days according to the Torah</w:t>
      </w:r>
      <w:r w:rsidR="002E0E64">
        <w:t>.</w:t>
      </w:r>
      <w:r>
        <w:rPr>
          <w:rStyle w:val="FootnoteReference"/>
        </w:rPr>
        <w:footnoteReference w:id="16"/>
      </w:r>
      <w:r w:rsidR="002E0E64">
        <w:t>The rabbis of the Talmudic period added two further restrictions. They thought that a woman might confuse a discharge of blood other than her regular menstrual period, so they ruled that in every case when a woman discharges blood, she must wait seven clean days before attending the mikvah and resuming sex with her husband. The second restriction was concern for physical contact which may lead to sex during the forbidden period, so the rabbis ruled that for nearly two wee</w:t>
      </w:r>
      <w:r w:rsidR="008E38C4">
        <w:t>ks of ritual impurity husband and wife could not even sleep in the same bed.</w:t>
      </w:r>
      <w:r w:rsidR="008E38C4">
        <w:rPr>
          <w:rStyle w:val="FootnoteReference"/>
        </w:rPr>
        <w:footnoteReference w:id="17"/>
      </w:r>
      <w:r w:rsidR="008E38C4">
        <w:t>”The theory that rules of niddah were p</w:t>
      </w:r>
      <w:r w:rsidR="00511114">
        <w:t>ut</w:t>
      </w:r>
      <w:r w:rsidR="008E38C4">
        <w:t xml:space="preserve"> in place </w:t>
      </w:r>
      <w:proofErr w:type="gramStart"/>
      <w:r w:rsidR="008E38C4">
        <w:t>in order to</w:t>
      </w:r>
      <w:proofErr w:type="gramEnd"/>
      <w:r w:rsidR="008E38C4">
        <w:t xml:space="preserve"> strengthen the marriage and sexual pleasure for husband and wife, is not wholly true. The most likely result after two weeks apart exactly at the time she is most fertile, is increased opportunity for conception.</w:t>
      </w:r>
      <w:r w:rsidR="00D24898">
        <w:t>”</w:t>
      </w:r>
      <w:r w:rsidR="00511114">
        <w:rPr>
          <w:rStyle w:val="FootnoteReference"/>
        </w:rPr>
        <w:footnoteReference w:id="18"/>
      </w:r>
    </w:p>
    <w:p w14:paraId="6C2067C7" w14:textId="2267DE9B" w:rsidR="00A900B2" w:rsidRDefault="00A900B2" w:rsidP="008E38C4">
      <w:r>
        <w:t xml:space="preserve">Three major steps that decrease the vulnerability of the married woman to being </w:t>
      </w:r>
      <w:r w:rsidR="00D24898">
        <w:t xml:space="preserve">“sent away” by the husband. The first change occurred in Mishnaic and Talmud Law. The simple act of divorce in the bible is transformed. Divorce becomes a complex legal </w:t>
      </w:r>
      <w:proofErr w:type="gramStart"/>
      <w:r w:rsidR="00D24898">
        <w:t>procedure</w:t>
      </w:r>
      <w:proofErr w:type="gramEnd"/>
      <w:r w:rsidR="00D24898">
        <w:t xml:space="preserve"> and this serves to protect woman against rash and irrational divorces. The Ketubah guarantees that the divorcee will not be destitute </w:t>
      </w:r>
      <w:proofErr w:type="gramStart"/>
      <w:r w:rsidR="00D24898">
        <w:t>and also</w:t>
      </w:r>
      <w:proofErr w:type="gramEnd"/>
      <w:r w:rsidR="00D24898">
        <w:t xml:space="preserve"> serves as a deterrent against divorcing a wife too easily. Later in the middle ages it requires the woman’s consent for divorce and makes her a negotiating party in the process of divorce rather than a totally passive subject. Woman are still in a position of weakness. A woman cannot divorce her husband.</w:t>
      </w:r>
      <w:r w:rsidR="00511114">
        <w:t xml:space="preserve"> Deuteronomy</w:t>
      </w:r>
      <w:r w:rsidR="00EB23B3">
        <w:t xml:space="preserve"> 24, is the explicit legal text on divorce, it makes no mention what so ever of the w</w:t>
      </w:r>
      <w:r w:rsidR="00511114">
        <w:t>oman’s right to init</w:t>
      </w:r>
      <w:r w:rsidR="00B42423">
        <w:t>i</w:t>
      </w:r>
      <w:r w:rsidR="00EB23B3">
        <w:t xml:space="preserve">ate divorce. The Babylonian Talmud tells us that only one way for a woman to have a divorce, that is by appealing to a Jewish Court to compel her husband to divorce her. The Talmud states what conditions warrant such court action. There were three major categories. The first been when a husband is afflicted by various physical ailments or characteristics which are deemed unendurable for the wife. Even if the wife knew about the conditions before they were married it did not mean that she had to abide it. </w:t>
      </w:r>
      <w:r w:rsidR="00751824">
        <w:t xml:space="preserve">Knowing about the condition is not the same as having to live with it every day. Two physical conditions are considered too offensive for a woman to endure, </w:t>
      </w:r>
      <w:proofErr w:type="gramStart"/>
      <w:r w:rsidR="00751824">
        <w:t>‘ boils</w:t>
      </w:r>
      <w:proofErr w:type="gramEnd"/>
      <w:r w:rsidR="00751824">
        <w:t xml:space="preserve"> (a skin disease)</w:t>
      </w:r>
      <w:r w:rsidR="00B42423">
        <w:t xml:space="preserve"> and a “polypus” chronic bad nasal sm</w:t>
      </w:r>
      <w:r w:rsidR="00751824">
        <w:t xml:space="preserve">ell. Certain occupations could cause the husband to have a bad smell, so men who are physically repulsive to their wives because of </w:t>
      </w:r>
      <w:proofErr w:type="gramStart"/>
      <w:r w:rsidR="00751824">
        <w:t>a medical or occupational conditions</w:t>
      </w:r>
      <w:proofErr w:type="gramEnd"/>
      <w:r w:rsidR="00751824">
        <w:t xml:space="preserve">, are compelled to grant their wives a divorce. The second category of men who must divorce their wives are </w:t>
      </w:r>
      <w:r w:rsidR="00B42423">
        <w:t xml:space="preserve">those who do not fulfil </w:t>
      </w:r>
      <w:r w:rsidR="00751824">
        <w:t xml:space="preserve">their marital obligations and </w:t>
      </w:r>
      <w:proofErr w:type="spellStart"/>
      <w:r w:rsidR="00751824">
        <w:t>onah</w:t>
      </w:r>
      <w:proofErr w:type="spellEnd"/>
      <w:r w:rsidR="00751824">
        <w:t>. If the husband no longer wants to support his wife or have sex with her then he must divorce her. The third reason for a wife divorcing her husband is that she finds him physically repulsive. Then the husband gives the woman her get but she leaves without her ketubah.</w:t>
      </w:r>
      <w:r w:rsidR="00751824">
        <w:rPr>
          <w:rStyle w:val="FootnoteReference"/>
        </w:rPr>
        <w:footnoteReference w:id="19"/>
      </w:r>
    </w:p>
    <w:p w14:paraId="7E61ADF3" w14:textId="77777777" w:rsidR="000A6A18" w:rsidRDefault="000A6A18" w:rsidP="008E38C4">
      <w:r>
        <w:t>Men were not allowed to divorce their wife if she was a virgin and he had raped her. He would have to pay the father fifty (shekels of) silver and she would be his wife, because he had violated her, he could never have the right to divorce her.</w:t>
      </w:r>
      <w:r>
        <w:rPr>
          <w:rStyle w:val="FootnoteReference"/>
        </w:rPr>
        <w:footnoteReference w:id="20"/>
      </w:r>
    </w:p>
    <w:p w14:paraId="393ED9C7" w14:textId="77777777" w:rsidR="000A6A18" w:rsidRDefault="000A6A18" w:rsidP="008E38C4">
      <w:r>
        <w:t>If a man’s false claim that his wife was not a virgin when he married her was disproved,</w:t>
      </w:r>
      <w:r>
        <w:rPr>
          <w:rStyle w:val="FootnoteReference"/>
        </w:rPr>
        <w:footnoteReference w:id="21"/>
      </w:r>
      <w:r>
        <w:t>he could never divorce her. “Why would he bother to accuse her publicly, antagonise her family and humiliate himself in the process when he could have simply divorced her quietly and at will? Because if the charge was upheld, he was released from paying the standard penalty.”</w:t>
      </w:r>
      <w:r>
        <w:rPr>
          <w:rStyle w:val="FootnoteReference"/>
        </w:rPr>
        <w:footnoteReference w:id="22"/>
      </w:r>
    </w:p>
    <w:p w14:paraId="45F692BD" w14:textId="77777777" w:rsidR="00B971B7" w:rsidRDefault="00291686" w:rsidP="008E38C4">
      <w:r>
        <w:t xml:space="preserve">The </w:t>
      </w:r>
      <w:proofErr w:type="spellStart"/>
      <w:r>
        <w:t>agunah</w:t>
      </w:r>
      <w:proofErr w:type="spellEnd"/>
      <w:r>
        <w:t xml:space="preserve"> is a woman whose marriage has ended, but she legally remains a married woman, unable to remarry. The husband no longer lives with </w:t>
      </w:r>
      <w:proofErr w:type="gramStart"/>
      <w:r>
        <w:t>her</w:t>
      </w:r>
      <w:proofErr w:type="gramEnd"/>
      <w:r>
        <w:t xml:space="preserve"> but she is not free to marry another man. There are several situations which cause a woman to become an </w:t>
      </w:r>
      <w:proofErr w:type="spellStart"/>
      <w:r>
        <w:t>agunah</w:t>
      </w:r>
      <w:proofErr w:type="spellEnd"/>
      <w:r>
        <w:t xml:space="preserve">: The husband deserts his wife and </w:t>
      </w:r>
      <w:proofErr w:type="gramStart"/>
      <w:r>
        <w:t>disap</w:t>
      </w:r>
      <w:r w:rsidR="00B971B7">
        <w:t>p</w:t>
      </w:r>
      <w:r>
        <w:t>ears</w:t>
      </w:r>
      <w:proofErr w:type="gramEnd"/>
      <w:r>
        <w:t xml:space="preserve"> or he dies but there is no valid testimony for his death. The husband refuses to divorce his wife despite the threats from a Bet Din. The husband is legally incompetent to grant a divorce (insanity). A woman becomes a </w:t>
      </w:r>
      <w:proofErr w:type="spellStart"/>
      <w:r>
        <w:t>yevamah</w:t>
      </w:r>
      <w:proofErr w:type="spellEnd"/>
      <w:r>
        <w:t xml:space="preserve"> and the </w:t>
      </w:r>
      <w:proofErr w:type="spellStart"/>
      <w:r>
        <w:t>levir</w:t>
      </w:r>
      <w:proofErr w:type="spellEnd"/>
      <w:r>
        <w:t xml:space="preserve"> refuses to perform levirate marriage or </w:t>
      </w:r>
      <w:proofErr w:type="spellStart"/>
      <w:r>
        <w:t>halitzah</w:t>
      </w:r>
      <w:proofErr w:type="spellEnd"/>
      <w:r>
        <w:t>, or his whereabouts are unknown.</w:t>
      </w:r>
      <w:r w:rsidR="00267CB3">
        <w:t xml:space="preserve"> The </w:t>
      </w:r>
      <w:proofErr w:type="spellStart"/>
      <w:r w:rsidR="00267CB3">
        <w:t>yevamah</w:t>
      </w:r>
      <w:proofErr w:type="spellEnd"/>
      <w:r w:rsidR="00267CB3">
        <w:t xml:space="preserve"> is the widow of a man who died without having any children and was survived by a brother. The brother must either marry her or release her by </w:t>
      </w:r>
      <w:proofErr w:type="spellStart"/>
      <w:r w:rsidR="00267CB3">
        <w:t>halitzah</w:t>
      </w:r>
      <w:proofErr w:type="spellEnd"/>
      <w:r w:rsidR="00267CB3">
        <w:t xml:space="preserve"> or by his own death. If the brother does not want to marry her or </w:t>
      </w:r>
      <w:r w:rsidR="00B971B7">
        <w:t xml:space="preserve">perform </w:t>
      </w:r>
      <w:r w:rsidR="00267CB3">
        <w:t xml:space="preserve">the </w:t>
      </w:r>
      <w:proofErr w:type="spellStart"/>
      <w:r w:rsidR="00267CB3">
        <w:t>halitzah</w:t>
      </w:r>
      <w:proofErr w:type="spellEnd"/>
      <w:r w:rsidR="00267CB3">
        <w:t xml:space="preserve">, she becomes an </w:t>
      </w:r>
      <w:proofErr w:type="spellStart"/>
      <w:r w:rsidR="00267CB3">
        <w:t>agunah</w:t>
      </w:r>
      <w:proofErr w:type="spellEnd"/>
      <w:r w:rsidR="00267CB3">
        <w:t>.</w:t>
      </w:r>
      <w:r w:rsidR="00B971B7">
        <w:t xml:space="preserve"> </w:t>
      </w:r>
    </w:p>
    <w:p w14:paraId="1F682E69" w14:textId="77777777" w:rsidR="00291686" w:rsidRDefault="00B971B7" w:rsidP="008E38C4">
      <w:r>
        <w:t>When a levirate marriage must be performed,</w:t>
      </w:r>
      <w:r>
        <w:rPr>
          <w:rStyle w:val="FootnoteReference"/>
        </w:rPr>
        <w:footnoteReference w:id="23"/>
      </w:r>
      <w:r>
        <w:t xml:space="preserve">the eldest brother has the highest obligation to perform </w:t>
      </w:r>
      <w:proofErr w:type="spellStart"/>
      <w:proofErr w:type="gramStart"/>
      <w:r>
        <w:t>yibum</w:t>
      </w:r>
      <w:proofErr w:type="spellEnd"/>
      <w:proofErr w:type="gramEnd"/>
      <w:r>
        <w:t xml:space="preserve"> but any brother can do this. Yet if no brother wishes to marry the </w:t>
      </w:r>
      <w:proofErr w:type="spellStart"/>
      <w:r>
        <w:t>yevamah</w:t>
      </w:r>
      <w:proofErr w:type="spellEnd"/>
      <w:r>
        <w:t xml:space="preserve"> then it is the duty of the eldest brother to release her by </w:t>
      </w:r>
      <w:proofErr w:type="spellStart"/>
      <w:r>
        <w:t>halitzah</w:t>
      </w:r>
      <w:proofErr w:type="spellEnd"/>
      <w:r>
        <w:t>.</w:t>
      </w:r>
    </w:p>
    <w:p w14:paraId="12AF2B2F" w14:textId="77777777" w:rsidR="00B971B7" w:rsidRDefault="00B971B7" w:rsidP="008E38C4">
      <w:r>
        <w:t xml:space="preserve">If a man divorces his wife and she remarries and that husband divorces </w:t>
      </w:r>
      <w:proofErr w:type="gramStart"/>
      <w:r>
        <w:t>her</w:t>
      </w:r>
      <w:proofErr w:type="gramEnd"/>
      <w:r>
        <w:t xml:space="preserve"> or he dies, the first husband is not permitted to marry her again, because she has been defiled and that would be abhorrent to the Lord.</w:t>
      </w:r>
      <w:r>
        <w:rPr>
          <w:rStyle w:val="FootnoteReference"/>
        </w:rPr>
        <w:footnoteReference w:id="24"/>
      </w:r>
    </w:p>
    <w:p w14:paraId="767E5137" w14:textId="635C4FB5" w:rsidR="00D31B31" w:rsidRDefault="00D31B31" w:rsidP="008E38C4">
      <w:r>
        <w:t xml:space="preserve">Marriage within Judaism is a contractual bond that is commanded by god. The purpose been companionship and procreation. Throughout history laws were changed to benefit woman. Rabbis could introduce new legislations that frustrates, Torah Law, providing their goal was worthy. The Ketubah was an important document that consolidated basic rights for women. The patriarchal construction of marriage was greatly altered, although within marriage men and women were never fully equal. Rabbis introduced many laws regarding divorce to benefit woman. The Ketubah guarantees that the divorcee would not be destitute. The woman then had to consent to divorce making her a negotiating party, </w:t>
      </w:r>
      <w:proofErr w:type="gramStart"/>
      <w:r>
        <w:t>than</w:t>
      </w:r>
      <w:proofErr w:type="gramEnd"/>
      <w:r>
        <w:t xml:space="preserve"> a totally passive subject.</w:t>
      </w:r>
      <w:r w:rsidR="00121F8B">
        <w:t xml:space="preserve"> The woman could appeal to a Jewish court to compel her husband to divorce her.</w:t>
      </w:r>
      <w:r>
        <w:t xml:space="preserve"> </w:t>
      </w:r>
      <w:r w:rsidR="00121F8B">
        <w:t xml:space="preserve">The woman who is an </w:t>
      </w:r>
      <w:proofErr w:type="spellStart"/>
      <w:r w:rsidR="00121F8B">
        <w:t>agunah</w:t>
      </w:r>
      <w:proofErr w:type="spellEnd"/>
      <w:r w:rsidR="00121F8B">
        <w:t xml:space="preserve"> due to the death or disappearance of her husband or the husband who is legally incompetent to grant a divorce or the husband who just refuses to grant his wife a get, is still happening today. The significance of this is rabbis </w:t>
      </w:r>
      <w:proofErr w:type="gramStart"/>
      <w:r w:rsidR="00121F8B">
        <w:t>are able to</w:t>
      </w:r>
      <w:proofErr w:type="gramEnd"/>
      <w:r w:rsidR="00121F8B">
        <w:t xml:space="preserve"> change laws to benefit woman so why then have they not changed the divorce laws regarding an </w:t>
      </w:r>
      <w:proofErr w:type="spellStart"/>
      <w:r w:rsidR="00121F8B">
        <w:t>agunah</w:t>
      </w:r>
      <w:proofErr w:type="spellEnd"/>
      <w:r w:rsidR="00121F8B">
        <w:t>, principles of paternalism and hierarchy rather than of equality of male and female.</w:t>
      </w:r>
    </w:p>
    <w:p w14:paraId="676AB5BB" w14:textId="03CAC51E" w:rsidR="00BD7697" w:rsidRDefault="00BD7697" w:rsidP="008E38C4"/>
    <w:p w14:paraId="14F8BEE2" w14:textId="5C4334CB" w:rsidR="00BD7697" w:rsidRDefault="00BD7697" w:rsidP="008E38C4">
      <w:proofErr w:type="spellStart"/>
      <w:proofErr w:type="gramStart"/>
      <w:r>
        <w:t>Biale</w:t>
      </w:r>
      <w:proofErr w:type="spellEnd"/>
      <w:r>
        <w:t xml:space="preserve"> ,Rachel</w:t>
      </w:r>
      <w:proofErr w:type="gramEnd"/>
      <w:r>
        <w:t xml:space="preserve"> ,</w:t>
      </w:r>
      <w:r w:rsidRPr="00BD7697">
        <w:rPr>
          <w:i/>
        </w:rPr>
        <w:t>’Women and Jewish Law’</w:t>
      </w:r>
      <w:r>
        <w:rPr>
          <w:i/>
        </w:rPr>
        <w:t xml:space="preserve"> </w:t>
      </w:r>
      <w:r>
        <w:t xml:space="preserve">(New York : </w:t>
      </w:r>
      <w:proofErr w:type="spellStart"/>
      <w:r>
        <w:t>Schocken</w:t>
      </w:r>
      <w:proofErr w:type="spellEnd"/>
      <w:r>
        <w:t xml:space="preserve"> Books Inc ,1995)</w:t>
      </w:r>
    </w:p>
    <w:p w14:paraId="194D294A" w14:textId="70FE82BF" w:rsidR="00BD7697" w:rsidRDefault="00BD7697" w:rsidP="008E38C4">
      <w:proofErr w:type="gramStart"/>
      <w:r>
        <w:t>Danby ,D</w:t>
      </w:r>
      <w:proofErr w:type="gramEnd"/>
      <w:r>
        <w:t xml:space="preserve">.D, Herbert,’ </w:t>
      </w:r>
      <w:r w:rsidRPr="00BD7697">
        <w:rPr>
          <w:i/>
        </w:rPr>
        <w:t>The Mishnah’</w:t>
      </w:r>
      <w:r>
        <w:rPr>
          <w:i/>
        </w:rPr>
        <w:t xml:space="preserve"> </w:t>
      </w:r>
      <w:r>
        <w:t>(Oxford: At the Clarendon Press , 1933)</w:t>
      </w:r>
    </w:p>
    <w:p w14:paraId="66FE997F" w14:textId="14FDD284" w:rsidR="00D0419A" w:rsidRDefault="00DC51F1">
      <w:r>
        <w:t xml:space="preserve">Gold Rabbi </w:t>
      </w:r>
      <w:proofErr w:type="gramStart"/>
      <w:r>
        <w:t>Michael ,</w:t>
      </w:r>
      <w:proofErr w:type="gramEnd"/>
      <w:r>
        <w:t xml:space="preserve"> ‘</w:t>
      </w:r>
      <w:r w:rsidRPr="00DC51F1">
        <w:rPr>
          <w:i/>
        </w:rPr>
        <w:t>DOES GOD BELONG IN THE BEDROOM</w:t>
      </w:r>
      <w:r>
        <w:t xml:space="preserve">?’ (Philadelphia: The Jewish Publication </w:t>
      </w:r>
      <w:proofErr w:type="gramStart"/>
      <w:r>
        <w:t>Society ,</w:t>
      </w:r>
      <w:proofErr w:type="gramEnd"/>
      <w:r>
        <w:t xml:space="preserve"> 1998)</w:t>
      </w:r>
    </w:p>
    <w:p w14:paraId="6881CCB2" w14:textId="40A81D8F" w:rsidR="00DC51F1" w:rsidRDefault="00DC51F1">
      <w:r>
        <w:t xml:space="preserve">Greenberg Blu, </w:t>
      </w:r>
      <w:proofErr w:type="gramStart"/>
      <w:r>
        <w:t xml:space="preserve">‘ </w:t>
      </w:r>
      <w:r w:rsidRPr="00DC51F1">
        <w:rPr>
          <w:i/>
        </w:rPr>
        <w:t>On</w:t>
      </w:r>
      <w:proofErr w:type="gramEnd"/>
      <w:r w:rsidRPr="00DC51F1">
        <w:rPr>
          <w:i/>
        </w:rPr>
        <w:t xml:space="preserve"> Women And Judaism, A View from Tradition’</w:t>
      </w:r>
      <w:r>
        <w:rPr>
          <w:i/>
        </w:rPr>
        <w:t xml:space="preserve"> </w:t>
      </w:r>
      <w:r>
        <w:t>(Philadelphia: The Jewish Publication Society , 1998)</w:t>
      </w:r>
    </w:p>
    <w:p w14:paraId="0C82D5A9" w14:textId="76E0454A" w:rsidR="00DC51F1" w:rsidRDefault="00DC51F1">
      <w:r>
        <w:t xml:space="preserve">Hauptman </w:t>
      </w:r>
      <w:proofErr w:type="gramStart"/>
      <w:r>
        <w:t>Judith ,</w:t>
      </w:r>
      <w:proofErr w:type="gramEnd"/>
      <w:r>
        <w:t xml:space="preserve"> ‘</w:t>
      </w:r>
      <w:r w:rsidRPr="00DC51F1">
        <w:rPr>
          <w:i/>
        </w:rPr>
        <w:t>Rereading the Rabbis A Woman’s Voice’</w:t>
      </w:r>
      <w:r>
        <w:rPr>
          <w:i/>
        </w:rPr>
        <w:t xml:space="preserve"> </w:t>
      </w:r>
      <w:r>
        <w:t>(Colorado: Westview Press , 1998)</w:t>
      </w:r>
    </w:p>
    <w:p w14:paraId="14CF1F52" w14:textId="4B88C2A9" w:rsidR="00DC51F1" w:rsidRDefault="00DC51F1">
      <w:proofErr w:type="spellStart"/>
      <w:r>
        <w:t>Labovite</w:t>
      </w:r>
      <w:proofErr w:type="spellEnd"/>
      <w:r>
        <w:t xml:space="preserve"> , Gail , With Righteousness And with the Justice ‘ A Journal of Jewish Women’s Studies &amp; Gender Issues , 31 ( 2017)</w:t>
      </w:r>
      <w:bookmarkStart w:id="0" w:name="_GoBack"/>
      <w:bookmarkEnd w:id="0"/>
    </w:p>
    <w:sectPr w:rsidR="00DC51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7A49D8" w14:textId="77777777" w:rsidR="00DE2DAE" w:rsidRDefault="00DE2DAE" w:rsidP="004D2C61">
      <w:pPr>
        <w:spacing w:after="0"/>
      </w:pPr>
      <w:r>
        <w:separator/>
      </w:r>
    </w:p>
  </w:endnote>
  <w:endnote w:type="continuationSeparator" w:id="0">
    <w:p w14:paraId="426FC806" w14:textId="77777777" w:rsidR="00DE2DAE" w:rsidRDefault="00DE2DAE" w:rsidP="004D2C6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BFE27" w14:textId="77777777" w:rsidR="00DE2DAE" w:rsidRDefault="00DE2DAE" w:rsidP="004D2C61">
      <w:pPr>
        <w:spacing w:after="0"/>
      </w:pPr>
      <w:r>
        <w:separator/>
      </w:r>
    </w:p>
  </w:footnote>
  <w:footnote w:type="continuationSeparator" w:id="0">
    <w:p w14:paraId="3C6214EE" w14:textId="77777777" w:rsidR="00DE2DAE" w:rsidRDefault="00DE2DAE" w:rsidP="004D2C61">
      <w:pPr>
        <w:spacing w:after="0"/>
      </w:pPr>
      <w:r>
        <w:continuationSeparator/>
      </w:r>
    </w:p>
  </w:footnote>
  <w:footnote w:id="1">
    <w:p w14:paraId="19C9C47B" w14:textId="58887509" w:rsidR="004D2C61" w:rsidRDefault="0066051D">
      <w:pPr>
        <w:pStyle w:val="FootnoteText"/>
      </w:pPr>
      <w:r>
        <w:rPr>
          <w:rStyle w:val="FootnoteReference"/>
        </w:rPr>
        <w:footnoteRef/>
      </w:r>
      <w:r w:rsidR="004D2C61">
        <w:rPr>
          <w:rStyle w:val="FootnoteReference"/>
        </w:rPr>
        <w:footnoteRef/>
      </w:r>
      <w:r w:rsidR="005159E4">
        <w:t xml:space="preserve">  (Talmud, Yevamot</w:t>
      </w:r>
      <w:r>
        <w:t>62b)</w:t>
      </w:r>
    </w:p>
    <w:p w14:paraId="6C836A3D" w14:textId="77777777" w:rsidR="0066051D" w:rsidRDefault="0066051D">
      <w:pPr>
        <w:pStyle w:val="FootnoteText"/>
      </w:pPr>
    </w:p>
  </w:footnote>
  <w:footnote w:id="2">
    <w:p w14:paraId="088F91E9" w14:textId="77777777" w:rsidR="0066051D" w:rsidRDefault="0066051D">
      <w:pPr>
        <w:pStyle w:val="FootnoteText"/>
      </w:pPr>
      <w:r>
        <w:rPr>
          <w:rStyle w:val="FootnoteReference"/>
        </w:rPr>
        <w:footnoteRef/>
      </w:r>
      <w:r>
        <w:t xml:space="preserve"> (Genesis 2:18.)</w:t>
      </w:r>
    </w:p>
  </w:footnote>
  <w:footnote w:id="3">
    <w:p w14:paraId="06DD52EB" w14:textId="07483816" w:rsidR="0066051D" w:rsidRDefault="0066051D">
      <w:pPr>
        <w:pStyle w:val="FootnoteText"/>
      </w:pPr>
      <w:r>
        <w:rPr>
          <w:rStyle w:val="FootnoteReference"/>
        </w:rPr>
        <w:footnoteRef/>
      </w:r>
      <w:r>
        <w:t xml:space="preserve"> (Ketu</w:t>
      </w:r>
      <w:r w:rsidR="005159E4">
        <w:t>both</w:t>
      </w:r>
      <w:r>
        <w:t>5.5.)</w:t>
      </w:r>
    </w:p>
  </w:footnote>
  <w:footnote w:id="4">
    <w:p w14:paraId="73C2A87B" w14:textId="77777777" w:rsidR="009B7760" w:rsidRDefault="009B7760">
      <w:pPr>
        <w:pStyle w:val="FootnoteText"/>
      </w:pPr>
      <w:r>
        <w:rPr>
          <w:rStyle w:val="FootnoteReference"/>
        </w:rPr>
        <w:footnoteRef/>
      </w:r>
      <w:r>
        <w:t xml:space="preserve"> (Gen 1:28.)</w:t>
      </w:r>
    </w:p>
  </w:footnote>
  <w:footnote w:id="5">
    <w:p w14:paraId="0DC66FD9" w14:textId="6B97F0EA" w:rsidR="009B7760" w:rsidRDefault="009B7760">
      <w:pPr>
        <w:pStyle w:val="FootnoteText"/>
      </w:pPr>
      <w:r>
        <w:rPr>
          <w:rStyle w:val="FootnoteReference"/>
        </w:rPr>
        <w:footnoteRef/>
      </w:r>
      <w:r>
        <w:t xml:space="preserve"> Rachel </w:t>
      </w:r>
      <w:proofErr w:type="spellStart"/>
      <w:r>
        <w:t>Biale</w:t>
      </w:r>
      <w:proofErr w:type="spellEnd"/>
      <w:r>
        <w:t>,</w:t>
      </w:r>
      <w:r w:rsidR="00586098">
        <w:t>’</w:t>
      </w:r>
      <w:r>
        <w:t xml:space="preserve"> </w:t>
      </w:r>
      <w:r w:rsidRPr="00586098">
        <w:rPr>
          <w:i/>
        </w:rPr>
        <w:t>Woman and Jewish Law</w:t>
      </w:r>
      <w:r w:rsidR="00586098" w:rsidRPr="00586098">
        <w:rPr>
          <w:i/>
        </w:rPr>
        <w:t>’</w:t>
      </w:r>
      <w:r>
        <w:t xml:space="preserve"> </w:t>
      </w:r>
      <w:r w:rsidR="00C101EB">
        <w:t>(New York</w:t>
      </w:r>
      <w:r>
        <w:t>:</w:t>
      </w:r>
      <w:r w:rsidR="00C101EB">
        <w:t xml:space="preserve"> </w:t>
      </w:r>
      <w:proofErr w:type="spellStart"/>
      <w:r>
        <w:t>Schocken</w:t>
      </w:r>
      <w:proofErr w:type="spellEnd"/>
      <w:r>
        <w:t xml:space="preserve"> Books Inc,1995), p.62</w:t>
      </w:r>
    </w:p>
  </w:footnote>
  <w:footnote w:id="6">
    <w:p w14:paraId="10BD805F" w14:textId="5350D5F1" w:rsidR="00B7353B" w:rsidRDefault="00B7353B">
      <w:pPr>
        <w:pStyle w:val="FootnoteText"/>
      </w:pPr>
      <w:r>
        <w:rPr>
          <w:rStyle w:val="FootnoteReference"/>
        </w:rPr>
        <w:footnoteRef/>
      </w:r>
      <w:r w:rsidR="00B42423">
        <w:t xml:space="preserve"> (Ket</w:t>
      </w:r>
      <w:r>
        <w:t>65a.)</w:t>
      </w:r>
    </w:p>
  </w:footnote>
  <w:footnote w:id="7">
    <w:p w14:paraId="50F27A40" w14:textId="0C83ED24" w:rsidR="00873EFF" w:rsidRDefault="00873EFF" w:rsidP="00586098">
      <w:pPr>
        <w:pStyle w:val="FootnoteText"/>
        <w:tabs>
          <w:tab w:val="left" w:pos="3510"/>
        </w:tabs>
      </w:pPr>
      <w:r>
        <w:rPr>
          <w:rStyle w:val="FootnoteReference"/>
        </w:rPr>
        <w:footnoteRef/>
      </w:r>
      <w:r>
        <w:t xml:space="preserve"> (Numbers 27:1-11.)</w:t>
      </w:r>
      <w:r w:rsidR="00586098">
        <w:tab/>
      </w:r>
    </w:p>
  </w:footnote>
  <w:footnote w:id="8">
    <w:p w14:paraId="0148DCDE" w14:textId="435EC4F7" w:rsidR="00873EFF" w:rsidRDefault="00873EFF">
      <w:pPr>
        <w:pStyle w:val="FootnoteText"/>
      </w:pPr>
      <w:r>
        <w:rPr>
          <w:rStyle w:val="FootnoteReference"/>
        </w:rPr>
        <w:footnoteRef/>
      </w:r>
      <w:r w:rsidR="00B42423">
        <w:t xml:space="preserve"> (Ket</w:t>
      </w:r>
      <w:r>
        <w:t>4.11.)</w:t>
      </w:r>
    </w:p>
  </w:footnote>
  <w:footnote w:id="9">
    <w:p w14:paraId="634DEE8A" w14:textId="19B33EFB" w:rsidR="00873EFF" w:rsidRDefault="00873EFF">
      <w:pPr>
        <w:pStyle w:val="FootnoteText"/>
      </w:pPr>
      <w:r>
        <w:rPr>
          <w:rStyle w:val="FootnoteReference"/>
        </w:rPr>
        <w:footnoteRef/>
      </w:r>
      <w:r>
        <w:t xml:space="preserve"> Judith Hauptman, </w:t>
      </w:r>
      <w:r w:rsidR="00586098">
        <w:t>‘</w:t>
      </w:r>
      <w:r w:rsidRPr="00586098">
        <w:rPr>
          <w:i/>
        </w:rPr>
        <w:t>Rereading the Rabbis A Woman’s Voice</w:t>
      </w:r>
      <w:r w:rsidR="00586098" w:rsidRPr="00586098">
        <w:rPr>
          <w:i/>
        </w:rPr>
        <w:t>’</w:t>
      </w:r>
      <w:r w:rsidR="00C101EB">
        <w:t xml:space="preserve"> </w:t>
      </w:r>
      <w:r>
        <w:t>(Colorado:</w:t>
      </w:r>
      <w:r w:rsidR="00C101EB">
        <w:t xml:space="preserve"> </w:t>
      </w:r>
      <w:r w:rsidR="00450DB4">
        <w:t>Westview Press,1998</w:t>
      </w:r>
      <w:proofErr w:type="gramStart"/>
      <w:r w:rsidR="00450DB4">
        <w:t>)</w:t>
      </w:r>
      <w:r w:rsidR="00C101EB">
        <w:t xml:space="preserve"> </w:t>
      </w:r>
      <w:r w:rsidR="00450DB4">
        <w:t>.P</w:t>
      </w:r>
      <w:proofErr w:type="gramEnd"/>
      <w:r w:rsidR="00E84E54">
        <w:t>184</w:t>
      </w:r>
    </w:p>
  </w:footnote>
  <w:footnote w:id="10">
    <w:p w14:paraId="3FC4FF52" w14:textId="22D4113F" w:rsidR="00C101EB" w:rsidRDefault="00C101EB">
      <w:pPr>
        <w:pStyle w:val="FootnoteText"/>
      </w:pPr>
      <w:r>
        <w:rPr>
          <w:rStyle w:val="FootnoteReference"/>
        </w:rPr>
        <w:footnoteRef/>
      </w:r>
      <w:r w:rsidR="005159E4">
        <w:t>(Kiddushin</w:t>
      </w:r>
      <w:r w:rsidR="00450DB4">
        <w:t>1:1)</w:t>
      </w:r>
      <w:r>
        <w:t xml:space="preserve"> </w:t>
      </w:r>
    </w:p>
  </w:footnote>
  <w:footnote w:id="11">
    <w:p w14:paraId="0383D445" w14:textId="713A7D15" w:rsidR="00450DB4" w:rsidRDefault="00450DB4">
      <w:pPr>
        <w:pStyle w:val="FootnoteText"/>
      </w:pPr>
      <w:r>
        <w:rPr>
          <w:rStyle w:val="FootnoteReference"/>
        </w:rPr>
        <w:footnoteRef/>
      </w:r>
      <w:r>
        <w:t xml:space="preserve"> Rabbi Michael Gold,</w:t>
      </w:r>
      <w:r w:rsidR="00586098">
        <w:t>’</w:t>
      </w:r>
      <w:r>
        <w:t xml:space="preserve"> </w:t>
      </w:r>
      <w:r w:rsidRPr="00586098">
        <w:rPr>
          <w:i/>
        </w:rPr>
        <w:t>DOES GOD BELONG IN THE BEDROOM?</w:t>
      </w:r>
      <w:r w:rsidR="00586098" w:rsidRPr="00586098">
        <w:rPr>
          <w:i/>
        </w:rPr>
        <w:t>’</w:t>
      </w:r>
      <w:r>
        <w:t xml:space="preserve"> (Philadelphia: The Jewish Publication Society,1992). P64</w:t>
      </w:r>
    </w:p>
  </w:footnote>
  <w:footnote w:id="12">
    <w:p w14:paraId="7373089F" w14:textId="18FF9473" w:rsidR="00450DB4" w:rsidRDefault="00450DB4">
      <w:pPr>
        <w:pStyle w:val="FootnoteText"/>
      </w:pPr>
      <w:r>
        <w:rPr>
          <w:rStyle w:val="FootnoteReference"/>
        </w:rPr>
        <w:footnoteRef/>
      </w:r>
      <w:r w:rsidR="005159E4">
        <w:t xml:space="preserve"> (Kiddushin</w:t>
      </w:r>
      <w:r>
        <w:t>6b</w:t>
      </w:r>
      <w:r w:rsidR="00F216E9">
        <w:t>-7a.)</w:t>
      </w:r>
    </w:p>
  </w:footnote>
  <w:footnote w:id="13">
    <w:p w14:paraId="1F1EA663" w14:textId="77777777" w:rsidR="00F216E9" w:rsidRDefault="00F216E9">
      <w:pPr>
        <w:pStyle w:val="FootnoteText"/>
      </w:pPr>
      <w:r>
        <w:rPr>
          <w:rStyle w:val="FootnoteReference"/>
        </w:rPr>
        <w:footnoteRef/>
      </w:r>
      <w:r>
        <w:t xml:space="preserve"> Gail </w:t>
      </w:r>
      <w:proofErr w:type="spellStart"/>
      <w:r>
        <w:t>Labovite</w:t>
      </w:r>
      <w:proofErr w:type="spellEnd"/>
      <w:r>
        <w:t>, ‘</w:t>
      </w:r>
      <w:r w:rsidRPr="00511114">
        <w:rPr>
          <w:i/>
        </w:rPr>
        <w:t>With Righteousness And With Justice’</w:t>
      </w:r>
      <w:r>
        <w:t xml:space="preserve"> A Journal of Jewish Woman’s Studies &amp; Gender Issues,</w:t>
      </w:r>
      <w:proofErr w:type="gramStart"/>
      <w:r>
        <w:t>31,(</w:t>
      </w:r>
      <w:proofErr w:type="gramEnd"/>
      <w:r>
        <w:t>2017),91-92</w:t>
      </w:r>
    </w:p>
  </w:footnote>
  <w:footnote w:id="14">
    <w:p w14:paraId="75E1E9B8" w14:textId="22A79E90" w:rsidR="00D0419A" w:rsidRDefault="00D0419A">
      <w:pPr>
        <w:pStyle w:val="FootnoteText"/>
      </w:pPr>
      <w:r>
        <w:rPr>
          <w:rStyle w:val="FootnoteReference"/>
        </w:rPr>
        <w:footnoteRef/>
      </w:r>
      <w:r>
        <w:rPr>
          <w:rStyle w:val="FootnoteReference"/>
        </w:rPr>
        <w:footnoteRef/>
      </w:r>
      <w:r>
        <w:rPr>
          <w:rStyle w:val="FootnoteReference"/>
        </w:rPr>
        <w:footnoteRef/>
      </w:r>
      <w:r w:rsidR="005159E4">
        <w:t xml:space="preserve"> (Ket</w:t>
      </w:r>
      <w:r>
        <w:t>4:4,51a.)</w:t>
      </w:r>
    </w:p>
  </w:footnote>
  <w:footnote w:id="15">
    <w:p w14:paraId="76D03C2A" w14:textId="1DE92832" w:rsidR="00D0419A" w:rsidRDefault="00D0419A">
      <w:pPr>
        <w:pStyle w:val="FootnoteText"/>
      </w:pPr>
      <w:r>
        <w:rPr>
          <w:rStyle w:val="FootnoteReference"/>
        </w:rPr>
        <w:footnoteRef/>
      </w:r>
      <w:r>
        <w:rPr>
          <w:rStyle w:val="FootnoteReference"/>
        </w:rPr>
        <w:footnoteRef/>
      </w:r>
      <w:r>
        <w:t xml:space="preserve"> Judith Hauptman, ‘</w:t>
      </w:r>
      <w:r w:rsidRPr="00511114">
        <w:rPr>
          <w:i/>
        </w:rPr>
        <w:t xml:space="preserve">Rereading the Rabbis </w:t>
      </w:r>
      <w:proofErr w:type="gramStart"/>
      <w:r w:rsidRPr="00511114">
        <w:rPr>
          <w:i/>
        </w:rPr>
        <w:t>A</w:t>
      </w:r>
      <w:proofErr w:type="gramEnd"/>
      <w:r w:rsidRPr="00511114">
        <w:rPr>
          <w:i/>
        </w:rPr>
        <w:t xml:space="preserve"> Woman’s Voice</w:t>
      </w:r>
      <w:r w:rsidR="00511114" w:rsidRPr="00511114">
        <w:rPr>
          <w:i/>
        </w:rPr>
        <w:t>’</w:t>
      </w:r>
      <w:r w:rsidR="00D64095">
        <w:t xml:space="preserve"> </w:t>
      </w:r>
      <w:r>
        <w:t>(Colorado: Westview Press,1998) P67-68.</w:t>
      </w:r>
    </w:p>
  </w:footnote>
  <w:footnote w:id="16">
    <w:p w14:paraId="2DA10F12" w14:textId="77777777" w:rsidR="00D64095" w:rsidRDefault="00D64095">
      <w:pPr>
        <w:pStyle w:val="FootnoteText"/>
      </w:pPr>
      <w:r>
        <w:rPr>
          <w:rStyle w:val="FootnoteReference"/>
        </w:rPr>
        <w:footnoteRef/>
      </w:r>
      <w:r>
        <w:t xml:space="preserve"> (Leviticus 15:19)</w:t>
      </w:r>
    </w:p>
  </w:footnote>
  <w:footnote w:id="17">
    <w:p w14:paraId="16CBEA1A" w14:textId="3624060E" w:rsidR="008E38C4" w:rsidRDefault="008E38C4">
      <w:pPr>
        <w:pStyle w:val="FootnoteText"/>
      </w:pPr>
      <w:r>
        <w:rPr>
          <w:rStyle w:val="FootnoteReference"/>
        </w:rPr>
        <w:footnoteRef/>
      </w:r>
      <w:r>
        <w:t xml:space="preserve"> Rabbi Michael Gold. ’</w:t>
      </w:r>
      <w:r w:rsidRPr="00511114">
        <w:rPr>
          <w:i/>
        </w:rPr>
        <w:t>DOES GOD BELONG IN THE BEDROOM?</w:t>
      </w:r>
      <w:r w:rsidR="00511114">
        <w:t>’</w:t>
      </w:r>
      <w:r>
        <w:t xml:space="preserve"> (Philadelphia: The Jewish Publication Society,1992.) P87</w:t>
      </w:r>
    </w:p>
  </w:footnote>
  <w:footnote w:id="18">
    <w:p w14:paraId="5B533F1F" w14:textId="57A5CFB3" w:rsidR="00511114" w:rsidRDefault="00511114">
      <w:pPr>
        <w:pStyle w:val="FootnoteText"/>
      </w:pPr>
      <w:r>
        <w:rPr>
          <w:rStyle w:val="FootnoteReference"/>
        </w:rPr>
        <w:footnoteRef/>
      </w:r>
      <w:r>
        <w:t xml:space="preserve"> Judith Hauptman, </w:t>
      </w:r>
      <w:r w:rsidRPr="00511114">
        <w:rPr>
          <w:i/>
        </w:rPr>
        <w:t>’Rereading the Rabbis A Woman’s Voice</w:t>
      </w:r>
      <w:proofErr w:type="gramStart"/>
      <w:r w:rsidRPr="00511114">
        <w:rPr>
          <w:i/>
        </w:rPr>
        <w:t>’</w:t>
      </w:r>
      <w:r>
        <w:t>(</w:t>
      </w:r>
      <w:proofErr w:type="gramEnd"/>
      <w:r>
        <w:t>Colorado: Westview Press,1998) P169-170</w:t>
      </w:r>
    </w:p>
  </w:footnote>
  <w:footnote w:id="19">
    <w:p w14:paraId="6FCC3415" w14:textId="77777777" w:rsidR="00751824" w:rsidRDefault="000A6A18">
      <w:pPr>
        <w:pStyle w:val="FootnoteText"/>
      </w:pPr>
      <w:r>
        <w:rPr>
          <w:rStyle w:val="FootnoteReference"/>
        </w:rPr>
        <w:footnoteRef/>
      </w:r>
      <w:r w:rsidR="00751824">
        <w:rPr>
          <w:rStyle w:val="FootnoteReference"/>
        </w:rPr>
        <w:footnoteRef/>
      </w:r>
      <w:r w:rsidR="00751824">
        <w:t xml:space="preserve"> Rachel </w:t>
      </w:r>
      <w:proofErr w:type="spellStart"/>
      <w:r w:rsidR="00751824">
        <w:t>Biale</w:t>
      </w:r>
      <w:proofErr w:type="spellEnd"/>
      <w:r w:rsidR="00751824">
        <w:t>, ‘</w:t>
      </w:r>
      <w:r w:rsidR="00751824" w:rsidRPr="00B42423">
        <w:rPr>
          <w:i/>
        </w:rPr>
        <w:t>Women and Jewish Law’</w:t>
      </w:r>
      <w:r>
        <w:t xml:space="preserve"> </w:t>
      </w:r>
      <w:r w:rsidR="00751824">
        <w:t>(New York:</w:t>
      </w:r>
      <w:r>
        <w:t xml:space="preserve"> </w:t>
      </w:r>
      <w:proofErr w:type="spellStart"/>
      <w:r>
        <w:t>Schocken</w:t>
      </w:r>
      <w:proofErr w:type="spellEnd"/>
      <w:r>
        <w:t xml:space="preserve"> Books Inc,1995.) P82-84</w:t>
      </w:r>
    </w:p>
  </w:footnote>
  <w:footnote w:id="20">
    <w:p w14:paraId="07F706EA" w14:textId="25B03FF4" w:rsidR="000A6A18" w:rsidRDefault="000A6A18">
      <w:pPr>
        <w:pStyle w:val="FootnoteText"/>
      </w:pPr>
      <w:r>
        <w:rPr>
          <w:rStyle w:val="FootnoteReference"/>
        </w:rPr>
        <w:footnoteRef/>
      </w:r>
      <w:r w:rsidR="00B42423">
        <w:t xml:space="preserve"> (Deut</w:t>
      </w:r>
      <w:r>
        <w:t>22:28.)</w:t>
      </w:r>
    </w:p>
  </w:footnote>
  <w:footnote w:id="21">
    <w:p w14:paraId="2AD0E719" w14:textId="1716C5F6" w:rsidR="000A6A18" w:rsidRDefault="000A6A18">
      <w:pPr>
        <w:pStyle w:val="FootnoteText"/>
      </w:pPr>
      <w:r>
        <w:rPr>
          <w:rStyle w:val="FootnoteReference"/>
        </w:rPr>
        <w:footnoteRef/>
      </w:r>
      <w:r w:rsidR="00B42423">
        <w:t xml:space="preserve"> (Deut</w:t>
      </w:r>
      <w:r>
        <w:t>22:13-19.)</w:t>
      </w:r>
    </w:p>
  </w:footnote>
  <w:footnote w:id="22">
    <w:p w14:paraId="2B3E6461" w14:textId="77777777" w:rsidR="000A6A18" w:rsidRDefault="000A6A18">
      <w:pPr>
        <w:pStyle w:val="FootnoteText"/>
      </w:pPr>
      <w:r>
        <w:rPr>
          <w:rStyle w:val="FootnoteReference"/>
        </w:rPr>
        <w:footnoteRef/>
      </w:r>
      <w:r>
        <w:t xml:space="preserve"> Blu Greenberg, ‘</w:t>
      </w:r>
      <w:r w:rsidRPr="00B42423">
        <w:rPr>
          <w:i/>
        </w:rPr>
        <w:t xml:space="preserve">On Woman and Judaism </w:t>
      </w:r>
      <w:proofErr w:type="gramStart"/>
      <w:r w:rsidRPr="00B42423">
        <w:rPr>
          <w:i/>
        </w:rPr>
        <w:t>A</w:t>
      </w:r>
      <w:proofErr w:type="gramEnd"/>
      <w:r w:rsidRPr="00B42423">
        <w:rPr>
          <w:i/>
        </w:rPr>
        <w:t xml:space="preserve"> View From Tradition’</w:t>
      </w:r>
      <w:r>
        <w:t xml:space="preserve"> (Philadelphia: The Jewish Publication Society,1998.) P125-126</w:t>
      </w:r>
    </w:p>
  </w:footnote>
  <w:footnote w:id="23">
    <w:p w14:paraId="139D9CDB" w14:textId="064B41AD" w:rsidR="00B971B7" w:rsidRDefault="00B971B7">
      <w:pPr>
        <w:pStyle w:val="FootnoteText"/>
      </w:pPr>
      <w:r>
        <w:rPr>
          <w:rStyle w:val="FootnoteReference"/>
        </w:rPr>
        <w:footnoteRef/>
      </w:r>
      <w:r>
        <w:t xml:space="preserve"> (Deut</w:t>
      </w:r>
      <w:r w:rsidR="00B42423">
        <w:t>25:5-10.)</w:t>
      </w:r>
    </w:p>
  </w:footnote>
  <w:footnote w:id="24">
    <w:p w14:paraId="20973934" w14:textId="3552EF8A" w:rsidR="00B971B7" w:rsidRDefault="00B971B7">
      <w:pPr>
        <w:pStyle w:val="FootnoteText"/>
      </w:pPr>
      <w:r>
        <w:rPr>
          <w:rStyle w:val="FootnoteReference"/>
        </w:rPr>
        <w:footnoteRef/>
      </w:r>
      <w:r>
        <w:t xml:space="preserve"> </w:t>
      </w:r>
      <w:r w:rsidR="00B42423">
        <w:t>(Deut</w:t>
      </w:r>
      <w:r w:rsidR="008D7616">
        <w:t>24:1-4.)</w:t>
      </w:r>
      <w:r w:rsidR="00121F8B">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FCA"/>
    <w:rsid w:val="000A0687"/>
    <w:rsid w:val="000A6A18"/>
    <w:rsid w:val="00121F8B"/>
    <w:rsid w:val="00177D67"/>
    <w:rsid w:val="00260B63"/>
    <w:rsid w:val="00267CB3"/>
    <w:rsid w:val="00286B7A"/>
    <w:rsid w:val="00286C0C"/>
    <w:rsid w:val="00291686"/>
    <w:rsid w:val="002E0E64"/>
    <w:rsid w:val="00367580"/>
    <w:rsid w:val="00450DB4"/>
    <w:rsid w:val="004D2C61"/>
    <w:rsid w:val="00511114"/>
    <w:rsid w:val="005159E4"/>
    <w:rsid w:val="00586098"/>
    <w:rsid w:val="005D6087"/>
    <w:rsid w:val="0066051D"/>
    <w:rsid w:val="00751824"/>
    <w:rsid w:val="007570E1"/>
    <w:rsid w:val="00864C00"/>
    <w:rsid w:val="00873EFF"/>
    <w:rsid w:val="008D7616"/>
    <w:rsid w:val="008E38C4"/>
    <w:rsid w:val="00920D1B"/>
    <w:rsid w:val="009A3FCA"/>
    <w:rsid w:val="009B7760"/>
    <w:rsid w:val="00A475B5"/>
    <w:rsid w:val="00A900B2"/>
    <w:rsid w:val="00B42423"/>
    <w:rsid w:val="00B7353B"/>
    <w:rsid w:val="00B971B7"/>
    <w:rsid w:val="00BD7697"/>
    <w:rsid w:val="00C101EB"/>
    <w:rsid w:val="00C54791"/>
    <w:rsid w:val="00D0419A"/>
    <w:rsid w:val="00D24898"/>
    <w:rsid w:val="00D31B31"/>
    <w:rsid w:val="00D64095"/>
    <w:rsid w:val="00DC51F1"/>
    <w:rsid w:val="00DE2DAE"/>
    <w:rsid w:val="00E84E54"/>
    <w:rsid w:val="00EB23B3"/>
    <w:rsid w:val="00F21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DF83D"/>
  <w15:chartTrackingRefBased/>
  <w15:docId w15:val="{3E1C446D-E478-4BF2-BDED-30D388479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D2C61"/>
    <w:pPr>
      <w:spacing w:after="0"/>
    </w:pPr>
    <w:rPr>
      <w:sz w:val="20"/>
      <w:szCs w:val="20"/>
    </w:rPr>
  </w:style>
  <w:style w:type="character" w:customStyle="1" w:styleId="FootnoteTextChar">
    <w:name w:val="Footnote Text Char"/>
    <w:basedOn w:val="DefaultParagraphFont"/>
    <w:link w:val="FootnoteText"/>
    <w:uiPriority w:val="99"/>
    <w:semiHidden/>
    <w:rsid w:val="004D2C61"/>
    <w:rPr>
      <w:sz w:val="20"/>
      <w:szCs w:val="20"/>
    </w:rPr>
  </w:style>
  <w:style w:type="character" w:styleId="FootnoteReference">
    <w:name w:val="footnote reference"/>
    <w:basedOn w:val="DefaultParagraphFont"/>
    <w:uiPriority w:val="99"/>
    <w:semiHidden/>
    <w:unhideWhenUsed/>
    <w:rsid w:val="004D2C61"/>
    <w:rPr>
      <w:vertAlign w:val="superscript"/>
    </w:rPr>
  </w:style>
  <w:style w:type="paragraph" w:styleId="Header">
    <w:name w:val="header"/>
    <w:basedOn w:val="Normal"/>
    <w:link w:val="HeaderChar"/>
    <w:uiPriority w:val="99"/>
    <w:unhideWhenUsed/>
    <w:rsid w:val="00511114"/>
    <w:pPr>
      <w:tabs>
        <w:tab w:val="center" w:pos="4513"/>
        <w:tab w:val="right" w:pos="9026"/>
      </w:tabs>
      <w:spacing w:after="0"/>
    </w:pPr>
  </w:style>
  <w:style w:type="character" w:customStyle="1" w:styleId="HeaderChar">
    <w:name w:val="Header Char"/>
    <w:basedOn w:val="DefaultParagraphFont"/>
    <w:link w:val="Header"/>
    <w:uiPriority w:val="99"/>
    <w:rsid w:val="00511114"/>
  </w:style>
  <w:style w:type="paragraph" w:styleId="Footer">
    <w:name w:val="footer"/>
    <w:basedOn w:val="Normal"/>
    <w:link w:val="FooterChar"/>
    <w:uiPriority w:val="99"/>
    <w:unhideWhenUsed/>
    <w:rsid w:val="00511114"/>
    <w:pPr>
      <w:tabs>
        <w:tab w:val="center" w:pos="4513"/>
        <w:tab w:val="right" w:pos="9026"/>
      </w:tabs>
      <w:spacing w:after="0"/>
    </w:pPr>
  </w:style>
  <w:style w:type="character" w:customStyle="1" w:styleId="FooterChar">
    <w:name w:val="Footer Char"/>
    <w:basedOn w:val="DefaultParagraphFont"/>
    <w:link w:val="Footer"/>
    <w:uiPriority w:val="99"/>
    <w:rsid w:val="005111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85B19-24C6-4056-9902-D279F949D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1802</Words>
  <Characters>10273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2</cp:revision>
  <dcterms:created xsi:type="dcterms:W3CDTF">2017-11-12T11:13:00Z</dcterms:created>
  <dcterms:modified xsi:type="dcterms:W3CDTF">2017-11-12T11:13:00Z</dcterms:modified>
</cp:coreProperties>
</file>