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D30FA3" w14:textId="77777777" w:rsidR="00AE32D4" w:rsidRDefault="00E859D2">
      <w:pPr>
        <w:pStyle w:val="normal0"/>
        <w:pBdr>
          <w:top w:val="nil"/>
          <w:left w:val="nil"/>
          <w:bottom w:val="nil"/>
          <w:right w:val="nil"/>
          <w:between w:val="nil"/>
        </w:pBdr>
        <w:ind w:left="-180" w:right="-334"/>
        <w:rPr>
          <w:rFonts w:ascii="Georgia" w:eastAsia="Georgia" w:hAnsi="Georgia" w:cs="Georgia"/>
          <w:color w:val="000000"/>
          <w:sz w:val="21"/>
          <w:szCs w:val="21"/>
        </w:rPr>
      </w:pPr>
      <w:r>
        <w:rPr>
          <w:rFonts w:ascii="Georgia" w:eastAsia="Georgia" w:hAnsi="Georgia" w:cs="Georgia"/>
          <w:noProof/>
          <w:color w:val="000000"/>
          <w:sz w:val="21"/>
          <w:szCs w:val="21"/>
          <w:lang w:val="en-US"/>
        </w:rPr>
        <w:drawing>
          <wp:inline distT="0" distB="0" distL="114300" distR="114300" wp14:anchorId="70610EA4" wp14:editId="567B9865">
            <wp:extent cx="1908175" cy="6356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08175" cy="635635"/>
                    </a:xfrm>
                    <a:prstGeom prst="rect">
                      <a:avLst/>
                    </a:prstGeom>
                    <a:ln/>
                  </pic:spPr>
                </pic:pic>
              </a:graphicData>
            </a:graphic>
          </wp:inline>
        </w:drawing>
      </w:r>
    </w:p>
    <w:p w14:paraId="5A0BB748" w14:textId="77777777" w:rsidR="00AE32D4" w:rsidRDefault="00AE32D4">
      <w:pPr>
        <w:pStyle w:val="normal0"/>
        <w:pBdr>
          <w:top w:val="nil"/>
          <w:left w:val="nil"/>
          <w:bottom w:val="nil"/>
          <w:right w:val="nil"/>
          <w:between w:val="nil"/>
        </w:pBdr>
        <w:ind w:left="-180" w:right="-334"/>
        <w:rPr>
          <w:rFonts w:ascii="Georgia" w:eastAsia="Georgia" w:hAnsi="Georgia" w:cs="Georgia"/>
          <w:color w:val="000000"/>
          <w:sz w:val="21"/>
          <w:szCs w:val="21"/>
        </w:rPr>
      </w:pPr>
    </w:p>
    <w:p w14:paraId="0E832D03" w14:textId="77777777" w:rsidR="00AE32D4" w:rsidRDefault="00AE32D4">
      <w:pPr>
        <w:pStyle w:val="normal0"/>
        <w:pBdr>
          <w:top w:val="nil"/>
          <w:left w:val="nil"/>
          <w:bottom w:val="nil"/>
          <w:right w:val="nil"/>
          <w:between w:val="nil"/>
        </w:pBdr>
        <w:ind w:left="-180" w:right="-334"/>
        <w:rPr>
          <w:rFonts w:ascii="Georgia" w:eastAsia="Georgia" w:hAnsi="Georgia" w:cs="Georgia"/>
          <w:color w:val="000000"/>
          <w:sz w:val="21"/>
          <w:szCs w:val="21"/>
        </w:rPr>
      </w:pPr>
    </w:p>
    <w:p w14:paraId="59627620" w14:textId="77777777" w:rsidR="00AE32D4" w:rsidRDefault="00E859D2">
      <w:pPr>
        <w:pStyle w:val="normal0"/>
        <w:pBdr>
          <w:top w:val="nil"/>
          <w:left w:val="nil"/>
          <w:bottom w:val="nil"/>
          <w:right w:val="nil"/>
          <w:between w:val="nil"/>
        </w:pBdr>
        <w:ind w:left="-180" w:right="-334"/>
        <w:jc w:val="center"/>
        <w:rPr>
          <w:rFonts w:ascii="Arial" w:eastAsia="Arial" w:hAnsi="Arial" w:cs="Arial"/>
          <w:color w:val="000000"/>
          <w:sz w:val="28"/>
          <w:szCs w:val="28"/>
        </w:rPr>
      </w:pPr>
      <w:r>
        <w:rPr>
          <w:rFonts w:ascii="Arial" w:eastAsia="Arial" w:hAnsi="Arial" w:cs="Arial"/>
          <w:b/>
          <w:color w:val="000000"/>
          <w:sz w:val="28"/>
          <w:szCs w:val="28"/>
        </w:rPr>
        <w:t xml:space="preserve">Postgraduate/Distance Learning </w:t>
      </w:r>
    </w:p>
    <w:p w14:paraId="315A7FA5" w14:textId="77777777" w:rsidR="00AE32D4" w:rsidRDefault="00E859D2">
      <w:pPr>
        <w:pStyle w:val="normal0"/>
        <w:pBdr>
          <w:top w:val="nil"/>
          <w:left w:val="nil"/>
          <w:bottom w:val="nil"/>
          <w:right w:val="nil"/>
          <w:between w:val="nil"/>
        </w:pBdr>
        <w:ind w:left="-180" w:right="-334"/>
        <w:jc w:val="center"/>
        <w:rPr>
          <w:rFonts w:ascii="Arial" w:eastAsia="Arial" w:hAnsi="Arial" w:cs="Arial"/>
          <w:color w:val="000000"/>
          <w:sz w:val="28"/>
          <w:szCs w:val="28"/>
        </w:rPr>
      </w:pPr>
      <w:r>
        <w:rPr>
          <w:rFonts w:ascii="Arial" w:eastAsia="Arial" w:hAnsi="Arial" w:cs="Arial"/>
          <w:b/>
          <w:color w:val="000000"/>
          <w:sz w:val="28"/>
          <w:szCs w:val="28"/>
        </w:rPr>
        <w:t>Assignment coversheet &amp; feedback form</w:t>
      </w:r>
    </w:p>
    <w:p w14:paraId="77DFA47F" w14:textId="77777777" w:rsidR="00AE32D4" w:rsidRDefault="00AE32D4">
      <w:pPr>
        <w:pStyle w:val="normal0"/>
        <w:rPr>
          <w:rFonts w:ascii="Arial" w:eastAsia="Arial" w:hAnsi="Arial" w:cs="Arial"/>
          <w:sz w:val="28"/>
          <w:szCs w:val="28"/>
        </w:rPr>
      </w:pPr>
    </w:p>
    <w:p w14:paraId="59B687E2" w14:textId="77777777" w:rsidR="00AE32D4" w:rsidRDefault="00E859D2">
      <w:pPr>
        <w:pStyle w:val="Heading3"/>
        <w:jc w:val="center"/>
      </w:pPr>
      <w:r>
        <w:t>THIS SHEET MUST BE THE FIRST PAGE OF THE ASSIGNMENT YOU ARE SUBMITTING  (DO NOT SEND AS A SEPARATE FILE)</w:t>
      </w:r>
    </w:p>
    <w:p w14:paraId="4A87CABC" w14:textId="77777777" w:rsidR="00AE32D4" w:rsidRDefault="00AE32D4">
      <w:pPr>
        <w:pStyle w:val="Heading3"/>
        <w:jc w:val="center"/>
        <w:rPr>
          <w:rFonts w:ascii="Trebuchet MS" w:eastAsia="Trebuchet MS" w:hAnsi="Trebuchet MS" w:cs="Trebuchet MS"/>
        </w:rPr>
      </w:pPr>
    </w:p>
    <w:p w14:paraId="56795BC6" w14:textId="77777777" w:rsidR="00E859D2" w:rsidRDefault="00E859D2" w:rsidP="00E859D2">
      <w:pPr>
        <w:pStyle w:val="z-TopofForm"/>
      </w:pPr>
      <w:r>
        <w:t>Top of Form</w:t>
      </w: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423"/>
        <w:gridCol w:w="1557"/>
        <w:gridCol w:w="286"/>
        <w:gridCol w:w="1802"/>
      </w:tblGrid>
      <w:tr w:rsidR="00AE32D4" w14:paraId="2AC3E766" w14:textId="77777777">
        <w:trPr>
          <w:trHeight w:val="600"/>
        </w:trPr>
        <w:tc>
          <w:tcPr>
            <w:tcW w:w="8856" w:type="dxa"/>
            <w:gridSpan w:val="5"/>
          </w:tcPr>
          <w:p w14:paraId="08C28DBB"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b/>
                <w:color w:val="000000"/>
                <w:sz w:val="22"/>
                <w:szCs w:val="22"/>
              </w:rPr>
              <w:t>For completion by the student</w:t>
            </w:r>
            <w:r>
              <w:rPr>
                <w:rFonts w:ascii="Arial" w:eastAsia="Arial" w:hAnsi="Arial" w:cs="Arial"/>
                <w:color w:val="000000"/>
                <w:sz w:val="22"/>
                <w:szCs w:val="22"/>
              </w:rPr>
              <w:t>:</w:t>
            </w:r>
          </w:p>
        </w:tc>
      </w:tr>
      <w:tr w:rsidR="00AE32D4" w14:paraId="6C19CA2D" w14:textId="77777777">
        <w:trPr>
          <w:trHeight w:val="700"/>
        </w:trPr>
        <w:tc>
          <w:tcPr>
            <w:tcW w:w="8856" w:type="dxa"/>
            <w:gridSpan w:val="5"/>
          </w:tcPr>
          <w:p w14:paraId="3890EAD4"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Student Name: Octavia Sheeps</w:t>
            </w:r>
            <w:r>
              <w:rPr>
                <w:rFonts w:ascii="Arial" w:eastAsia="Arial" w:hAnsi="Arial" w:cs="Arial"/>
                <w:sz w:val="22"/>
                <w:szCs w:val="22"/>
              </w:rPr>
              <w:t>hanks</w:t>
            </w:r>
          </w:p>
          <w:p w14:paraId="2A8D9864" w14:textId="77777777" w:rsidR="00AE32D4" w:rsidRDefault="00AE32D4">
            <w:pPr>
              <w:pStyle w:val="normal0"/>
              <w:pBdr>
                <w:top w:val="nil"/>
                <w:left w:val="nil"/>
                <w:bottom w:val="nil"/>
                <w:right w:val="nil"/>
                <w:between w:val="nil"/>
              </w:pBdr>
              <w:ind w:right="34"/>
              <w:rPr>
                <w:rFonts w:ascii="Arial" w:eastAsia="Arial" w:hAnsi="Arial" w:cs="Arial"/>
                <w:color w:val="000000"/>
                <w:sz w:val="22"/>
                <w:szCs w:val="22"/>
              </w:rPr>
            </w:pPr>
          </w:p>
          <w:p w14:paraId="151BF1D9"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Student </w:t>
            </w:r>
            <w:r>
              <w:rPr>
                <w:rFonts w:ascii="Arial" w:eastAsia="Arial" w:hAnsi="Arial" w:cs="Arial"/>
                <w:b/>
                <w:color w:val="000000"/>
                <w:sz w:val="22"/>
                <w:szCs w:val="22"/>
                <w:u w:val="single"/>
              </w:rPr>
              <w:t>University</w:t>
            </w:r>
            <w:r>
              <w:rPr>
                <w:rFonts w:ascii="Arial" w:eastAsia="Arial" w:hAnsi="Arial" w:cs="Arial"/>
                <w:color w:val="000000"/>
                <w:sz w:val="22"/>
                <w:szCs w:val="22"/>
                <w:u w:val="single"/>
              </w:rPr>
              <w:t xml:space="preserve"> </w:t>
            </w:r>
            <w:r>
              <w:rPr>
                <w:rFonts w:ascii="Arial" w:eastAsia="Arial" w:hAnsi="Arial" w:cs="Arial"/>
                <w:color w:val="000000"/>
                <w:sz w:val="22"/>
                <w:szCs w:val="22"/>
              </w:rPr>
              <w:t>Email: 1604414@student.uwtsd.ac.uk</w:t>
            </w:r>
          </w:p>
        </w:tc>
      </w:tr>
      <w:tr w:rsidR="00AE32D4" w14:paraId="6C502814" w14:textId="77777777">
        <w:trPr>
          <w:trHeight w:val="840"/>
        </w:trPr>
        <w:tc>
          <w:tcPr>
            <w:tcW w:w="4788" w:type="dxa"/>
          </w:tcPr>
          <w:p w14:paraId="346E10F7"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Module code: H</w:t>
            </w:r>
            <w:r>
              <w:rPr>
                <w:rFonts w:ascii="Arial" w:eastAsia="Arial" w:hAnsi="Arial" w:cs="Arial"/>
                <w:sz w:val="22"/>
                <w:szCs w:val="22"/>
              </w:rPr>
              <w:t>PCA7002</w:t>
            </w:r>
          </w:p>
          <w:p w14:paraId="7D8DADDE" w14:textId="77777777" w:rsidR="00AE32D4" w:rsidRDefault="00AE32D4">
            <w:pPr>
              <w:pStyle w:val="normal0"/>
              <w:pBdr>
                <w:top w:val="nil"/>
                <w:left w:val="nil"/>
                <w:bottom w:val="nil"/>
                <w:right w:val="nil"/>
                <w:between w:val="nil"/>
              </w:pBdr>
              <w:ind w:right="34"/>
              <w:rPr>
                <w:rFonts w:ascii="Arial" w:eastAsia="Arial" w:hAnsi="Arial" w:cs="Arial"/>
                <w:color w:val="000000"/>
                <w:sz w:val="22"/>
                <w:szCs w:val="22"/>
              </w:rPr>
            </w:pPr>
          </w:p>
          <w:p w14:paraId="3F540B32"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Module title: </w:t>
            </w:r>
            <w:r>
              <w:rPr>
                <w:rFonts w:ascii="Arial" w:eastAsia="Arial" w:hAnsi="Arial" w:cs="Arial"/>
                <w:sz w:val="22"/>
                <w:szCs w:val="22"/>
              </w:rPr>
              <w:t>Researching Contemporary Cosmologies</w:t>
            </w:r>
          </w:p>
          <w:p w14:paraId="163E4639" w14:textId="77777777" w:rsidR="00AE32D4" w:rsidRDefault="00AE32D4">
            <w:pPr>
              <w:pStyle w:val="normal0"/>
              <w:pBdr>
                <w:top w:val="nil"/>
                <w:left w:val="nil"/>
                <w:bottom w:val="nil"/>
                <w:right w:val="nil"/>
                <w:between w:val="nil"/>
              </w:pBdr>
              <w:ind w:right="34"/>
              <w:rPr>
                <w:rFonts w:ascii="Arial" w:eastAsia="Arial" w:hAnsi="Arial" w:cs="Arial"/>
                <w:color w:val="000000"/>
                <w:sz w:val="22"/>
                <w:szCs w:val="22"/>
              </w:rPr>
            </w:pPr>
          </w:p>
        </w:tc>
        <w:tc>
          <w:tcPr>
            <w:tcW w:w="2266" w:type="dxa"/>
            <w:gridSpan w:val="3"/>
          </w:tcPr>
          <w:p w14:paraId="6E18B000"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Student ID number:</w:t>
            </w:r>
          </w:p>
          <w:p w14:paraId="4424F227" w14:textId="77777777" w:rsidR="00AE32D4" w:rsidRDefault="00AE32D4">
            <w:pPr>
              <w:pStyle w:val="normal0"/>
              <w:pBdr>
                <w:top w:val="nil"/>
                <w:left w:val="nil"/>
                <w:bottom w:val="nil"/>
                <w:right w:val="nil"/>
                <w:between w:val="nil"/>
              </w:pBdr>
              <w:ind w:right="34"/>
              <w:rPr>
                <w:rFonts w:ascii="Arial" w:eastAsia="Arial" w:hAnsi="Arial" w:cs="Arial"/>
                <w:sz w:val="22"/>
                <w:szCs w:val="22"/>
              </w:rPr>
            </w:pPr>
          </w:p>
          <w:p w14:paraId="586A8946" w14:textId="77777777" w:rsidR="00AE32D4" w:rsidRDefault="00E859D2">
            <w:pPr>
              <w:pStyle w:val="normal0"/>
              <w:pBdr>
                <w:top w:val="nil"/>
                <w:left w:val="nil"/>
                <w:bottom w:val="nil"/>
                <w:right w:val="nil"/>
                <w:between w:val="nil"/>
              </w:pBdr>
              <w:ind w:right="34"/>
              <w:rPr>
                <w:rFonts w:ascii="Arial" w:eastAsia="Arial" w:hAnsi="Arial" w:cs="Arial"/>
                <w:sz w:val="22"/>
                <w:szCs w:val="22"/>
              </w:rPr>
            </w:pPr>
            <w:r>
              <w:rPr>
                <w:rFonts w:ascii="Arial" w:eastAsia="Arial" w:hAnsi="Arial" w:cs="Arial"/>
                <w:sz w:val="22"/>
                <w:szCs w:val="22"/>
              </w:rPr>
              <w:t>1604414</w:t>
            </w:r>
          </w:p>
        </w:tc>
        <w:tc>
          <w:tcPr>
            <w:tcW w:w="1802" w:type="dxa"/>
          </w:tcPr>
          <w:p w14:paraId="0A212ABC"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Educational support needs:</w:t>
            </w:r>
          </w:p>
          <w:p w14:paraId="35711BC8" w14:textId="77777777" w:rsidR="00AE32D4" w:rsidRDefault="00AE32D4">
            <w:pPr>
              <w:pStyle w:val="normal0"/>
              <w:pBdr>
                <w:top w:val="nil"/>
                <w:left w:val="nil"/>
                <w:bottom w:val="nil"/>
                <w:right w:val="nil"/>
                <w:between w:val="nil"/>
              </w:pBdr>
              <w:ind w:right="34"/>
              <w:rPr>
                <w:rFonts w:ascii="Arial" w:eastAsia="Arial" w:hAnsi="Arial" w:cs="Arial"/>
                <w:sz w:val="22"/>
                <w:szCs w:val="22"/>
              </w:rPr>
            </w:pPr>
          </w:p>
          <w:p w14:paraId="4F4384F2"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Yes</w:t>
            </w:r>
          </w:p>
        </w:tc>
      </w:tr>
      <w:tr w:rsidR="00AE32D4" w14:paraId="2CB2283A" w14:textId="77777777">
        <w:trPr>
          <w:trHeight w:val="1120"/>
        </w:trPr>
        <w:tc>
          <w:tcPr>
            <w:tcW w:w="8856" w:type="dxa"/>
            <w:gridSpan w:val="5"/>
          </w:tcPr>
          <w:p w14:paraId="5A1E843F"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 xml:space="preserve">Assignment title: </w:t>
            </w:r>
            <w:r>
              <w:rPr>
                <w:rFonts w:ascii="Arial" w:eastAsia="Arial" w:hAnsi="Arial" w:cs="Arial"/>
                <w:sz w:val="22"/>
                <w:szCs w:val="22"/>
              </w:rPr>
              <w:t>Compare and contrast the methodologies used in Brink, T. L., 1978, ‘Inconsistency of Belief among Roman Catholic Girls: Concerning Religion, Astrology, Reincarnation.’ and Walter, T. &amp; Waterhouse, H., 1999, ‘A Very Private Belief: Reincarnation in Contemporary England’.</w:t>
            </w:r>
          </w:p>
          <w:p w14:paraId="5FC43DD3" w14:textId="77777777" w:rsidR="00AE32D4" w:rsidRDefault="00AE32D4">
            <w:pPr>
              <w:pStyle w:val="normal0"/>
              <w:pBdr>
                <w:top w:val="nil"/>
                <w:left w:val="nil"/>
                <w:bottom w:val="nil"/>
                <w:right w:val="nil"/>
                <w:between w:val="nil"/>
              </w:pBdr>
              <w:ind w:right="34"/>
              <w:rPr>
                <w:rFonts w:ascii="Arial" w:eastAsia="Arial" w:hAnsi="Arial" w:cs="Arial"/>
                <w:color w:val="000000"/>
                <w:sz w:val="22"/>
                <w:szCs w:val="22"/>
              </w:rPr>
            </w:pPr>
          </w:p>
          <w:p w14:paraId="0684B8CC"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Assignment due date: 25th Mar</w:t>
            </w:r>
            <w:r>
              <w:rPr>
                <w:rFonts w:ascii="Arial" w:eastAsia="Arial" w:hAnsi="Arial" w:cs="Arial"/>
                <w:sz w:val="22"/>
                <w:szCs w:val="22"/>
              </w:rPr>
              <w:t>ch 2019</w:t>
            </w:r>
          </w:p>
        </w:tc>
      </w:tr>
      <w:tr w:rsidR="00AE32D4" w14:paraId="1BBB7C53" w14:textId="77777777">
        <w:trPr>
          <w:trHeight w:val="960"/>
        </w:trPr>
        <w:tc>
          <w:tcPr>
            <w:tcW w:w="8856" w:type="dxa"/>
            <w:gridSpan w:val="5"/>
            <w:tcBorders>
              <w:bottom w:val="single" w:sz="4" w:space="0" w:color="000000"/>
            </w:tcBorders>
          </w:tcPr>
          <w:p w14:paraId="49BE02CD" w14:textId="77777777" w:rsidR="00E859D2" w:rsidRPr="00E859D2" w:rsidRDefault="00E859D2" w:rsidP="00E859D2">
            <w:pPr>
              <w:rPr>
                <w:sz w:val="20"/>
                <w:szCs w:val="20"/>
              </w:rPr>
            </w:pPr>
            <w:r>
              <w:rPr>
                <w:rFonts w:ascii="Arial" w:eastAsia="Arial" w:hAnsi="Arial" w:cs="Arial"/>
                <w:sz w:val="22"/>
                <w:szCs w:val="22"/>
              </w:rPr>
              <w:t>This assignment is for the       1</w:t>
            </w:r>
            <w:r>
              <w:rPr>
                <w:rFonts w:ascii="Arial" w:eastAsia="Arial" w:hAnsi="Arial" w:cs="Arial"/>
                <w:sz w:val="22"/>
                <w:szCs w:val="22"/>
                <w:vertAlign w:val="superscript"/>
              </w:rPr>
              <w:t xml:space="preserve">st </w:t>
            </w:r>
            <w:bookmarkStart w:id="0" w:name="gjdgxs" w:colFirst="0" w:colLast="0"/>
            <w:bookmarkEnd w:id="0"/>
            <w:r>
              <w:rPr>
                <w:rFonts w:ascii="Arial" w:eastAsia="Arial" w:hAnsi="Arial" w:cs="Arial"/>
                <w:sz w:val="22"/>
                <w:szCs w:val="22"/>
              </w:rPr>
              <w:t>☐    2</w:t>
            </w:r>
            <w:r>
              <w:rPr>
                <w:rFonts w:ascii="Arial" w:eastAsia="Arial" w:hAnsi="Arial" w:cs="Arial"/>
                <w:sz w:val="22"/>
                <w:szCs w:val="22"/>
                <w:vertAlign w:val="superscript"/>
              </w:rPr>
              <w:t>nd</w:t>
            </w:r>
            <w:r>
              <w:rPr>
                <w:rFonts w:ascii="Arial" w:eastAsia="Arial" w:hAnsi="Arial" w:cs="Arial"/>
                <w:sz w:val="22"/>
                <w:szCs w:val="22"/>
              </w:rPr>
              <w:t xml:space="preserve"> ☐     3</w:t>
            </w:r>
            <w:r>
              <w:rPr>
                <w:rFonts w:ascii="Arial" w:eastAsia="Arial" w:hAnsi="Arial" w:cs="Arial"/>
                <w:sz w:val="22"/>
                <w:szCs w:val="22"/>
                <w:vertAlign w:val="superscript"/>
              </w:rPr>
              <w:t>rd</w:t>
            </w:r>
            <w:r>
              <w:rPr>
                <w:rFonts w:ascii="Arial" w:eastAsia="Arial" w:hAnsi="Arial" w:cs="Arial"/>
                <w:sz w:val="22"/>
                <w:szCs w:val="22"/>
              </w:rPr>
              <w:t xml:space="preserve"> </w:t>
            </w:r>
            <w:bookmarkStart w:id="1" w:name="1fob9te" w:colFirst="0" w:colLast="0"/>
            <w:bookmarkEnd w:id="1"/>
            <w:r>
              <w:rPr>
                <w:rFonts w:ascii="Arial" w:eastAsia="Arial" w:hAnsi="Arial" w:cs="Arial"/>
                <w:sz w:val="22"/>
                <w:szCs w:val="22"/>
              </w:rPr>
              <w:t>☐      4</w:t>
            </w:r>
            <w:r>
              <w:rPr>
                <w:rFonts w:ascii="Arial" w:eastAsia="Arial" w:hAnsi="Arial" w:cs="Arial"/>
                <w:sz w:val="22"/>
                <w:szCs w:val="22"/>
                <w:vertAlign w:val="superscript"/>
              </w:rPr>
              <w:t>th</w:t>
            </w:r>
            <w:r>
              <w:rPr>
                <w:rFonts w:ascii="Arial" w:eastAsia="Arial" w:hAnsi="Arial" w:cs="Arial"/>
                <w:sz w:val="22"/>
                <w:szCs w:val="22"/>
              </w:rPr>
              <w:t xml:space="preserve"> </w:t>
            </w:r>
            <w:bookmarkStart w:id="2" w:name="3znysh7" w:colFirst="0" w:colLast="0"/>
            <w:bookmarkEnd w:id="2"/>
            <w:r>
              <w:rPr>
                <w:rFonts w:ascii="Arial" w:eastAsia="Arial" w:hAnsi="Arial" w:cs="Arial"/>
                <w:sz w:val="22"/>
                <w:szCs w:val="22"/>
              </w:rPr>
              <w:t>☐      5</w:t>
            </w:r>
            <w:r>
              <w:rPr>
                <w:rFonts w:ascii="Arial" w:eastAsia="Arial" w:hAnsi="Arial" w:cs="Arial"/>
                <w:sz w:val="22"/>
                <w:szCs w:val="22"/>
                <w:vertAlign w:val="superscript"/>
              </w:rPr>
              <w:t>th</w:t>
            </w:r>
            <w:r>
              <w:rPr>
                <w:rFonts w:ascii="Arial" w:eastAsia="Arial" w:hAnsi="Arial" w:cs="Arial"/>
                <w:sz w:val="22"/>
                <w:szCs w:val="22"/>
              </w:rPr>
              <w:t xml:space="preserve"> </w:t>
            </w:r>
            <w:bookmarkStart w:id="3" w:name="2et92p0" w:colFirst="0" w:colLast="0"/>
            <w:bookmarkEnd w:id="3"/>
            <w:r>
              <w:rPr>
                <w:rFonts w:ascii="Arial" w:eastAsia="Arial" w:hAnsi="Arial" w:cs="Arial"/>
                <w:sz w:val="22"/>
                <w:szCs w:val="22"/>
              </w:rPr>
              <w:t>☐      6</w:t>
            </w:r>
            <w:r>
              <w:rPr>
                <w:rFonts w:ascii="Arial" w:eastAsia="Arial" w:hAnsi="Arial" w:cs="Arial"/>
                <w:sz w:val="22"/>
                <w:szCs w:val="22"/>
                <w:vertAlign w:val="superscript"/>
              </w:rPr>
              <w:t>th</w:t>
            </w:r>
            <w:bookmarkStart w:id="4" w:name="tyjcwt" w:colFirst="0" w:colLast="0"/>
            <w:bookmarkEnd w:id="4"/>
            <w:r>
              <w:rPr>
                <w:rFonts w:ascii="Arial" w:eastAsia="Arial" w:hAnsi="Arial" w:cs="Arial"/>
                <w:b/>
                <w:sz w:val="22"/>
                <w:szCs w:val="22"/>
              </w:rPr>
              <w:t xml:space="preserve"> </w:t>
            </w:r>
            <w:r w:rsidRPr="00E859D2">
              <w:rPr>
                <w:rFonts w:ascii="Menlo Bold" w:hAnsi="Menlo Bold" w:cs="Menlo Bold"/>
                <w:color w:val="000000"/>
                <w:sz w:val="28"/>
                <w:szCs w:val="28"/>
              </w:rPr>
              <w:t>☒</w:t>
            </w:r>
            <w:r>
              <w:rPr>
                <w:rFonts w:ascii="Arial" w:eastAsia="Arial" w:hAnsi="Arial" w:cs="Arial"/>
                <w:b/>
                <w:sz w:val="22"/>
                <w:szCs w:val="22"/>
              </w:rPr>
              <w:t xml:space="preserve"> </w:t>
            </w:r>
            <w:r>
              <w:rPr>
                <w:rFonts w:ascii="Arial" w:eastAsia="Arial" w:hAnsi="Arial" w:cs="Arial"/>
                <w:sz w:val="22"/>
                <w:szCs w:val="22"/>
              </w:rPr>
              <w:t>module of the degree</w:t>
            </w:r>
            <w:r>
              <w:rPr>
                <w:rFonts w:ascii="Arial" w:eastAsia="Arial" w:hAnsi="Arial" w:cs="Arial"/>
                <w:sz w:val="22"/>
                <w:szCs w:val="22"/>
              </w:rPr>
              <w:fldChar w:fldCharType="begin"/>
            </w:r>
            <w:r>
              <w:rPr>
                <w:rFonts w:ascii="Arial" w:eastAsia="Arial" w:hAnsi="Arial" w:cs="Arial"/>
                <w:sz w:val="22"/>
                <w:szCs w:val="22"/>
              </w:rPr>
              <w:instrText xml:space="preserve"> </w:instrText>
            </w:r>
            <w:r>
              <w:rPr>
                <w:rFonts w:ascii="Arial" w:eastAsia="Arial" w:hAnsi="Arial" w:cs="Arial"/>
                <w:sz w:val="22"/>
                <w:szCs w:val="22"/>
              </w:rPr>
              <w:fldChar w:fldCharType="begin"/>
            </w:r>
            <w:r>
              <w:rPr>
                <w:rFonts w:ascii="Arial" w:eastAsia="Arial" w:hAnsi="Arial" w:cs="Arial"/>
                <w:sz w:val="22"/>
                <w:szCs w:val="22"/>
              </w:rPr>
              <w:instrText xml:space="preserve"> PRIVATE "&lt;INPUT TYPE=\"CHECKBOX\" CHECKED&gt;" </w:instrText>
            </w:r>
            <w:r>
              <w:rPr>
                <w:rFonts w:ascii="Arial" w:eastAsia="Arial" w:hAnsi="Arial" w:cs="Arial"/>
                <w:sz w:val="22"/>
                <w:szCs w:val="22"/>
              </w:rPr>
              <w:fldChar w:fldCharType="end"/>
            </w:r>
            <w:r>
              <w:rPr>
                <w:rFonts w:ascii="Arial" w:eastAsia="Arial" w:hAnsi="Arial" w:cs="Arial"/>
                <w:sz w:val="22"/>
                <w:szCs w:val="22"/>
              </w:rPr>
              <w:instrText xml:space="preserve">MACROBUTTON HTMLDirect </w:instrText>
            </w:r>
            <w:r>
              <w:rPr>
                <w:rFonts w:ascii="Arial" w:eastAsia="Arial" w:hAnsi="Arial" w:cs="Arial"/>
                <w:sz w:val="22"/>
                <w:szCs w:val="22"/>
              </w:rPr>
              <w:fldChar w:fldCharType="end"/>
            </w:r>
          </w:p>
          <w:p w14:paraId="197E4220" w14:textId="77777777" w:rsidR="00AE32D4" w:rsidRDefault="00AE32D4">
            <w:pPr>
              <w:pStyle w:val="normal0"/>
              <w:rPr>
                <w:rFonts w:ascii="Arial" w:eastAsia="Arial" w:hAnsi="Arial" w:cs="Arial"/>
                <w:sz w:val="22"/>
                <w:szCs w:val="22"/>
              </w:rPr>
            </w:pPr>
          </w:p>
        </w:tc>
      </w:tr>
      <w:tr w:rsidR="00AE32D4" w14:paraId="4D25DF6C" w14:textId="77777777">
        <w:trPr>
          <w:trHeight w:val="960"/>
        </w:trPr>
        <w:tc>
          <w:tcPr>
            <w:tcW w:w="8856" w:type="dxa"/>
            <w:gridSpan w:val="5"/>
            <w:shd w:val="clear" w:color="auto" w:fill="D9D9D9"/>
          </w:tcPr>
          <w:p w14:paraId="029D468F"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I confirm that this is my original work and that I have adhered to the University policy on plagiarism.</w:t>
            </w:r>
          </w:p>
          <w:p w14:paraId="66A89D96"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Arial" w:eastAsia="Arial" w:hAnsi="Arial" w:cs="Arial"/>
                <w:color w:val="000000"/>
                <w:sz w:val="22"/>
                <w:szCs w:val="22"/>
              </w:rPr>
              <w:t>Signed …………Octavia S</w:t>
            </w:r>
            <w:r>
              <w:rPr>
                <w:rFonts w:ascii="Arial" w:eastAsia="Arial" w:hAnsi="Arial" w:cs="Arial"/>
                <w:sz w:val="22"/>
                <w:szCs w:val="22"/>
              </w:rPr>
              <w:t>heepshanks</w:t>
            </w:r>
            <w:r>
              <w:rPr>
                <w:rFonts w:ascii="Arial" w:eastAsia="Arial" w:hAnsi="Arial" w:cs="Arial"/>
                <w:color w:val="000000"/>
                <w:sz w:val="22"/>
                <w:szCs w:val="22"/>
              </w:rPr>
              <w:t>…………………………………………………</w:t>
            </w:r>
          </w:p>
          <w:p w14:paraId="6DB261D4" w14:textId="77777777" w:rsidR="00AE32D4" w:rsidRDefault="00E859D2">
            <w:pPr>
              <w:pStyle w:val="normal0"/>
              <w:pBdr>
                <w:top w:val="nil"/>
                <w:left w:val="nil"/>
                <w:bottom w:val="nil"/>
                <w:right w:val="nil"/>
                <w:between w:val="nil"/>
              </w:pBdr>
              <w:ind w:right="34"/>
              <w:rPr>
                <w:rFonts w:ascii="Calibri" w:eastAsia="Calibri" w:hAnsi="Calibri" w:cs="Calibri"/>
                <w:color w:val="000000"/>
                <w:sz w:val="44"/>
                <w:szCs w:val="44"/>
              </w:rPr>
            </w:pPr>
            <w:r>
              <w:rPr>
                <w:rFonts w:ascii="Calibri" w:eastAsia="Calibri" w:hAnsi="Calibri" w:cs="Calibri"/>
                <w:b/>
                <w:color w:val="000000"/>
              </w:rPr>
              <w:t xml:space="preserve">Email submission:if you are submitting this form via email, please tick this box </w:t>
            </w:r>
            <w:r>
              <w:rPr>
                <w:rFonts w:ascii="Calibri" w:eastAsia="Calibri" w:hAnsi="Calibri" w:cs="Calibri"/>
                <w:b/>
                <w:color w:val="000000"/>
                <w:sz w:val="44"/>
                <w:szCs w:val="44"/>
              </w:rPr>
              <w:t>□</w:t>
            </w:r>
          </w:p>
          <w:p w14:paraId="6F5FE6CB" w14:textId="77777777" w:rsidR="00AE32D4" w:rsidRDefault="00E859D2">
            <w:pPr>
              <w:pStyle w:val="normal0"/>
              <w:pBdr>
                <w:top w:val="nil"/>
                <w:left w:val="nil"/>
                <w:bottom w:val="nil"/>
                <w:right w:val="nil"/>
                <w:between w:val="nil"/>
              </w:pBdr>
              <w:ind w:right="34"/>
              <w:rPr>
                <w:rFonts w:ascii="Arial" w:eastAsia="Arial" w:hAnsi="Arial" w:cs="Arial"/>
                <w:color w:val="000000"/>
                <w:sz w:val="22"/>
                <w:szCs w:val="22"/>
              </w:rPr>
            </w:pPr>
            <w:r>
              <w:rPr>
                <w:rFonts w:ascii="Calibri" w:eastAsia="Calibri" w:hAnsi="Calibri" w:cs="Calibri"/>
                <w:b/>
                <w:color w:val="000000"/>
              </w:rPr>
              <w:t>(as a substitute for your signature) to confirm that you agree to the above declaration.</w:t>
            </w:r>
          </w:p>
        </w:tc>
      </w:tr>
      <w:tr w:rsidR="00AE32D4" w14:paraId="57199A35" w14:textId="77777777">
        <w:trPr>
          <w:trHeight w:val="3960"/>
        </w:trPr>
        <w:tc>
          <w:tcPr>
            <w:tcW w:w="8856" w:type="dxa"/>
            <w:gridSpan w:val="5"/>
          </w:tcPr>
          <w:p w14:paraId="40F91ECE" w14:textId="77777777" w:rsidR="00AE32D4" w:rsidRDefault="00AE32D4">
            <w:pPr>
              <w:pStyle w:val="normal0"/>
              <w:rPr>
                <w:rFonts w:ascii="Arial" w:eastAsia="Arial" w:hAnsi="Arial" w:cs="Arial"/>
              </w:rPr>
            </w:pPr>
          </w:p>
          <w:p w14:paraId="301FA63E" w14:textId="77777777" w:rsidR="00AE32D4" w:rsidRDefault="00E859D2">
            <w:pPr>
              <w:pStyle w:val="normal0"/>
              <w:rPr>
                <w:rFonts w:ascii="Arial" w:eastAsia="Arial" w:hAnsi="Arial" w:cs="Arial"/>
              </w:rPr>
            </w:pPr>
            <w:r>
              <w:rPr>
                <w:rFonts w:ascii="Arial" w:eastAsia="Arial" w:hAnsi="Arial" w:cs="Arial"/>
                <w:b/>
              </w:rPr>
              <w:t>Assignment Mark</w:t>
            </w:r>
          </w:p>
          <w:tbl>
            <w:tblPr>
              <w:tblStyle w:val="a0"/>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AE32D4" w14:paraId="24916D35" w14:textId="77777777">
              <w:tc>
                <w:tcPr>
                  <w:tcW w:w="6970" w:type="dxa"/>
                </w:tcPr>
                <w:p w14:paraId="49397775" w14:textId="77777777" w:rsidR="00AE32D4" w:rsidRDefault="00AE32D4">
                  <w:pPr>
                    <w:pStyle w:val="normal0"/>
                    <w:rPr>
                      <w:rFonts w:ascii="Arial" w:eastAsia="Arial" w:hAnsi="Arial" w:cs="Arial"/>
                      <w:sz w:val="20"/>
                      <w:szCs w:val="20"/>
                    </w:rPr>
                  </w:pPr>
                </w:p>
                <w:p w14:paraId="3CA8A2AA" w14:textId="77777777" w:rsidR="00AE32D4" w:rsidRDefault="00E859D2">
                  <w:pPr>
                    <w:pStyle w:val="normal0"/>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vertAlign w:val="superscript"/>
                    </w:rPr>
                    <w:t>st</w:t>
                  </w:r>
                  <w:r>
                    <w:rPr>
                      <w:rFonts w:ascii="Arial" w:eastAsia="Arial" w:hAnsi="Arial" w:cs="Arial"/>
                      <w:sz w:val="20"/>
                      <w:szCs w:val="20"/>
                    </w:rPr>
                    <w:t xml:space="preserve"> Marker’s Provisional mark</w:t>
                  </w:r>
                </w:p>
              </w:tc>
              <w:tc>
                <w:tcPr>
                  <w:tcW w:w="1660" w:type="dxa"/>
                </w:tcPr>
                <w:p w14:paraId="2C752176" w14:textId="77777777" w:rsidR="00AE32D4" w:rsidRDefault="00AE32D4">
                  <w:pPr>
                    <w:pStyle w:val="normal0"/>
                    <w:rPr>
                      <w:rFonts w:ascii="Arial" w:eastAsia="Arial" w:hAnsi="Arial" w:cs="Arial"/>
                      <w:sz w:val="20"/>
                      <w:szCs w:val="20"/>
                    </w:rPr>
                  </w:pPr>
                </w:p>
              </w:tc>
            </w:tr>
            <w:tr w:rsidR="00AE32D4" w14:paraId="19A0F0A0" w14:textId="77777777">
              <w:tc>
                <w:tcPr>
                  <w:tcW w:w="6970" w:type="dxa"/>
                </w:tcPr>
                <w:p w14:paraId="7A174CB6" w14:textId="77777777" w:rsidR="00AE32D4" w:rsidRDefault="00AE32D4">
                  <w:pPr>
                    <w:pStyle w:val="normal0"/>
                    <w:rPr>
                      <w:rFonts w:ascii="Arial" w:eastAsia="Arial" w:hAnsi="Arial" w:cs="Arial"/>
                      <w:sz w:val="20"/>
                      <w:szCs w:val="20"/>
                    </w:rPr>
                  </w:pPr>
                </w:p>
                <w:p w14:paraId="6AE6E6BD" w14:textId="77777777" w:rsidR="00AE32D4" w:rsidRDefault="00E859D2">
                  <w:pPr>
                    <w:pStyle w:val="normal0"/>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vertAlign w:val="superscript"/>
                    </w:rPr>
                    <w:t>nd</w:t>
                  </w:r>
                  <w:r>
                    <w:rPr>
                      <w:rFonts w:ascii="Arial" w:eastAsia="Arial" w:hAnsi="Arial" w:cs="Arial"/>
                      <w:sz w:val="20"/>
                      <w:szCs w:val="20"/>
                    </w:rPr>
                    <w:t xml:space="preserve"> Marker’s/Moderator’s provisional mark</w:t>
                  </w:r>
                </w:p>
              </w:tc>
              <w:tc>
                <w:tcPr>
                  <w:tcW w:w="1660" w:type="dxa"/>
                </w:tcPr>
                <w:p w14:paraId="372ECDFB" w14:textId="77777777" w:rsidR="00AE32D4" w:rsidRDefault="00AE32D4">
                  <w:pPr>
                    <w:pStyle w:val="normal0"/>
                    <w:rPr>
                      <w:rFonts w:ascii="Arial" w:eastAsia="Arial" w:hAnsi="Arial" w:cs="Arial"/>
                      <w:sz w:val="20"/>
                      <w:szCs w:val="20"/>
                    </w:rPr>
                  </w:pPr>
                </w:p>
              </w:tc>
            </w:tr>
            <w:tr w:rsidR="00AE32D4" w14:paraId="1611688D" w14:textId="77777777">
              <w:tc>
                <w:tcPr>
                  <w:tcW w:w="6970" w:type="dxa"/>
                </w:tcPr>
                <w:p w14:paraId="4E3BE6D1" w14:textId="77777777" w:rsidR="00AE32D4" w:rsidRDefault="00AE32D4">
                  <w:pPr>
                    <w:pStyle w:val="normal0"/>
                    <w:rPr>
                      <w:rFonts w:ascii="Arial" w:eastAsia="Arial" w:hAnsi="Arial" w:cs="Arial"/>
                      <w:sz w:val="20"/>
                      <w:szCs w:val="20"/>
                    </w:rPr>
                  </w:pPr>
                </w:p>
                <w:p w14:paraId="6B12BEB5" w14:textId="77777777" w:rsidR="00AE32D4" w:rsidRDefault="00E859D2">
                  <w:pPr>
                    <w:pStyle w:val="normal0"/>
                    <w:rPr>
                      <w:rFonts w:ascii="Arial" w:eastAsia="Arial" w:hAnsi="Arial" w:cs="Arial"/>
                      <w:sz w:val="20"/>
                      <w:szCs w:val="20"/>
                    </w:rPr>
                  </w:pPr>
                  <w:r>
                    <w:rPr>
                      <w:rFonts w:ascii="Arial" w:eastAsia="Arial" w:hAnsi="Arial" w:cs="Arial"/>
                      <w:sz w:val="20"/>
                      <w:szCs w:val="20"/>
                    </w:rPr>
                    <w:t>External Examiner’s mark (if relevant)</w:t>
                  </w:r>
                </w:p>
              </w:tc>
              <w:tc>
                <w:tcPr>
                  <w:tcW w:w="1660" w:type="dxa"/>
                </w:tcPr>
                <w:p w14:paraId="492B1D57" w14:textId="77777777" w:rsidR="00AE32D4" w:rsidRDefault="00AE32D4">
                  <w:pPr>
                    <w:pStyle w:val="normal0"/>
                    <w:rPr>
                      <w:rFonts w:ascii="Arial" w:eastAsia="Arial" w:hAnsi="Arial" w:cs="Arial"/>
                      <w:sz w:val="20"/>
                      <w:szCs w:val="20"/>
                    </w:rPr>
                  </w:pPr>
                </w:p>
              </w:tc>
            </w:tr>
            <w:tr w:rsidR="00AE32D4" w14:paraId="09D77B7D" w14:textId="77777777">
              <w:tc>
                <w:tcPr>
                  <w:tcW w:w="6970" w:type="dxa"/>
                </w:tcPr>
                <w:p w14:paraId="34E4A9D0" w14:textId="77777777" w:rsidR="00AE32D4" w:rsidRDefault="00AE32D4">
                  <w:pPr>
                    <w:pStyle w:val="normal0"/>
                    <w:rPr>
                      <w:rFonts w:ascii="Arial" w:eastAsia="Arial" w:hAnsi="Arial" w:cs="Arial"/>
                      <w:sz w:val="20"/>
                      <w:szCs w:val="20"/>
                    </w:rPr>
                  </w:pPr>
                </w:p>
                <w:p w14:paraId="43535A11" w14:textId="77777777" w:rsidR="00AE32D4" w:rsidRDefault="00E859D2">
                  <w:pPr>
                    <w:pStyle w:val="normal0"/>
                    <w:rPr>
                      <w:rFonts w:ascii="Arial" w:eastAsia="Arial" w:hAnsi="Arial" w:cs="Arial"/>
                      <w:sz w:val="20"/>
                      <w:szCs w:val="20"/>
                    </w:rPr>
                  </w:pPr>
                  <w:r>
                    <w:rPr>
                      <w:rFonts w:ascii="Arial" w:eastAsia="Arial" w:hAnsi="Arial" w:cs="Arial"/>
                      <w:b/>
                      <w:sz w:val="20"/>
                      <w:szCs w:val="20"/>
                    </w:rPr>
                    <w:t>Final Mark</w:t>
                  </w:r>
                </w:p>
                <w:p w14:paraId="6FB31F48" w14:textId="77777777" w:rsidR="00AE32D4" w:rsidRDefault="00AE32D4">
                  <w:pPr>
                    <w:pStyle w:val="normal0"/>
                    <w:rPr>
                      <w:rFonts w:ascii="Arial" w:eastAsia="Arial" w:hAnsi="Arial" w:cs="Arial"/>
                      <w:sz w:val="20"/>
                      <w:szCs w:val="20"/>
                    </w:rPr>
                  </w:pPr>
                </w:p>
              </w:tc>
              <w:tc>
                <w:tcPr>
                  <w:tcW w:w="1660" w:type="dxa"/>
                </w:tcPr>
                <w:p w14:paraId="45C3F695" w14:textId="77777777" w:rsidR="00AE32D4" w:rsidRDefault="00AE32D4">
                  <w:pPr>
                    <w:pStyle w:val="normal0"/>
                    <w:rPr>
                      <w:rFonts w:ascii="Arial" w:eastAsia="Arial" w:hAnsi="Arial" w:cs="Arial"/>
                      <w:sz w:val="20"/>
                      <w:szCs w:val="20"/>
                    </w:rPr>
                  </w:pPr>
                </w:p>
              </w:tc>
            </w:tr>
          </w:tbl>
          <w:p w14:paraId="2AA91738" w14:textId="77777777" w:rsidR="00AE32D4" w:rsidRDefault="00AE32D4">
            <w:pPr>
              <w:pStyle w:val="normal0"/>
              <w:pBdr>
                <w:top w:val="nil"/>
                <w:left w:val="nil"/>
                <w:bottom w:val="nil"/>
                <w:right w:val="nil"/>
                <w:between w:val="nil"/>
              </w:pBdr>
              <w:ind w:left="142" w:right="34"/>
              <w:rPr>
                <w:rFonts w:ascii="Arial" w:eastAsia="Arial" w:hAnsi="Arial" w:cs="Arial"/>
                <w:color w:val="000000"/>
                <w:sz w:val="22"/>
                <w:szCs w:val="22"/>
              </w:rPr>
            </w:pPr>
          </w:p>
          <w:p w14:paraId="33EC8AA6" w14:textId="77777777" w:rsidR="00AE32D4" w:rsidRDefault="00E859D2">
            <w:pPr>
              <w:pStyle w:val="normal0"/>
              <w:pBdr>
                <w:top w:val="nil"/>
                <w:left w:val="nil"/>
                <w:bottom w:val="nil"/>
                <w:right w:val="nil"/>
                <w:between w:val="nil"/>
              </w:pBdr>
              <w:ind w:left="142" w:right="34"/>
              <w:rPr>
                <w:rFonts w:ascii="Arial" w:eastAsia="Arial" w:hAnsi="Arial" w:cs="Arial"/>
                <w:color w:val="000000"/>
                <w:sz w:val="22"/>
                <w:szCs w:val="22"/>
              </w:rPr>
            </w:pPr>
            <w:r>
              <w:rPr>
                <w:rFonts w:ascii="Arial" w:eastAsia="Arial" w:hAnsi="Arial" w:cs="Arial"/>
                <w:b/>
                <w:color w:val="000000"/>
                <w:sz w:val="22"/>
                <w:szCs w:val="22"/>
              </w:rPr>
              <w:t>NB.</w:t>
            </w:r>
            <w:r>
              <w:rPr>
                <w:rFonts w:ascii="Arial" w:eastAsia="Arial" w:hAnsi="Arial" w:cs="Arial"/>
                <w:color w:val="000000"/>
                <w:sz w:val="22"/>
                <w:szCs w:val="22"/>
              </w:rPr>
              <w:t xml:space="preserve">  All marks are provisional until confirmed by the Final Examination Board.</w:t>
            </w:r>
          </w:p>
          <w:p w14:paraId="148FCAD7" w14:textId="77777777" w:rsidR="00AE32D4" w:rsidRDefault="00AE32D4">
            <w:pPr>
              <w:pStyle w:val="normal0"/>
              <w:pBdr>
                <w:top w:val="nil"/>
                <w:left w:val="nil"/>
                <w:bottom w:val="nil"/>
                <w:right w:val="nil"/>
                <w:between w:val="nil"/>
              </w:pBdr>
              <w:rPr>
                <w:rFonts w:ascii="Arial" w:eastAsia="Arial" w:hAnsi="Arial" w:cs="Arial"/>
                <w:color w:val="000000"/>
                <w:sz w:val="22"/>
                <w:szCs w:val="22"/>
              </w:rPr>
            </w:pPr>
          </w:p>
          <w:p w14:paraId="6B6546FC" w14:textId="77777777" w:rsidR="00AE32D4" w:rsidRDefault="00E859D2">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For completion by Marker 1 :</w:t>
            </w:r>
          </w:p>
          <w:p w14:paraId="27612A2F" w14:textId="77777777" w:rsidR="00AE32D4" w:rsidRDefault="00E859D2">
            <w:pPr>
              <w:pStyle w:val="normal0"/>
              <w:pBdr>
                <w:top w:val="nil"/>
                <w:left w:val="nil"/>
                <w:bottom w:val="nil"/>
                <w:right w:val="nil"/>
                <w:between w:val="nil"/>
              </w:pBdr>
              <w:spacing w:before="280" w:after="280"/>
              <w:rPr>
                <w:rFonts w:ascii="Arial" w:eastAsia="Arial" w:hAnsi="Arial" w:cs="Arial"/>
                <w:color w:val="000000"/>
                <w:sz w:val="22"/>
                <w:szCs w:val="22"/>
              </w:rPr>
            </w:pPr>
            <w:r>
              <w:rPr>
                <w:rFonts w:ascii="Arial" w:eastAsia="Arial" w:hAnsi="Arial" w:cs="Arial"/>
                <w:color w:val="000000"/>
                <w:sz w:val="22"/>
                <w:szCs w:val="22"/>
              </w:rPr>
              <w:t>Comments:</w:t>
            </w:r>
          </w:p>
          <w:p w14:paraId="559C11A2" w14:textId="77777777" w:rsidR="00AE32D4" w:rsidRDefault="00AE32D4">
            <w:pPr>
              <w:pStyle w:val="normal0"/>
              <w:pBdr>
                <w:top w:val="nil"/>
                <w:left w:val="nil"/>
                <w:bottom w:val="nil"/>
                <w:right w:val="nil"/>
                <w:between w:val="nil"/>
              </w:pBdr>
              <w:spacing w:before="280"/>
              <w:rPr>
                <w:rFonts w:ascii="Arial" w:eastAsia="Arial" w:hAnsi="Arial" w:cs="Arial"/>
                <w:sz w:val="22"/>
                <w:szCs w:val="22"/>
              </w:rPr>
            </w:pPr>
          </w:p>
          <w:p w14:paraId="5F5D5568" w14:textId="77777777" w:rsidR="00AE32D4" w:rsidRDefault="00AE32D4">
            <w:pPr>
              <w:pStyle w:val="normal0"/>
              <w:pBdr>
                <w:top w:val="nil"/>
                <w:left w:val="nil"/>
                <w:bottom w:val="nil"/>
                <w:right w:val="nil"/>
                <w:between w:val="nil"/>
              </w:pBdr>
              <w:spacing w:before="280"/>
              <w:rPr>
                <w:rFonts w:ascii="Arial" w:eastAsia="Arial" w:hAnsi="Arial" w:cs="Arial"/>
                <w:sz w:val="22"/>
                <w:szCs w:val="22"/>
              </w:rPr>
            </w:pPr>
          </w:p>
          <w:p w14:paraId="1AA263A8" w14:textId="77777777" w:rsidR="00AE32D4" w:rsidRDefault="00AE32D4">
            <w:pPr>
              <w:pStyle w:val="normal0"/>
              <w:pBdr>
                <w:top w:val="nil"/>
                <w:left w:val="nil"/>
                <w:bottom w:val="nil"/>
                <w:right w:val="nil"/>
                <w:between w:val="nil"/>
              </w:pBdr>
              <w:spacing w:before="280"/>
              <w:rPr>
                <w:rFonts w:ascii="Arial" w:eastAsia="Arial" w:hAnsi="Arial" w:cs="Arial"/>
                <w:sz w:val="22"/>
                <w:szCs w:val="22"/>
              </w:rPr>
            </w:pPr>
          </w:p>
          <w:p w14:paraId="62D5D495" w14:textId="77777777" w:rsidR="00AE32D4" w:rsidRDefault="00AE32D4">
            <w:pPr>
              <w:pStyle w:val="normal0"/>
              <w:pBdr>
                <w:top w:val="nil"/>
                <w:left w:val="nil"/>
                <w:bottom w:val="nil"/>
                <w:right w:val="nil"/>
                <w:between w:val="nil"/>
              </w:pBdr>
              <w:spacing w:before="280"/>
              <w:rPr>
                <w:rFonts w:ascii="Arial" w:eastAsia="Arial" w:hAnsi="Arial" w:cs="Arial"/>
                <w:sz w:val="22"/>
                <w:szCs w:val="22"/>
              </w:rPr>
            </w:pPr>
          </w:p>
          <w:p w14:paraId="40494CF1" w14:textId="77777777" w:rsidR="00AE32D4" w:rsidRDefault="00AE32D4">
            <w:pPr>
              <w:pStyle w:val="normal0"/>
              <w:pBdr>
                <w:top w:val="nil"/>
                <w:left w:val="nil"/>
                <w:bottom w:val="nil"/>
                <w:right w:val="nil"/>
                <w:between w:val="nil"/>
              </w:pBdr>
              <w:spacing w:before="280"/>
              <w:rPr>
                <w:rFonts w:ascii="Arial" w:eastAsia="Arial" w:hAnsi="Arial" w:cs="Arial"/>
                <w:sz w:val="22"/>
                <w:szCs w:val="22"/>
              </w:rPr>
            </w:pPr>
          </w:p>
        </w:tc>
      </w:tr>
      <w:tr w:rsidR="00AE32D4" w14:paraId="5C5FBF01" w14:textId="77777777">
        <w:trPr>
          <w:trHeight w:val="480"/>
        </w:trPr>
        <w:tc>
          <w:tcPr>
            <w:tcW w:w="6768" w:type="dxa"/>
            <w:gridSpan w:val="3"/>
          </w:tcPr>
          <w:p w14:paraId="0C3DC93C" w14:textId="77777777" w:rsidR="00AE32D4" w:rsidRDefault="00E859D2">
            <w:pPr>
              <w:pStyle w:val="normal0"/>
              <w:pBdr>
                <w:top w:val="nil"/>
                <w:left w:val="nil"/>
                <w:bottom w:val="nil"/>
                <w:right w:val="nil"/>
                <w:between w:val="nil"/>
              </w:pBdr>
              <w:ind w:left="142" w:right="34"/>
              <w:rPr>
                <w:rFonts w:ascii="Arial" w:eastAsia="Arial" w:hAnsi="Arial" w:cs="Arial"/>
                <w:color w:val="000000"/>
                <w:sz w:val="22"/>
                <w:szCs w:val="22"/>
              </w:rPr>
            </w:pPr>
            <w:r>
              <w:rPr>
                <w:rFonts w:ascii="Arial" w:eastAsia="Arial" w:hAnsi="Arial" w:cs="Arial"/>
                <w:color w:val="000000"/>
                <w:sz w:val="22"/>
                <w:szCs w:val="22"/>
              </w:rPr>
              <w:t>Marker’s signature:</w:t>
            </w:r>
          </w:p>
        </w:tc>
        <w:tc>
          <w:tcPr>
            <w:tcW w:w="2088" w:type="dxa"/>
            <w:gridSpan w:val="2"/>
          </w:tcPr>
          <w:p w14:paraId="395DBE71" w14:textId="77777777" w:rsidR="00AE32D4" w:rsidRDefault="00E859D2">
            <w:pPr>
              <w:pStyle w:val="normal0"/>
              <w:pBdr>
                <w:top w:val="nil"/>
                <w:left w:val="nil"/>
                <w:bottom w:val="nil"/>
                <w:right w:val="nil"/>
                <w:between w:val="nil"/>
              </w:pBdr>
              <w:ind w:left="142" w:right="34"/>
              <w:rPr>
                <w:rFonts w:ascii="Arial" w:eastAsia="Arial" w:hAnsi="Arial" w:cs="Arial"/>
                <w:color w:val="000000"/>
                <w:sz w:val="22"/>
                <w:szCs w:val="22"/>
              </w:rPr>
            </w:pPr>
            <w:r>
              <w:rPr>
                <w:rFonts w:ascii="Arial" w:eastAsia="Arial" w:hAnsi="Arial" w:cs="Arial"/>
                <w:color w:val="000000"/>
                <w:sz w:val="22"/>
                <w:szCs w:val="22"/>
              </w:rPr>
              <w:t>Date:</w:t>
            </w:r>
          </w:p>
        </w:tc>
      </w:tr>
      <w:tr w:rsidR="00AE32D4" w14:paraId="249EB240" w14:textId="77777777">
        <w:tc>
          <w:tcPr>
            <w:tcW w:w="8856" w:type="dxa"/>
            <w:gridSpan w:val="5"/>
          </w:tcPr>
          <w:p w14:paraId="602F6DEA"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1698A112" w14:textId="77777777" w:rsidR="00AE32D4" w:rsidRDefault="00E859D2">
            <w:pPr>
              <w:pStyle w:val="normal0"/>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b/>
                <w:color w:val="000000"/>
                <w:sz w:val="22"/>
                <w:szCs w:val="22"/>
              </w:rPr>
              <w:t>For completion by Marker 2/Moderator:</w:t>
            </w:r>
          </w:p>
          <w:p w14:paraId="7867FB10"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4817989C" w14:textId="77777777" w:rsidR="00AE32D4" w:rsidRDefault="00E859D2">
            <w:pPr>
              <w:pStyle w:val="normal0"/>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Comments:</w:t>
            </w:r>
          </w:p>
          <w:p w14:paraId="4C4685FE"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488F3BA3"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39EFB84D"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3C7E44E1" w14:textId="77777777" w:rsidR="00AE32D4" w:rsidRDefault="00AE32D4">
            <w:pPr>
              <w:pStyle w:val="normal0"/>
              <w:pBdr>
                <w:top w:val="nil"/>
                <w:left w:val="nil"/>
                <w:bottom w:val="nil"/>
                <w:right w:val="nil"/>
                <w:between w:val="nil"/>
              </w:pBdr>
              <w:ind w:right="-334"/>
              <w:rPr>
                <w:rFonts w:ascii="Arial" w:eastAsia="Arial" w:hAnsi="Arial" w:cs="Arial"/>
                <w:sz w:val="22"/>
                <w:szCs w:val="22"/>
              </w:rPr>
            </w:pPr>
          </w:p>
          <w:p w14:paraId="53253C96" w14:textId="77777777" w:rsidR="00AE32D4" w:rsidRDefault="00AE32D4">
            <w:pPr>
              <w:pStyle w:val="normal0"/>
              <w:pBdr>
                <w:top w:val="nil"/>
                <w:left w:val="nil"/>
                <w:bottom w:val="nil"/>
                <w:right w:val="nil"/>
                <w:between w:val="nil"/>
              </w:pBdr>
              <w:ind w:right="-334"/>
              <w:rPr>
                <w:rFonts w:ascii="Arial" w:eastAsia="Arial" w:hAnsi="Arial" w:cs="Arial"/>
                <w:sz w:val="22"/>
                <w:szCs w:val="22"/>
              </w:rPr>
            </w:pPr>
          </w:p>
          <w:p w14:paraId="56921FF5" w14:textId="77777777" w:rsidR="00AE32D4" w:rsidRDefault="00AE32D4">
            <w:pPr>
              <w:pStyle w:val="normal0"/>
              <w:pBdr>
                <w:top w:val="nil"/>
                <w:left w:val="nil"/>
                <w:bottom w:val="nil"/>
                <w:right w:val="nil"/>
                <w:between w:val="nil"/>
              </w:pBdr>
              <w:ind w:right="-334"/>
              <w:rPr>
                <w:rFonts w:ascii="Arial" w:eastAsia="Arial" w:hAnsi="Arial" w:cs="Arial"/>
                <w:sz w:val="22"/>
                <w:szCs w:val="22"/>
              </w:rPr>
            </w:pPr>
          </w:p>
          <w:p w14:paraId="3EE0CF33" w14:textId="77777777" w:rsidR="00AE32D4" w:rsidRDefault="00AE32D4">
            <w:pPr>
              <w:pStyle w:val="normal0"/>
              <w:pBdr>
                <w:top w:val="nil"/>
                <w:left w:val="nil"/>
                <w:bottom w:val="nil"/>
                <w:right w:val="nil"/>
                <w:between w:val="nil"/>
              </w:pBdr>
              <w:ind w:right="-334"/>
              <w:rPr>
                <w:rFonts w:ascii="Arial" w:eastAsia="Arial" w:hAnsi="Arial" w:cs="Arial"/>
                <w:sz w:val="22"/>
                <w:szCs w:val="22"/>
              </w:rPr>
            </w:pPr>
          </w:p>
          <w:p w14:paraId="51799F28"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41DBB43F"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tc>
      </w:tr>
      <w:tr w:rsidR="00AE32D4" w14:paraId="5C18AEC3" w14:textId="77777777">
        <w:trPr>
          <w:trHeight w:val="720"/>
        </w:trPr>
        <w:tc>
          <w:tcPr>
            <w:tcW w:w="5211" w:type="dxa"/>
            <w:gridSpan w:val="2"/>
          </w:tcPr>
          <w:p w14:paraId="77290129" w14:textId="77777777" w:rsidR="00AE32D4" w:rsidRDefault="00E859D2">
            <w:pPr>
              <w:pStyle w:val="normal0"/>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Marker’s Signature:</w:t>
            </w:r>
          </w:p>
        </w:tc>
        <w:tc>
          <w:tcPr>
            <w:tcW w:w="3645" w:type="dxa"/>
            <w:gridSpan w:val="3"/>
          </w:tcPr>
          <w:p w14:paraId="7B1E7FC5" w14:textId="77777777" w:rsidR="00AE32D4" w:rsidRDefault="00E859D2">
            <w:pPr>
              <w:pStyle w:val="normal0"/>
              <w:pBdr>
                <w:top w:val="nil"/>
                <w:left w:val="nil"/>
                <w:bottom w:val="nil"/>
                <w:right w:val="nil"/>
                <w:between w:val="nil"/>
              </w:pBdr>
              <w:ind w:right="-334"/>
              <w:rPr>
                <w:rFonts w:ascii="Arial" w:eastAsia="Arial" w:hAnsi="Arial" w:cs="Arial"/>
                <w:color w:val="000000"/>
                <w:sz w:val="22"/>
                <w:szCs w:val="22"/>
              </w:rPr>
            </w:pPr>
            <w:r>
              <w:rPr>
                <w:rFonts w:ascii="Arial" w:eastAsia="Arial" w:hAnsi="Arial" w:cs="Arial"/>
                <w:color w:val="000000"/>
                <w:sz w:val="22"/>
                <w:szCs w:val="22"/>
              </w:rPr>
              <w:t>Date:</w:t>
            </w:r>
          </w:p>
        </w:tc>
      </w:tr>
      <w:tr w:rsidR="00AE32D4" w14:paraId="1D9C9F45" w14:textId="77777777">
        <w:trPr>
          <w:trHeight w:val="720"/>
        </w:trPr>
        <w:tc>
          <w:tcPr>
            <w:tcW w:w="8856" w:type="dxa"/>
            <w:gridSpan w:val="5"/>
          </w:tcPr>
          <w:p w14:paraId="39F554F8" w14:textId="77777777" w:rsidR="00AE32D4" w:rsidRDefault="00E859D2">
            <w:pPr>
              <w:pStyle w:val="normal0"/>
              <w:rPr>
                <w:rFonts w:ascii="Arial" w:eastAsia="Arial" w:hAnsi="Arial" w:cs="Arial"/>
                <w:sz w:val="22"/>
                <w:szCs w:val="22"/>
              </w:rPr>
            </w:pPr>
            <w:r>
              <w:rPr>
                <w:rFonts w:ascii="Arial" w:eastAsia="Arial" w:hAnsi="Arial" w:cs="Arial"/>
                <w:b/>
                <w:sz w:val="22"/>
                <w:szCs w:val="22"/>
              </w:rPr>
              <w:t>External Examiner’s comments (if relevant)</w:t>
            </w:r>
          </w:p>
          <w:p w14:paraId="13C977AD"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3300E990"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p w14:paraId="450CF841" w14:textId="77777777" w:rsidR="00AE32D4" w:rsidRDefault="00AE32D4">
            <w:pPr>
              <w:pStyle w:val="normal0"/>
              <w:pBdr>
                <w:top w:val="nil"/>
                <w:left w:val="nil"/>
                <w:bottom w:val="nil"/>
                <w:right w:val="nil"/>
                <w:between w:val="nil"/>
              </w:pBdr>
              <w:ind w:right="-334"/>
              <w:rPr>
                <w:rFonts w:ascii="Arial" w:eastAsia="Arial" w:hAnsi="Arial" w:cs="Arial"/>
                <w:color w:val="000000"/>
                <w:sz w:val="22"/>
                <w:szCs w:val="22"/>
              </w:rPr>
            </w:pPr>
          </w:p>
        </w:tc>
      </w:tr>
      <w:tr w:rsidR="00AE32D4" w14:paraId="76D31F9A" w14:textId="77777777">
        <w:trPr>
          <w:trHeight w:val="720"/>
        </w:trPr>
        <w:tc>
          <w:tcPr>
            <w:tcW w:w="5211" w:type="dxa"/>
            <w:gridSpan w:val="2"/>
          </w:tcPr>
          <w:p w14:paraId="1C96E2C0" w14:textId="77777777" w:rsidR="00AE32D4" w:rsidRDefault="00E859D2">
            <w:pPr>
              <w:pStyle w:val="normal0"/>
              <w:rPr>
                <w:rFonts w:ascii="Arial" w:eastAsia="Arial" w:hAnsi="Arial" w:cs="Arial"/>
                <w:sz w:val="22"/>
                <w:szCs w:val="22"/>
              </w:rPr>
            </w:pPr>
            <w:r>
              <w:rPr>
                <w:rFonts w:ascii="Arial" w:eastAsia="Arial" w:hAnsi="Arial" w:cs="Arial"/>
                <w:sz w:val="22"/>
                <w:szCs w:val="22"/>
              </w:rPr>
              <w:t>External Examiner’s Signature:</w:t>
            </w:r>
          </w:p>
        </w:tc>
        <w:tc>
          <w:tcPr>
            <w:tcW w:w="3645" w:type="dxa"/>
            <w:gridSpan w:val="3"/>
          </w:tcPr>
          <w:p w14:paraId="63859A91" w14:textId="77777777" w:rsidR="00AE32D4" w:rsidRDefault="00E859D2">
            <w:pPr>
              <w:pStyle w:val="normal0"/>
              <w:rPr>
                <w:rFonts w:ascii="Arial" w:eastAsia="Arial" w:hAnsi="Arial" w:cs="Arial"/>
                <w:sz w:val="22"/>
                <w:szCs w:val="22"/>
              </w:rPr>
            </w:pPr>
            <w:r>
              <w:rPr>
                <w:rFonts w:ascii="Arial" w:eastAsia="Arial" w:hAnsi="Arial" w:cs="Arial"/>
                <w:sz w:val="22"/>
                <w:szCs w:val="22"/>
              </w:rPr>
              <w:t>Date:</w:t>
            </w:r>
          </w:p>
          <w:p w14:paraId="17879D12" w14:textId="77777777" w:rsidR="00AE32D4" w:rsidRDefault="00AE32D4">
            <w:pPr>
              <w:pStyle w:val="normal0"/>
              <w:rPr>
                <w:rFonts w:ascii="Arial" w:eastAsia="Arial" w:hAnsi="Arial" w:cs="Arial"/>
                <w:sz w:val="22"/>
                <w:szCs w:val="22"/>
              </w:rPr>
            </w:pPr>
          </w:p>
          <w:p w14:paraId="48A180B3" w14:textId="77777777" w:rsidR="00AE32D4" w:rsidRDefault="00AE32D4">
            <w:pPr>
              <w:pStyle w:val="normal0"/>
              <w:rPr>
                <w:rFonts w:ascii="Arial" w:eastAsia="Arial" w:hAnsi="Arial" w:cs="Arial"/>
                <w:sz w:val="22"/>
                <w:szCs w:val="22"/>
              </w:rPr>
            </w:pPr>
          </w:p>
        </w:tc>
      </w:tr>
    </w:tbl>
    <w:p w14:paraId="1C704937" w14:textId="77777777" w:rsidR="00E859D2" w:rsidRDefault="00E859D2">
      <w:pPr>
        <w:pStyle w:val="z-BottomofForm"/>
      </w:pPr>
      <w:r>
        <w:t>Bottom of Form</w:t>
      </w:r>
    </w:p>
    <w:p w14:paraId="1AB5769C" w14:textId="77777777" w:rsidR="00AE32D4" w:rsidRDefault="00AE32D4">
      <w:pPr>
        <w:pStyle w:val="normal0"/>
        <w:pBdr>
          <w:top w:val="nil"/>
          <w:left w:val="nil"/>
          <w:bottom w:val="nil"/>
          <w:right w:val="nil"/>
          <w:between w:val="nil"/>
        </w:pBdr>
        <w:ind w:right="-334"/>
        <w:rPr>
          <w:rFonts w:ascii="Trebuchet MS" w:eastAsia="Trebuchet MS" w:hAnsi="Trebuchet MS" w:cs="Trebuchet MS"/>
        </w:rPr>
      </w:pPr>
    </w:p>
    <w:p w14:paraId="3E93F7EB" w14:textId="77777777" w:rsidR="00AE32D4" w:rsidRDefault="00AE32D4">
      <w:pPr>
        <w:pStyle w:val="normal0"/>
        <w:pBdr>
          <w:top w:val="nil"/>
          <w:left w:val="nil"/>
          <w:bottom w:val="nil"/>
          <w:right w:val="nil"/>
          <w:between w:val="nil"/>
        </w:pBdr>
        <w:ind w:right="-334"/>
        <w:rPr>
          <w:rFonts w:ascii="Trebuchet MS" w:eastAsia="Trebuchet MS" w:hAnsi="Trebuchet MS" w:cs="Trebuchet MS"/>
          <w:u w:val="single"/>
        </w:rPr>
      </w:pPr>
    </w:p>
    <w:p w14:paraId="4D9AC385" w14:textId="77777777" w:rsidR="00E859D2" w:rsidRDefault="00E859D2">
      <w:pPr>
        <w:pStyle w:val="normal0"/>
        <w:rPr>
          <w:b/>
        </w:rPr>
      </w:pPr>
    </w:p>
    <w:p w14:paraId="454B944A" w14:textId="77777777" w:rsidR="00E859D2" w:rsidRDefault="00E859D2">
      <w:pPr>
        <w:pStyle w:val="normal0"/>
        <w:rPr>
          <w:b/>
        </w:rPr>
      </w:pPr>
    </w:p>
    <w:p w14:paraId="7F84C5F4" w14:textId="77777777" w:rsidR="00E859D2" w:rsidRDefault="00E859D2" w:rsidP="00E859D2">
      <w:pPr>
        <w:pStyle w:val="normal0"/>
        <w:rPr>
          <w:b/>
        </w:rPr>
      </w:pPr>
      <w:r>
        <w:rPr>
          <w:b/>
        </w:rPr>
        <w:t xml:space="preserve">Compare and contrast the methodologies used in Brink, T. L., 1978, ‘Inconsistency of Belief among Roman Catholic Girls: Concerning Religion, Astrology, Reincarnation.’ and Walter, T. &amp; Waterhouse, H., 1999, ‘A Very Private Belief: Reincarnation in Contemporary England’, and discuss the position of the researchers in relation to their fields of research. </w:t>
      </w:r>
    </w:p>
    <w:p w14:paraId="23AB1123" w14:textId="77777777" w:rsidR="00E859D2" w:rsidRPr="00E859D2" w:rsidRDefault="00E859D2" w:rsidP="00E859D2">
      <w:pPr>
        <w:pStyle w:val="normal0"/>
        <w:rPr>
          <w:b/>
        </w:rPr>
      </w:pPr>
    </w:p>
    <w:p w14:paraId="74BD29FA" w14:textId="57AD8F8D" w:rsidR="00AE32D4" w:rsidRDefault="00507EC7" w:rsidP="00E859D2">
      <w:pPr>
        <w:pStyle w:val="normal0"/>
        <w:rPr>
          <w:sz w:val="20"/>
          <w:szCs w:val="20"/>
        </w:rPr>
      </w:pPr>
      <w:r>
        <w:rPr>
          <w:sz w:val="20"/>
          <w:szCs w:val="20"/>
        </w:rPr>
        <w:t>[1067</w:t>
      </w:r>
      <w:bookmarkStart w:id="5" w:name="_GoBack"/>
      <w:bookmarkEnd w:id="5"/>
      <w:r w:rsidR="00E859D2" w:rsidRPr="00E859D2">
        <w:rPr>
          <w:sz w:val="20"/>
          <w:szCs w:val="20"/>
        </w:rPr>
        <w:t xml:space="preserve"> words]</w:t>
      </w:r>
    </w:p>
    <w:p w14:paraId="180059DA" w14:textId="77777777" w:rsidR="00E859D2" w:rsidRDefault="00E859D2">
      <w:pPr>
        <w:pStyle w:val="normal0"/>
        <w:rPr>
          <w:sz w:val="20"/>
          <w:szCs w:val="20"/>
        </w:rPr>
      </w:pPr>
    </w:p>
    <w:p w14:paraId="6083C7C0" w14:textId="77777777" w:rsidR="00E859D2" w:rsidRPr="00E859D2" w:rsidRDefault="00E859D2">
      <w:pPr>
        <w:pStyle w:val="normal0"/>
        <w:rPr>
          <w:sz w:val="20"/>
          <w:szCs w:val="20"/>
        </w:rPr>
      </w:pPr>
    </w:p>
    <w:p w14:paraId="3A92FC7F" w14:textId="77777777" w:rsidR="00AE32D4" w:rsidRDefault="00AE32D4">
      <w:pPr>
        <w:pStyle w:val="normal0"/>
      </w:pPr>
    </w:p>
    <w:p w14:paraId="33ED759F" w14:textId="77777777" w:rsidR="00AE32D4" w:rsidRDefault="00E859D2">
      <w:pPr>
        <w:pStyle w:val="normal0"/>
        <w:rPr>
          <w:u w:val="single"/>
        </w:rPr>
      </w:pPr>
      <w:r>
        <w:rPr>
          <w:u w:val="single"/>
        </w:rPr>
        <w:t>Introduction</w:t>
      </w:r>
    </w:p>
    <w:p w14:paraId="37C6144D" w14:textId="77777777" w:rsidR="00AE32D4" w:rsidRDefault="00AE32D4">
      <w:pPr>
        <w:pStyle w:val="normal0"/>
      </w:pPr>
    </w:p>
    <w:p w14:paraId="4505A903" w14:textId="77777777" w:rsidR="00AE32D4" w:rsidRDefault="00E859D2">
      <w:pPr>
        <w:pStyle w:val="normal0"/>
        <w:ind w:firstLine="720"/>
      </w:pPr>
      <w:r>
        <w:t>This essay will compare and contrast the research methods used in Walter and Waterhouse’s paper, with those used in Brink’s paper. Three primary questions will be considered: the methodology used, the researcher position, and the usage of a literature review. Walter and Waterhouse conducted intensive interviews with a small number of participants, all of whom believed in reincarnation, with a view to ascertain how their belief fitted into their daily life and how it tallied with any religious beliefs.</w:t>
      </w:r>
      <w:r>
        <w:rPr>
          <w:vertAlign w:val="superscript"/>
        </w:rPr>
        <w:footnoteReference w:id="1"/>
      </w:r>
      <w:r>
        <w:t xml:space="preserve"> Brink used a questionnaire format with a group of Roman Catholic schoolgirls to assess the concept of simultaneous belief in at least two of the following: Roman Catholic doctrine, astrology, and reincarnation.</w:t>
      </w:r>
      <w:r>
        <w:rPr>
          <w:vertAlign w:val="superscript"/>
        </w:rPr>
        <w:footnoteReference w:id="2"/>
      </w:r>
      <w:r>
        <w:t xml:space="preserve"> </w:t>
      </w:r>
    </w:p>
    <w:p w14:paraId="0531A62B" w14:textId="77777777" w:rsidR="00F319B1" w:rsidRDefault="00F319B1">
      <w:pPr>
        <w:pStyle w:val="normal0"/>
      </w:pPr>
    </w:p>
    <w:p w14:paraId="5CC07D6F" w14:textId="77777777" w:rsidR="00AE32D4" w:rsidRDefault="00E859D2">
      <w:pPr>
        <w:pStyle w:val="normal0"/>
        <w:rPr>
          <w:u w:val="single"/>
        </w:rPr>
      </w:pPr>
      <w:r>
        <w:rPr>
          <w:u w:val="single"/>
        </w:rPr>
        <w:t>Methodology</w:t>
      </w:r>
    </w:p>
    <w:p w14:paraId="5F9905E8" w14:textId="77777777" w:rsidR="00AE32D4" w:rsidRDefault="00AE32D4">
      <w:pPr>
        <w:pStyle w:val="normal0"/>
      </w:pPr>
    </w:p>
    <w:p w14:paraId="0C84756B" w14:textId="77777777" w:rsidR="00AE32D4" w:rsidRDefault="00E859D2">
      <w:pPr>
        <w:pStyle w:val="normal0"/>
      </w:pPr>
      <w:r>
        <w:tab/>
        <w:t>Brink’s approach is laced with assumptions, and his use of a structured, closed questionnaire may well have prevented participant revelations that would have alerted him to this fact. He begins his paper by stating that ‘simultaneous belief in Roman Catholic doctrine, astrology, and reincarnation is logically incompatible’.</w:t>
      </w:r>
      <w:r>
        <w:rPr>
          <w:vertAlign w:val="superscript"/>
        </w:rPr>
        <w:footnoteReference w:id="3"/>
      </w:r>
      <w:r>
        <w:t xml:space="preserve"> Yet Bernadette Brady has considered extensively the ways in which astrologers find room for free will in their astrological practice.</w:t>
      </w:r>
      <w:r>
        <w:rPr>
          <w:vertAlign w:val="superscript"/>
        </w:rPr>
        <w:footnoteReference w:id="4"/>
      </w:r>
      <w:r>
        <w:t xml:space="preserve"> Regarding religion, there may for example be some girls who accept the doctrine apart from its statements rejecting reincarnation. This is not an impossible concept; in her paper ‘Catholic but not Roman Catholic’, Byrne notes that the Polish National Catholic Church in early documents ‘possibly espoused reincarnation’.</w:t>
      </w:r>
      <w:r>
        <w:rPr>
          <w:vertAlign w:val="superscript"/>
        </w:rPr>
        <w:footnoteReference w:id="5"/>
      </w:r>
      <w:r>
        <w:t xml:space="preserve"> By restricting himself to his prior understanding of the terms, Brink prevents himself from learning about the schoolgirls’ own understanding of the three terms and corresponding belief systems. Bryman has discussed how use of a ‘prior theoretical framework’, in particular one that shapes the research strategy, can lead to misconstruction of data.</w:t>
      </w:r>
      <w:r>
        <w:rPr>
          <w:vertAlign w:val="superscript"/>
        </w:rPr>
        <w:footnoteReference w:id="6"/>
      </w:r>
      <w:r>
        <w:t xml:space="preserve"> Brink certainly uses a prior theoretical framework to shape his </w:t>
      </w:r>
      <w:r>
        <w:lastRenderedPageBreak/>
        <w:t>study, which calls into question the validity of his data. His methodology allows no room for nuance or for his assumption and founding statement to be challenged.</w:t>
      </w:r>
    </w:p>
    <w:p w14:paraId="50993F12" w14:textId="77777777" w:rsidR="00F319B1" w:rsidRDefault="00F319B1">
      <w:pPr>
        <w:pStyle w:val="normal0"/>
        <w:ind w:firstLine="720"/>
      </w:pPr>
    </w:p>
    <w:p w14:paraId="22156E08" w14:textId="77777777" w:rsidR="00AE32D4" w:rsidRDefault="00E859D2">
      <w:pPr>
        <w:pStyle w:val="normal0"/>
        <w:ind w:firstLine="720"/>
      </w:pPr>
      <w:r>
        <w:t xml:space="preserve">Rather than begin the project with their own understanding of what reincarnation means, Walter and Waterhouse used the research opportunity to find out what reincarnation means </w:t>
      </w:r>
      <w:r>
        <w:rPr>
          <w:i/>
        </w:rPr>
        <w:t>for the people who believe in it</w:t>
      </w:r>
      <w:r>
        <w:t>.</w:t>
      </w:r>
      <w:r>
        <w:rPr>
          <w:vertAlign w:val="superscript"/>
        </w:rPr>
        <w:footnoteReference w:id="7"/>
      </w:r>
      <w:r>
        <w:t xml:space="preserve"> Their methodology was highly suited to this purpose; they conducted extended, personal interviews with adults and group interviews with children. They also kept the interviews open-ended and ‘care was taken to let the interviewees speak in their own terms’.</w:t>
      </w:r>
      <w:r>
        <w:rPr>
          <w:vertAlign w:val="superscript"/>
        </w:rPr>
        <w:footnoteReference w:id="8"/>
      </w:r>
      <w:r>
        <w:t xml:space="preserve"> Though Walter and Waterhouse cannot extrapolate their data and make assumptions about a wider sample, they do not attempt to do so as their singular goal was to ‘discover the range of meanings’ given to reincarnation, and the qualitative process achieved this to a significant level.</w:t>
      </w:r>
      <w:r>
        <w:rPr>
          <w:vertAlign w:val="superscript"/>
        </w:rPr>
        <w:footnoteReference w:id="9"/>
      </w:r>
    </w:p>
    <w:p w14:paraId="2B2AF03D" w14:textId="77777777" w:rsidR="00AE32D4" w:rsidRDefault="00AE32D4">
      <w:pPr>
        <w:pStyle w:val="normal0"/>
        <w:spacing w:line="276" w:lineRule="auto"/>
        <w:rPr>
          <w:rFonts w:ascii="Arial" w:eastAsia="Arial" w:hAnsi="Arial" w:cs="Arial"/>
          <w:sz w:val="22"/>
          <w:szCs w:val="22"/>
        </w:rPr>
      </w:pPr>
    </w:p>
    <w:p w14:paraId="294F2B01" w14:textId="77777777" w:rsidR="00AE32D4" w:rsidRDefault="00AE32D4">
      <w:pPr>
        <w:pStyle w:val="normal0"/>
      </w:pPr>
    </w:p>
    <w:p w14:paraId="5D318CD8" w14:textId="77777777" w:rsidR="00AE32D4" w:rsidRDefault="00E859D2">
      <w:pPr>
        <w:pStyle w:val="normal0"/>
        <w:rPr>
          <w:u w:val="single"/>
        </w:rPr>
      </w:pPr>
      <w:r>
        <w:rPr>
          <w:u w:val="single"/>
        </w:rPr>
        <w:t>Researcher position</w:t>
      </w:r>
    </w:p>
    <w:p w14:paraId="50F51F3F" w14:textId="77777777" w:rsidR="00AE32D4" w:rsidRDefault="00AE32D4">
      <w:pPr>
        <w:pStyle w:val="normal0"/>
      </w:pPr>
    </w:p>
    <w:p w14:paraId="66BC997D" w14:textId="77777777" w:rsidR="00AE32D4" w:rsidRDefault="00E859D2">
      <w:pPr>
        <w:pStyle w:val="normal0"/>
        <w:ind w:firstLine="720"/>
      </w:pPr>
      <w:r>
        <w:t>Brink’s position is an outsider one - he is not a Roman Catholic schoolgirl - and he fails to discuss the impact this may have on his findings. For example, the questionnaires were given to everyone who happened to be in the religion class that day.</w:t>
      </w:r>
      <w:r>
        <w:rPr>
          <w:vertAlign w:val="superscript"/>
        </w:rPr>
        <w:footnoteReference w:id="10"/>
      </w:r>
      <w:r>
        <w:t xml:space="preserve"> Brink notes that the class was a ‘required course’ suggesting that he does not consider the religion-focused location to be a factor that may skew results.</w:t>
      </w:r>
      <w:r>
        <w:rPr>
          <w:vertAlign w:val="superscript"/>
        </w:rPr>
        <w:footnoteReference w:id="11"/>
      </w:r>
      <w:r>
        <w:t xml:space="preserve"> However as an outsider, he will have been unaware of the regular dynamic of the class, and how religious discussions in that setting, shaping the mood of the day, might differ from more informal discussions. Though he is in the same physical location as the girls, he remains an outsider. Walter and Waterhouse were also outsiders, with some participants being schoolchildren, but as these were interviews, and in groups, there is no indication that this occurred during a lesson.</w:t>
      </w:r>
      <w:r>
        <w:rPr>
          <w:vertAlign w:val="superscript"/>
        </w:rPr>
        <w:footnoteReference w:id="12"/>
      </w:r>
      <w:r>
        <w:t xml:space="preserve"> </w:t>
      </w:r>
    </w:p>
    <w:p w14:paraId="6C5935F0" w14:textId="77777777" w:rsidR="00AE32D4" w:rsidRDefault="00E859D2">
      <w:pPr>
        <w:pStyle w:val="normal0"/>
        <w:ind w:firstLine="720"/>
      </w:pPr>
      <w:r>
        <w:t>Both studies concern religion, and it has been argued that the insider-outsider dichotomy becomes a particularly pressing problem where religion is involved; Gardiner and Engler have discussed the view that the ‘outsider’s epistemic access to the knowledge held of religious insiders is ruled out in absolute terms’, not merely restricted by social factors as it might be in another field of study.</w:t>
      </w:r>
      <w:r>
        <w:rPr>
          <w:vertAlign w:val="superscript"/>
        </w:rPr>
        <w:footnoteReference w:id="13"/>
      </w:r>
      <w:r>
        <w:t xml:space="preserve"> However, Walter and Waterhouse’s more qualitative approach may help to mediate this distance from their participants; Hennink, Hutter and Bailey note that a primary distinguishing feature of qualitative research is that it ‘allows you to identify issues from the perspective of your study participants’.</w:t>
      </w:r>
      <w:r>
        <w:rPr>
          <w:vertAlign w:val="superscript"/>
        </w:rPr>
        <w:footnoteReference w:id="14"/>
      </w:r>
      <w:r>
        <w:t xml:space="preserve"> Brink, on the other hand, fails to utilise the benefits of such an approach, exacerbating possible problems concerning the religious topic.</w:t>
      </w:r>
    </w:p>
    <w:p w14:paraId="357716BF" w14:textId="77777777" w:rsidR="00AE32D4" w:rsidRDefault="00AE32D4">
      <w:pPr>
        <w:pStyle w:val="normal0"/>
      </w:pPr>
    </w:p>
    <w:p w14:paraId="34B08038" w14:textId="77777777" w:rsidR="00AE32D4" w:rsidRDefault="00AE32D4">
      <w:pPr>
        <w:pStyle w:val="normal0"/>
      </w:pPr>
    </w:p>
    <w:p w14:paraId="7233AE38" w14:textId="77777777" w:rsidR="00AE32D4" w:rsidRDefault="00AE32D4">
      <w:pPr>
        <w:pStyle w:val="normal0"/>
      </w:pPr>
    </w:p>
    <w:p w14:paraId="43AF9E4B" w14:textId="77777777" w:rsidR="00F319B1" w:rsidRDefault="00F319B1">
      <w:pPr>
        <w:pStyle w:val="normal0"/>
      </w:pPr>
    </w:p>
    <w:p w14:paraId="43587824" w14:textId="77777777" w:rsidR="00F319B1" w:rsidRDefault="00F319B1">
      <w:pPr>
        <w:pStyle w:val="normal0"/>
      </w:pPr>
    </w:p>
    <w:p w14:paraId="3405CF33" w14:textId="77777777" w:rsidR="00F319B1" w:rsidRDefault="00F319B1">
      <w:pPr>
        <w:pStyle w:val="normal0"/>
      </w:pPr>
    </w:p>
    <w:p w14:paraId="5DEAB45D" w14:textId="77777777" w:rsidR="00AE32D4" w:rsidRDefault="00E859D2">
      <w:pPr>
        <w:pStyle w:val="normal0"/>
        <w:rPr>
          <w:u w:val="single"/>
        </w:rPr>
      </w:pPr>
      <w:r>
        <w:rPr>
          <w:u w:val="single"/>
        </w:rPr>
        <w:t>Literature reviews</w:t>
      </w:r>
    </w:p>
    <w:p w14:paraId="10162FA7" w14:textId="77777777" w:rsidR="00AE32D4" w:rsidRDefault="00AE32D4">
      <w:pPr>
        <w:pStyle w:val="normal0"/>
      </w:pPr>
    </w:p>
    <w:p w14:paraId="3E2EC14E" w14:textId="77777777" w:rsidR="00AE32D4" w:rsidRDefault="00E859D2">
      <w:pPr>
        <w:pStyle w:val="normal0"/>
      </w:pPr>
      <w:r>
        <w:tab/>
        <w:t xml:space="preserve">The literature review in Brink’s paper appears, at first glance, to cover a lot of ground. However it is in fact solely a review of sociological theories </w:t>
      </w:r>
      <w:r w:rsidR="00F319B1">
        <w:t>that</w:t>
      </w:r>
      <w:r>
        <w:t xml:space="preserve"> discuss ‘cognitive consistency’.</w:t>
      </w:r>
      <w:r>
        <w:rPr>
          <w:vertAlign w:val="superscript"/>
        </w:rPr>
        <w:footnoteReference w:id="15"/>
      </w:r>
      <w:r>
        <w:t xml:space="preserve"> Brink does not consider any previous literature on cultural perceptions of astrology, reincarnation or Roman Catholicism. He does however in his discussion of his findings, reference research on new attitudes to religion, showing some overall consideration of previous research.</w:t>
      </w:r>
      <w:r>
        <w:rPr>
          <w:vertAlign w:val="superscript"/>
        </w:rPr>
        <w:footnoteReference w:id="16"/>
      </w:r>
      <w:r>
        <w:t xml:space="preserve"> Brink’s inconsistent approach to previous literature is also evidenced in his conclusion where for the first time uses Freud’s theories on denial of death to support his own conclusions regarding what he deems to be ‘the adolescent’s response to confusion and uncertainty’.</w:t>
      </w:r>
      <w:r>
        <w:rPr>
          <w:vertAlign w:val="superscript"/>
        </w:rPr>
        <w:footnoteReference w:id="17"/>
      </w:r>
      <w:r>
        <w:t xml:space="preserve"> </w:t>
      </w:r>
    </w:p>
    <w:p w14:paraId="22BAAA8D" w14:textId="77777777" w:rsidR="00AE32D4" w:rsidRDefault="00E859D2">
      <w:pPr>
        <w:pStyle w:val="normal0"/>
      </w:pPr>
      <w:r>
        <w:tab/>
        <w:t>Walter and Waterhouse demonstrate an extensive review of the literature. Moreover, their research design clearly derives from the survey data. Their literature review also provides support for their motivation for study, and foundational claims are provided with evidential support. For example they write that reincarnation as a belief ‘appears to be on the increase in the West’ and back this up with several studies such as the European Values Surveys.</w:t>
      </w:r>
      <w:r>
        <w:rPr>
          <w:vertAlign w:val="superscript"/>
        </w:rPr>
        <w:footnoteReference w:id="18"/>
      </w:r>
    </w:p>
    <w:p w14:paraId="6E2D9533" w14:textId="77777777" w:rsidR="00AE32D4" w:rsidRDefault="00AE32D4">
      <w:pPr>
        <w:pStyle w:val="normal0"/>
      </w:pPr>
    </w:p>
    <w:p w14:paraId="65C1A549" w14:textId="77777777" w:rsidR="00AE32D4" w:rsidRDefault="00E859D2">
      <w:pPr>
        <w:pStyle w:val="normal0"/>
      </w:pPr>
      <w:r>
        <w:tab/>
      </w:r>
    </w:p>
    <w:p w14:paraId="50EEC0C1" w14:textId="77777777" w:rsidR="00AE32D4" w:rsidRDefault="00E859D2">
      <w:pPr>
        <w:pStyle w:val="normal0"/>
        <w:rPr>
          <w:u w:val="single"/>
        </w:rPr>
      </w:pPr>
      <w:r>
        <w:rPr>
          <w:u w:val="single"/>
        </w:rPr>
        <w:t>Conclusions</w:t>
      </w:r>
    </w:p>
    <w:p w14:paraId="726580C8" w14:textId="77777777" w:rsidR="00AE32D4" w:rsidRDefault="00AE32D4">
      <w:pPr>
        <w:pStyle w:val="normal0"/>
      </w:pPr>
    </w:p>
    <w:p w14:paraId="3B0A5C3D" w14:textId="77777777" w:rsidR="00AE32D4" w:rsidRDefault="00E859D2">
      <w:pPr>
        <w:pStyle w:val="normal0"/>
        <w:ind w:firstLine="720"/>
      </w:pPr>
      <w:r>
        <w:t>The two studies both concerned personal spiritual beliefs, but utilised different methods. Brink’s fixed questionnaire approach may have restricted his findings, while Walter and Waterhouse’s open-ended, extended interview, purely qualitative approach, provided their findings with depth. Regarding the literature review, Walter and Waterhouse conducted an extensive survey of previous research, which provides the reader with contextual understanding, explains the researchers’ motivations for research, and helps to legitimise their methodological choices. Brink, by contrast, in his own literature review, lists six social scientists with various positions on cognitive consistency, but does not discuss the context for his study itself.</w:t>
      </w:r>
    </w:p>
    <w:p w14:paraId="17815313" w14:textId="77777777" w:rsidR="00AE32D4" w:rsidRDefault="00E859D2">
      <w:pPr>
        <w:pStyle w:val="normal0"/>
        <w:ind w:firstLine="720"/>
      </w:pPr>
      <w:r>
        <w:t>The researcher position is similar in both papers, with all three researchers being outsiders. With the topic involving religious belief, this might be a particular problem, but Walter and Waterhouse’s focus on qualitativity mediates this issue.</w:t>
      </w:r>
    </w:p>
    <w:p w14:paraId="575CBB3F" w14:textId="77777777" w:rsidR="00AE32D4" w:rsidRDefault="00E859D2">
      <w:pPr>
        <w:pStyle w:val="normal0"/>
        <w:ind w:firstLine="720"/>
      </w:pPr>
      <w:r>
        <w:t xml:space="preserve">In broader terms, Walter and Waterhouse’s study provides insight into the value that can be gained from qualitative research, while Brink’s paper demonstrates some of the pitfalls of </w:t>
      </w:r>
      <w:r w:rsidR="00F319B1">
        <w:t>trying to retain too much quantita</w:t>
      </w:r>
      <w:r>
        <w:t>tivity.</w:t>
      </w:r>
    </w:p>
    <w:p w14:paraId="1B883455" w14:textId="77777777" w:rsidR="00AE32D4" w:rsidRDefault="00AE32D4">
      <w:pPr>
        <w:pStyle w:val="normal0"/>
        <w:ind w:firstLine="720"/>
      </w:pPr>
    </w:p>
    <w:p w14:paraId="534C6F8E" w14:textId="77777777" w:rsidR="00AE32D4" w:rsidRDefault="00AE32D4">
      <w:pPr>
        <w:pStyle w:val="normal0"/>
        <w:ind w:firstLine="720"/>
      </w:pPr>
    </w:p>
    <w:p w14:paraId="366069C9" w14:textId="77777777" w:rsidR="00AE32D4" w:rsidRDefault="00AE32D4">
      <w:pPr>
        <w:pStyle w:val="normal0"/>
        <w:ind w:firstLine="720"/>
      </w:pPr>
    </w:p>
    <w:p w14:paraId="2BC71DA3" w14:textId="77777777" w:rsidR="00AE32D4" w:rsidRDefault="00AE32D4">
      <w:pPr>
        <w:pStyle w:val="normal0"/>
        <w:ind w:firstLine="720"/>
      </w:pPr>
    </w:p>
    <w:p w14:paraId="10C8B2FC" w14:textId="77777777" w:rsidR="00AE32D4" w:rsidRDefault="00AE32D4">
      <w:pPr>
        <w:pStyle w:val="normal0"/>
        <w:pBdr>
          <w:top w:val="nil"/>
          <w:left w:val="nil"/>
          <w:bottom w:val="nil"/>
          <w:right w:val="nil"/>
          <w:between w:val="nil"/>
        </w:pBdr>
        <w:ind w:right="-334"/>
        <w:rPr>
          <w:rFonts w:ascii="Trebuchet MS" w:eastAsia="Trebuchet MS" w:hAnsi="Trebuchet MS" w:cs="Trebuchet MS"/>
        </w:rPr>
      </w:pPr>
    </w:p>
    <w:p w14:paraId="7E872CEF"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22D3C04A"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3084AD47"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6CF840D3"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0ADBDC29"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2F99CDF6" w14:textId="77777777" w:rsidR="00F319B1" w:rsidRDefault="00F319B1">
      <w:pPr>
        <w:pStyle w:val="normal0"/>
        <w:pBdr>
          <w:top w:val="nil"/>
          <w:left w:val="nil"/>
          <w:bottom w:val="nil"/>
          <w:right w:val="nil"/>
          <w:between w:val="nil"/>
        </w:pBdr>
        <w:ind w:right="-334"/>
        <w:rPr>
          <w:rFonts w:ascii="Spectral" w:eastAsia="Spectral" w:hAnsi="Spectral" w:cs="Spectral"/>
          <w:u w:val="single"/>
        </w:rPr>
      </w:pPr>
    </w:p>
    <w:p w14:paraId="3A7F31A1" w14:textId="77777777" w:rsidR="00F319B1" w:rsidRDefault="00F319B1">
      <w:pPr>
        <w:pStyle w:val="normal0"/>
        <w:pBdr>
          <w:top w:val="nil"/>
          <w:left w:val="nil"/>
          <w:bottom w:val="nil"/>
          <w:right w:val="nil"/>
          <w:between w:val="nil"/>
        </w:pBdr>
        <w:ind w:right="-334"/>
        <w:rPr>
          <w:rFonts w:ascii="Spectral" w:eastAsia="Spectral" w:hAnsi="Spectral" w:cs="Spectral"/>
          <w:u w:val="single"/>
        </w:rPr>
      </w:pPr>
    </w:p>
    <w:p w14:paraId="3C9FD078" w14:textId="77777777" w:rsidR="00AE32D4" w:rsidRDefault="00E859D2">
      <w:pPr>
        <w:pStyle w:val="normal0"/>
        <w:pBdr>
          <w:top w:val="nil"/>
          <w:left w:val="nil"/>
          <w:bottom w:val="nil"/>
          <w:right w:val="nil"/>
          <w:between w:val="nil"/>
        </w:pBdr>
        <w:ind w:right="-334"/>
        <w:rPr>
          <w:rFonts w:ascii="Spectral" w:eastAsia="Spectral" w:hAnsi="Spectral" w:cs="Spectral"/>
          <w:u w:val="single"/>
        </w:rPr>
      </w:pPr>
      <w:r>
        <w:rPr>
          <w:rFonts w:ascii="Spectral" w:eastAsia="Spectral" w:hAnsi="Spectral" w:cs="Spectral"/>
          <w:u w:val="single"/>
        </w:rPr>
        <w:t>Bibliography</w:t>
      </w:r>
    </w:p>
    <w:p w14:paraId="5A0D6369" w14:textId="77777777" w:rsidR="00AE32D4" w:rsidRDefault="00AE32D4">
      <w:pPr>
        <w:pStyle w:val="normal0"/>
        <w:pBdr>
          <w:top w:val="nil"/>
          <w:left w:val="nil"/>
          <w:bottom w:val="nil"/>
          <w:right w:val="nil"/>
          <w:between w:val="nil"/>
        </w:pBdr>
        <w:ind w:right="-334"/>
        <w:rPr>
          <w:rFonts w:ascii="Spectral" w:eastAsia="Spectral" w:hAnsi="Spectral" w:cs="Spectral"/>
          <w:u w:val="single"/>
        </w:rPr>
      </w:pPr>
    </w:p>
    <w:p w14:paraId="4EAB887D" w14:textId="77777777" w:rsidR="00AE32D4" w:rsidRDefault="00E859D2">
      <w:pPr>
        <w:pStyle w:val="normal0"/>
        <w:pBdr>
          <w:top w:val="nil"/>
          <w:left w:val="nil"/>
          <w:bottom w:val="nil"/>
          <w:right w:val="nil"/>
          <w:between w:val="nil"/>
        </w:pBdr>
        <w:ind w:right="-334"/>
        <w:rPr>
          <w:rFonts w:ascii="Spectral" w:eastAsia="Spectral" w:hAnsi="Spectral" w:cs="Spectral"/>
        </w:rPr>
      </w:pPr>
      <w:r>
        <w:rPr>
          <w:rFonts w:ascii="Spectral" w:eastAsia="Spectral" w:hAnsi="Spectral" w:cs="Spectral"/>
        </w:rPr>
        <w:t xml:space="preserve">Brady, Bernadette, ‘Theories of fate among present day astrologers’, Trinity Saint David University of Wales, 2012 </w:t>
      </w:r>
    </w:p>
    <w:p w14:paraId="259FF8FB" w14:textId="77777777" w:rsidR="00AE32D4" w:rsidRDefault="00AE32D4">
      <w:pPr>
        <w:pStyle w:val="normal0"/>
        <w:pBdr>
          <w:top w:val="nil"/>
          <w:left w:val="nil"/>
          <w:bottom w:val="nil"/>
          <w:right w:val="nil"/>
          <w:between w:val="nil"/>
        </w:pBdr>
        <w:ind w:right="-334"/>
        <w:rPr>
          <w:rFonts w:ascii="Spectral" w:eastAsia="Spectral" w:hAnsi="Spectral" w:cs="Spectral"/>
        </w:rPr>
      </w:pPr>
    </w:p>
    <w:p w14:paraId="051F794C" w14:textId="77777777" w:rsidR="00AE32D4" w:rsidRDefault="00E859D2">
      <w:pPr>
        <w:pStyle w:val="normal0"/>
        <w:pBdr>
          <w:top w:val="nil"/>
          <w:left w:val="nil"/>
          <w:bottom w:val="nil"/>
          <w:right w:val="nil"/>
          <w:between w:val="nil"/>
        </w:pBdr>
        <w:ind w:right="-334"/>
        <w:rPr>
          <w:rFonts w:ascii="Spectral" w:eastAsia="Spectral" w:hAnsi="Spectral" w:cs="Spectral"/>
        </w:rPr>
      </w:pPr>
      <w:r>
        <w:rPr>
          <w:rFonts w:ascii="Spectral" w:eastAsia="Spectral" w:hAnsi="Spectral" w:cs="Spectral"/>
        </w:rPr>
        <w:t xml:space="preserve">Brink, T. L., ‘Inconsistency of Belief among Roman Catholic Girls: Concerning Religion, Astrology, Reincarnation’, </w:t>
      </w:r>
      <w:r>
        <w:rPr>
          <w:rFonts w:ascii="Spectral" w:eastAsia="Spectral" w:hAnsi="Spectral" w:cs="Spectral"/>
          <w:i/>
        </w:rPr>
        <w:t>Review of Religious Research</w:t>
      </w:r>
      <w:r>
        <w:rPr>
          <w:rFonts w:ascii="Spectral" w:eastAsia="Spectral" w:hAnsi="Spectral" w:cs="Spectral"/>
        </w:rPr>
        <w:t>, Vol. 20, No. 1 (Autumn, 1978), pp. 82–85</w:t>
      </w:r>
    </w:p>
    <w:p w14:paraId="237D105C" w14:textId="77777777" w:rsidR="00AE32D4" w:rsidRDefault="00AE32D4">
      <w:pPr>
        <w:pStyle w:val="normal0"/>
        <w:pBdr>
          <w:top w:val="nil"/>
          <w:left w:val="nil"/>
          <w:bottom w:val="nil"/>
          <w:right w:val="nil"/>
          <w:between w:val="nil"/>
        </w:pBdr>
        <w:ind w:right="-334"/>
        <w:rPr>
          <w:rFonts w:ascii="Spectral" w:eastAsia="Spectral" w:hAnsi="Spectral" w:cs="Spectral"/>
        </w:rPr>
      </w:pPr>
    </w:p>
    <w:p w14:paraId="0FE9524C" w14:textId="77777777" w:rsidR="00AE32D4" w:rsidRDefault="00E859D2">
      <w:pPr>
        <w:pStyle w:val="normal0"/>
        <w:ind w:right="-334"/>
        <w:rPr>
          <w:rFonts w:ascii="Spectral" w:eastAsia="Spectral" w:hAnsi="Spectral" w:cs="Spectral"/>
        </w:rPr>
      </w:pPr>
      <w:r>
        <w:rPr>
          <w:rFonts w:ascii="Spectral" w:eastAsia="Spectral" w:hAnsi="Spectral" w:cs="Spectral"/>
        </w:rPr>
        <w:t xml:space="preserve">Bryman, Alan, </w:t>
      </w:r>
      <w:r>
        <w:rPr>
          <w:rFonts w:ascii="Spectral" w:eastAsia="Spectral" w:hAnsi="Spectral" w:cs="Spectral"/>
          <w:i/>
        </w:rPr>
        <w:t>Quantity and Quality in Social Research</w:t>
      </w:r>
      <w:r>
        <w:rPr>
          <w:rFonts w:ascii="Spectral" w:eastAsia="Spectral" w:hAnsi="Spectral" w:cs="Spectral"/>
        </w:rPr>
        <w:t xml:space="preserve"> (London: Routledge, 2001).</w:t>
      </w:r>
    </w:p>
    <w:p w14:paraId="0506DBEB" w14:textId="77777777" w:rsidR="00AE32D4" w:rsidRDefault="00AE32D4">
      <w:pPr>
        <w:pStyle w:val="normal0"/>
        <w:ind w:right="-334"/>
        <w:rPr>
          <w:rFonts w:ascii="Spectral" w:eastAsia="Spectral" w:hAnsi="Spectral" w:cs="Spectral"/>
        </w:rPr>
      </w:pPr>
    </w:p>
    <w:p w14:paraId="732F8396" w14:textId="77777777" w:rsidR="00AE32D4" w:rsidRDefault="00E859D2">
      <w:pPr>
        <w:pStyle w:val="normal0"/>
        <w:ind w:right="-334"/>
        <w:rPr>
          <w:rFonts w:ascii="Spectral" w:eastAsia="Spectral" w:hAnsi="Spectral" w:cs="Spectral"/>
        </w:rPr>
      </w:pPr>
      <w:r>
        <w:rPr>
          <w:rFonts w:ascii="Spectral" w:eastAsia="Spectral" w:hAnsi="Spectral" w:cs="Spectral"/>
        </w:rPr>
        <w:t xml:space="preserve">Byrne, Julie, ‘Catholic But Not Roman Catholic’, </w:t>
      </w:r>
      <w:r>
        <w:rPr>
          <w:rFonts w:ascii="Spectral" w:eastAsia="Spectral" w:hAnsi="Spectral" w:cs="Spectral"/>
          <w:i/>
        </w:rPr>
        <w:t>American Catholic Studies</w:t>
      </w:r>
      <w:r>
        <w:rPr>
          <w:rFonts w:ascii="Spectral" w:eastAsia="Spectral" w:hAnsi="Spectral" w:cs="Spectral"/>
        </w:rPr>
        <w:t>, Vol. 125, No. 3 (2014), pp. 16–19</w:t>
      </w:r>
    </w:p>
    <w:p w14:paraId="00D7FAB2" w14:textId="77777777" w:rsidR="00AE32D4" w:rsidRDefault="00AE32D4">
      <w:pPr>
        <w:pStyle w:val="normal0"/>
        <w:ind w:right="-334"/>
        <w:rPr>
          <w:rFonts w:ascii="Spectral" w:eastAsia="Spectral" w:hAnsi="Spectral" w:cs="Spectral"/>
        </w:rPr>
      </w:pPr>
    </w:p>
    <w:p w14:paraId="78B93309" w14:textId="77777777" w:rsidR="00AE32D4" w:rsidRDefault="00E859D2">
      <w:pPr>
        <w:pStyle w:val="normal0"/>
        <w:ind w:right="-334"/>
        <w:rPr>
          <w:rFonts w:ascii="Spectral" w:eastAsia="Spectral" w:hAnsi="Spectral" w:cs="Spectral"/>
        </w:rPr>
      </w:pPr>
      <w:r>
        <w:rPr>
          <w:rFonts w:ascii="Spectral" w:eastAsia="Spectral" w:hAnsi="Spectral" w:cs="Spectral"/>
        </w:rPr>
        <w:t xml:space="preserve">Gardiner, Mark Q., and Steven Engler, ‘Semantic Holism and the Insider—Outsider Problem’, </w:t>
      </w:r>
      <w:r>
        <w:rPr>
          <w:rFonts w:ascii="Spectral" w:eastAsia="Spectral" w:hAnsi="Spectral" w:cs="Spectral"/>
          <w:i/>
        </w:rPr>
        <w:t>Religious Studies</w:t>
      </w:r>
      <w:r>
        <w:rPr>
          <w:rFonts w:ascii="Spectral" w:eastAsia="Spectral" w:hAnsi="Spectral" w:cs="Spectral"/>
        </w:rPr>
        <w:t>, Vol. 48, No. 2 (2012), pp. 239–255</w:t>
      </w:r>
    </w:p>
    <w:p w14:paraId="73E7DF32" w14:textId="77777777" w:rsidR="00AE32D4" w:rsidRDefault="00AE32D4">
      <w:pPr>
        <w:pStyle w:val="normal0"/>
        <w:ind w:right="-334"/>
        <w:rPr>
          <w:rFonts w:ascii="Spectral" w:eastAsia="Spectral" w:hAnsi="Spectral" w:cs="Spectral"/>
        </w:rPr>
      </w:pPr>
    </w:p>
    <w:p w14:paraId="216A815E" w14:textId="77777777" w:rsidR="00AE32D4" w:rsidRDefault="00E859D2">
      <w:pPr>
        <w:pStyle w:val="normal0"/>
        <w:ind w:right="-334"/>
        <w:rPr>
          <w:rFonts w:ascii="Spectral" w:eastAsia="Spectral" w:hAnsi="Spectral" w:cs="Spectral"/>
        </w:rPr>
      </w:pPr>
      <w:r>
        <w:rPr>
          <w:rFonts w:ascii="Spectral" w:eastAsia="Spectral" w:hAnsi="Spectral" w:cs="Spectral"/>
        </w:rPr>
        <w:t xml:space="preserve">Hennink, Monique, Inge Hutter and Ajay Bailey, </w:t>
      </w:r>
      <w:r>
        <w:rPr>
          <w:rFonts w:ascii="Spectral" w:eastAsia="Spectral" w:hAnsi="Spectral" w:cs="Spectral"/>
          <w:i/>
        </w:rPr>
        <w:t>Qualitative Research Methods</w:t>
      </w:r>
      <w:r>
        <w:rPr>
          <w:rFonts w:ascii="Spectral" w:eastAsia="Spectral" w:hAnsi="Spectral" w:cs="Spectral"/>
        </w:rPr>
        <w:t xml:space="preserve"> (London: Sage, 2011)</w:t>
      </w:r>
    </w:p>
    <w:p w14:paraId="0DF1C4E6" w14:textId="77777777" w:rsidR="00AE32D4" w:rsidRDefault="00AE32D4">
      <w:pPr>
        <w:pStyle w:val="normal0"/>
        <w:ind w:right="-334"/>
        <w:rPr>
          <w:rFonts w:ascii="Spectral" w:eastAsia="Spectral" w:hAnsi="Spectral" w:cs="Spectral"/>
        </w:rPr>
      </w:pPr>
    </w:p>
    <w:p w14:paraId="0F1B658D" w14:textId="77777777" w:rsidR="00AE32D4" w:rsidRDefault="00E859D2">
      <w:pPr>
        <w:pStyle w:val="normal0"/>
        <w:pBdr>
          <w:top w:val="nil"/>
          <w:left w:val="nil"/>
          <w:bottom w:val="nil"/>
          <w:right w:val="nil"/>
          <w:between w:val="nil"/>
        </w:pBdr>
        <w:ind w:right="-334"/>
        <w:rPr>
          <w:rFonts w:ascii="Spectral" w:eastAsia="Spectral" w:hAnsi="Spectral" w:cs="Spectral"/>
        </w:rPr>
      </w:pPr>
      <w:r>
        <w:rPr>
          <w:rFonts w:ascii="Spectral" w:eastAsia="Spectral" w:hAnsi="Spectral" w:cs="Spectral"/>
        </w:rPr>
        <w:t xml:space="preserve">Walter, Tony, and Helen Waterhouse, ‘A Very Private Belief: Reincarnation in Contemporary England’, </w:t>
      </w:r>
      <w:r>
        <w:rPr>
          <w:rFonts w:ascii="Spectral" w:eastAsia="Spectral" w:hAnsi="Spectral" w:cs="Spectral"/>
          <w:i/>
        </w:rPr>
        <w:t>Sociology of Religion</w:t>
      </w:r>
      <w:r>
        <w:rPr>
          <w:rFonts w:ascii="Spectral" w:eastAsia="Spectral" w:hAnsi="Spectral" w:cs="Spectral"/>
        </w:rPr>
        <w:t>, Vol. 60, No. 2 (1999), pp. 187–197</w:t>
      </w:r>
    </w:p>
    <w:p w14:paraId="29139C54" w14:textId="77777777" w:rsidR="00AE32D4" w:rsidRDefault="00AE32D4">
      <w:pPr>
        <w:pStyle w:val="normal0"/>
        <w:pBdr>
          <w:top w:val="nil"/>
          <w:left w:val="nil"/>
          <w:bottom w:val="nil"/>
          <w:right w:val="nil"/>
          <w:between w:val="nil"/>
        </w:pBdr>
        <w:ind w:right="-334"/>
        <w:rPr>
          <w:rFonts w:ascii="Roboto" w:eastAsia="Roboto" w:hAnsi="Roboto" w:cs="Roboto"/>
          <w:color w:val="373A3C"/>
          <w:sz w:val="23"/>
          <w:szCs w:val="23"/>
          <w:highlight w:val="white"/>
        </w:rPr>
      </w:pPr>
    </w:p>
    <w:sectPr w:rsidR="00AE32D4">
      <w:headerReference w:type="default" r:id="rId8"/>
      <w:footerReference w:type="default" r:id="rId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B383C" w14:textId="77777777" w:rsidR="00E859D2" w:rsidRDefault="00E859D2">
      <w:r>
        <w:separator/>
      </w:r>
    </w:p>
  </w:endnote>
  <w:endnote w:type="continuationSeparator" w:id="0">
    <w:p w14:paraId="7C59DCCE" w14:textId="77777777" w:rsidR="00E859D2" w:rsidRDefault="00E8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Menlo Bold">
    <w:panose1 w:val="020B0709030604020204"/>
    <w:charset w:val="00"/>
    <w:family w:val="auto"/>
    <w:pitch w:val="variable"/>
    <w:sig w:usb0="E60022FF" w:usb1="D000F1FB" w:usb2="00000028" w:usb3="00000000" w:csb0="000001DF" w:csb1="00000000"/>
  </w:font>
  <w:font w:name="Calibri">
    <w:panose1 w:val="020F0502020204030204"/>
    <w:charset w:val="00"/>
    <w:family w:val="auto"/>
    <w:pitch w:val="variable"/>
    <w:sig w:usb0="E10002FF" w:usb1="4000ACFF" w:usb2="00000009" w:usb3="00000000" w:csb0="0000019F" w:csb1="00000000"/>
  </w:font>
  <w:font w:name="Spectral">
    <w:altName w:val="Times New Roman"/>
    <w:charset w:val="00"/>
    <w:family w:val="auto"/>
    <w:pitch w:val="default"/>
  </w:font>
  <w:font w:name="Roboto">
    <w:altName w:val="Times New Roman"/>
    <w:charset w:val="00"/>
    <w:family w:val="auto"/>
    <w:pitch w:val="default"/>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F5CA9" w14:textId="77777777" w:rsidR="00E859D2" w:rsidRDefault="00E859D2">
    <w:pPr>
      <w:pStyle w:val="normal0"/>
      <w:pBdr>
        <w:top w:val="nil"/>
        <w:left w:val="nil"/>
        <w:bottom w:val="nil"/>
        <w:right w:val="nil"/>
        <w:between w:val="nil"/>
      </w:pBdr>
      <w:tabs>
        <w:tab w:val="center" w:pos="4513"/>
        <w:tab w:val="right" w:pos="9026"/>
      </w:tabs>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924D68" w14:textId="77777777" w:rsidR="00E859D2" w:rsidRDefault="00E859D2">
      <w:r>
        <w:separator/>
      </w:r>
    </w:p>
  </w:footnote>
  <w:footnote w:type="continuationSeparator" w:id="0">
    <w:p w14:paraId="6431875A" w14:textId="77777777" w:rsidR="00E859D2" w:rsidRDefault="00E859D2">
      <w:r>
        <w:continuationSeparator/>
      </w:r>
    </w:p>
  </w:footnote>
  <w:footnote w:id="1">
    <w:p w14:paraId="602492FB"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 xml:space="preserve">Tony Walter and Helen Waterhouse, ‘A Very Private Belief: Reincarnation in Contemporary England’, </w:t>
      </w:r>
      <w:r>
        <w:rPr>
          <w:rFonts w:ascii="Trebuchet MS" w:eastAsia="Trebuchet MS" w:hAnsi="Trebuchet MS" w:cs="Trebuchet MS"/>
          <w:i/>
          <w:sz w:val="20"/>
          <w:szCs w:val="20"/>
        </w:rPr>
        <w:t>Sociology of Religion</w:t>
      </w:r>
      <w:r>
        <w:rPr>
          <w:rFonts w:ascii="Trebuchet MS" w:eastAsia="Trebuchet MS" w:hAnsi="Trebuchet MS" w:cs="Trebuchet MS"/>
          <w:sz w:val="20"/>
          <w:szCs w:val="20"/>
        </w:rPr>
        <w:t>, Vol. 60, No. 2 (1999), [hereafter Walter and Waterhouse, ‘A Very Private Belief’], p. 187</w:t>
      </w:r>
    </w:p>
  </w:footnote>
  <w:footnote w:id="2">
    <w:p w14:paraId="762790C1"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 xml:space="preserve">T. L. Brink, ‘Inconsistency of Belief among Roman Catholic Girls: Concerning Religion, Astrology, Reincarnation’, </w:t>
      </w:r>
      <w:r>
        <w:rPr>
          <w:rFonts w:ascii="Trebuchet MS" w:eastAsia="Trebuchet MS" w:hAnsi="Trebuchet MS" w:cs="Trebuchet MS"/>
          <w:i/>
          <w:sz w:val="20"/>
          <w:szCs w:val="20"/>
        </w:rPr>
        <w:t>Review of Religious Research</w:t>
      </w:r>
      <w:r>
        <w:rPr>
          <w:rFonts w:ascii="Trebuchet MS" w:eastAsia="Trebuchet MS" w:hAnsi="Trebuchet MS" w:cs="Trebuchet MS"/>
          <w:sz w:val="20"/>
          <w:szCs w:val="20"/>
        </w:rPr>
        <w:t>, Vol. 20, No 1 (Autumn, 1978), [hereafter Brink, ‘Inconsistency of Belief’], p. 82</w:t>
      </w:r>
    </w:p>
  </w:footnote>
  <w:footnote w:id="3">
    <w:p w14:paraId="66E939B1"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82</w:t>
      </w:r>
    </w:p>
  </w:footnote>
  <w:footnote w:id="4">
    <w:p w14:paraId="1C5725A0"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Bernadette Brady, ‘Theories of fate among present day astrologers’, Trinity Saint David University of Wales, 2012, Chapter 5, p.143</w:t>
      </w:r>
    </w:p>
  </w:footnote>
  <w:footnote w:id="5">
    <w:p w14:paraId="564B3B4C" w14:textId="77777777" w:rsidR="00E859D2" w:rsidRDefault="00E859D2">
      <w:pPr>
        <w:pStyle w:val="normal0"/>
        <w:rPr>
          <w:rFonts w:ascii="Trebuchet MS" w:eastAsia="Trebuchet MS" w:hAnsi="Trebuchet MS" w:cs="Trebuchet MS"/>
          <w:sz w:val="20"/>
          <w:szCs w:val="20"/>
        </w:rPr>
      </w:pPr>
      <w:r>
        <w:rPr>
          <w:vertAlign w:val="superscript"/>
        </w:rPr>
        <w:footnoteRef/>
      </w:r>
      <w:r>
        <w:rPr>
          <w:sz w:val="20"/>
          <w:szCs w:val="20"/>
        </w:rPr>
        <w:t xml:space="preserve"> </w:t>
      </w:r>
      <w:r>
        <w:rPr>
          <w:rFonts w:ascii="Trebuchet MS" w:eastAsia="Trebuchet MS" w:hAnsi="Trebuchet MS" w:cs="Trebuchet MS"/>
          <w:sz w:val="20"/>
          <w:szCs w:val="20"/>
        </w:rPr>
        <w:t xml:space="preserve">Julie Byrne, ‘Catholic But Not Roman Catholic’, </w:t>
      </w:r>
      <w:r>
        <w:rPr>
          <w:rFonts w:ascii="Trebuchet MS" w:eastAsia="Trebuchet MS" w:hAnsi="Trebuchet MS" w:cs="Trebuchet MS"/>
          <w:i/>
          <w:sz w:val="20"/>
          <w:szCs w:val="20"/>
        </w:rPr>
        <w:t>American Catholic Studies</w:t>
      </w:r>
      <w:r>
        <w:rPr>
          <w:rFonts w:ascii="Trebuchet MS" w:eastAsia="Trebuchet MS" w:hAnsi="Trebuchet MS" w:cs="Trebuchet MS"/>
          <w:sz w:val="20"/>
          <w:szCs w:val="20"/>
        </w:rPr>
        <w:t>, Vol. 125, No. 3 (2014), p. 19</w:t>
      </w:r>
    </w:p>
  </w:footnote>
  <w:footnote w:id="6">
    <w:p w14:paraId="1F2EBA16" w14:textId="77777777" w:rsidR="00E859D2" w:rsidRDefault="00E859D2">
      <w:pPr>
        <w:pStyle w:val="normal0"/>
        <w:rPr>
          <w:rFonts w:ascii="Trebuchet MS" w:eastAsia="Trebuchet MS" w:hAnsi="Trebuchet MS" w:cs="Trebuchet MS"/>
          <w:sz w:val="20"/>
          <w:szCs w:val="20"/>
        </w:rPr>
      </w:pPr>
      <w:r>
        <w:rPr>
          <w:vertAlign w:val="superscript"/>
        </w:rPr>
        <w:footnoteRef/>
      </w:r>
      <w:r>
        <w:rPr>
          <w:sz w:val="20"/>
          <w:szCs w:val="20"/>
        </w:rPr>
        <w:t xml:space="preserve"> </w:t>
      </w:r>
      <w:r>
        <w:rPr>
          <w:rFonts w:ascii="Trebuchet MS" w:eastAsia="Trebuchet MS" w:hAnsi="Trebuchet MS" w:cs="Trebuchet MS"/>
          <w:sz w:val="20"/>
          <w:szCs w:val="20"/>
        </w:rPr>
        <w:t xml:space="preserve">Alan Bryman, </w:t>
      </w:r>
      <w:r>
        <w:rPr>
          <w:rFonts w:ascii="Trebuchet MS" w:eastAsia="Trebuchet MS" w:hAnsi="Trebuchet MS" w:cs="Trebuchet MS"/>
          <w:i/>
          <w:sz w:val="20"/>
          <w:szCs w:val="20"/>
        </w:rPr>
        <w:t>Quantity and Quality in Social Research</w:t>
      </w:r>
      <w:r>
        <w:rPr>
          <w:rFonts w:ascii="Trebuchet MS" w:eastAsia="Trebuchet MS" w:hAnsi="Trebuchet MS" w:cs="Trebuchet MS"/>
          <w:sz w:val="20"/>
          <w:szCs w:val="20"/>
        </w:rPr>
        <w:t xml:space="preserve"> (London: Routledge, 2001), p. 99</w:t>
      </w:r>
    </w:p>
  </w:footnote>
  <w:footnote w:id="7">
    <w:p w14:paraId="5EA5B1E9"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Walter and Waterhouse, ‘A Very Private Belief’, p. 188</w:t>
      </w:r>
    </w:p>
  </w:footnote>
  <w:footnote w:id="8">
    <w:p w14:paraId="15A72245"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Walter and Waterhouse, ‘A Very Private Belief’, p. 189</w:t>
      </w:r>
    </w:p>
  </w:footnote>
  <w:footnote w:id="9">
    <w:p w14:paraId="47DA76C0"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Walter and Waterhouse, ‘A Very Private Belief’, p. 189</w:t>
      </w:r>
    </w:p>
  </w:footnote>
  <w:footnote w:id="10">
    <w:p w14:paraId="230A7ABE"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83</w:t>
      </w:r>
    </w:p>
  </w:footnote>
  <w:footnote w:id="11">
    <w:p w14:paraId="6413A071"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83</w:t>
      </w:r>
    </w:p>
  </w:footnote>
  <w:footnote w:id="12">
    <w:p w14:paraId="5FFEEB96"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Walter and Waterhouse, ‘A Very Private Belief’, p. 189</w:t>
      </w:r>
    </w:p>
  </w:footnote>
  <w:footnote w:id="13">
    <w:p w14:paraId="51A0BFD8"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Mark Q. Gardiner and Steven Engler, ‘Semantic Holism and the Insider—Outsider Problem’, Religious Studies, Vol. 48, No. 2 (2012), p. 240</w:t>
      </w:r>
    </w:p>
  </w:footnote>
  <w:footnote w:id="14">
    <w:p w14:paraId="1EEC9FF5"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 xml:space="preserve">Monique Hennink, Inge Hutter and Ajay Bailey, </w:t>
      </w:r>
      <w:r>
        <w:rPr>
          <w:rFonts w:ascii="Trebuchet MS" w:eastAsia="Trebuchet MS" w:hAnsi="Trebuchet MS" w:cs="Trebuchet MS"/>
          <w:i/>
          <w:sz w:val="20"/>
          <w:szCs w:val="20"/>
        </w:rPr>
        <w:t>Qualitative Research Methods</w:t>
      </w:r>
      <w:r>
        <w:rPr>
          <w:rFonts w:ascii="Trebuchet MS" w:eastAsia="Trebuchet MS" w:hAnsi="Trebuchet MS" w:cs="Trebuchet MS"/>
          <w:sz w:val="20"/>
          <w:szCs w:val="20"/>
        </w:rPr>
        <w:t xml:space="preserve"> (London: Sage, 2011), p. 9</w:t>
      </w:r>
    </w:p>
  </w:footnote>
  <w:footnote w:id="15">
    <w:p w14:paraId="76C12F5A"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82</w:t>
      </w:r>
    </w:p>
  </w:footnote>
  <w:footnote w:id="16">
    <w:p w14:paraId="6C42761F"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84</w:t>
      </w:r>
    </w:p>
  </w:footnote>
  <w:footnote w:id="17">
    <w:p w14:paraId="4CBA68CA"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Brink, ‘Inconsistency of Belief’, p. 85</w:t>
      </w:r>
    </w:p>
  </w:footnote>
  <w:footnote w:id="18">
    <w:p w14:paraId="2652EC05" w14:textId="77777777" w:rsidR="00E859D2" w:rsidRDefault="00E859D2">
      <w:pPr>
        <w:pStyle w:val="normal0"/>
        <w:rPr>
          <w:sz w:val="20"/>
          <w:szCs w:val="20"/>
        </w:rPr>
      </w:pPr>
      <w:r>
        <w:rPr>
          <w:vertAlign w:val="superscript"/>
        </w:rPr>
        <w:footnoteRef/>
      </w:r>
      <w:r>
        <w:rPr>
          <w:sz w:val="20"/>
          <w:szCs w:val="20"/>
        </w:rPr>
        <w:t xml:space="preserve"> </w:t>
      </w:r>
      <w:r>
        <w:rPr>
          <w:rFonts w:ascii="Trebuchet MS" w:eastAsia="Trebuchet MS" w:hAnsi="Trebuchet MS" w:cs="Trebuchet MS"/>
          <w:sz w:val="20"/>
          <w:szCs w:val="20"/>
        </w:rPr>
        <w:t>Walter and Waterhouse, ‘A Very Private Belief’, p. 188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292D6" w14:textId="77777777" w:rsidR="00E859D2" w:rsidRDefault="00E859D2">
    <w:pPr>
      <w:pStyle w:val="normal0"/>
      <w:rPr>
        <w:rFonts w:ascii="Arial" w:eastAsia="Arial" w:hAnsi="Arial" w:cs="Arial"/>
        <w:sz w:val="20"/>
        <w:szCs w:val="20"/>
      </w:rPr>
    </w:pPr>
    <w:r>
      <w:rPr>
        <w:rFonts w:ascii="Arial" w:eastAsia="Arial" w:hAnsi="Arial" w:cs="Arial"/>
        <w:sz w:val="20"/>
        <w:szCs w:val="20"/>
      </w:rPr>
      <w:t>Octavia Sheepshanks</w:t>
    </w:r>
    <w:r>
      <w:rPr>
        <w:rFonts w:ascii="Arial" w:eastAsia="Arial" w:hAnsi="Arial" w:cs="Arial"/>
        <w:sz w:val="20"/>
        <w:szCs w:val="20"/>
      </w:rPr>
      <w:tab/>
    </w:r>
    <w:r>
      <w:rPr>
        <w:rFonts w:ascii="Arial" w:eastAsia="Arial" w:hAnsi="Arial" w:cs="Arial"/>
        <w:sz w:val="20"/>
        <w:szCs w:val="20"/>
      </w:rPr>
      <w:tab/>
      <w:t>1604414</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Page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7E1FE4">
      <w:rPr>
        <w:rFonts w:ascii="Arial" w:eastAsia="Arial" w:hAnsi="Arial" w:cs="Arial"/>
        <w:noProof/>
        <w:sz w:val="20"/>
        <w:szCs w:val="20"/>
      </w:rPr>
      <w:t>2</w:t>
    </w:r>
    <w:r>
      <w:rPr>
        <w:rFonts w:ascii="Arial" w:eastAsia="Arial" w:hAnsi="Arial" w:cs="Arial"/>
        <w:sz w:val="20"/>
        <w:szCs w:val="20"/>
      </w:rPr>
      <w:fldChar w:fldCharType="end"/>
    </w:r>
    <w:r>
      <w:rPr>
        <w:rFonts w:ascii="Arial" w:eastAsia="Arial" w:hAnsi="Arial" w:cs="Arial"/>
        <w:sz w:val="20"/>
        <w:szCs w:val="20"/>
      </w:rPr>
      <w:t xml:space="preserve"> of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7E1FE4">
      <w:rPr>
        <w:rFonts w:ascii="Arial" w:eastAsia="Arial" w:hAnsi="Arial" w:cs="Arial"/>
        <w:noProof/>
        <w:sz w:val="20"/>
        <w:szCs w:val="20"/>
      </w:rPr>
      <w:t>6</w:t>
    </w:r>
    <w:r>
      <w:rPr>
        <w:rFonts w:ascii="Arial" w:eastAsia="Arial" w:hAnsi="Arial" w:cs="Arial"/>
        <w:sz w:val="20"/>
        <w:szCs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E32D4"/>
    <w:rsid w:val="00507EC7"/>
    <w:rsid w:val="007E1FE4"/>
    <w:rsid w:val="00AE32D4"/>
    <w:rsid w:val="00E859D2"/>
    <w:rsid w:val="00F319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7F5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spacing w:before="240" w:after="60"/>
      <w:outlineLvl w:val="0"/>
    </w:pPr>
    <w:rPr>
      <w:rFonts w:ascii="Arial" w:eastAsia="Arial" w:hAnsi="Arial" w:cs="Arial"/>
      <w:b/>
      <w:sz w:val="32"/>
      <w:szCs w:val="32"/>
    </w:rPr>
  </w:style>
  <w:style w:type="paragraph" w:styleId="Heading2">
    <w:name w:val="heading 2"/>
    <w:basedOn w:val="normal0"/>
    <w:next w:val="normal0"/>
    <w:pPr>
      <w:keepNext/>
      <w:spacing w:before="240" w:after="60"/>
      <w:outlineLvl w:val="1"/>
    </w:pPr>
    <w:rPr>
      <w:rFonts w:ascii="Arial" w:eastAsia="Arial" w:hAnsi="Arial" w:cs="Arial"/>
      <w:b/>
      <w:i/>
      <w:sz w:val="28"/>
      <w:szCs w:val="28"/>
    </w:rPr>
  </w:style>
  <w:style w:type="paragraph" w:styleId="Heading3">
    <w:name w:val="heading 3"/>
    <w:basedOn w:val="normal0"/>
    <w:next w:val="normal0"/>
    <w:pPr>
      <w:keepNext/>
      <w:ind w:left="720"/>
      <w:jc w:val="both"/>
      <w:outlineLvl w:val="2"/>
    </w:pPr>
    <w:rPr>
      <w:rFonts w:ascii="Tahoma" w:eastAsia="Tahoma" w:hAnsi="Tahoma" w:cs="Tahoma"/>
      <w:b/>
      <w:sz w:val="20"/>
      <w:szCs w:val="20"/>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59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59D2"/>
    <w:rPr>
      <w:rFonts w:ascii="Lucida Grande" w:hAnsi="Lucida Grande" w:cs="Lucida Grande"/>
      <w:sz w:val="18"/>
      <w:szCs w:val="18"/>
    </w:rPr>
  </w:style>
  <w:style w:type="paragraph" w:styleId="z-BottomofForm">
    <w:name w:val="HTML Bottom of Form"/>
    <w:basedOn w:val="Normal"/>
    <w:next w:val="Normal"/>
    <w:link w:val="z-BottomofFormChar"/>
    <w:hidden/>
    <w:uiPriority w:val="99"/>
    <w:semiHidden/>
    <w:unhideWhenUsed/>
    <w:rsid w:val="00E859D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859D2"/>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E859D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859D2"/>
    <w:rPr>
      <w:rFonts w:ascii="Arial" w:hAnsi="Arial" w:cs="Arial"/>
      <w:vanish/>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spacing w:before="240" w:after="60"/>
      <w:outlineLvl w:val="0"/>
    </w:pPr>
    <w:rPr>
      <w:rFonts w:ascii="Arial" w:eastAsia="Arial" w:hAnsi="Arial" w:cs="Arial"/>
      <w:b/>
      <w:sz w:val="32"/>
      <w:szCs w:val="32"/>
    </w:rPr>
  </w:style>
  <w:style w:type="paragraph" w:styleId="Heading2">
    <w:name w:val="heading 2"/>
    <w:basedOn w:val="normal0"/>
    <w:next w:val="normal0"/>
    <w:pPr>
      <w:keepNext/>
      <w:spacing w:before="240" w:after="60"/>
      <w:outlineLvl w:val="1"/>
    </w:pPr>
    <w:rPr>
      <w:rFonts w:ascii="Arial" w:eastAsia="Arial" w:hAnsi="Arial" w:cs="Arial"/>
      <w:b/>
      <w:i/>
      <w:sz w:val="28"/>
      <w:szCs w:val="28"/>
    </w:rPr>
  </w:style>
  <w:style w:type="paragraph" w:styleId="Heading3">
    <w:name w:val="heading 3"/>
    <w:basedOn w:val="normal0"/>
    <w:next w:val="normal0"/>
    <w:pPr>
      <w:keepNext/>
      <w:ind w:left="720"/>
      <w:jc w:val="both"/>
      <w:outlineLvl w:val="2"/>
    </w:pPr>
    <w:rPr>
      <w:rFonts w:ascii="Tahoma" w:eastAsia="Tahoma" w:hAnsi="Tahoma" w:cs="Tahoma"/>
      <w:b/>
      <w:sz w:val="20"/>
      <w:szCs w:val="20"/>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59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59D2"/>
    <w:rPr>
      <w:rFonts w:ascii="Lucida Grande" w:hAnsi="Lucida Grande" w:cs="Lucida Grande"/>
      <w:sz w:val="18"/>
      <w:szCs w:val="18"/>
    </w:rPr>
  </w:style>
  <w:style w:type="paragraph" w:styleId="z-BottomofForm">
    <w:name w:val="HTML Bottom of Form"/>
    <w:basedOn w:val="Normal"/>
    <w:next w:val="Normal"/>
    <w:link w:val="z-BottomofFormChar"/>
    <w:hidden/>
    <w:uiPriority w:val="99"/>
    <w:semiHidden/>
    <w:unhideWhenUsed/>
    <w:rsid w:val="00E859D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859D2"/>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E859D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859D2"/>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2558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1519</Words>
  <Characters>8662</Characters>
  <Application>Microsoft Macintosh Word</Application>
  <DocSecurity>0</DocSecurity>
  <Lines>72</Lines>
  <Paragraphs>20</Paragraphs>
  <ScaleCrop>false</ScaleCrop>
  <Company/>
  <LinksUpToDate>false</LinksUpToDate>
  <CharactersWithSpaces>10161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Octavia Sheepshanks</cp:lastModifiedBy>
  <cp:revision>2</cp:revision>
  <dcterms:created xsi:type="dcterms:W3CDTF">2019-03-19T14:53:00Z</dcterms:created>
  <dcterms:modified xsi:type="dcterms:W3CDTF">2019-03-19T14:53:00Z</dcterms:modified>
</cp:coreProperties>
</file>