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u w:val="single"/>
        </w:rPr>
      </w:pPr>
      <w:r>
        <w:rPr>
          <w:u w:val="single"/>
          <w:rtl w:val="0"/>
          <w:lang w:val="en-US"/>
        </w:rPr>
        <w:t>Evaluate the role of consideration in contract law</w:t>
      </w:r>
    </w:p>
    <w:p>
      <w:pPr>
        <w:pStyle w:val="Body"/>
      </w:pPr>
    </w:p>
    <w:p>
      <w:pPr>
        <w:pStyle w:val="Body"/>
      </w:pPr>
      <w:r>
        <w:rPr>
          <w:rtl w:val="0"/>
          <w:lang w:val="en-US"/>
        </w:rPr>
        <w:t xml:space="preserve">Every contract that is made between parties must include consideration in order for it to be a valid contract. The role of consideration in a contract can be seen as important as it can be the main dispute between parties when they are taken to court for a breach of contract. The role of consideration is one that is disputed by many as its value is seen in different lights by different parties as some may argue that the elements of consideration are seen as meaningless in real life situations. Consideration is needed for every valid contract and holds a vital role in ensuring contracts are followed through with as there are two different types of consideration that make sure that the price agreed upon within the contract is delivered to the other party. Although consideration can be seen to be out of touch with real life situations it is one that can play an important role in contract law and keeps both parties happy with the results they gain from the contract even though the goods that are put up by both sides may not always hold the same value. Consideration covers a wide range of subjects and allows for anything that is seen to have value to be classed as consideration which in turn allows for more parties to enter into contracts with one another. This also allows for both sides of the agreement to be delivered what they want and to gain what they wish for out of the contract. </w:t>
      </w:r>
    </w:p>
    <w:p>
      <w:pPr>
        <w:pStyle w:val="Body"/>
      </w:pPr>
    </w:p>
    <w:p>
      <w:pPr>
        <w:pStyle w:val="Body"/>
      </w:pPr>
      <w:r>
        <w:rPr>
          <w:rtl w:val="0"/>
          <w:lang w:val="en-US"/>
        </w:rPr>
        <w:t xml:space="preserve">Consideration is just one aspect of what is needed to have a legally binding contract that parties can use to get what they want out of the other. A valid contract must contain aspects of offer, acceptance, consideration and the intention to create legal relations. Offer and acceptance in a contract go hand in hand as an offer is a clear proposal made by one party, the offeror, to the other party, the offeree, with the intention of them accepting the proposal while acceptance is the other party agreeing to the terms of the offer. (ADD CITATION HERE). Consideration is the next aspect of a contract that is needed to make it legally binding and contains two different types of consideration; executed and executory. Executed consideration is when the valued goods that were agreed upon in the contract have been given to the other party, for example if both parties agreed upon a sum of money that has been paid to the other party already then that is executed consideration. However, executory consideration is when the consideration has been promised but has not yet been given to the other party. Consideration is the part of the contract that shows the valued goods that one party will deliver to the other upon the completion of the contract and so becomes a vital part of contract law as it allows parties to have the security layer that the contract will be completed. This is supported by the case of Dunlop v Selfridge 1915 which supported the point of how vital consideration is in a contract as it was held that Dunlop could not sue Selfridge as they had shown them no consideration and therefore there could not be any binding contract between the two parties. (CITATION). Having consideration in a contract is shown by this case to be vital as it ensures you get the outcome that you want from the other party as Dunlop did not receive the outcome they wanted but could not do anything about it as they gave no consideration to Selfridge, demonstrating the importance of consideration and its role in contract law. Another demonstration of how important consideration is in a contract is in the case of Thomas v Thomas 1842 in which Mrs Thomas was staying in her home in exchange for </w:t>
      </w:r>
      <w:r>
        <w:rPr>
          <w:rtl w:val="0"/>
        </w:rPr>
        <w:t>£</w:t>
      </w:r>
      <w:r>
        <w:rPr>
          <w:rtl w:val="0"/>
          <w:lang w:val="en-US"/>
        </w:rPr>
        <w:t xml:space="preserve">1 a year as rent. Consideration can be anything, such as money, as long as it has value and so this case was ruled that she had entered into a valid contract as there was consideration as she was paying rent to be able to stay in the property. This consideration makes it a valid contract and shows the difference between what could have been a gift rather than a legally binding contract. The consideration may be a small amount but as long as it has a value then it can be considered as consideration which shows how important its role is in contract law. Another important concept in the role of consideration is when it is valid according to the capacity of the parties who enter into the agreement as these could be grounds for the contract to be invalid or disputed. The mental capacity act 2005 is a key piece of legislation in outlining the mental capacity side of contracts as it safeguards those who do not have the mental capacity to understand what they are agreeing to. This act allows for those who enter into contracts unknowingly due to their mental capacity to be able to get out of the contract and is supported by section 3 of the act which outlines who is able to claim that they are not able to make a decision for </w:t>
      </w:r>
      <w:r>
        <w:rPr>
          <w:rtl w:val="0"/>
          <w:lang w:val="en-US"/>
        </w:rPr>
        <w:t>themselves</w:t>
      </w:r>
      <w:r>
        <w:rPr>
          <w:rtl w:val="0"/>
          <w:lang w:val="en-US"/>
        </w:rPr>
        <w:t xml:space="preserve">. Section 3 of this act outlines someone who can not make a decision for </w:t>
      </w:r>
      <w:r>
        <w:rPr>
          <w:rtl w:val="0"/>
          <w:lang w:val="en-US"/>
        </w:rPr>
        <w:t>themselves</w:t>
      </w:r>
      <w:r>
        <w:rPr>
          <w:rtl w:val="0"/>
          <w:lang w:val="en-US"/>
        </w:rPr>
        <w:t xml:space="preserve"> as someone who is unable </w:t>
      </w:r>
      <w:r>
        <w:rPr>
          <w:rtl w:val="1"/>
          <w:lang w:val="ar-SA" w:bidi="ar-SA"/>
        </w:rPr>
        <w:t>“</w:t>
      </w:r>
      <w:r>
        <w:rPr>
          <w:rtl w:val="0"/>
          <w:lang w:val="en-US"/>
        </w:rPr>
        <w:t>to understand the information relevant to the decision</w:t>
      </w:r>
      <w:r>
        <w:rPr>
          <w:rtl w:val="0"/>
        </w:rPr>
        <w:t>”</w:t>
      </w:r>
      <w:r>
        <w:rPr>
          <w:rtl w:val="0"/>
        </w:rPr>
        <w:t xml:space="preserve">, </w:t>
      </w:r>
      <w:r>
        <w:rPr>
          <w:rtl w:val="1"/>
          <w:lang w:val="ar-SA" w:bidi="ar-SA"/>
        </w:rPr>
        <w:t>“</w:t>
      </w:r>
      <w:r>
        <w:rPr>
          <w:rtl w:val="0"/>
          <w:lang w:val="en-US"/>
        </w:rPr>
        <w:t>to retain information</w:t>
      </w:r>
      <w:r>
        <w:rPr>
          <w:rtl w:val="0"/>
        </w:rPr>
        <w:t>”</w:t>
      </w:r>
      <w:r>
        <w:rPr>
          <w:rtl w:val="0"/>
        </w:rPr>
        <w:t xml:space="preserve">, </w:t>
      </w:r>
      <w:r>
        <w:rPr>
          <w:rtl w:val="1"/>
          <w:lang w:val="ar-SA" w:bidi="ar-SA"/>
        </w:rPr>
        <w:t>“</w:t>
      </w:r>
      <w:r>
        <w:rPr>
          <w:rtl w:val="0"/>
          <w:lang w:val="en-US"/>
        </w:rPr>
        <w:t>to use or weigh that information as part of the process of making the decision</w:t>
      </w:r>
      <w:r>
        <w:rPr>
          <w:rtl w:val="0"/>
        </w:rPr>
        <w:t>”</w:t>
      </w:r>
      <w:r>
        <w:rPr>
          <w:rtl w:val="0"/>
          <w:lang w:val="en-US"/>
        </w:rPr>
        <w:t xml:space="preserve">, or </w:t>
      </w:r>
      <w:r>
        <w:rPr>
          <w:rtl w:val="1"/>
          <w:lang w:val="ar-SA" w:bidi="ar-SA"/>
        </w:rPr>
        <w:t>“</w:t>
      </w:r>
      <w:r>
        <w:rPr>
          <w:rtl w:val="0"/>
          <w:lang w:val="en-US"/>
        </w:rPr>
        <w:t>to communicate their decision (whether by talking, using sign language or any other means</w:t>
      </w:r>
      <w:r>
        <w:rPr>
          <w:rtl w:val="0"/>
        </w:rPr>
        <w:t>”</w:t>
      </w:r>
      <w:r>
        <w:rPr>
          <w:rtl w:val="0"/>
          <w:lang w:val="en-US"/>
        </w:rPr>
        <w:t xml:space="preserve">. By outlining these specific definitions, people are able to understand more clearly whether they can use them as a defence and to understand if they did not have the capacity to understand what they were agreeing to when they entered into the contract. Another act that determines the validity of a contract is the sale of goods act 1979, specifically section 3 which shows the capacity to buy and sell for minors. This section is also further supported by the case Nash v Inman 1908 in which the minor was taking waistcoats from the plaintiff and refused to pay for them which led to the plaintiff trying to take action and claim a contract upon the minor. It was ruled that the plaintiff could not enforce a contract on the child due to their capacity to understand what a contract is.  </w:t>
      </w:r>
    </w:p>
    <w:p>
      <w:pPr>
        <w:pStyle w:val="Body"/>
      </w:pPr>
    </w:p>
    <w:p>
      <w:pPr>
        <w:pStyle w:val="Body"/>
      </w:pPr>
    </w:p>
    <w:p>
      <w:pPr>
        <w:pStyle w:val="Body"/>
      </w:pPr>
      <w:r>
        <w:rPr>
          <w:rtl w:val="0"/>
          <w:lang w:val="en-US"/>
        </w:rPr>
        <w:t xml:space="preserve">However, there are some issues with consideration as it holds the power to make a contract legally binding but does not hold parties accountable for making a promise that holds the same value as the other party. For example, consideration is valid when there is a promise made with anything that holds value but if both parties come to an agreement to exchange their valued goods, consideration does not look at how much value each good has which would allow someone to give something far less valuable to gain much more than they gave up. An example of this is in the case of Parker v Clark 1960 as Mr Clark told Mr Parker to move in with him but in order to do this Mr Parker would have had to put his house up for sale. Mr Parker sold his home and moved in with Mr Clark but after a while Mr Clark tried to evict Mr Parker on the grounds that their agreement was not working. Even though the courts ruled in favour of Mr Parker the issue with consideration still stands as Mr Clark only had to offer his home as a place to stay whereas Mr Parker had to sell his home for the consideration to be valid which demonstrates the difference in their values but yet are both still considered consideration even though they have different values. Another issue with consideration is that it requires both parties to have something of value that they can put in the contract to make it legally binding. This becomes an issue when one of the parties becomes reliant on the other parties exchange and can not adjust to not having it which is demonstrated in the case of Balfour v Balfour 1919 in which the husband worked overseas and sent back </w:t>
      </w:r>
      <w:r>
        <w:rPr>
          <w:rtl w:val="0"/>
        </w:rPr>
        <w:t>£</w:t>
      </w:r>
      <w:r>
        <w:rPr>
          <w:rtl w:val="0"/>
          <w:lang w:val="en-US"/>
        </w:rPr>
        <w:t xml:space="preserve">30 every month for the wife to maintain the life they had back home. However, the two split and the wife could not enforce this contract as it was ruled that it was just an agreement and that both parties did not intend for it to be legally binding. This shows the issue with consideration as the wife was using the money to maintain their life back home which benefits the both of them but because her consideration would have just been maintaining their life back then it is not valid for a contract and so she has to then go to a life where she now has to worry about the money as well as maintaining her life. The issue raised in this case also relates back to the controversy in the role of consideration in contract law as it is not always relatable in real life situations and is sometimes meaningless as demonstrated by these cases. The role of consideration could undertake certain reforms in order to make it more well rounded and better suited to more situations but should not be abolished altogether as this would create more problems than it would solve. </w:t>
      </w:r>
    </w:p>
    <w:p>
      <w:pPr>
        <w:pStyle w:val="Body"/>
      </w:pPr>
    </w:p>
    <w:p>
      <w:pPr>
        <w:pStyle w:val="Body"/>
      </w:pPr>
      <w:r>
        <w:rPr>
          <w:rtl w:val="0"/>
          <w:lang w:val="en-US"/>
        </w:rPr>
        <w:t xml:space="preserve">To conclude, the role of consideration in contract law is one that can be seen in many different lights and also is an aspect that covers many different grounds. The role of consideration is one that is seen to be important in contract law as it ensures parties can gain what they want out of the transaction while also giving a safety blanket for both parties as the contract can be contested if the promised goods are not delivered to the other party. Even though consideration is important in contracts it does also have its drawbacks as it does not account for the value of the promised goods which could allow for one party to offer significantly less than the other in the contract. Also, consideration can be seen to have some elements that would not be as practical in real life situations as the only criteria needed is that the promise holds a value for it to be considered as consideration. Consideration can be analysed to have both a positive and negative role in contract law however the positives outweigh the negatives and it should remain in contract law with slight possible reforms added to it to ensure a more fair and thorough contract. The reforms that could come into place should not abolish consideration but rather be added to help support it and allow for a broader range of values to be considered as consideration and.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pPr>
      <w:r>
        <w:rPr>
          <w:rtl w:val="0"/>
          <w:lang w:val="pt-PT"/>
        </w:rPr>
        <w:t>Reference List</w:t>
      </w:r>
    </w:p>
    <w:p>
      <w:pPr>
        <w:pStyle w:val="Body"/>
      </w:pPr>
    </w:p>
    <w:p>
      <w:pPr>
        <w:pStyle w:val="Body"/>
      </w:pPr>
      <w:r>
        <w:rPr>
          <w:rtl w:val="0"/>
          <w:lang w:val="en-US"/>
        </w:rPr>
        <w:t xml:space="preserve">Advocates for international development (2014). </w:t>
      </w:r>
      <w:r>
        <w:rPr>
          <w:i w:val="1"/>
          <w:iCs w:val="1"/>
          <w:rtl w:val="0"/>
          <w:lang w:val="en-US"/>
        </w:rPr>
        <w:t xml:space="preserve">Basic principles of English contract law. </w:t>
      </w:r>
      <w:r>
        <w:rPr>
          <w:rtl w:val="0"/>
          <w:lang w:val="en-US"/>
        </w:rPr>
        <w:t xml:space="preserve">Available at: </w:t>
      </w:r>
      <w:r>
        <w:rPr>
          <w:rStyle w:val="Hyperlink.0"/>
        </w:rPr>
        <w:fldChar w:fldCharType="begin" w:fldLock="0"/>
      </w:r>
      <w:r>
        <w:rPr>
          <w:rStyle w:val="Hyperlink.0"/>
        </w:rPr>
        <w:instrText xml:space="preserve"> HYPERLINK "https://www.a4id.org/wp-content/uploads/2016/10/A4ID-english-contract-law-at-a-glance.pdf"</w:instrText>
      </w:r>
      <w:r>
        <w:rPr>
          <w:rStyle w:val="Hyperlink.0"/>
        </w:rPr>
        <w:fldChar w:fldCharType="separate" w:fldLock="0"/>
      </w:r>
      <w:r>
        <w:rPr>
          <w:rStyle w:val="Hyperlink.0"/>
          <w:rtl w:val="0"/>
        </w:rPr>
        <w:t>https://www.a4id.org/wp-content/uploads/2016/10/A4ID-english-contract-law-at-a-glance.pdf</w:t>
      </w:r>
      <w:r>
        <w:rPr/>
        <w:fldChar w:fldCharType="end" w:fldLock="0"/>
      </w:r>
      <w:r>
        <w:rPr>
          <w:rStyle w:val="None"/>
          <w:rtl w:val="0"/>
          <w:lang w:val="en-US"/>
        </w:rPr>
        <w:t xml:space="preserve"> (Accessed 11 March 2024)</w:t>
      </w:r>
      <w:r>
        <w:rPr>
          <w:rStyle w:val="None"/>
          <w:i w:val="1"/>
          <w:iCs w:val="1"/>
          <w:rtl w:val="0"/>
        </w:rPr>
        <w:t xml:space="preserve"> </w:t>
      </w:r>
    </w:p>
    <w:p>
      <w:pPr>
        <w:pStyle w:val="Body"/>
      </w:pPr>
    </w:p>
    <w:p>
      <w:pPr>
        <w:pStyle w:val="Body"/>
      </w:pPr>
      <w:r>
        <w:rPr>
          <w:rStyle w:val="None"/>
          <w:rtl w:val="0"/>
          <w:lang w:val="en-US"/>
        </w:rPr>
        <w:t xml:space="preserve">Cambridge University (2011) </w:t>
      </w:r>
      <w:r>
        <w:rPr>
          <w:rStyle w:val="None"/>
          <w:i w:val="1"/>
          <w:iCs w:val="1"/>
          <w:rtl w:val="0"/>
          <w:lang w:val="en-US"/>
        </w:rPr>
        <w:t xml:space="preserve">offer and acceptance. </w:t>
      </w:r>
      <w:r>
        <w:rPr>
          <w:rStyle w:val="None"/>
          <w:rtl w:val="0"/>
          <w:lang w:val="en-US"/>
        </w:rPr>
        <w:t xml:space="preserve">Available at: </w:t>
      </w:r>
      <w:r>
        <w:rPr>
          <w:rStyle w:val="Hyperlink.0"/>
        </w:rPr>
        <w:fldChar w:fldCharType="begin" w:fldLock="0"/>
      </w:r>
      <w:r>
        <w:rPr>
          <w:rStyle w:val="Hyperlink.0"/>
        </w:rPr>
        <w:instrText xml:space="preserve"> HYPERLINK "https://www.cambridge.org/core/books/abs/contract-law/offer-and-acceptance/C768F5530D7449A7CEA3DFC188EAF688"</w:instrText>
      </w:r>
      <w:r>
        <w:rPr>
          <w:rStyle w:val="Hyperlink.0"/>
        </w:rPr>
        <w:fldChar w:fldCharType="separate" w:fldLock="0"/>
      </w:r>
      <w:r>
        <w:rPr>
          <w:rStyle w:val="Hyperlink.0"/>
          <w:rtl w:val="0"/>
        </w:rPr>
        <w:t>https://www.cambridge.org/core/books/abs/contract-law/offer-and-acceptance/C768F5530D7449A7CEA3DFC188EAF688</w:t>
      </w:r>
      <w:r>
        <w:rPr/>
        <w:fldChar w:fldCharType="end" w:fldLock="0"/>
      </w:r>
      <w:r>
        <w:rPr>
          <w:rStyle w:val="None"/>
          <w:rtl w:val="0"/>
          <w:lang w:val="en-US"/>
        </w:rPr>
        <w:t xml:space="preserve"> (Accessed 10 March 2024)</w:t>
      </w:r>
    </w:p>
    <w:p>
      <w:pPr>
        <w:pStyle w:val="Body"/>
      </w:pPr>
    </w:p>
    <w:p>
      <w:pPr>
        <w:pStyle w:val="Body"/>
      </w:pPr>
      <w:r>
        <w:rPr>
          <w:rStyle w:val="None"/>
          <w:rtl w:val="0"/>
        </w:rPr>
        <w:t xml:space="preserve">LexisNexis (2024) </w:t>
      </w:r>
      <w:r>
        <w:rPr>
          <w:rStyle w:val="None"/>
          <w:i w:val="1"/>
          <w:iCs w:val="1"/>
          <w:rtl w:val="0"/>
          <w:lang w:val="en-US"/>
        </w:rPr>
        <w:t>forming enforceable contracts - consideration</w:t>
      </w:r>
      <w:r>
        <w:rPr>
          <w:rStyle w:val="None"/>
          <w:rtl w:val="0"/>
          <w:lang w:val="en-US"/>
        </w:rPr>
        <w:t xml:space="preserve">. Available at: </w:t>
      </w:r>
      <w:r>
        <w:rPr>
          <w:rStyle w:val="Hyperlink.0"/>
        </w:rPr>
        <w:fldChar w:fldCharType="begin" w:fldLock="0"/>
      </w:r>
      <w:r>
        <w:rPr>
          <w:rStyle w:val="Hyperlink.0"/>
        </w:rPr>
        <w:instrText xml:space="preserve"> HYPERLINK "https://www.lexisnexis.co.uk/legal/guidance/forming-enforceable-contracts-consideration"</w:instrText>
      </w:r>
      <w:r>
        <w:rPr>
          <w:rStyle w:val="Hyperlink.0"/>
        </w:rPr>
        <w:fldChar w:fldCharType="separate" w:fldLock="0"/>
      </w:r>
      <w:r>
        <w:rPr>
          <w:rStyle w:val="Hyperlink.0"/>
          <w:rtl w:val="0"/>
        </w:rPr>
        <w:t>https://www.lexisnexis.co.uk/legal/guidance/forming-enforceable-contracts-consideration</w:t>
      </w:r>
      <w:r>
        <w:rPr/>
        <w:fldChar w:fldCharType="end" w:fldLock="0"/>
      </w:r>
      <w:r>
        <w:rPr>
          <w:rStyle w:val="None"/>
          <w:rtl w:val="0"/>
          <w:lang w:val="en-US"/>
        </w:rPr>
        <w:t xml:space="preserve"> (Accessed 12 March 2024)</w:t>
      </w:r>
    </w:p>
    <w:p>
      <w:pPr>
        <w:pStyle w:val="Body"/>
      </w:pPr>
    </w:p>
    <w:p>
      <w:pPr>
        <w:pStyle w:val="Body"/>
      </w:pPr>
      <w:r>
        <w:rPr>
          <w:rStyle w:val="None"/>
          <w:rtl w:val="0"/>
          <w:lang w:val="en-US"/>
        </w:rPr>
        <w:t xml:space="preserve">Mental Capacity Act 2005, available at </w:t>
      </w:r>
      <w:r>
        <w:rPr>
          <w:rStyle w:val="Hyperlink.0"/>
        </w:rPr>
        <w:fldChar w:fldCharType="begin" w:fldLock="0"/>
      </w:r>
      <w:r>
        <w:rPr>
          <w:rStyle w:val="Hyperlink.0"/>
        </w:rPr>
        <w:instrText xml:space="preserve"> HYPERLINK "https://www.legislation.gov.uk/ukpga/2005/9/notes/division/6/1/2/6%23:~:text=In%2520general,%2520a%2520contract%2520entered,still%2520pay%2520a%2520reasonable%2520price"</w:instrText>
      </w:r>
      <w:r>
        <w:rPr>
          <w:rStyle w:val="Hyperlink.0"/>
        </w:rPr>
        <w:fldChar w:fldCharType="separate" w:fldLock="0"/>
      </w:r>
      <w:r>
        <w:rPr>
          <w:rStyle w:val="Hyperlink.0"/>
          <w:rtl w:val="0"/>
        </w:rPr>
        <w:t>https://www.legislation.gov.uk/ukpga/2005/9/notes/division/6/1/2/6#:~:text=In%20general%2C%20a%20contract%20entered,still%20pay%20a%20reasonable%20price</w:t>
      </w:r>
      <w:r>
        <w:rPr/>
        <w:fldChar w:fldCharType="end" w:fldLock="0"/>
      </w:r>
      <w:r>
        <w:rPr>
          <w:rStyle w:val="None"/>
          <w:rtl w:val="0"/>
        </w:rPr>
        <w:t xml:space="preserve">. </w:t>
      </w:r>
    </w:p>
    <w:p>
      <w:pPr>
        <w:pStyle w:val="Body"/>
      </w:pPr>
    </w:p>
    <w:p>
      <w:pPr>
        <w:pStyle w:val="Body"/>
      </w:pPr>
      <w:r>
        <w:rPr>
          <w:rStyle w:val="None"/>
          <w:rtl w:val="0"/>
          <w:lang w:val="en-US"/>
        </w:rPr>
        <w:t xml:space="preserve">Sale of Goods Act 1979, available at </w:t>
      </w:r>
      <w:r>
        <w:rPr>
          <w:rStyle w:val="Hyperlink.0"/>
        </w:rPr>
        <w:fldChar w:fldCharType="begin" w:fldLock="0"/>
      </w:r>
      <w:r>
        <w:rPr>
          <w:rStyle w:val="Hyperlink.0"/>
        </w:rPr>
        <w:instrText xml:space="preserve"> HYPERLINK "https://www.legislation.gov.uk/ukpga/1979/54/section/3"</w:instrText>
      </w:r>
      <w:r>
        <w:rPr>
          <w:rStyle w:val="Hyperlink.0"/>
        </w:rPr>
        <w:fldChar w:fldCharType="separate" w:fldLock="0"/>
      </w:r>
      <w:r>
        <w:rPr>
          <w:rStyle w:val="Hyperlink.0"/>
          <w:rtl w:val="0"/>
        </w:rPr>
        <w:t>https://www.legislation.gov.uk/ukpga/1979/54/section/3</w:t>
      </w:r>
      <w:r>
        <w:rPr/>
        <w:fldChar w:fldCharType="end" w:fldLock="0"/>
      </w:r>
      <w:r>
        <w:rPr>
          <w:rStyle w:val="None"/>
          <w:rtl w:val="0"/>
        </w:rPr>
        <w:t xml:space="preserve"> </w:t>
      </w:r>
    </w:p>
    <w:p>
      <w:pPr>
        <w:pStyle w:val="Body"/>
      </w:pPr>
    </w:p>
    <w:p>
      <w:pPr>
        <w:pStyle w:val="Body"/>
        <w:jc w:val="center"/>
      </w:pPr>
    </w:p>
    <w:p>
      <w:pPr>
        <w:pStyle w:val="Body"/>
        <w:jc w:val="center"/>
      </w:pPr>
      <w:r>
        <w:rPr>
          <w:rStyle w:val="None"/>
          <w:rtl w:val="0"/>
          <w:lang w:val="en-US"/>
        </w:rPr>
        <w:t>Case Law</w:t>
      </w:r>
    </w:p>
    <w:p>
      <w:pPr>
        <w:pStyle w:val="Body"/>
      </w:pPr>
      <w:r>
        <w:rPr>
          <w:rStyle w:val="None"/>
          <w:rtl w:val="0"/>
          <w:lang w:val="en-US"/>
        </w:rPr>
        <w:t>Balfour v Balfour 1919</w:t>
      </w:r>
    </w:p>
    <w:p>
      <w:pPr>
        <w:pStyle w:val="Body"/>
      </w:pPr>
    </w:p>
    <w:p>
      <w:pPr>
        <w:pStyle w:val="Body"/>
      </w:pPr>
      <w:r>
        <w:rPr>
          <w:rStyle w:val="None"/>
          <w:rtl w:val="0"/>
          <w:lang w:val="en-US"/>
        </w:rPr>
        <w:t>Dunlop pneumatic tyre v Selfridge 1915</w:t>
      </w:r>
    </w:p>
    <w:p>
      <w:pPr>
        <w:pStyle w:val="Body"/>
      </w:pPr>
    </w:p>
    <w:p>
      <w:pPr>
        <w:pStyle w:val="Body"/>
      </w:pPr>
      <w:r>
        <w:rPr>
          <w:rStyle w:val="None"/>
          <w:rtl w:val="0"/>
          <w:lang w:val="en-US"/>
        </w:rPr>
        <w:t>Edmonds v Lawson 2000</w:t>
      </w:r>
    </w:p>
    <w:p>
      <w:pPr>
        <w:pStyle w:val="Body"/>
      </w:pPr>
    </w:p>
    <w:p>
      <w:pPr>
        <w:pStyle w:val="Body"/>
      </w:pPr>
      <w:r>
        <w:rPr>
          <w:rStyle w:val="None"/>
          <w:rtl w:val="0"/>
          <w:lang w:val="en-US"/>
        </w:rPr>
        <w:t>Maclnness v Gross 2017</w:t>
      </w:r>
    </w:p>
    <w:p>
      <w:pPr>
        <w:pStyle w:val="Body"/>
      </w:pPr>
    </w:p>
    <w:p>
      <w:pPr>
        <w:pStyle w:val="Body"/>
      </w:pPr>
      <w:r>
        <w:rPr>
          <w:rStyle w:val="None"/>
          <w:rtl w:val="0"/>
        </w:rPr>
        <w:t>Nash v Inman 1908</w:t>
      </w:r>
    </w:p>
    <w:p>
      <w:pPr>
        <w:pStyle w:val="Body"/>
      </w:pPr>
    </w:p>
    <w:p>
      <w:pPr>
        <w:pStyle w:val="Body"/>
      </w:pPr>
      <w:r>
        <w:rPr>
          <w:rStyle w:val="None"/>
          <w:rtl w:val="0"/>
        </w:rPr>
        <w:t>Parker v Clark 1960</w:t>
      </w:r>
    </w:p>
    <w:p>
      <w:pPr>
        <w:pStyle w:val="Body"/>
      </w:pPr>
    </w:p>
    <w:p>
      <w:pPr>
        <w:pStyle w:val="Body"/>
      </w:pPr>
      <w:r>
        <w:rPr>
          <w:rStyle w:val="None"/>
          <w:rtl w:val="0"/>
        </w:rPr>
        <w:t>Thomas v Thomas 1842</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