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21D5E6F3">
      <w:pPr>
        <w:pStyle w:val="style62"/>
        <w:spacing w:lineRule="auto" w:line="360"/>
        <w:jc w:val="center"/>
        <w:rPr>
          <w:b/>
          <w:bCs/>
        </w:rPr>
      </w:pPr>
    </w:p>
    <w:p w14:paraId="688EF117">
      <w:pPr>
        <w:pStyle w:val="style0"/>
        <w:snapToGrid w:val="false"/>
        <w:spacing w:before="120" w:after="120" w:lineRule="auto" w:line="360"/>
        <w:jc w:val="center"/>
        <w:rPr>
          <w:rFonts w:cs="Times New Roman"/>
          <w:b/>
          <w:bCs/>
          <w:sz w:val="72"/>
          <w:szCs w:val="72"/>
        </w:rPr>
      </w:pPr>
      <w:r>
        <w:rPr>
          <w:rFonts w:cs="Times New Roman"/>
          <w:b/>
          <w:bCs/>
          <w:sz w:val="72"/>
          <w:szCs w:val="72"/>
        </w:rPr>
        <w:t>P</w:t>
      </w:r>
      <w:r>
        <w:rPr>
          <w:rFonts w:cs="Times New Roman"/>
          <w:b/>
          <w:bCs/>
          <w:sz w:val="72"/>
          <w:szCs w:val="72"/>
        </w:rPr>
        <w:t>roposal</w:t>
      </w:r>
    </w:p>
    <w:p w14:paraId="4EC3E8C7">
      <w:pPr>
        <w:pStyle w:val="style0"/>
        <w:snapToGrid w:val="false"/>
        <w:spacing w:before="120" w:after="120" w:lineRule="auto" w:line="360"/>
        <w:jc w:val="center"/>
        <w:rPr>
          <w:rFonts w:cs="Times New Roman"/>
          <w:b/>
          <w:bCs/>
          <w:sz w:val="32"/>
          <w:szCs w:val="32"/>
        </w:rPr>
      </w:pPr>
      <w:r>
        <w:rPr>
          <w:rFonts w:cs="Times New Roman"/>
          <w:b/>
          <w:bCs/>
          <w:sz w:val="32"/>
          <w:szCs w:val="32"/>
        </w:rPr>
        <w:t xml:space="preserve">by </w:t>
      </w:r>
      <w:r>
        <w:rPr>
          <w:rFonts w:cs="Times New Roman"/>
          <w:b/>
          <w:bCs/>
          <w:sz w:val="32"/>
          <w:szCs w:val="32"/>
        </w:rPr>
        <w:t xml:space="preserve">Md Shah </w:t>
      </w:r>
      <w:r>
        <w:rPr>
          <w:rFonts w:cs="Times New Roman"/>
          <w:b/>
          <w:bCs/>
          <w:sz w:val="32"/>
          <w:szCs w:val="32"/>
        </w:rPr>
        <w:t>Alam</w:t>
      </w:r>
    </w:p>
    <w:p w14:paraId="52787BCA">
      <w:pPr>
        <w:pStyle w:val="style0"/>
        <w:snapToGrid w:val="false"/>
        <w:spacing w:before="120" w:after="120" w:lineRule="auto" w:line="360"/>
        <w:rPr>
          <w:rFonts w:cs="Times New Roman"/>
          <w:b/>
          <w:bCs/>
        </w:rPr>
      </w:pPr>
    </w:p>
    <w:p w14:paraId="5B538BC4">
      <w:pPr>
        <w:pStyle w:val="style0"/>
        <w:snapToGrid w:val="false"/>
        <w:spacing w:before="120" w:after="120" w:lineRule="auto" w:line="360"/>
        <w:rPr>
          <w:rFonts w:cs="Times New Roman"/>
          <w:b/>
          <w:bCs/>
        </w:rPr>
      </w:pPr>
    </w:p>
    <w:p w14:paraId="55F84552">
      <w:pPr>
        <w:pStyle w:val="style0"/>
        <w:snapToGrid w:val="false"/>
        <w:spacing w:before="120" w:after="120" w:lineRule="auto" w:line="360"/>
        <w:rPr>
          <w:rFonts w:cs="Times New Roman"/>
          <w:b/>
          <w:bCs/>
        </w:rPr>
      </w:pPr>
    </w:p>
    <w:p w14:paraId="769C7C09">
      <w:pPr>
        <w:pStyle w:val="style0"/>
        <w:snapToGrid w:val="false"/>
        <w:spacing w:before="120" w:after="120" w:lineRule="auto" w:line="360"/>
        <w:rPr>
          <w:rFonts w:cs="Times New Roman"/>
          <w:b/>
          <w:bCs/>
        </w:rPr>
      </w:pPr>
    </w:p>
    <w:p w14:paraId="38DE53C7">
      <w:pPr>
        <w:pStyle w:val="style0"/>
        <w:snapToGrid w:val="false"/>
        <w:spacing w:before="120" w:after="120" w:lineRule="auto" w:line="360"/>
        <w:rPr>
          <w:rFonts w:cs="Times New Roman"/>
          <w:b/>
          <w:bCs/>
        </w:rPr>
      </w:pPr>
    </w:p>
    <w:p w14:paraId="0782FEEC">
      <w:pPr>
        <w:pStyle w:val="style0"/>
        <w:snapToGrid w:val="false"/>
        <w:spacing w:before="120" w:after="120" w:lineRule="auto" w:line="360"/>
        <w:rPr>
          <w:rFonts w:cs="Times New Roman"/>
          <w:b/>
          <w:bCs/>
        </w:rPr>
      </w:pPr>
    </w:p>
    <w:p w14:paraId="3B25C7A7">
      <w:pPr>
        <w:pStyle w:val="style0"/>
        <w:snapToGrid w:val="false"/>
        <w:spacing w:before="120" w:after="120" w:lineRule="auto" w:line="360"/>
        <w:rPr>
          <w:rFonts w:cs="Times New Roman"/>
          <w:b/>
          <w:bCs/>
        </w:rPr>
      </w:pPr>
    </w:p>
    <w:p w14:paraId="6374FA62">
      <w:pPr>
        <w:pStyle w:val="style0"/>
        <w:snapToGrid w:val="false"/>
        <w:spacing w:before="120" w:after="120" w:lineRule="auto" w:line="360"/>
        <w:rPr>
          <w:rFonts w:cs="Times New Roman"/>
          <w:b/>
          <w:bCs/>
        </w:rPr>
      </w:pPr>
    </w:p>
    <w:p w14:paraId="03FB8E6F">
      <w:pPr>
        <w:pStyle w:val="style0"/>
        <w:snapToGrid w:val="false"/>
        <w:spacing w:before="120" w:after="120" w:lineRule="auto" w:line="360"/>
        <w:rPr>
          <w:rFonts w:cs="Times New Roman"/>
          <w:b/>
          <w:bCs/>
        </w:rPr>
      </w:pPr>
    </w:p>
    <w:p w14:paraId="194B6ED6">
      <w:pPr>
        <w:pStyle w:val="style0"/>
        <w:snapToGrid w:val="false"/>
        <w:spacing w:before="120" w:after="120" w:lineRule="auto" w:line="360"/>
        <w:rPr>
          <w:rFonts w:cs="Times New Roman"/>
          <w:b/>
          <w:bCs/>
        </w:rPr>
      </w:pPr>
    </w:p>
    <w:p w14:paraId="38F3949E">
      <w:pPr>
        <w:pStyle w:val="style0"/>
        <w:snapToGrid w:val="false"/>
        <w:spacing w:before="120" w:after="120" w:lineRule="auto" w:line="360"/>
        <w:rPr>
          <w:rFonts w:cs="Times New Roman"/>
          <w:b/>
          <w:bCs/>
        </w:rPr>
      </w:pPr>
      <w:r>
        <w:rPr>
          <w:rFonts w:cs="Times New Roman"/>
          <w:b/>
          <w:bCs/>
        </w:rPr>
        <w:t xml:space="preserve">Submission date: </w:t>
      </w:r>
      <w:r>
        <w:rPr>
          <w:rFonts w:cs="Times New Roman"/>
          <w:b/>
          <w:bCs/>
        </w:rPr>
        <w:t>17-07-2026</w:t>
      </w:r>
    </w:p>
    <w:p w14:paraId="73994E3B">
      <w:pPr>
        <w:pStyle w:val="style0"/>
        <w:snapToGrid w:val="false"/>
        <w:spacing w:before="120" w:after="120" w:lineRule="auto" w:line="360"/>
        <w:rPr>
          <w:rFonts w:cs="Times New Roman"/>
          <w:b/>
          <w:bCs/>
        </w:rPr>
      </w:pPr>
      <w:r>
        <w:rPr>
          <w:rFonts w:cs="Times New Roman"/>
          <w:b/>
          <w:bCs/>
        </w:rPr>
        <w:t>File Name:</w:t>
      </w:r>
      <w:r>
        <w:rPr>
          <w:rFonts w:cs="Times New Roman"/>
          <w:b/>
          <w:bCs/>
        </w:rPr>
        <w:t xml:space="preserve"> </w:t>
      </w:r>
      <w:r>
        <w:rPr>
          <w:rFonts w:cs="Times New Roman"/>
          <w:b/>
          <w:bCs/>
        </w:rPr>
        <w:t>Dissertation Proposal</w:t>
      </w:r>
    </w:p>
    <w:p w14:paraId="5B5B2FA8">
      <w:pPr>
        <w:pStyle w:val="style0"/>
        <w:snapToGrid w:val="false"/>
        <w:spacing w:before="120" w:after="120" w:lineRule="auto" w:line="360"/>
        <w:rPr>
          <w:rFonts w:cs="Times New Roman"/>
          <w:b/>
          <w:bCs/>
        </w:rPr>
      </w:pPr>
      <w:r>
        <w:rPr>
          <w:rFonts w:cs="Times New Roman"/>
          <w:b/>
          <w:bCs/>
        </w:rPr>
        <w:t xml:space="preserve">Word count: </w:t>
      </w:r>
      <w:r>
        <w:rPr>
          <w:rFonts w:cs="Times New Roman"/>
          <w:b/>
          <w:bCs/>
        </w:rPr>
        <w:t>2</w:t>
      </w:r>
      <w:r>
        <w:rPr>
          <w:rFonts w:cs="Times New Roman"/>
          <w:b/>
          <w:bCs/>
        </w:rPr>
        <w:t>400</w:t>
      </w:r>
    </w:p>
    <w:p w14:paraId="5D706CE0">
      <w:pPr>
        <w:pStyle w:val="style0"/>
        <w:jc w:val="left"/>
        <w:rPr>
          <w:rFonts w:cs="Times New Roman"/>
          <w:b/>
          <w:bCs/>
        </w:rPr>
      </w:pPr>
    </w:p>
    <w:p w14:paraId="25F50CB9">
      <w:pPr>
        <w:pStyle w:val="style0"/>
        <w:jc w:val="left"/>
        <w:rPr>
          <w:rFonts w:cs="Times New Roman"/>
          <w:b/>
          <w:bCs/>
        </w:rPr>
      </w:pPr>
    </w:p>
    <w:p w14:paraId="24AAAD0A">
      <w:pPr>
        <w:pStyle w:val="style0"/>
        <w:jc w:val="left"/>
        <w:rPr>
          <w:rFonts w:cs="Times New Roman"/>
          <w:b/>
          <w:bCs/>
        </w:rPr>
      </w:pPr>
    </w:p>
    <w:p w14:paraId="6E4EE8C0">
      <w:pPr>
        <w:pStyle w:val="style0"/>
        <w:jc w:val="left"/>
        <w:rPr>
          <w:rFonts w:cs="Times New Roman"/>
          <w:b/>
          <w:bCs/>
        </w:rPr>
      </w:pPr>
    </w:p>
    <w:p w14:paraId="1D65CE9A">
      <w:pPr>
        <w:pStyle w:val="style0"/>
        <w:jc w:val="left"/>
        <w:rPr>
          <w:rFonts w:cs="宋体" w:eastAsia="宋体"/>
          <w:b/>
          <w:bCs/>
          <w:spacing w:val="-10"/>
          <w:kern w:val="28"/>
          <w:sz w:val="28"/>
          <w:szCs w:val="56"/>
        </w:rPr>
      </w:pPr>
    </w:p>
    <w:p w14:paraId="64780863">
      <w:pPr>
        <w:pStyle w:val="style62"/>
        <w:spacing w:lineRule="auto" w:line="360"/>
        <w:jc w:val="center"/>
        <w:rPr>
          <w:b/>
          <w:bCs/>
        </w:rPr>
      </w:pPr>
    </w:p>
    <w:p w14:paraId="5449E74F">
      <w:pPr>
        <w:pStyle w:val="style62"/>
        <w:spacing w:lineRule="auto" w:line="360"/>
        <w:jc w:val="center"/>
        <w:rPr>
          <w:b/>
          <w:bCs/>
        </w:rPr>
      </w:pPr>
    </w:p>
    <w:p w14:paraId="35C1D82C">
      <w:pPr>
        <w:pStyle w:val="style62"/>
        <w:spacing w:lineRule="auto" w:line="360"/>
        <w:jc w:val="center"/>
        <w:rPr>
          <w:b/>
          <w:bCs/>
        </w:rPr>
      </w:pPr>
    </w:p>
    <w:p w14:paraId="37B12687">
      <w:pPr>
        <w:pStyle w:val="style62"/>
        <w:spacing w:lineRule="auto" w:line="360"/>
        <w:jc w:val="center"/>
        <w:rPr>
          <w:b/>
          <w:bCs/>
        </w:rPr>
      </w:pPr>
      <w:r>
        <w:rPr>
          <w:b/>
          <w:bCs/>
        </w:rPr>
        <w:t>Dissertation -P</w:t>
      </w:r>
      <w:r>
        <w:rPr>
          <w:b/>
          <w:bCs/>
        </w:rPr>
        <w:t>rop</w:t>
      </w:r>
      <w:r>
        <w:rPr>
          <w:b/>
          <w:bCs/>
        </w:rPr>
        <w:t>osal</w:t>
      </w:r>
    </w:p>
    <w:p w14:paraId="26A456D8">
      <w:pPr>
        <w:pStyle w:val="style62"/>
        <w:spacing w:lineRule="auto" w:line="360"/>
        <w:jc w:val="center"/>
        <w:rPr>
          <w:b/>
          <w:bCs/>
        </w:rPr>
      </w:pPr>
      <w:r>
        <w:rPr>
          <w:b/>
          <w:bCs/>
        </w:rPr>
        <w:t>LCMB7035</w:t>
      </w:r>
    </w:p>
    <w:p w14:paraId="62A5E2AE">
      <w:pPr>
        <w:pStyle w:val="style62"/>
        <w:spacing w:lineRule="auto" w:line="360"/>
        <w:jc w:val="center"/>
        <w:rPr>
          <w:b/>
          <w:bCs/>
        </w:rPr>
      </w:pPr>
      <w:r>
        <w:rPr>
          <w:b/>
          <w:bCs/>
        </w:rPr>
        <w:t xml:space="preserve">PROPOSED RESEARCH </w:t>
      </w:r>
      <w:r>
        <w:rPr>
          <w:b/>
          <w:bCs/>
        </w:rPr>
        <w:t xml:space="preserve">TITLE: </w:t>
      </w:r>
    </w:p>
    <w:p w14:paraId="07902FFB">
      <w:pPr>
        <w:pStyle w:val="style62"/>
        <w:spacing w:lineRule="auto" w:line="360"/>
        <w:jc w:val="center"/>
        <w:rPr>
          <w:b/>
          <w:bCs/>
        </w:rPr>
      </w:pPr>
      <w:r>
        <w:rPr>
          <w:b/>
          <w:bCs/>
        </w:rPr>
        <w:t>The Impact of Offer Personalisation on Customer Loyalty in the UK Grocery Retail Industry.</w:t>
      </w:r>
    </w:p>
    <w:p w14:paraId="4B50BA2F">
      <w:pPr>
        <w:pStyle w:val="style0"/>
        <w:rPr/>
      </w:pPr>
    </w:p>
    <w:p w14:paraId="6917E81B">
      <w:pPr>
        <w:pStyle w:val="style62"/>
        <w:spacing w:lineRule="auto" w:line="360"/>
        <w:rPr>
          <w:b/>
          <w:bCs/>
        </w:rPr>
      </w:pPr>
    </w:p>
    <w:p w14:paraId="37A6E4B2">
      <w:pPr>
        <w:pStyle w:val="style62"/>
        <w:spacing w:lineRule="auto" w:line="360"/>
        <w:rPr>
          <w:b/>
          <w:bCs/>
        </w:rPr>
      </w:pPr>
      <w:r>
        <w:rPr>
          <w:b/>
          <w:bCs/>
        </w:rPr>
        <w:t xml:space="preserve">Student Name: MD Shah </w:t>
      </w:r>
      <w:r>
        <w:rPr>
          <w:b/>
          <w:bCs/>
        </w:rPr>
        <w:t>Alam</w:t>
      </w:r>
    </w:p>
    <w:p w14:paraId="638A77B7">
      <w:pPr>
        <w:pStyle w:val="style62"/>
        <w:spacing w:lineRule="auto" w:line="360"/>
        <w:rPr>
          <w:b/>
          <w:bCs/>
        </w:rPr>
      </w:pPr>
      <w:r>
        <w:rPr>
          <w:b/>
          <w:bCs/>
        </w:rPr>
        <w:t xml:space="preserve">Student ID: </w:t>
      </w:r>
      <w:r>
        <w:rPr>
          <w:b/>
          <w:bCs/>
        </w:rPr>
        <w:t>2431302</w:t>
      </w:r>
    </w:p>
    <w:p w14:paraId="12A4D4A4">
      <w:pPr>
        <w:pStyle w:val="style62"/>
        <w:spacing w:lineRule="auto" w:line="360"/>
        <w:rPr>
          <w:b/>
          <w:bCs/>
        </w:rPr>
      </w:pPr>
      <w:r>
        <w:rPr>
          <w:b/>
          <w:bCs/>
        </w:rPr>
        <w:t xml:space="preserve">Name of University: University of Wales </w:t>
      </w:r>
      <w:r>
        <w:rPr>
          <w:b/>
          <w:bCs/>
          <w:lang w:val="en-US"/>
        </w:rPr>
        <w:t xml:space="preserve"> Trinity Saint David </w:t>
      </w:r>
    </w:p>
    <w:p w14:paraId="418D769E">
      <w:pPr>
        <w:pStyle w:val="style0"/>
        <w:spacing w:lineRule="auto" w:line="360"/>
        <w:rPr/>
      </w:pPr>
    </w:p>
    <w:p w14:paraId="144F6E2F">
      <w:pPr>
        <w:pStyle w:val="style0"/>
        <w:spacing w:lineRule="auto" w:line="360"/>
        <w:rPr/>
      </w:pPr>
    </w:p>
    <w:p w14:paraId="09460931">
      <w:pPr>
        <w:pStyle w:val="style0"/>
        <w:spacing w:lineRule="auto" w:line="360"/>
        <w:rPr/>
      </w:pPr>
    </w:p>
    <w:p w14:paraId="1C591FDA">
      <w:pPr>
        <w:pStyle w:val="style0"/>
        <w:spacing w:lineRule="auto" w:line="360"/>
        <w:rPr/>
      </w:pPr>
    </w:p>
    <w:p w14:paraId="64E25B9F">
      <w:pPr>
        <w:pStyle w:val="style0"/>
        <w:spacing w:lineRule="auto" w:line="360"/>
        <w:rPr/>
      </w:pPr>
    </w:p>
    <w:p w14:paraId="231E19D3">
      <w:pPr>
        <w:pStyle w:val="style0"/>
        <w:spacing w:lineRule="auto" w:line="360"/>
        <w:rPr/>
      </w:pPr>
    </w:p>
    <w:p w14:paraId="01B5DFEC">
      <w:pPr>
        <w:pStyle w:val="style0"/>
        <w:spacing w:lineRule="auto" w:line="360"/>
        <w:rPr/>
      </w:pPr>
    </w:p>
    <w:p w14:paraId="1B04BE5D">
      <w:pPr>
        <w:pStyle w:val="style0"/>
        <w:spacing w:lineRule="auto" w:line="360"/>
        <w:rPr/>
      </w:pPr>
    </w:p>
    <w:p w14:paraId="655EEE2F">
      <w:pPr>
        <w:pStyle w:val="style0"/>
        <w:spacing w:lineRule="auto" w:line="360"/>
        <w:rPr/>
      </w:pPr>
    </w:p>
    <w:p w14:paraId="28F00199">
      <w:pPr>
        <w:pStyle w:val="style0"/>
        <w:spacing w:lineRule="auto" w:line="360"/>
        <w:rPr/>
      </w:pPr>
    </w:p>
    <w:p w14:paraId="58479243">
      <w:pPr>
        <w:pStyle w:val="style0"/>
        <w:spacing w:lineRule="auto" w:line="360"/>
        <w:rPr/>
      </w:pPr>
    </w:p>
    <w:p w14:paraId="547FA85B">
      <w:pPr>
        <w:pStyle w:val="style0"/>
        <w:spacing w:lineRule="auto" w:line="360"/>
        <w:rPr/>
      </w:pPr>
    </w:p>
    <w:p w14:paraId="53EBE108">
      <w:pPr>
        <w:pStyle w:val="style0"/>
        <w:spacing w:lineRule="auto" w:line="360"/>
        <w:rPr/>
      </w:pPr>
    </w:p>
    <w:p w14:paraId="70A3D04B">
      <w:pPr>
        <w:pStyle w:val="style0"/>
        <w:spacing w:lineRule="auto" w:line="360"/>
        <w:rPr/>
      </w:pPr>
    </w:p>
    <w:p w14:paraId="467DBFEF">
      <w:pPr>
        <w:pStyle w:val="style266"/>
        <w:rPr/>
      </w:pPr>
      <w:r>
        <w:t>Table of Contents</w:t>
      </w:r>
    </w:p>
    <w:p w14:paraId="5E166E51">
      <w:pPr>
        <w:pStyle w:val="style19"/>
        <w:tabs>
          <w:tab w:val="right" w:leader="dot" w:pos="9350"/>
        </w:tabs>
        <w:rPr>
          <w:noProof/>
        </w:rPr>
      </w:pPr>
      <w:r>
        <w:rPr/>
        <w:fldChar w:fldCharType="begin"/>
      </w:r>
      <w:r>
        <w:instrText xml:space="preserve"> TOC \o "1-3" \h \z \u </w:instrText>
      </w:r>
      <w:r>
        <w:rPr/>
        <w:fldChar w:fldCharType="separate"/>
      </w:r>
      <w:r>
        <w:rPr/>
        <w:fldChar w:fldCharType="begin"/>
      </w:r>
      <w:r>
        <w:instrText xml:space="preserve"> HYPERLINK \l "_Toc233760190" </w:instrText>
      </w:r>
      <w:r>
        <w:rPr/>
        <w:fldChar w:fldCharType="separate"/>
      </w:r>
      <w:r>
        <w:rPr>
          <w:rStyle w:val="style85"/>
          <w:noProof/>
        </w:rPr>
        <w:t>1. Introduction and Background</w:t>
      </w:r>
      <w:r>
        <w:rPr>
          <w:noProof/>
          <w:webHidden/>
        </w:rPr>
        <w:tab/>
      </w:r>
      <w:r>
        <w:rPr>
          <w:noProof/>
          <w:webHidden/>
        </w:rPr>
        <w:fldChar w:fldCharType="begin"/>
      </w:r>
      <w:r>
        <w:rPr>
          <w:noProof/>
          <w:webHidden/>
        </w:rPr>
        <w:instrText xml:space="preserve"> PAGEREF _Toc233760190 \h </w:instrText>
      </w:r>
      <w:r>
        <w:rPr>
          <w:noProof/>
          <w:webHidden/>
        </w:rPr>
        <w:fldChar w:fldCharType="separate"/>
      </w:r>
      <w:r>
        <w:rPr>
          <w:noProof/>
          <w:webHidden/>
        </w:rPr>
        <w:t>4</w:t>
      </w:r>
      <w:r>
        <w:rPr>
          <w:noProof/>
          <w:webHidden/>
        </w:rPr>
        <w:fldChar w:fldCharType="end"/>
      </w:r>
      <w:r>
        <w:rPr/>
        <w:fldChar w:fldCharType="end"/>
      </w:r>
    </w:p>
    <w:p w14:paraId="1D92FDFB">
      <w:pPr>
        <w:pStyle w:val="style19"/>
        <w:tabs>
          <w:tab w:val="right" w:leader="dot" w:pos="9350"/>
        </w:tabs>
        <w:rPr>
          <w:noProof/>
        </w:rPr>
      </w:pPr>
      <w:r>
        <w:rPr/>
        <w:fldChar w:fldCharType="begin"/>
      </w:r>
      <w:r>
        <w:instrText xml:space="preserve"> HYPERLINK \l "_Toc233760191" </w:instrText>
      </w:r>
      <w:r>
        <w:rPr/>
        <w:fldChar w:fldCharType="separate"/>
      </w:r>
      <w:r>
        <w:rPr>
          <w:rStyle w:val="style85"/>
          <w:noProof/>
        </w:rPr>
        <w:t>2. Literature Review</w:t>
      </w:r>
      <w:r>
        <w:rPr>
          <w:noProof/>
          <w:webHidden/>
        </w:rPr>
        <w:tab/>
      </w:r>
      <w:r>
        <w:rPr>
          <w:noProof/>
          <w:webHidden/>
        </w:rPr>
        <w:fldChar w:fldCharType="begin"/>
      </w:r>
      <w:r>
        <w:rPr>
          <w:noProof/>
          <w:webHidden/>
        </w:rPr>
        <w:instrText xml:space="preserve"> PAGEREF _Toc233760191 \h </w:instrText>
      </w:r>
      <w:r>
        <w:rPr>
          <w:noProof/>
          <w:webHidden/>
        </w:rPr>
        <w:fldChar w:fldCharType="separate"/>
      </w:r>
      <w:r>
        <w:rPr>
          <w:noProof/>
          <w:webHidden/>
        </w:rPr>
        <w:t>5</w:t>
      </w:r>
      <w:r>
        <w:rPr>
          <w:noProof/>
          <w:webHidden/>
        </w:rPr>
        <w:fldChar w:fldCharType="end"/>
      </w:r>
      <w:r>
        <w:rPr/>
        <w:fldChar w:fldCharType="end"/>
      </w:r>
    </w:p>
    <w:p w14:paraId="2B2656E2">
      <w:pPr>
        <w:pStyle w:val="style19"/>
        <w:tabs>
          <w:tab w:val="right" w:leader="dot" w:pos="9350"/>
        </w:tabs>
        <w:rPr>
          <w:noProof/>
        </w:rPr>
      </w:pPr>
      <w:r>
        <w:rPr/>
        <w:fldChar w:fldCharType="begin"/>
      </w:r>
      <w:r>
        <w:instrText xml:space="preserve"> HYPERLINK \l "_Toc233760192" </w:instrText>
      </w:r>
      <w:r>
        <w:rPr/>
        <w:fldChar w:fldCharType="separate"/>
      </w:r>
      <w:r>
        <w:rPr>
          <w:rStyle w:val="style85"/>
          <w:noProof/>
        </w:rPr>
        <w:t>3. Methodology</w:t>
      </w:r>
      <w:r>
        <w:rPr>
          <w:noProof/>
          <w:webHidden/>
        </w:rPr>
        <w:tab/>
      </w:r>
      <w:r>
        <w:rPr>
          <w:noProof/>
          <w:webHidden/>
        </w:rPr>
        <w:fldChar w:fldCharType="begin"/>
      </w:r>
      <w:r>
        <w:rPr>
          <w:noProof/>
          <w:webHidden/>
        </w:rPr>
        <w:instrText xml:space="preserve"> PAGEREF _Toc233760192 \h </w:instrText>
      </w:r>
      <w:r>
        <w:rPr>
          <w:noProof/>
          <w:webHidden/>
        </w:rPr>
        <w:fldChar w:fldCharType="separate"/>
      </w:r>
      <w:r>
        <w:rPr>
          <w:noProof/>
          <w:webHidden/>
        </w:rPr>
        <w:t>7</w:t>
      </w:r>
      <w:r>
        <w:rPr>
          <w:noProof/>
          <w:webHidden/>
        </w:rPr>
        <w:fldChar w:fldCharType="end"/>
      </w:r>
      <w:r>
        <w:rPr/>
        <w:fldChar w:fldCharType="end"/>
      </w:r>
    </w:p>
    <w:p w14:paraId="78DFE7A0">
      <w:pPr>
        <w:pStyle w:val="style19"/>
        <w:tabs>
          <w:tab w:val="right" w:leader="dot" w:pos="9350"/>
        </w:tabs>
        <w:rPr>
          <w:noProof/>
        </w:rPr>
      </w:pPr>
      <w:r>
        <w:rPr/>
        <w:fldChar w:fldCharType="begin"/>
      </w:r>
      <w:r>
        <w:instrText xml:space="preserve"> HYPERLINK \l "_Toc233760193" </w:instrText>
      </w:r>
      <w:r>
        <w:rPr/>
        <w:fldChar w:fldCharType="separate"/>
      </w:r>
      <w:r>
        <w:rPr>
          <w:rStyle w:val="style85"/>
          <w:noProof/>
        </w:rPr>
        <w:t>4. Expected Findings</w:t>
      </w:r>
      <w:r>
        <w:rPr>
          <w:noProof/>
          <w:webHidden/>
        </w:rPr>
        <w:tab/>
      </w:r>
      <w:r>
        <w:rPr>
          <w:noProof/>
          <w:webHidden/>
        </w:rPr>
        <w:fldChar w:fldCharType="begin"/>
      </w:r>
      <w:r>
        <w:rPr>
          <w:noProof/>
          <w:webHidden/>
        </w:rPr>
        <w:instrText xml:space="preserve"> PAGEREF _Toc233760193 \h </w:instrText>
      </w:r>
      <w:r>
        <w:rPr>
          <w:noProof/>
          <w:webHidden/>
        </w:rPr>
        <w:fldChar w:fldCharType="separate"/>
      </w:r>
      <w:r>
        <w:rPr>
          <w:noProof/>
          <w:webHidden/>
        </w:rPr>
        <w:t>8</w:t>
      </w:r>
      <w:r>
        <w:rPr>
          <w:noProof/>
          <w:webHidden/>
        </w:rPr>
        <w:fldChar w:fldCharType="end"/>
      </w:r>
      <w:r>
        <w:rPr/>
        <w:fldChar w:fldCharType="end"/>
      </w:r>
    </w:p>
    <w:p w14:paraId="40C5E8ED">
      <w:pPr>
        <w:pStyle w:val="style19"/>
        <w:tabs>
          <w:tab w:val="right" w:leader="dot" w:pos="9350"/>
        </w:tabs>
        <w:rPr>
          <w:noProof/>
        </w:rPr>
      </w:pPr>
      <w:r>
        <w:rPr/>
        <w:fldChar w:fldCharType="begin"/>
      </w:r>
      <w:r>
        <w:instrText xml:space="preserve"> HYPERLINK \l "_Toc233760194" </w:instrText>
      </w:r>
      <w:r>
        <w:rPr/>
        <w:fldChar w:fldCharType="separate"/>
      </w:r>
      <w:r>
        <w:rPr>
          <w:rStyle w:val="style85"/>
          <w:noProof/>
        </w:rPr>
        <w:t>5. Limitations</w:t>
      </w:r>
      <w:r>
        <w:rPr>
          <w:noProof/>
          <w:webHidden/>
        </w:rPr>
        <w:tab/>
      </w:r>
      <w:r>
        <w:rPr>
          <w:noProof/>
          <w:webHidden/>
        </w:rPr>
        <w:fldChar w:fldCharType="begin"/>
      </w:r>
      <w:r>
        <w:rPr>
          <w:noProof/>
          <w:webHidden/>
        </w:rPr>
        <w:instrText xml:space="preserve"> PAGEREF _Toc233760194 \h </w:instrText>
      </w:r>
      <w:r>
        <w:rPr>
          <w:noProof/>
          <w:webHidden/>
        </w:rPr>
        <w:fldChar w:fldCharType="separate"/>
      </w:r>
      <w:r>
        <w:rPr>
          <w:noProof/>
          <w:webHidden/>
        </w:rPr>
        <w:t>10</w:t>
      </w:r>
      <w:r>
        <w:rPr>
          <w:noProof/>
          <w:webHidden/>
        </w:rPr>
        <w:fldChar w:fldCharType="end"/>
      </w:r>
      <w:r>
        <w:rPr/>
        <w:fldChar w:fldCharType="end"/>
      </w:r>
    </w:p>
    <w:p w14:paraId="0385930F">
      <w:pPr>
        <w:pStyle w:val="style19"/>
        <w:tabs>
          <w:tab w:val="right" w:leader="dot" w:pos="9350"/>
        </w:tabs>
        <w:rPr>
          <w:noProof/>
        </w:rPr>
      </w:pPr>
      <w:r>
        <w:rPr/>
        <w:fldChar w:fldCharType="begin"/>
      </w:r>
      <w:r>
        <w:instrText xml:space="preserve"> HYPERLINK \l "_Toc233760195" </w:instrText>
      </w:r>
      <w:r>
        <w:rPr/>
        <w:fldChar w:fldCharType="separate"/>
      </w:r>
      <w:r>
        <w:rPr>
          <w:rStyle w:val="style85"/>
          <w:noProof/>
        </w:rPr>
        <w:t>6. Timeframe</w:t>
      </w:r>
      <w:r>
        <w:rPr>
          <w:noProof/>
          <w:webHidden/>
        </w:rPr>
        <w:tab/>
      </w:r>
      <w:r>
        <w:rPr>
          <w:noProof/>
          <w:webHidden/>
        </w:rPr>
        <w:fldChar w:fldCharType="begin"/>
      </w:r>
      <w:r>
        <w:rPr>
          <w:noProof/>
          <w:webHidden/>
        </w:rPr>
        <w:instrText xml:space="preserve"> PAGEREF _Toc233760195 \h </w:instrText>
      </w:r>
      <w:r>
        <w:rPr>
          <w:noProof/>
          <w:webHidden/>
        </w:rPr>
        <w:fldChar w:fldCharType="separate"/>
      </w:r>
      <w:r>
        <w:rPr>
          <w:noProof/>
          <w:webHidden/>
        </w:rPr>
        <w:t>10</w:t>
      </w:r>
      <w:r>
        <w:rPr>
          <w:noProof/>
          <w:webHidden/>
        </w:rPr>
        <w:fldChar w:fldCharType="end"/>
      </w:r>
      <w:r>
        <w:rPr/>
        <w:fldChar w:fldCharType="end"/>
      </w:r>
    </w:p>
    <w:p w14:paraId="36675A73">
      <w:pPr>
        <w:pStyle w:val="style19"/>
        <w:tabs>
          <w:tab w:val="right" w:leader="dot" w:pos="9350"/>
        </w:tabs>
        <w:rPr>
          <w:noProof/>
        </w:rPr>
      </w:pPr>
      <w:r>
        <w:rPr/>
        <w:fldChar w:fldCharType="begin"/>
      </w:r>
      <w:r>
        <w:instrText xml:space="preserve"> HYPERLINK \l "_Toc233760196" </w:instrText>
      </w:r>
      <w:r>
        <w:rPr/>
        <w:fldChar w:fldCharType="separate"/>
      </w:r>
      <w:r>
        <w:rPr>
          <w:rStyle w:val="style85"/>
          <w:noProof/>
        </w:rPr>
        <w:t>6. Conclusion</w:t>
      </w:r>
      <w:r>
        <w:rPr>
          <w:noProof/>
          <w:webHidden/>
        </w:rPr>
        <w:tab/>
      </w:r>
      <w:r>
        <w:rPr>
          <w:noProof/>
          <w:webHidden/>
        </w:rPr>
        <w:fldChar w:fldCharType="begin"/>
      </w:r>
      <w:r>
        <w:rPr>
          <w:noProof/>
          <w:webHidden/>
        </w:rPr>
        <w:instrText xml:space="preserve"> PAGEREF _Toc233760196 \h </w:instrText>
      </w:r>
      <w:r>
        <w:rPr>
          <w:noProof/>
          <w:webHidden/>
        </w:rPr>
        <w:fldChar w:fldCharType="separate"/>
      </w:r>
      <w:r>
        <w:rPr>
          <w:noProof/>
          <w:webHidden/>
        </w:rPr>
        <w:t>11</w:t>
      </w:r>
      <w:r>
        <w:rPr>
          <w:noProof/>
          <w:webHidden/>
        </w:rPr>
        <w:fldChar w:fldCharType="end"/>
      </w:r>
      <w:r>
        <w:rPr/>
        <w:fldChar w:fldCharType="end"/>
      </w:r>
    </w:p>
    <w:p w14:paraId="3605C9DD">
      <w:pPr>
        <w:pStyle w:val="style19"/>
        <w:tabs>
          <w:tab w:val="right" w:leader="dot" w:pos="9350"/>
        </w:tabs>
        <w:rPr>
          <w:noProof/>
        </w:rPr>
      </w:pPr>
      <w:r>
        <w:rPr/>
        <w:fldChar w:fldCharType="begin"/>
      </w:r>
      <w:r>
        <w:instrText xml:space="preserve"> HYPERLINK \l "_Toc233760197"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_Toc233760197 \h </w:instrText>
      </w:r>
      <w:r>
        <w:rPr>
          <w:noProof/>
          <w:webHidden/>
        </w:rPr>
        <w:fldChar w:fldCharType="separate"/>
      </w:r>
      <w:r>
        <w:rPr>
          <w:noProof/>
          <w:webHidden/>
        </w:rPr>
        <w:t>12</w:t>
      </w:r>
      <w:r>
        <w:rPr>
          <w:noProof/>
          <w:webHidden/>
        </w:rPr>
        <w:fldChar w:fldCharType="end"/>
      </w:r>
      <w:r>
        <w:rPr/>
        <w:fldChar w:fldCharType="end"/>
      </w:r>
    </w:p>
    <w:p w14:paraId="61391F1F">
      <w:pPr>
        <w:pStyle w:val="style0"/>
        <w:rPr/>
      </w:pPr>
      <w:r>
        <w:rPr>
          <w:b/>
          <w:bCs/>
          <w:noProof/>
        </w:rPr>
        <w:fldChar w:fldCharType="end"/>
      </w:r>
    </w:p>
    <w:p w14:paraId="1AFADF9E">
      <w:pPr>
        <w:pStyle w:val="style0"/>
        <w:spacing w:lineRule="auto" w:line="360"/>
        <w:rPr/>
      </w:pPr>
    </w:p>
    <w:p w14:paraId="244FB967">
      <w:pPr>
        <w:pStyle w:val="style0"/>
        <w:spacing w:lineRule="auto" w:line="360"/>
        <w:rPr/>
      </w:pPr>
    </w:p>
    <w:p w14:paraId="0938BFFE">
      <w:pPr>
        <w:pStyle w:val="style0"/>
        <w:spacing w:lineRule="auto" w:line="360"/>
        <w:rPr/>
      </w:pPr>
    </w:p>
    <w:p w14:paraId="2A1D39EA">
      <w:pPr>
        <w:pStyle w:val="style0"/>
        <w:spacing w:lineRule="auto" w:line="360"/>
        <w:rPr/>
      </w:pPr>
    </w:p>
    <w:p w14:paraId="4C05B06C">
      <w:pPr>
        <w:pStyle w:val="style0"/>
        <w:jc w:val="left"/>
        <w:rPr/>
      </w:pPr>
      <w:r>
        <w:br w:type="page"/>
      </w:r>
    </w:p>
    <w:p w14:paraId="2AF84A62">
      <w:pPr>
        <w:pStyle w:val="style0"/>
        <w:jc w:val="left"/>
        <w:rPr/>
      </w:pPr>
    </w:p>
    <w:bookmarkStart w:id="0" w:name="_Toc233760190"/>
    <w:p w14:paraId="26D2B6B4">
      <w:pPr>
        <w:pStyle w:val="style1"/>
        <w:spacing w:lineRule="auto" w:line="360"/>
        <w:jc w:val="both"/>
        <w:rPr/>
      </w:pPr>
      <w:r>
        <w:t xml:space="preserve">1. </w:t>
      </w:r>
      <w:r>
        <w:t xml:space="preserve">Introduction </w:t>
      </w:r>
      <w:r>
        <w:t>and Background</w:t>
      </w:r>
      <w:bookmarkEnd w:id="0"/>
      <w:r>
        <w:t xml:space="preserve"> </w:t>
      </w:r>
    </w:p>
    <w:p w14:paraId="6D2083B3">
      <w:pPr>
        <w:pStyle w:val="style0"/>
        <w:spacing w:lineRule="auto" w:line="360"/>
        <w:rPr/>
      </w:pPr>
      <w:r>
        <w:t>The UK grocery retail market is far from being a monopoly, with several major supermarkets, including Tesco, Sainsbury's, Asda, Morrisons, Aldi, and Lidl, vying for the customer's business on price, convenience, product quality and customer value</w:t>
      </w:r>
      <w:r>
        <w:t xml:space="preserve"> (Ahmed et al., 2025)</w:t>
      </w:r>
      <w:r>
        <w:t>. Given this context, the customer relationship has gained greater significance due to the fact that, when it comes to grocery shopping, customers have a wide array of choices to make when it comes to promotions, prices and perceived savings</w:t>
      </w:r>
      <w:r>
        <w:t xml:space="preserve"> (</w:t>
      </w:r>
      <w:r>
        <w:t>Hallikainen</w:t>
      </w:r>
      <w:r>
        <w:t>, et al., 2022</w:t>
      </w:r>
      <w:r>
        <w:t>)</w:t>
      </w:r>
      <w:r>
        <w:t xml:space="preserve"> The use of loyalty schemes like Tesco Clubcard, Sainsbury's Nectar, Lidl Plus and Morrisons More is now at the heart of supermarkets' strategies to promote repeat shopping and keep customers loyal. According to CMA (2026), 97% of UK shoppers are members of one or more supermarket loyalty schemes and it is becoming commonplace in the UK to be able to buy and pay for products at loyalty discounts.</w:t>
      </w:r>
    </w:p>
    <w:p w14:paraId="13695D0C">
      <w:pPr>
        <w:pStyle w:val="style0"/>
        <w:spacing w:lineRule="auto" w:line="360"/>
        <w:rPr/>
      </w:pPr>
      <w:r>
        <w:t>Casaca</w:t>
      </w:r>
      <w:r>
        <w:t xml:space="preserve"> and Miguel (2024) </w:t>
      </w:r>
      <w:r>
        <w:t>stated</w:t>
      </w:r>
      <w:r>
        <w:t xml:space="preserve"> that p</w:t>
      </w:r>
      <w:r>
        <w:t xml:space="preserve">ersonalisation is the use of information about the customer, including previous purchases, shopping </w:t>
      </w:r>
      <w:r>
        <w:t>habits, and product preferences, to offer a personalised discount, coupon, reward,</w:t>
      </w:r>
      <w:r>
        <w:t xml:space="preserve"> or recommendation. Grocery retailers should care because they may sometimes receive a more favourable reaction to promotions that align with what people really need than to generic </w:t>
      </w:r>
      <w:r>
        <w:t>promotions. Studies indicate</w:t>
      </w:r>
      <w:r>
        <w:t xml:space="preserve"> that the adoption of personalisation can have a positive impact on loyalty, but not always directly, because it can enhance satisfaction and trust</w:t>
      </w:r>
      <w:r>
        <w:t xml:space="preserve"> (</w:t>
      </w:r>
      <w:r>
        <w:t>Coelher</w:t>
      </w:r>
      <w:r>
        <w:t xml:space="preserve"> and </w:t>
      </w:r>
      <w:r>
        <w:t>Henseler</w:t>
      </w:r>
      <w:r>
        <w:t>, 2012;</w:t>
      </w:r>
      <w:r>
        <w:t xml:space="preserve"> </w:t>
      </w:r>
      <w:r>
        <w:t>Lindecrantz</w:t>
      </w:r>
      <w:r>
        <w:t xml:space="preserve">, Gi and </w:t>
      </w:r>
      <w:r>
        <w:t>Zerbi</w:t>
      </w:r>
      <w:r>
        <w:t xml:space="preserve">, 2020; </w:t>
      </w:r>
      <w:r>
        <w:t>Chandra et al., 2022</w:t>
      </w:r>
      <w:r>
        <w:t>)</w:t>
      </w:r>
      <w:r>
        <w:t>. That makes the subject of interest both in an academic and practical way.</w:t>
      </w:r>
    </w:p>
    <w:p w14:paraId="3CD97B6F">
      <w:pPr>
        <w:pStyle w:val="style0"/>
        <w:spacing w:lineRule="auto" w:line="360"/>
        <w:rPr/>
      </w:pPr>
      <w:r>
        <w:t xml:space="preserve">However, </w:t>
      </w:r>
      <w:r>
        <w:t xml:space="preserve">personalisation </w:t>
      </w:r>
      <w:r>
        <w:t xml:space="preserve">can present problems, too. </w:t>
      </w:r>
      <w:r>
        <w:t xml:space="preserve">As per Jessop, </w:t>
      </w:r>
      <w:r>
        <w:t>Mezzanzanica</w:t>
      </w:r>
      <w:r>
        <w:t xml:space="preserve">, and </w:t>
      </w:r>
      <w:r>
        <w:t>Sivathasan</w:t>
      </w:r>
      <w:r>
        <w:t xml:space="preserve"> (2024), 43% of customers said they considered it unfair that loyalty members pay less than non-members, and 40% said they did not trust that their loyalty prices represented</w:t>
      </w:r>
      <w:r>
        <w:t xml:space="preserve"> actual price savings. Thus, it is crucial to investigate not only </w:t>
      </w:r>
      <w:r>
        <w:t>whether personalised offers lead to loyalty, but also how customers perceive</w:t>
      </w:r>
      <w:r>
        <w:t xml:space="preserve"> them in terms of relevance, value, fairness and trustworthiness.</w:t>
      </w:r>
    </w:p>
    <w:p w14:paraId="7C8254E7">
      <w:pPr>
        <w:pStyle w:val="style0"/>
        <w:spacing w:lineRule="auto" w:line="360"/>
        <w:rPr/>
      </w:pPr>
    </w:p>
    <w:p w14:paraId="329457BC">
      <w:pPr>
        <w:pStyle w:val="style0"/>
        <w:spacing w:lineRule="auto" w:line="360"/>
        <w:rPr/>
      </w:pPr>
    </w:p>
    <w:p w14:paraId="32293D8E">
      <w:pPr>
        <w:pStyle w:val="style0"/>
        <w:spacing w:lineRule="auto" w:line="360"/>
        <w:rPr/>
      </w:pPr>
    </w:p>
    <w:p w14:paraId="5B7A6FCF">
      <w:pPr>
        <w:pStyle w:val="style0"/>
        <w:spacing w:lineRule="auto" w:line="360"/>
        <w:rPr/>
      </w:pPr>
    </w:p>
    <w:bookmarkStart w:id="1" w:name="_Toc233760191"/>
    <w:p w14:paraId="052C7B4F">
      <w:pPr>
        <w:pStyle w:val="style1"/>
        <w:spacing w:lineRule="auto" w:line="360"/>
        <w:jc w:val="both"/>
        <w:rPr/>
      </w:pPr>
      <w:r>
        <w:t xml:space="preserve">2. </w:t>
      </w:r>
      <w:r>
        <w:t>Literature Review</w:t>
      </w:r>
      <w:bookmarkEnd w:id="1"/>
    </w:p>
    <w:p w14:paraId="322AED1D">
      <w:pPr>
        <w:pStyle w:val="style0"/>
        <w:spacing w:lineRule="auto" w:line="360"/>
        <w:rPr/>
      </w:pPr>
      <w:r>
        <w:t>Personalisation can enhance customer satisfaction and trust, which in turn can help build customer loyalty (</w:t>
      </w:r>
      <w:r>
        <w:t>Kovalev</w:t>
      </w:r>
      <w:r>
        <w:t>,</w:t>
      </w:r>
      <w:r>
        <w:t xml:space="preserve"> </w:t>
      </w:r>
      <w:r>
        <w:t>Novikov</w:t>
      </w:r>
      <w:r>
        <w:t>a</w:t>
      </w:r>
      <w:r>
        <w:t xml:space="preserve"> </w:t>
      </w:r>
      <w:r>
        <w:t xml:space="preserve">and </w:t>
      </w:r>
      <w:r>
        <w:t>Antineskul</w:t>
      </w:r>
      <w:r>
        <w:t>, 2023</w:t>
      </w:r>
      <w:r>
        <w:t xml:space="preserve">). Their research also revealed that personalisation is not always a direct relationship to loyalty; they felt that, in most cases, it affected the customer's loyalty through satisfaction and trust. It does mean that a </w:t>
      </w:r>
      <w:r>
        <w:t xml:space="preserve">personalised </w:t>
      </w:r>
      <w:r>
        <w:t xml:space="preserve">offer will only enhance loyalty if customers </w:t>
      </w:r>
      <w:r>
        <w:t>find it valuable and trust</w:t>
      </w:r>
      <w:r>
        <w:t xml:space="preserve"> the retailer.</w:t>
      </w:r>
      <w:r>
        <w:t xml:space="preserve"> </w:t>
      </w:r>
      <w:r>
        <w:t xml:space="preserve">This was supported by </w:t>
      </w:r>
      <w:r>
        <w:t>Damaschi</w:t>
      </w:r>
      <w:r>
        <w:t xml:space="preserve">, </w:t>
      </w:r>
      <w:r>
        <w:t>Aboueldahab</w:t>
      </w:r>
      <w:r>
        <w:t xml:space="preserve"> and </w:t>
      </w:r>
      <w:r>
        <w:t>D’Addario</w:t>
      </w:r>
      <w:r>
        <w:t xml:space="preserve"> (</w:t>
      </w:r>
      <w:r>
        <w:t>2025</w:t>
      </w:r>
      <w:r>
        <w:t xml:space="preserve">), who stated that loyalty develops in the following order: cognitive, affective, conative, and action loyalty. </w:t>
      </w:r>
      <w:r>
        <w:t xml:space="preserve">However, Sy, Ong and Lin (2025) </w:t>
      </w:r>
      <w:r>
        <w:t>challenged the idea of loyalty as a repeat purchase phenomenon by suggesting that customers could be purchasing repeatedly from a retailer because of convenience, habit or price rather than loyalty.</w:t>
      </w:r>
      <w:r>
        <w:t xml:space="preserve"> </w:t>
      </w:r>
      <w:r>
        <w:t xml:space="preserve">In grocery stores, loyalty programs are popular strategies to boost repeat customers and gather customer information. </w:t>
      </w:r>
      <w:r>
        <w:t>Dorotic</w:t>
      </w:r>
      <w:r>
        <w:t xml:space="preserve">, </w:t>
      </w:r>
      <w:r>
        <w:t>Bijmolt</w:t>
      </w:r>
      <w:r>
        <w:t xml:space="preserve"> and </w:t>
      </w:r>
      <w:r>
        <w:t>Verhoef</w:t>
      </w:r>
      <w:r>
        <w:t xml:space="preserve"> (2012) showed that over time loyalty programmes can affect consumer purchase behaviour. </w:t>
      </w:r>
      <w:r>
        <w:t xml:space="preserve">However, Lin and Bowman (2022) argued that </w:t>
      </w:r>
      <w:r>
        <w:t>loyalty programs have a different effect among customer segments and in different industries and markets, which makes it impossible to say that they work for all retailers.</w:t>
      </w:r>
      <w:r>
        <w:t xml:space="preserve"> </w:t>
      </w:r>
      <w:r>
        <w:t>On the other hand</w:t>
      </w:r>
      <w:r>
        <w:t>,</w:t>
      </w:r>
      <w:r>
        <w:t xml:space="preserve"> </w:t>
      </w:r>
      <w:r>
        <w:t>Nishio</w:t>
      </w:r>
      <w:r>
        <w:t xml:space="preserve"> and Hoshino (2024)</w:t>
      </w:r>
      <w:r>
        <w:t xml:space="preserve"> justified loyalty programmes, stating that reward programmes have the potential to improve the long-term assessment of customers and their behaviour. They pointed out, however, that the longer the relationship, the more service experiences the customer has, which may be negative.</w:t>
      </w:r>
    </w:p>
    <w:p w14:paraId="08E63DF3">
      <w:pPr>
        <w:pStyle w:val="style0"/>
        <w:spacing w:lineRule="auto" w:line="360"/>
        <w:rPr/>
      </w:pPr>
      <w:r>
        <w:t xml:space="preserve">One of the best arguments for personalised offers boosting customer loyalty is their relevance. Fourie Goldman and McCall (2022) stated that the rewards of a loyalty programme include monetary savings, recognition, exploration, and enjoyment. </w:t>
      </w:r>
      <w:r>
        <w:t xml:space="preserve">Moreover, </w:t>
      </w:r>
      <w:r>
        <w:t>Tileagă</w:t>
      </w:r>
      <w:r>
        <w:t xml:space="preserve"> and </w:t>
      </w:r>
      <w:r>
        <w:t>Oprișan</w:t>
      </w:r>
      <w:r>
        <w:t xml:space="preserve"> (2021) said that customers appreciate these benefits differently, so that one customised offer can go to one customer</w:t>
      </w:r>
      <w:r>
        <w:t xml:space="preserve"> but not another. This is an indication that personalisation is not just targeted, but accurate and meaningful. This was backed up by</w:t>
      </w:r>
      <w:r>
        <w:t xml:space="preserve"> a previous </w:t>
      </w:r>
      <w:r>
        <w:t>study</w:t>
      </w:r>
      <w:r>
        <w:t xml:space="preserve"> </w:t>
      </w:r>
      <w:r>
        <w:t xml:space="preserve">of </w:t>
      </w:r>
      <w:r>
        <w:t xml:space="preserve"> </w:t>
      </w:r>
      <w:r>
        <w:t>Bleier</w:t>
      </w:r>
      <w:r>
        <w:t xml:space="preserve"> and </w:t>
      </w:r>
      <w:r>
        <w:t>Eisenbeiss</w:t>
      </w:r>
      <w:r>
        <w:t xml:space="preserve"> (2015), who </w:t>
      </w:r>
      <w:r>
        <w:t>claimed</w:t>
      </w:r>
      <w:r>
        <w:t xml:space="preserve"> that personalised marketing is more effective if offers are tailored to match customer interests. </w:t>
      </w:r>
      <w:r>
        <w:t xml:space="preserve">Shaw (2025), however, refuted </w:t>
      </w:r>
      <w:r>
        <w:t>that high personalisation can backfire when customers don't trust the firm. This applies to grocers</w:t>
      </w:r>
      <w:r>
        <w:t xml:space="preserve">, as customers might accept reductions on regular purchases but may not feel the same </w:t>
      </w:r>
      <w:r>
        <w:t xml:space="preserve">about discounts that feel like too much intrusion or are not </w:t>
      </w:r>
      <w:r>
        <w:t>relevant</w:t>
      </w:r>
      <w:r>
        <w:t xml:space="preserve"> (</w:t>
      </w:r>
      <w:r>
        <w:t>Casaca</w:t>
      </w:r>
      <w:r>
        <w:t xml:space="preserve"> and Miguel, 2024)</w:t>
      </w:r>
      <w:r>
        <w:t xml:space="preserve">. Loyalty-priced grocery products were not only perceived to offer true value but also actually offered real </w:t>
      </w:r>
      <w:r>
        <w:t>value (García-</w:t>
      </w:r>
      <w:r>
        <w:t>Salirrosas</w:t>
      </w:r>
      <w:r>
        <w:t xml:space="preserve"> et al., 2024). </w:t>
      </w:r>
      <w:r>
        <w:t xml:space="preserve"> </w:t>
      </w:r>
      <w:r>
        <w:t>However,</w:t>
      </w:r>
      <w:r>
        <w:t xml:space="preserve"> </w:t>
      </w:r>
      <w:r>
        <w:t>Nishio</w:t>
      </w:r>
      <w:r>
        <w:t xml:space="preserve"> and Hoshino (2024) </w:t>
      </w:r>
      <w:r>
        <w:t xml:space="preserve">cautioned that loyalty prices are not necessarily the lowest, so customers should still compare prices. </w:t>
      </w:r>
      <w:r>
        <w:t xml:space="preserve">Consumer loyalty programs attract, retain, and satisfy consumers as part of an effort to create long-term relationships to improve profitability (Vishwakarma et al., 2025; </w:t>
      </w:r>
      <w:r>
        <w:t xml:space="preserve">Melnyk and </w:t>
      </w:r>
      <w:r>
        <w:t>Bizmolt</w:t>
      </w:r>
      <w:r>
        <w:t>, 2015</w:t>
      </w:r>
      <w:r>
        <w:t>). Effective consumer stimulation attracts new consumers and boosts sales, as evidenced by programs (</w:t>
      </w:r>
      <w:r>
        <w:t>Neetu and Pandey, 2025</w:t>
      </w:r>
      <w:r>
        <w:t>).  A loyalty program will help develop a positive brand image and sustain consumer loyalty (</w:t>
      </w:r>
      <w:r>
        <w:t>Dávila</w:t>
      </w:r>
      <w:r>
        <w:t xml:space="preserve"> </w:t>
      </w:r>
      <w:r>
        <w:t>Espuela</w:t>
      </w:r>
      <w:r>
        <w:t xml:space="preserve">, Reina Paz and Sevilla </w:t>
      </w:r>
      <w:r>
        <w:t>Sevilla</w:t>
      </w:r>
      <w:r>
        <w:t>, 2023</w:t>
      </w:r>
      <w:r>
        <w:t>). If consumer satisfaction or consumer loyalty is lost or there is no satisfaction, grocery store chains have to face these matters by reaching them with a marketing strategy.</w:t>
      </w:r>
    </w:p>
    <w:p w14:paraId="02FA5F70">
      <w:pPr>
        <w:pStyle w:val="style0"/>
        <w:spacing w:lineRule="auto" w:line="360"/>
        <w:rPr/>
      </w:pPr>
      <w:r>
        <w:t xml:space="preserve">Personalisation relies on customer data, and trust in this approach is crucial for </w:t>
      </w:r>
      <w:r>
        <w:t>personalised</w:t>
      </w:r>
      <w:r>
        <w:t xml:space="preserve"> offer strategies. </w:t>
      </w:r>
      <w:r>
        <w:t>Neetu and Pandey (2025)</w:t>
      </w:r>
      <w:r>
        <w:t xml:space="preserve"> contended that personalisation enhances loyalty in part because it is </w:t>
      </w:r>
      <w:r>
        <w:t>perceived as building</w:t>
      </w:r>
      <w:r>
        <w:t xml:space="preserve"> trust. Yet despite this positive perspective, </w:t>
      </w:r>
      <w:r>
        <w:t>Markou</w:t>
      </w:r>
      <w:r>
        <w:t xml:space="preserve"> et al (2025)</w:t>
      </w:r>
      <w:r>
        <w:t xml:space="preserve"> </w:t>
      </w:r>
      <w:r>
        <w:t xml:space="preserve">cast doubt on this sentiment by introducing the concept of the personalisation paradox: Relevant offers can be liked by the customer, but the feeling of being targeted by the firm's use of personal data can evoke feelings of vulnerability. </w:t>
      </w:r>
      <w:r>
        <w:t>Shin, Kim and Huh (2025)</w:t>
      </w:r>
      <w:r>
        <w:t xml:space="preserve"> also suggested that if the perceived value outweighs the privacy issues, consumers are willing to accept personalisation. </w:t>
      </w:r>
      <w:r>
        <w:t>Bleier</w:t>
      </w:r>
      <w:r>
        <w:t xml:space="preserve"> and </w:t>
      </w:r>
      <w:r>
        <w:t>Eisenbeiss</w:t>
      </w:r>
      <w:r>
        <w:t xml:space="preserve"> (2015) argued that personalisation is </w:t>
      </w:r>
      <w:r>
        <w:t xml:space="preserve">effective </w:t>
      </w:r>
      <w:r>
        <w:t xml:space="preserve">because </w:t>
      </w:r>
      <w:r>
        <w:t>trusted firms are more likely</w:t>
      </w:r>
      <w:r>
        <w:t xml:space="preserve"> to achieve greater personalisation. This also carries a drawback for retailers that do</w:t>
      </w:r>
      <w:r>
        <w:t xml:space="preserve"> no</w:t>
      </w:r>
      <w:r>
        <w:t>t have the high degree of trust that may lead to negative reactions. This is why it is important for supermarkets to make offer systems that are tailored to the individual transparent, fair and advantageous for the customer.</w:t>
      </w:r>
    </w:p>
    <w:p w14:paraId="148E2497">
      <w:pPr>
        <w:pStyle w:val="style0"/>
        <w:spacing w:lineRule="auto" w:line="360"/>
        <w:rPr/>
      </w:pPr>
      <w:r>
        <w:t>Another important topic regarding personalised offer strategies is fairness. Personalised offers can make customers feel rewarded as they are offered based on what they purchase</w:t>
      </w:r>
      <w:r>
        <w:t xml:space="preserve"> (Kallus and Zhou, 2021)</w:t>
      </w:r>
      <w:r>
        <w:t>. But they also can lead to injustice if customers feel a sense of inequity when they think that various customers are getting different prices or that non-members are being treated unequally. However</w:t>
      </w:r>
      <w:r>
        <w:t xml:space="preserve">, </w:t>
      </w:r>
      <w:r>
        <w:t>Markou</w:t>
      </w:r>
      <w:r>
        <w:t xml:space="preserve"> et al. (2025) found that whilst many loyalty </w:t>
      </w:r>
      <w:r>
        <w:t>programmes</w:t>
      </w:r>
      <w:r>
        <w:t xml:space="preserve"> offered savings for consumers, some customers were not convinced</w:t>
      </w:r>
      <w:r>
        <w:t xml:space="preserve">. According to </w:t>
      </w:r>
      <w:r>
        <w:t xml:space="preserve">Pereira et </w:t>
      </w:r>
      <w:r>
        <w:t>al. (2025) and Vishwakarma et al. (2025), value, satisfaction, and trust are factors that can</w:t>
      </w:r>
      <w:r>
        <w:t xml:space="preserve"> enhance loyalty in </w:t>
      </w:r>
      <w:r>
        <w:t xml:space="preserve">personalisation and loyalty programmes. </w:t>
      </w:r>
      <w:r>
        <w:t xml:space="preserve">However, </w:t>
      </w:r>
      <w:r>
        <w:t>Saexan</w:t>
      </w:r>
      <w:r>
        <w:t xml:space="preserve"> and Thakur (2024</w:t>
      </w:r>
      <w:r>
        <w:t>) argued</w:t>
      </w:r>
      <w:r>
        <w:t xml:space="preserve"> that privacy concerns, low trust, unfairness</w:t>
      </w:r>
      <w:r>
        <w:t>, or simple price switching</w:t>
      </w:r>
      <w:r>
        <w:t xml:space="preserve"> can be a deterrent to loyalty.</w:t>
      </w:r>
    </w:p>
    <w:bookmarkStart w:id="2" w:name="_Toc233760192"/>
    <w:p w14:paraId="545C2DF8">
      <w:pPr>
        <w:pStyle w:val="style1"/>
        <w:spacing w:lineRule="auto" w:line="360"/>
        <w:jc w:val="both"/>
        <w:rPr/>
      </w:pPr>
      <w:r>
        <w:t xml:space="preserve">3. </w:t>
      </w:r>
      <w:r>
        <w:t>Methodology</w:t>
      </w:r>
      <w:bookmarkEnd w:id="2"/>
    </w:p>
    <w:p w14:paraId="3F497F06">
      <w:pPr>
        <w:pStyle w:val="style0"/>
        <w:spacing w:lineRule="auto" w:line="360"/>
        <w:rPr/>
      </w:pPr>
      <w:r>
        <w:t>The positivist research philosophy will be adopted in this study since it will seek to measure the relationship between offer personalisation and customer loyalty through objective data collection in the form of numbers. The use of positivism is appropriate given the research variables, such as perceived offer relevance, perceived value, trust, fairness, and customer loyalty. This is suitable because the study is not meant to do an in-depth analysis of personal narratives but rather to determine if there are measurable relationships between variables</w:t>
      </w:r>
      <w:r>
        <w:t xml:space="preserve"> (Park et al., 2020)</w:t>
      </w:r>
    </w:p>
    <w:p w14:paraId="6FB662DB">
      <w:pPr>
        <w:pStyle w:val="style0"/>
        <w:spacing w:lineRule="auto" w:line="360"/>
        <w:rPr/>
      </w:pPr>
      <w:r>
        <w:t>The study will adopt a deductive research approach, starting with theories and literature in the fields of personalisation, customer loyalty, trust, and perceived value. These ideas will be utilised to develop the research questions and questionnaire. The survey results will then be tested to see if the existing ideas transfer to customers of the grocery retail industry in the UK. So</w:t>
      </w:r>
      <w:r>
        <w:t>,</w:t>
      </w:r>
      <w:r>
        <w:t xml:space="preserve"> deduction is appropriate, as the research is moving from theory to data, instead of trying to come up with a new theory based on the open-ended responses</w:t>
      </w:r>
      <w:r>
        <w:t xml:space="preserve"> (Kennedy and </w:t>
      </w:r>
      <w:r>
        <w:t>Thornberg</w:t>
      </w:r>
      <w:r>
        <w:t>, 2018)</w:t>
      </w:r>
    </w:p>
    <w:p w14:paraId="669D38C5">
      <w:pPr>
        <w:pStyle w:val="style0"/>
        <w:spacing w:lineRule="auto" w:line="360"/>
        <w:rPr/>
      </w:pPr>
      <w:r>
        <w:t>This study will follow a quantitative research design with the survey strategy. Quantitative research was preferred since it is focused on obtaining standardised information from a larger sample of grocery purchasers, and analysis of the information is based on statistical patterns (</w:t>
      </w:r>
      <w:r>
        <w:t>Gh</w:t>
      </w:r>
      <w:r>
        <w:t>a</w:t>
      </w:r>
      <w:r>
        <w:t>nad</w:t>
      </w:r>
      <w:r>
        <w:t>, 2023). A survey would also be suitable since it would enable the efficient collection of data from customers using supermarket loyalty schemes</w:t>
      </w:r>
      <w:r>
        <w:t xml:space="preserve"> (</w:t>
      </w:r>
      <w:r>
        <w:t>Regmi</w:t>
      </w:r>
      <w:r>
        <w:t xml:space="preserve"> et al., 2016)</w:t>
      </w:r>
    </w:p>
    <w:p w14:paraId="521CC449">
      <w:pPr>
        <w:pStyle w:val="style0"/>
        <w:spacing w:lineRule="auto" w:line="360"/>
        <w:rPr/>
      </w:pPr>
      <w:r>
        <w:t xml:space="preserve">The target audience will be UK consumers of grocery stores who are members of loyalty programs like Tesco Clubcard, Sainsbury's Nectar, Lidl Plus, Morrisons More or Asda Rewards. The study will use convenience sampling, as participants will be selected based on their willingness to respond and availability. </w:t>
      </w:r>
      <w:r>
        <w:t>According to Andrade (2020), t</w:t>
      </w:r>
      <w:r>
        <w:t xml:space="preserve">his approach may be appropriate for </w:t>
      </w:r>
      <w:r>
        <w:t>this study</w:t>
      </w:r>
      <w:r>
        <w:t>, as it is feasible within limited time and resources, but it may limit generalisability</w:t>
      </w:r>
      <w:r>
        <w:t>. The proposed sample size is 100 respondents, as it is feasible for the project and for simple statistical analyses such as descriptive statistics and correlation.</w:t>
      </w:r>
    </w:p>
    <w:p w14:paraId="1A80094C">
      <w:pPr>
        <w:pStyle w:val="style0"/>
        <w:spacing w:lineRule="auto" w:line="360"/>
        <w:rPr/>
      </w:pPr>
      <w:r>
        <w:t xml:space="preserve">The primary data will be obtained from an online questionnaire which will be prepared by Google Forms and/or Microsoft Forms. The questionnaire link will be disseminated via social media and </w:t>
      </w:r>
      <w:r>
        <w:t>WhatsApp, as well as shared in student/community networks and by email. Before answering, participants will read a short consent statement explaining the purpose of the research, voluntary participation and confidentiality. Closed-ended questions based on a Likert scale (e.g., strongly disagree to strongly agree) will be used to measure the relevance of the personalised offer, perceived value, fairness, trust and customer loyalty.</w:t>
      </w:r>
    </w:p>
    <w:p w14:paraId="1274E905">
      <w:pPr>
        <w:pStyle w:val="style0"/>
        <w:spacing w:lineRule="auto" w:line="360"/>
        <w:rPr/>
      </w:pPr>
      <w:r>
        <w:t xml:space="preserve">Data collection will be followed by downloading the responses in the excel sheet and then importing them into the SPSS for analysis. The responses will be evaluated for </w:t>
      </w:r>
      <w:r>
        <w:t>completeness</w:t>
      </w:r>
      <w:r>
        <w:t>. Descriptive statistics will be used to describe the respondents' profile and overall trends. The correlation analysis will then be carried out to check the relationship between offer personalisation and customer loyalty.</w:t>
      </w:r>
      <w:r>
        <w:t xml:space="preserve"> </w:t>
      </w:r>
      <w:r>
        <w:t>Correlational analysis is an excellent</w:t>
      </w:r>
      <w:r>
        <w:t>, easy-to-use tool for academic and business research, and SPSS (Statistical Package for the Social Sciences) is a very effective software platform</w:t>
      </w:r>
      <w:r>
        <w:t xml:space="preserve">. </w:t>
      </w:r>
      <w:r>
        <w:t xml:space="preserve">It also </w:t>
      </w:r>
      <w:r>
        <w:t>provides</w:t>
      </w:r>
      <w:r>
        <w:t xml:space="preserve"> a visual and clickable interface to simplify statistical processing, reducing the need for complicated manual programming or coding</w:t>
      </w:r>
      <w:r>
        <w:t xml:space="preserve"> (Hazarika, 2019)</w:t>
      </w:r>
    </w:p>
    <w:p w14:paraId="1F8C4671">
      <w:pPr>
        <w:pStyle w:val="style0"/>
        <w:spacing w:lineRule="auto" w:line="360"/>
        <w:rPr/>
      </w:pPr>
      <w:r>
        <w:t>The research will be carried out in accordance with ethical considerations. It will be voluntary and informed consent will be sought and respondents will be able to withdraw prior to completion of the questionnaire. No names or personal identifying information will be recorded</w:t>
      </w:r>
      <w:r>
        <w:t>,</w:t>
      </w:r>
      <w:r>
        <w:t xml:space="preserve"> and all information will be used for academic purposes only. </w:t>
      </w:r>
      <w:r>
        <w:t>Moreover</w:t>
      </w:r>
      <w:r>
        <w:t xml:space="preserve">, the study will be </w:t>
      </w:r>
      <w:r>
        <w:t>protected</w:t>
      </w:r>
      <w:r>
        <w:t xml:space="preserve"> </w:t>
      </w:r>
      <w:r>
        <w:t>by a strong password and two authentication steps.</w:t>
      </w:r>
    </w:p>
    <w:bookmarkStart w:id="3" w:name="_Toc233760193"/>
    <w:p w14:paraId="6EA44475">
      <w:pPr>
        <w:pStyle w:val="style1"/>
        <w:spacing w:lineRule="auto" w:line="360"/>
        <w:jc w:val="both"/>
        <w:rPr/>
      </w:pPr>
      <w:r>
        <w:t xml:space="preserve">4. Expected </w:t>
      </w:r>
      <w:r>
        <w:t>Findings</w:t>
      </w:r>
      <w:bookmarkEnd w:id="3"/>
      <w:r>
        <w:t xml:space="preserve"> </w:t>
      </w:r>
    </w:p>
    <w:p w14:paraId="67A98DD2">
      <w:pPr>
        <w:pStyle w:val="style0"/>
        <w:spacing w:lineRule="auto" w:line="360"/>
        <w:rPr/>
      </w:pPr>
      <w:r>
        <w:t xml:space="preserve">According to the current literature, it could be assumed that a positive effect of the personalised offer on customer loyalty will only occur when the customer perceives the offer as relevant, valuable and trustworthy. The study will likely </w:t>
      </w:r>
      <w:r>
        <w:t>find that when grocery retailer offers align with the typical shopper, customers will remain</w:t>
      </w:r>
      <w:r>
        <w:t xml:space="preserve"> loyal to that retailer. Discounts </w:t>
      </w:r>
      <w:r>
        <w:t xml:space="preserve">on items customers often buy can lead to repeat business and greater </w:t>
      </w:r>
      <w:r>
        <w:t xml:space="preserve">satisfaction. Perceived reward value is also likely to be a key element, as consumers shopping for groceries often have a keen interest in value and may react </w:t>
      </w:r>
      <w:r>
        <w:t>strongly to offers that clearly result in savings</w:t>
      </w:r>
      <w:r>
        <w:t>. But the results can also indicate that personalisation is not necessarily the bedrock of loyalty. Competitors may affect some customers' choice of supermarket</w:t>
      </w:r>
      <w:r>
        <w:t>, given that they may have been switching between supermarkets due to price, convenience, or product offerings</w:t>
      </w:r>
      <w:r>
        <w:t xml:space="preserve">. The research could also conclude that personalised offers </w:t>
      </w:r>
      <w:r>
        <w:t>can be affected by the customer's sense of trust and fairness. When customers think loyalty prices are misleading, unfair or that they were unaware of the use of their personal information, their loyalty may wane.</w:t>
      </w:r>
    </w:p>
    <w:p w14:paraId="516BB14D">
      <w:pPr>
        <w:pStyle w:val="style0"/>
        <w:spacing w:lineRule="auto" w:line="360"/>
        <w:rPr>
          <w:b/>
          <w:bCs/>
          <w:u w:val="single"/>
        </w:rPr>
      </w:pPr>
      <w:r>
        <w:rPr>
          <w:b/>
          <w:bCs/>
          <w:u w:val="single"/>
        </w:rPr>
        <w:t>Research aim:</w:t>
      </w:r>
    </w:p>
    <w:p w14:paraId="10F1E1DB">
      <w:pPr>
        <w:pStyle w:val="style0"/>
        <w:spacing w:lineRule="auto" w:line="360"/>
        <w:rPr/>
      </w:pPr>
      <w:r>
        <w:t>The aim of this study is to investigate the influence of offer personalisation on customer loyalty in the grocery retail industry in the UK.</w:t>
      </w:r>
    </w:p>
    <w:p w14:paraId="7F6FC181">
      <w:pPr>
        <w:pStyle w:val="style0"/>
        <w:spacing w:lineRule="auto" w:line="360"/>
        <w:rPr>
          <w:b/>
          <w:bCs/>
          <w:u w:val="single"/>
        </w:rPr>
      </w:pPr>
      <w:r>
        <w:rPr>
          <w:b/>
          <w:bCs/>
          <w:u w:val="single"/>
        </w:rPr>
        <w:t>Research objectives:</w:t>
      </w:r>
    </w:p>
    <w:p w14:paraId="6C7F3F0D">
      <w:pPr>
        <w:pStyle w:val="style179"/>
        <w:numPr>
          <w:ilvl w:val="0"/>
          <w:numId w:val="1"/>
        </w:numPr>
        <w:spacing w:after="0" w:lineRule="auto" w:line="360"/>
        <w:rPr>
          <w:szCs w:val="24"/>
          <w:lang w:val="en-US"/>
        </w:rPr>
      </w:pPr>
      <w:r>
        <w:rPr>
          <w:szCs w:val="24"/>
          <w:lang w:val="en-US"/>
        </w:rPr>
        <w:t xml:space="preserve">To </w:t>
      </w:r>
      <w:r>
        <w:rPr>
          <w:szCs w:val="24"/>
          <w:lang w:val="en-US"/>
        </w:rPr>
        <w:t>analyse</w:t>
      </w:r>
      <w:r>
        <w:rPr>
          <w:szCs w:val="24"/>
          <w:lang w:val="en-US"/>
        </w:rPr>
        <w:t xml:space="preserve"> the impact of </w:t>
      </w:r>
      <w:r>
        <w:rPr>
          <w:szCs w:val="24"/>
          <w:lang w:val="en-US"/>
        </w:rPr>
        <w:t>personalised</w:t>
      </w:r>
      <w:r>
        <w:rPr>
          <w:szCs w:val="24"/>
          <w:lang w:val="en-US"/>
        </w:rPr>
        <w:t xml:space="preserve"> offer relevance, perceived reward value, perceived fairness and trust on customer loyalty in the UK grocery retail industry</w:t>
      </w:r>
    </w:p>
    <w:p w14:paraId="68A2C164">
      <w:pPr>
        <w:pStyle w:val="style179"/>
        <w:numPr>
          <w:ilvl w:val="0"/>
          <w:numId w:val="1"/>
        </w:numPr>
        <w:spacing w:after="0" w:lineRule="auto" w:line="360"/>
        <w:rPr/>
      </w:pPr>
      <w:r>
        <w:rPr>
          <w:szCs w:val="24"/>
          <w:lang w:val="en-US"/>
        </w:rPr>
        <w:t xml:space="preserve">To test the mediating role of customer satisfaction on the relationship between </w:t>
      </w:r>
      <w:r>
        <w:rPr>
          <w:szCs w:val="24"/>
          <w:lang w:val="en-US"/>
        </w:rPr>
        <w:t>personalised</w:t>
      </w:r>
      <w:r>
        <w:rPr>
          <w:szCs w:val="24"/>
          <w:lang w:val="en-US"/>
        </w:rPr>
        <w:t xml:space="preserve"> offer relevance, perceived reward value, perceived fairness and trust and customer loyalty.    </w:t>
      </w:r>
    </w:p>
    <w:p w14:paraId="0A579D95">
      <w:pPr>
        <w:pStyle w:val="style0"/>
        <w:spacing w:lineRule="auto" w:line="360"/>
        <w:rPr/>
      </w:pPr>
    </w:p>
    <w:p w14:paraId="489568E0">
      <w:pPr>
        <w:pStyle w:val="style0"/>
        <w:spacing w:lineRule="auto" w:line="360"/>
        <w:rPr>
          <w:b/>
          <w:bCs/>
          <w:u w:val="single"/>
        </w:rPr>
      </w:pPr>
      <w:r>
        <w:rPr>
          <w:b/>
          <w:bCs/>
          <w:u w:val="single"/>
        </w:rPr>
        <w:t>Research questions:</w:t>
      </w:r>
    </w:p>
    <w:p w14:paraId="39F601C4">
      <w:pPr>
        <w:pStyle w:val="style179"/>
        <w:numPr>
          <w:ilvl w:val="0"/>
          <w:numId w:val="2"/>
        </w:numPr>
        <w:spacing w:lineRule="auto" w:line="360"/>
        <w:rPr>
          <w:szCs w:val="24"/>
          <w:lang w:val="en-US"/>
        </w:rPr>
      </w:pPr>
      <w:r>
        <w:rPr>
          <w:szCs w:val="24"/>
          <w:lang w:val="en-US"/>
        </w:rPr>
        <w:t xml:space="preserve">How do </w:t>
      </w:r>
      <w:r>
        <w:rPr>
          <w:szCs w:val="24"/>
          <w:lang w:val="en-US"/>
        </w:rPr>
        <w:t>personalised</w:t>
      </w:r>
      <w:r>
        <w:rPr>
          <w:szCs w:val="24"/>
          <w:lang w:val="en-US"/>
        </w:rPr>
        <w:t xml:space="preserve"> offer relevance, perceived reward value, perceived fairness and trust influence customer loyalty, and what is the mediating role of customer satisfaction in the UK grocery retail industry?  </w:t>
      </w:r>
    </w:p>
    <w:p w14:paraId="06C8FBD6">
      <w:pPr>
        <w:pStyle w:val="style179"/>
        <w:numPr>
          <w:ilvl w:val="0"/>
          <w:numId w:val="2"/>
        </w:numPr>
        <w:spacing w:lineRule="auto" w:line="360"/>
        <w:rPr/>
      </w:pPr>
      <w:r>
        <w:br w:type="page"/>
      </w:r>
    </w:p>
    <w:bookmarkStart w:id="4" w:name="_Toc233760194"/>
    <w:p w14:paraId="1C8179B0">
      <w:pPr>
        <w:pStyle w:val="style1"/>
        <w:spacing w:lineRule="auto" w:line="360"/>
        <w:jc w:val="both"/>
        <w:rPr/>
      </w:pPr>
      <w:r>
        <w:t>5. Limitations</w:t>
      </w:r>
      <w:bookmarkEnd w:id="4"/>
      <w:r>
        <w:t xml:space="preserve"> </w:t>
      </w:r>
    </w:p>
    <w:p w14:paraId="0CE6A5A0">
      <w:pPr>
        <w:pStyle w:val="style0"/>
        <w:spacing w:lineRule="auto" w:line="360"/>
        <w:rPr/>
      </w:pPr>
      <w:r>
        <w:t xml:space="preserve">This study may have several limitations. First, the </w:t>
      </w:r>
      <w:r>
        <w:t xml:space="preserve">sample size is likely to be approximately 100 </w:t>
      </w:r>
      <w:r>
        <w:t xml:space="preserve">and not fully representative of all grocery shoppers in the United Kingdom. The survey will focus on </w:t>
      </w:r>
      <w:r>
        <w:t xml:space="preserve">specific customer groups across different age groups and </w:t>
      </w:r>
      <w:r>
        <w:t>supermarket loyalty schemes to mitigate this constraint.</w:t>
      </w:r>
      <w:r>
        <w:t xml:space="preserve"> </w:t>
      </w:r>
      <w:r>
        <w:t>Secondly, the study will adopt convenience sampling</w:t>
      </w:r>
      <w:r>
        <w:t>;</w:t>
      </w:r>
      <w:r>
        <w:t xml:space="preserve"> that is, participants will be chosen as per convenience. This could </w:t>
      </w:r>
      <w:r>
        <w:t>lead to sampling bias because the findings may represent only those who are easier to reach, rather than</w:t>
      </w:r>
      <w:r>
        <w:t xml:space="preserve"> the UK grocery population as a whole.</w:t>
      </w:r>
      <w:r>
        <w:t xml:space="preserve"> </w:t>
      </w:r>
      <w:r>
        <w:t xml:space="preserve">Third, the data in the research will be collected by </w:t>
      </w:r>
      <w:r>
        <w:t>a</w:t>
      </w:r>
      <w:r>
        <w:t xml:space="preserve"> self-reported questionnaire. Respondents do not necessarily respond accurately, particularly when talking about loyalty, spend or trust in retailers. In order to minimise this concern, the questions will be clear</w:t>
      </w:r>
      <w:r>
        <w:t>,</w:t>
      </w:r>
      <w:r>
        <w:t xml:space="preserve"> anonymous, and simple.</w:t>
      </w:r>
      <w:r>
        <w:t xml:space="preserve"> </w:t>
      </w:r>
      <w:r>
        <w:t xml:space="preserve">Finally, the study will only apply to the grocery retail industry in the UK and not to other retail sectors or countries. This concentration enables the research to </w:t>
      </w:r>
      <w:r>
        <w:t>remain specific, manageable, and pertinent to the dissertation topic</w:t>
      </w:r>
      <w:r>
        <w:t>.</w:t>
      </w:r>
    </w:p>
    <w:bookmarkStart w:id="5" w:name="_Toc233760195"/>
    <w:p w14:paraId="32BD2F26">
      <w:pPr>
        <w:pStyle w:val="style1"/>
        <w:spacing w:lineRule="auto" w:line="360"/>
        <w:jc w:val="both"/>
        <w:rPr/>
      </w:pPr>
      <w:r>
        <w:t>6. Time</w:t>
      </w:r>
      <w:r>
        <w:t>frame</w:t>
      </w:r>
      <w:bookmarkEnd w:id="5"/>
    </w:p>
    <w:tbl>
      <w:tblPr>
        <w:tblStyle w:val="style154"/>
        <w:tblW w:w="10710" w:type="dxa"/>
        <w:tblInd w:w="-995" w:type="dxa"/>
        <w:tblLayout w:type="fixed"/>
        <w:tblLook w:val="04A0" w:firstRow="1" w:lastRow="0" w:firstColumn="1" w:lastColumn="0" w:noHBand="0" w:noVBand="1"/>
      </w:tblPr>
      <w:tblGrid>
        <w:gridCol w:w="1620"/>
        <w:gridCol w:w="603"/>
        <w:gridCol w:w="572"/>
        <w:gridCol w:w="535"/>
        <w:gridCol w:w="691"/>
        <w:gridCol w:w="572"/>
        <w:gridCol w:w="572"/>
        <w:gridCol w:w="505"/>
        <w:gridCol w:w="540"/>
        <w:gridCol w:w="540"/>
        <w:gridCol w:w="630"/>
        <w:gridCol w:w="630"/>
        <w:gridCol w:w="540"/>
        <w:gridCol w:w="540"/>
        <w:gridCol w:w="540"/>
        <w:gridCol w:w="540"/>
        <w:gridCol w:w="540"/>
      </w:tblGrid>
      <w:tr w14:paraId="6437DEF4">
        <w:trPr>
          <w:trHeight w:val="535" w:hRule="atLeast"/>
        </w:trPr>
        <w:tc>
          <w:tcPr>
            <w:tcW w:w="1620" w:type="dxa"/>
            <w:tcBorders/>
          </w:tcPr>
          <w:p w14:paraId="19FEBF20">
            <w:pPr>
              <w:pStyle w:val="style0"/>
              <w:spacing w:lineRule="auto" w:line="360"/>
              <w:rPr>
                <w:b/>
                <w:bCs/>
                <w:lang w:val="en-US"/>
              </w:rPr>
            </w:pPr>
          </w:p>
          <w:bookmarkStart w:id="6" w:name="_GoBack"/>
        </w:tc>
        <w:tc>
          <w:tcPr>
            <w:tcW w:w="9090" w:type="dxa"/>
            <w:gridSpan w:val="16"/>
            <w:tcBorders/>
          </w:tcPr>
          <w:p w14:paraId="34ACCCC1">
            <w:pPr>
              <w:pStyle w:val="style0"/>
              <w:spacing w:lineRule="auto" w:line="360"/>
              <w:jc w:val="center"/>
              <w:rPr>
                <w:b/>
                <w:bCs/>
                <w:lang w:val="en-US"/>
              </w:rPr>
            </w:pPr>
            <w:r>
              <w:rPr>
                <w:b/>
                <w:bCs/>
                <w:lang w:val="en-US"/>
              </w:rPr>
              <w:t>Number of Weeks</w:t>
            </w:r>
            <w:bookmarkEnd w:id="6"/>
          </w:p>
        </w:tc>
      </w:tr>
      <w:tr w14:paraId="7B1D5A21">
        <w:tblPrEx/>
        <w:trPr>
          <w:trHeight w:val="535" w:hRule="atLeast"/>
        </w:trPr>
        <w:tc>
          <w:tcPr>
            <w:tcW w:w="1620" w:type="dxa"/>
            <w:tcBorders/>
          </w:tcPr>
          <w:p w14:paraId="7A2B5FF9">
            <w:pPr>
              <w:pStyle w:val="style0"/>
              <w:spacing w:lineRule="auto" w:line="360"/>
              <w:rPr>
                <w:b/>
                <w:bCs/>
                <w:lang w:val="en-US"/>
              </w:rPr>
            </w:pPr>
            <w:r>
              <w:rPr>
                <w:b/>
                <w:bCs/>
                <w:lang w:val="en-US"/>
              </w:rPr>
              <w:t>Tasks</w:t>
            </w:r>
          </w:p>
        </w:tc>
        <w:tc>
          <w:tcPr>
            <w:tcW w:w="603" w:type="dxa"/>
            <w:tcBorders/>
          </w:tcPr>
          <w:p w14:paraId="6D0DC5B8">
            <w:pPr>
              <w:pStyle w:val="style0"/>
              <w:spacing w:lineRule="auto" w:line="360"/>
              <w:rPr>
                <w:b/>
                <w:bCs/>
                <w:lang w:val="en-US"/>
              </w:rPr>
            </w:pPr>
            <w:r>
              <w:rPr>
                <w:b/>
                <w:bCs/>
                <w:lang w:val="en-US"/>
              </w:rPr>
              <w:t>1</w:t>
            </w:r>
          </w:p>
        </w:tc>
        <w:tc>
          <w:tcPr>
            <w:tcW w:w="572" w:type="dxa"/>
            <w:tcBorders/>
          </w:tcPr>
          <w:p w14:paraId="44672432">
            <w:pPr>
              <w:pStyle w:val="style0"/>
              <w:spacing w:lineRule="auto" w:line="360"/>
              <w:rPr>
                <w:b/>
                <w:bCs/>
                <w:lang w:val="en-US"/>
              </w:rPr>
            </w:pPr>
            <w:r>
              <w:rPr>
                <w:b/>
                <w:bCs/>
                <w:lang w:val="en-US"/>
              </w:rPr>
              <w:t>2</w:t>
            </w:r>
          </w:p>
        </w:tc>
        <w:tc>
          <w:tcPr>
            <w:tcW w:w="535" w:type="dxa"/>
            <w:tcBorders/>
          </w:tcPr>
          <w:p w14:paraId="43E471D9">
            <w:pPr>
              <w:pStyle w:val="style0"/>
              <w:spacing w:lineRule="auto" w:line="360"/>
              <w:rPr>
                <w:b/>
                <w:bCs/>
                <w:lang w:val="en-US"/>
              </w:rPr>
            </w:pPr>
            <w:r>
              <w:rPr>
                <w:b/>
                <w:bCs/>
                <w:lang w:val="en-US"/>
              </w:rPr>
              <w:t>3</w:t>
            </w:r>
          </w:p>
        </w:tc>
        <w:tc>
          <w:tcPr>
            <w:tcW w:w="691" w:type="dxa"/>
            <w:tcBorders/>
          </w:tcPr>
          <w:p w14:paraId="2DF069F3">
            <w:pPr>
              <w:pStyle w:val="style0"/>
              <w:spacing w:lineRule="auto" w:line="360"/>
              <w:rPr>
                <w:b/>
                <w:bCs/>
                <w:lang w:val="en-US"/>
              </w:rPr>
            </w:pPr>
            <w:r>
              <w:rPr>
                <w:b/>
                <w:bCs/>
                <w:lang w:val="en-US"/>
              </w:rPr>
              <w:t>4</w:t>
            </w:r>
          </w:p>
        </w:tc>
        <w:tc>
          <w:tcPr>
            <w:tcW w:w="572" w:type="dxa"/>
            <w:tcBorders/>
          </w:tcPr>
          <w:p w14:paraId="0025D4DC">
            <w:pPr>
              <w:pStyle w:val="style0"/>
              <w:spacing w:lineRule="auto" w:line="360"/>
              <w:rPr>
                <w:b/>
                <w:bCs/>
                <w:lang w:val="en-US"/>
              </w:rPr>
            </w:pPr>
            <w:r>
              <w:rPr>
                <w:b/>
                <w:bCs/>
                <w:lang w:val="en-US"/>
              </w:rPr>
              <w:t>5</w:t>
            </w:r>
          </w:p>
        </w:tc>
        <w:tc>
          <w:tcPr>
            <w:tcW w:w="572" w:type="dxa"/>
            <w:tcBorders/>
          </w:tcPr>
          <w:p w14:paraId="7B59DCB9">
            <w:pPr>
              <w:pStyle w:val="style0"/>
              <w:spacing w:lineRule="auto" w:line="360"/>
              <w:rPr>
                <w:b/>
                <w:bCs/>
                <w:lang w:val="en-US"/>
              </w:rPr>
            </w:pPr>
            <w:r>
              <w:rPr>
                <w:b/>
                <w:bCs/>
                <w:lang w:val="en-US"/>
              </w:rPr>
              <w:t xml:space="preserve"> 6</w:t>
            </w:r>
          </w:p>
        </w:tc>
        <w:tc>
          <w:tcPr>
            <w:tcW w:w="505" w:type="dxa"/>
            <w:tcBorders/>
          </w:tcPr>
          <w:p w14:paraId="2C32CBFC">
            <w:pPr>
              <w:pStyle w:val="style0"/>
              <w:spacing w:lineRule="auto" w:line="360"/>
              <w:rPr>
                <w:b/>
                <w:bCs/>
                <w:lang w:val="en-US"/>
              </w:rPr>
            </w:pPr>
            <w:r>
              <w:rPr>
                <w:b/>
                <w:bCs/>
                <w:lang w:val="en-US"/>
              </w:rPr>
              <w:t xml:space="preserve">7  </w:t>
            </w:r>
          </w:p>
        </w:tc>
        <w:tc>
          <w:tcPr>
            <w:tcW w:w="540" w:type="dxa"/>
            <w:tcBorders/>
          </w:tcPr>
          <w:p w14:paraId="7AE4E909">
            <w:pPr>
              <w:pStyle w:val="style0"/>
              <w:spacing w:lineRule="auto" w:line="360"/>
              <w:rPr>
                <w:b/>
                <w:bCs/>
                <w:lang w:val="en-US"/>
              </w:rPr>
            </w:pPr>
            <w:r>
              <w:rPr>
                <w:b/>
                <w:bCs/>
                <w:lang w:val="en-US"/>
              </w:rPr>
              <w:t>8</w:t>
            </w:r>
          </w:p>
        </w:tc>
        <w:tc>
          <w:tcPr>
            <w:tcW w:w="540" w:type="dxa"/>
            <w:tcBorders/>
          </w:tcPr>
          <w:p w14:paraId="2AE57836">
            <w:pPr>
              <w:pStyle w:val="style0"/>
              <w:spacing w:lineRule="auto" w:line="360"/>
              <w:rPr>
                <w:b/>
                <w:bCs/>
                <w:lang w:val="en-US"/>
              </w:rPr>
            </w:pPr>
            <w:r>
              <w:rPr>
                <w:b/>
                <w:bCs/>
                <w:lang w:val="en-US"/>
              </w:rPr>
              <w:t>9</w:t>
            </w:r>
          </w:p>
        </w:tc>
        <w:tc>
          <w:tcPr>
            <w:tcW w:w="630" w:type="dxa"/>
            <w:tcBorders/>
          </w:tcPr>
          <w:p w14:paraId="77FCBAFC">
            <w:pPr>
              <w:pStyle w:val="style0"/>
              <w:spacing w:lineRule="auto" w:line="360"/>
              <w:rPr>
                <w:b/>
                <w:bCs/>
                <w:lang w:val="en-US"/>
              </w:rPr>
            </w:pPr>
            <w:r>
              <w:rPr>
                <w:b/>
                <w:bCs/>
                <w:lang w:val="en-US"/>
              </w:rPr>
              <w:t>10</w:t>
            </w:r>
          </w:p>
        </w:tc>
        <w:tc>
          <w:tcPr>
            <w:tcW w:w="630" w:type="dxa"/>
            <w:tcBorders/>
          </w:tcPr>
          <w:p w14:paraId="26D5B9FF">
            <w:pPr>
              <w:pStyle w:val="style0"/>
              <w:spacing w:lineRule="auto" w:line="360"/>
              <w:rPr>
                <w:b/>
                <w:bCs/>
                <w:lang w:val="en-US"/>
              </w:rPr>
            </w:pPr>
            <w:r>
              <w:rPr>
                <w:b/>
                <w:bCs/>
                <w:lang w:val="en-US"/>
              </w:rPr>
              <w:t>11</w:t>
            </w:r>
          </w:p>
        </w:tc>
        <w:tc>
          <w:tcPr>
            <w:tcW w:w="540" w:type="dxa"/>
            <w:tcBorders/>
          </w:tcPr>
          <w:p w14:paraId="5A2BA556">
            <w:pPr>
              <w:pStyle w:val="style0"/>
              <w:spacing w:lineRule="auto" w:line="360"/>
              <w:rPr>
                <w:b/>
                <w:bCs/>
                <w:lang w:val="en-US"/>
              </w:rPr>
            </w:pPr>
            <w:r>
              <w:rPr>
                <w:b/>
                <w:bCs/>
                <w:lang w:val="en-US"/>
              </w:rPr>
              <w:t>12</w:t>
            </w:r>
          </w:p>
        </w:tc>
        <w:tc>
          <w:tcPr>
            <w:tcW w:w="540" w:type="dxa"/>
            <w:tcBorders/>
          </w:tcPr>
          <w:p w14:paraId="2A8AC29A">
            <w:pPr>
              <w:pStyle w:val="style0"/>
              <w:spacing w:lineRule="auto" w:line="360"/>
              <w:rPr>
                <w:b/>
                <w:bCs/>
                <w:lang w:val="en-US"/>
              </w:rPr>
            </w:pPr>
            <w:r>
              <w:rPr>
                <w:b/>
                <w:bCs/>
                <w:lang w:val="en-US"/>
              </w:rPr>
              <w:t>13</w:t>
            </w:r>
          </w:p>
        </w:tc>
        <w:tc>
          <w:tcPr>
            <w:tcW w:w="540" w:type="dxa"/>
            <w:tcBorders/>
          </w:tcPr>
          <w:p w14:paraId="6E60ED9A">
            <w:pPr>
              <w:pStyle w:val="style0"/>
              <w:spacing w:lineRule="auto" w:line="360"/>
              <w:rPr>
                <w:b/>
                <w:bCs/>
                <w:lang w:val="en-US"/>
              </w:rPr>
            </w:pPr>
            <w:r>
              <w:rPr>
                <w:b/>
                <w:bCs/>
                <w:lang w:val="en-US"/>
              </w:rPr>
              <w:t>14</w:t>
            </w:r>
          </w:p>
        </w:tc>
        <w:tc>
          <w:tcPr>
            <w:tcW w:w="540" w:type="dxa"/>
            <w:tcBorders/>
          </w:tcPr>
          <w:p w14:paraId="6F229D11">
            <w:pPr>
              <w:pStyle w:val="style0"/>
              <w:spacing w:lineRule="auto" w:line="360"/>
              <w:rPr>
                <w:b/>
                <w:bCs/>
                <w:lang w:val="en-US"/>
              </w:rPr>
            </w:pPr>
            <w:r>
              <w:rPr>
                <w:b/>
                <w:bCs/>
                <w:lang w:val="en-US"/>
              </w:rPr>
              <w:t>15</w:t>
            </w:r>
          </w:p>
        </w:tc>
        <w:tc>
          <w:tcPr>
            <w:tcW w:w="540" w:type="dxa"/>
            <w:tcBorders/>
          </w:tcPr>
          <w:p w14:paraId="045B7061">
            <w:pPr>
              <w:pStyle w:val="style0"/>
              <w:spacing w:lineRule="auto" w:line="360"/>
              <w:rPr>
                <w:b/>
                <w:bCs/>
                <w:lang w:val="en-US"/>
              </w:rPr>
            </w:pPr>
            <w:r>
              <w:rPr>
                <w:b/>
                <w:bCs/>
                <w:lang w:val="en-US"/>
              </w:rPr>
              <w:t>16</w:t>
            </w:r>
          </w:p>
        </w:tc>
      </w:tr>
      <w:tr w14:paraId="00BC3C07">
        <w:tblPrEx/>
        <w:trPr>
          <w:trHeight w:val="561" w:hRule="atLeast"/>
        </w:trPr>
        <w:tc>
          <w:tcPr>
            <w:tcW w:w="1620" w:type="dxa"/>
            <w:tcBorders/>
          </w:tcPr>
          <w:p w14:paraId="30178F70">
            <w:pPr>
              <w:pStyle w:val="style0"/>
              <w:spacing w:lineRule="auto" w:line="360"/>
              <w:rPr>
                <w:lang w:val="en-US"/>
              </w:rPr>
            </w:pPr>
            <w:r>
              <w:rPr>
                <w:lang w:val="en-US"/>
              </w:rPr>
              <w:t xml:space="preserve">Confirming the research topic  </w:t>
            </w:r>
          </w:p>
        </w:tc>
        <w:tc>
          <w:tcPr>
            <w:tcW w:w="603" w:type="dxa"/>
            <w:tcBorders/>
            <w:shd w:val="clear" w:color="auto" w:fill="323e4f"/>
          </w:tcPr>
          <w:p w14:paraId="12E68173">
            <w:pPr>
              <w:pStyle w:val="style0"/>
              <w:spacing w:lineRule="auto" w:line="360"/>
              <w:rPr>
                <w:lang w:val="en-US"/>
              </w:rPr>
            </w:pPr>
          </w:p>
        </w:tc>
        <w:tc>
          <w:tcPr>
            <w:tcW w:w="572" w:type="dxa"/>
            <w:tcBorders/>
          </w:tcPr>
          <w:p w14:paraId="3000D060">
            <w:pPr>
              <w:pStyle w:val="style0"/>
              <w:spacing w:lineRule="auto" w:line="360"/>
              <w:rPr>
                <w:lang w:val="en-US"/>
              </w:rPr>
            </w:pPr>
          </w:p>
        </w:tc>
        <w:tc>
          <w:tcPr>
            <w:tcW w:w="535" w:type="dxa"/>
            <w:tcBorders/>
          </w:tcPr>
          <w:p w14:paraId="2A46C42D">
            <w:pPr>
              <w:pStyle w:val="style0"/>
              <w:spacing w:lineRule="auto" w:line="360"/>
              <w:rPr>
                <w:lang w:val="en-US"/>
              </w:rPr>
            </w:pPr>
          </w:p>
        </w:tc>
        <w:tc>
          <w:tcPr>
            <w:tcW w:w="691" w:type="dxa"/>
            <w:tcBorders/>
          </w:tcPr>
          <w:p w14:paraId="77E0A8E4">
            <w:pPr>
              <w:pStyle w:val="style0"/>
              <w:spacing w:lineRule="auto" w:line="360"/>
              <w:rPr>
                <w:lang w:val="en-US"/>
              </w:rPr>
            </w:pPr>
          </w:p>
        </w:tc>
        <w:tc>
          <w:tcPr>
            <w:tcW w:w="572" w:type="dxa"/>
            <w:tcBorders/>
          </w:tcPr>
          <w:p w14:paraId="7901F116">
            <w:pPr>
              <w:pStyle w:val="style0"/>
              <w:spacing w:lineRule="auto" w:line="360"/>
              <w:rPr>
                <w:lang w:val="en-US"/>
              </w:rPr>
            </w:pPr>
          </w:p>
        </w:tc>
        <w:tc>
          <w:tcPr>
            <w:tcW w:w="572" w:type="dxa"/>
            <w:tcBorders/>
          </w:tcPr>
          <w:p w14:paraId="579CD2CE">
            <w:pPr>
              <w:pStyle w:val="style0"/>
              <w:spacing w:lineRule="auto" w:line="360"/>
              <w:rPr>
                <w:lang w:val="en-US"/>
              </w:rPr>
            </w:pPr>
          </w:p>
        </w:tc>
        <w:tc>
          <w:tcPr>
            <w:tcW w:w="505" w:type="dxa"/>
            <w:tcBorders/>
          </w:tcPr>
          <w:p w14:paraId="26E3A6C7">
            <w:pPr>
              <w:pStyle w:val="style0"/>
              <w:spacing w:lineRule="auto" w:line="360"/>
              <w:rPr>
                <w:lang w:val="en-US"/>
              </w:rPr>
            </w:pPr>
          </w:p>
        </w:tc>
        <w:tc>
          <w:tcPr>
            <w:tcW w:w="540" w:type="dxa"/>
            <w:tcBorders/>
          </w:tcPr>
          <w:p w14:paraId="6487C27F">
            <w:pPr>
              <w:pStyle w:val="style0"/>
              <w:spacing w:lineRule="auto" w:line="360"/>
              <w:rPr>
                <w:lang w:val="en-US"/>
              </w:rPr>
            </w:pPr>
          </w:p>
        </w:tc>
        <w:tc>
          <w:tcPr>
            <w:tcW w:w="540" w:type="dxa"/>
            <w:tcBorders/>
          </w:tcPr>
          <w:p w14:paraId="2BD60F9A">
            <w:pPr>
              <w:pStyle w:val="style0"/>
              <w:spacing w:lineRule="auto" w:line="360"/>
              <w:rPr>
                <w:lang w:val="en-US"/>
              </w:rPr>
            </w:pPr>
          </w:p>
        </w:tc>
        <w:tc>
          <w:tcPr>
            <w:tcW w:w="630" w:type="dxa"/>
            <w:tcBorders/>
          </w:tcPr>
          <w:p w14:paraId="14F38805">
            <w:pPr>
              <w:pStyle w:val="style0"/>
              <w:spacing w:lineRule="auto" w:line="360"/>
              <w:rPr>
                <w:lang w:val="en-US"/>
              </w:rPr>
            </w:pPr>
          </w:p>
        </w:tc>
        <w:tc>
          <w:tcPr>
            <w:tcW w:w="630" w:type="dxa"/>
            <w:tcBorders/>
          </w:tcPr>
          <w:p w14:paraId="5E38B8F5">
            <w:pPr>
              <w:pStyle w:val="style0"/>
              <w:spacing w:lineRule="auto" w:line="360"/>
              <w:rPr>
                <w:lang w:val="en-US"/>
              </w:rPr>
            </w:pPr>
          </w:p>
        </w:tc>
        <w:tc>
          <w:tcPr>
            <w:tcW w:w="540" w:type="dxa"/>
            <w:tcBorders/>
          </w:tcPr>
          <w:p w14:paraId="69F11ABB">
            <w:pPr>
              <w:pStyle w:val="style0"/>
              <w:spacing w:lineRule="auto" w:line="360"/>
              <w:rPr>
                <w:lang w:val="en-US"/>
              </w:rPr>
            </w:pPr>
          </w:p>
        </w:tc>
        <w:tc>
          <w:tcPr>
            <w:tcW w:w="540" w:type="dxa"/>
            <w:tcBorders/>
          </w:tcPr>
          <w:p w14:paraId="608CF2F8">
            <w:pPr>
              <w:pStyle w:val="style0"/>
              <w:spacing w:lineRule="auto" w:line="360"/>
              <w:rPr>
                <w:lang w:val="en-US"/>
              </w:rPr>
            </w:pPr>
          </w:p>
        </w:tc>
        <w:tc>
          <w:tcPr>
            <w:tcW w:w="540" w:type="dxa"/>
            <w:tcBorders/>
          </w:tcPr>
          <w:p w14:paraId="5A9E2624">
            <w:pPr>
              <w:pStyle w:val="style0"/>
              <w:spacing w:lineRule="auto" w:line="360"/>
              <w:rPr>
                <w:lang w:val="en-US"/>
              </w:rPr>
            </w:pPr>
          </w:p>
        </w:tc>
        <w:tc>
          <w:tcPr>
            <w:tcW w:w="540" w:type="dxa"/>
            <w:tcBorders/>
          </w:tcPr>
          <w:p w14:paraId="2E5821C0">
            <w:pPr>
              <w:pStyle w:val="style0"/>
              <w:spacing w:lineRule="auto" w:line="360"/>
              <w:rPr>
                <w:lang w:val="en-US"/>
              </w:rPr>
            </w:pPr>
          </w:p>
        </w:tc>
        <w:tc>
          <w:tcPr>
            <w:tcW w:w="540" w:type="dxa"/>
            <w:tcBorders/>
          </w:tcPr>
          <w:p w14:paraId="7C19BE07">
            <w:pPr>
              <w:pStyle w:val="style0"/>
              <w:spacing w:lineRule="auto" w:line="360"/>
              <w:rPr>
                <w:lang w:val="en-US"/>
              </w:rPr>
            </w:pPr>
          </w:p>
        </w:tc>
      </w:tr>
      <w:tr w14:paraId="7D8EC87D">
        <w:tblPrEx/>
        <w:trPr>
          <w:trHeight w:val="535" w:hRule="atLeast"/>
        </w:trPr>
        <w:tc>
          <w:tcPr>
            <w:tcW w:w="1620" w:type="dxa"/>
            <w:tcBorders/>
          </w:tcPr>
          <w:p w14:paraId="50577C22">
            <w:pPr>
              <w:pStyle w:val="style0"/>
              <w:spacing w:lineRule="auto" w:line="360"/>
              <w:rPr>
                <w:lang w:val="en-US"/>
              </w:rPr>
            </w:pPr>
            <w:r>
              <w:rPr>
                <w:lang w:val="en-US"/>
              </w:rPr>
              <w:t>Conducting initial research</w:t>
            </w:r>
          </w:p>
        </w:tc>
        <w:tc>
          <w:tcPr>
            <w:tcW w:w="603" w:type="dxa"/>
            <w:tcBorders/>
          </w:tcPr>
          <w:p w14:paraId="474208E8">
            <w:pPr>
              <w:pStyle w:val="style0"/>
              <w:spacing w:lineRule="auto" w:line="360"/>
              <w:rPr>
                <w:lang w:val="en-US"/>
              </w:rPr>
            </w:pPr>
          </w:p>
        </w:tc>
        <w:tc>
          <w:tcPr>
            <w:tcW w:w="572" w:type="dxa"/>
            <w:tcBorders/>
            <w:shd w:val="clear" w:color="auto" w:fill="b4c6e7"/>
          </w:tcPr>
          <w:p w14:paraId="4B5C8871">
            <w:pPr>
              <w:pStyle w:val="style0"/>
              <w:spacing w:lineRule="auto" w:line="360"/>
              <w:rPr>
                <w:lang w:val="en-US"/>
              </w:rPr>
            </w:pPr>
          </w:p>
        </w:tc>
        <w:tc>
          <w:tcPr>
            <w:tcW w:w="535" w:type="dxa"/>
            <w:tcBorders/>
          </w:tcPr>
          <w:p w14:paraId="37EB40ED">
            <w:pPr>
              <w:pStyle w:val="style0"/>
              <w:spacing w:lineRule="auto" w:line="360"/>
              <w:rPr>
                <w:lang w:val="en-US"/>
              </w:rPr>
            </w:pPr>
          </w:p>
        </w:tc>
        <w:tc>
          <w:tcPr>
            <w:tcW w:w="691" w:type="dxa"/>
            <w:tcBorders/>
          </w:tcPr>
          <w:p w14:paraId="572690D3">
            <w:pPr>
              <w:pStyle w:val="style0"/>
              <w:spacing w:lineRule="auto" w:line="360"/>
              <w:rPr>
                <w:lang w:val="en-US"/>
              </w:rPr>
            </w:pPr>
          </w:p>
        </w:tc>
        <w:tc>
          <w:tcPr>
            <w:tcW w:w="572" w:type="dxa"/>
            <w:tcBorders/>
          </w:tcPr>
          <w:p w14:paraId="1CA11A91">
            <w:pPr>
              <w:pStyle w:val="style0"/>
              <w:spacing w:lineRule="auto" w:line="360"/>
              <w:rPr>
                <w:lang w:val="en-US"/>
              </w:rPr>
            </w:pPr>
          </w:p>
        </w:tc>
        <w:tc>
          <w:tcPr>
            <w:tcW w:w="572" w:type="dxa"/>
            <w:tcBorders/>
          </w:tcPr>
          <w:p w14:paraId="3A9CA951">
            <w:pPr>
              <w:pStyle w:val="style0"/>
              <w:spacing w:lineRule="auto" w:line="360"/>
              <w:rPr>
                <w:lang w:val="en-US"/>
              </w:rPr>
            </w:pPr>
          </w:p>
        </w:tc>
        <w:tc>
          <w:tcPr>
            <w:tcW w:w="505" w:type="dxa"/>
            <w:tcBorders/>
          </w:tcPr>
          <w:p w14:paraId="42BF0386">
            <w:pPr>
              <w:pStyle w:val="style0"/>
              <w:spacing w:lineRule="auto" w:line="360"/>
              <w:rPr>
                <w:lang w:val="en-US"/>
              </w:rPr>
            </w:pPr>
          </w:p>
        </w:tc>
        <w:tc>
          <w:tcPr>
            <w:tcW w:w="540" w:type="dxa"/>
            <w:tcBorders/>
          </w:tcPr>
          <w:p w14:paraId="1AB8D812">
            <w:pPr>
              <w:pStyle w:val="style0"/>
              <w:spacing w:lineRule="auto" w:line="360"/>
              <w:rPr>
                <w:lang w:val="en-US"/>
              </w:rPr>
            </w:pPr>
          </w:p>
        </w:tc>
        <w:tc>
          <w:tcPr>
            <w:tcW w:w="540" w:type="dxa"/>
            <w:tcBorders/>
          </w:tcPr>
          <w:p w14:paraId="6F6B8922">
            <w:pPr>
              <w:pStyle w:val="style0"/>
              <w:spacing w:lineRule="auto" w:line="360"/>
              <w:rPr>
                <w:lang w:val="en-US"/>
              </w:rPr>
            </w:pPr>
          </w:p>
        </w:tc>
        <w:tc>
          <w:tcPr>
            <w:tcW w:w="630" w:type="dxa"/>
            <w:tcBorders/>
          </w:tcPr>
          <w:p w14:paraId="2503B9E9">
            <w:pPr>
              <w:pStyle w:val="style0"/>
              <w:spacing w:lineRule="auto" w:line="360"/>
              <w:rPr>
                <w:lang w:val="en-US"/>
              </w:rPr>
            </w:pPr>
          </w:p>
        </w:tc>
        <w:tc>
          <w:tcPr>
            <w:tcW w:w="630" w:type="dxa"/>
            <w:tcBorders/>
          </w:tcPr>
          <w:p w14:paraId="7D58D0D2">
            <w:pPr>
              <w:pStyle w:val="style0"/>
              <w:spacing w:lineRule="auto" w:line="360"/>
              <w:rPr>
                <w:lang w:val="en-US"/>
              </w:rPr>
            </w:pPr>
          </w:p>
        </w:tc>
        <w:tc>
          <w:tcPr>
            <w:tcW w:w="540" w:type="dxa"/>
            <w:tcBorders/>
          </w:tcPr>
          <w:p w14:paraId="2448894B">
            <w:pPr>
              <w:pStyle w:val="style0"/>
              <w:spacing w:lineRule="auto" w:line="360"/>
              <w:rPr>
                <w:lang w:val="en-US"/>
              </w:rPr>
            </w:pPr>
          </w:p>
        </w:tc>
        <w:tc>
          <w:tcPr>
            <w:tcW w:w="540" w:type="dxa"/>
            <w:tcBorders/>
          </w:tcPr>
          <w:p w14:paraId="55FEE607">
            <w:pPr>
              <w:pStyle w:val="style0"/>
              <w:spacing w:lineRule="auto" w:line="360"/>
              <w:rPr>
                <w:lang w:val="en-US"/>
              </w:rPr>
            </w:pPr>
          </w:p>
        </w:tc>
        <w:tc>
          <w:tcPr>
            <w:tcW w:w="540" w:type="dxa"/>
            <w:tcBorders/>
          </w:tcPr>
          <w:p w14:paraId="674A1009">
            <w:pPr>
              <w:pStyle w:val="style0"/>
              <w:spacing w:lineRule="auto" w:line="360"/>
              <w:rPr>
                <w:lang w:val="en-US"/>
              </w:rPr>
            </w:pPr>
          </w:p>
        </w:tc>
        <w:tc>
          <w:tcPr>
            <w:tcW w:w="540" w:type="dxa"/>
            <w:tcBorders/>
          </w:tcPr>
          <w:p w14:paraId="36C1DD2E">
            <w:pPr>
              <w:pStyle w:val="style0"/>
              <w:spacing w:lineRule="auto" w:line="360"/>
              <w:rPr>
                <w:lang w:val="en-US"/>
              </w:rPr>
            </w:pPr>
          </w:p>
        </w:tc>
        <w:tc>
          <w:tcPr>
            <w:tcW w:w="540" w:type="dxa"/>
            <w:tcBorders/>
          </w:tcPr>
          <w:p w14:paraId="39BE6D2B">
            <w:pPr>
              <w:pStyle w:val="style0"/>
              <w:spacing w:lineRule="auto" w:line="360"/>
              <w:rPr>
                <w:lang w:val="en-US"/>
              </w:rPr>
            </w:pPr>
          </w:p>
        </w:tc>
      </w:tr>
      <w:tr w14:paraId="10658B2A">
        <w:tblPrEx/>
        <w:trPr>
          <w:trHeight w:val="561" w:hRule="atLeast"/>
        </w:trPr>
        <w:tc>
          <w:tcPr>
            <w:tcW w:w="1620" w:type="dxa"/>
            <w:tcBorders/>
          </w:tcPr>
          <w:p w14:paraId="69AE5B71">
            <w:pPr>
              <w:pStyle w:val="style0"/>
              <w:spacing w:lineRule="auto" w:line="360"/>
              <w:rPr>
                <w:lang w:val="en-US"/>
              </w:rPr>
            </w:pPr>
            <w:r>
              <w:rPr>
                <w:lang w:val="en-US"/>
              </w:rPr>
              <w:t xml:space="preserve">Developing introduction </w:t>
            </w:r>
          </w:p>
        </w:tc>
        <w:tc>
          <w:tcPr>
            <w:tcW w:w="603" w:type="dxa"/>
            <w:tcBorders/>
          </w:tcPr>
          <w:p w14:paraId="60F6FDF4">
            <w:pPr>
              <w:pStyle w:val="style0"/>
              <w:spacing w:lineRule="auto" w:line="360"/>
              <w:rPr>
                <w:lang w:val="en-US"/>
              </w:rPr>
            </w:pPr>
          </w:p>
        </w:tc>
        <w:tc>
          <w:tcPr>
            <w:tcW w:w="572" w:type="dxa"/>
            <w:tcBorders/>
          </w:tcPr>
          <w:p w14:paraId="7E7955CD">
            <w:pPr>
              <w:pStyle w:val="style0"/>
              <w:spacing w:lineRule="auto" w:line="360"/>
              <w:rPr>
                <w:lang w:val="en-US"/>
              </w:rPr>
            </w:pPr>
          </w:p>
        </w:tc>
        <w:tc>
          <w:tcPr>
            <w:tcW w:w="535" w:type="dxa"/>
            <w:tcBorders/>
            <w:shd w:val="clear" w:color="auto" w:fill="e2efd9"/>
          </w:tcPr>
          <w:p w14:paraId="0FDD8359">
            <w:pPr>
              <w:pStyle w:val="style0"/>
              <w:spacing w:lineRule="auto" w:line="360"/>
              <w:rPr>
                <w:lang w:val="en-US"/>
              </w:rPr>
            </w:pPr>
          </w:p>
        </w:tc>
        <w:tc>
          <w:tcPr>
            <w:tcW w:w="691" w:type="dxa"/>
            <w:tcBorders/>
          </w:tcPr>
          <w:p w14:paraId="4004BA22">
            <w:pPr>
              <w:pStyle w:val="style0"/>
              <w:spacing w:lineRule="auto" w:line="360"/>
              <w:rPr>
                <w:lang w:val="en-US"/>
              </w:rPr>
            </w:pPr>
          </w:p>
        </w:tc>
        <w:tc>
          <w:tcPr>
            <w:tcW w:w="572" w:type="dxa"/>
            <w:tcBorders/>
          </w:tcPr>
          <w:p w14:paraId="66E803B0">
            <w:pPr>
              <w:pStyle w:val="style0"/>
              <w:spacing w:lineRule="auto" w:line="360"/>
              <w:rPr>
                <w:lang w:val="en-US"/>
              </w:rPr>
            </w:pPr>
          </w:p>
        </w:tc>
        <w:tc>
          <w:tcPr>
            <w:tcW w:w="572" w:type="dxa"/>
            <w:tcBorders/>
          </w:tcPr>
          <w:p w14:paraId="6C39CAFD">
            <w:pPr>
              <w:pStyle w:val="style0"/>
              <w:spacing w:lineRule="auto" w:line="360"/>
              <w:rPr>
                <w:lang w:val="en-US"/>
              </w:rPr>
            </w:pPr>
          </w:p>
        </w:tc>
        <w:tc>
          <w:tcPr>
            <w:tcW w:w="505" w:type="dxa"/>
            <w:tcBorders/>
          </w:tcPr>
          <w:p w14:paraId="04DD8282">
            <w:pPr>
              <w:pStyle w:val="style0"/>
              <w:spacing w:lineRule="auto" w:line="360"/>
              <w:rPr>
                <w:lang w:val="en-US"/>
              </w:rPr>
            </w:pPr>
          </w:p>
        </w:tc>
        <w:tc>
          <w:tcPr>
            <w:tcW w:w="540" w:type="dxa"/>
            <w:tcBorders/>
          </w:tcPr>
          <w:p w14:paraId="52B978C1">
            <w:pPr>
              <w:pStyle w:val="style0"/>
              <w:spacing w:lineRule="auto" w:line="360"/>
              <w:rPr>
                <w:lang w:val="en-US"/>
              </w:rPr>
            </w:pPr>
          </w:p>
        </w:tc>
        <w:tc>
          <w:tcPr>
            <w:tcW w:w="540" w:type="dxa"/>
            <w:tcBorders/>
          </w:tcPr>
          <w:p w14:paraId="32C4F134">
            <w:pPr>
              <w:pStyle w:val="style0"/>
              <w:spacing w:lineRule="auto" w:line="360"/>
              <w:rPr>
                <w:lang w:val="en-US"/>
              </w:rPr>
            </w:pPr>
          </w:p>
        </w:tc>
        <w:tc>
          <w:tcPr>
            <w:tcW w:w="630" w:type="dxa"/>
            <w:tcBorders/>
          </w:tcPr>
          <w:p w14:paraId="671BD259">
            <w:pPr>
              <w:pStyle w:val="style0"/>
              <w:spacing w:lineRule="auto" w:line="360"/>
              <w:rPr>
                <w:lang w:val="en-US"/>
              </w:rPr>
            </w:pPr>
          </w:p>
        </w:tc>
        <w:tc>
          <w:tcPr>
            <w:tcW w:w="630" w:type="dxa"/>
            <w:tcBorders/>
          </w:tcPr>
          <w:p w14:paraId="424B4589">
            <w:pPr>
              <w:pStyle w:val="style0"/>
              <w:spacing w:lineRule="auto" w:line="360"/>
              <w:rPr>
                <w:lang w:val="en-US"/>
              </w:rPr>
            </w:pPr>
          </w:p>
        </w:tc>
        <w:tc>
          <w:tcPr>
            <w:tcW w:w="540" w:type="dxa"/>
            <w:tcBorders/>
          </w:tcPr>
          <w:p w14:paraId="45D4BADD">
            <w:pPr>
              <w:pStyle w:val="style0"/>
              <w:spacing w:lineRule="auto" w:line="360"/>
              <w:rPr>
                <w:lang w:val="en-US"/>
              </w:rPr>
            </w:pPr>
          </w:p>
        </w:tc>
        <w:tc>
          <w:tcPr>
            <w:tcW w:w="540" w:type="dxa"/>
            <w:tcBorders/>
          </w:tcPr>
          <w:p w14:paraId="4F229AED">
            <w:pPr>
              <w:pStyle w:val="style0"/>
              <w:spacing w:lineRule="auto" w:line="360"/>
              <w:rPr>
                <w:lang w:val="en-US"/>
              </w:rPr>
            </w:pPr>
          </w:p>
        </w:tc>
        <w:tc>
          <w:tcPr>
            <w:tcW w:w="540" w:type="dxa"/>
            <w:tcBorders/>
          </w:tcPr>
          <w:p w14:paraId="42718157">
            <w:pPr>
              <w:pStyle w:val="style0"/>
              <w:spacing w:lineRule="auto" w:line="360"/>
              <w:rPr>
                <w:lang w:val="en-US"/>
              </w:rPr>
            </w:pPr>
          </w:p>
        </w:tc>
        <w:tc>
          <w:tcPr>
            <w:tcW w:w="540" w:type="dxa"/>
            <w:tcBorders/>
          </w:tcPr>
          <w:p w14:paraId="5DB4027E">
            <w:pPr>
              <w:pStyle w:val="style0"/>
              <w:spacing w:lineRule="auto" w:line="360"/>
              <w:rPr>
                <w:lang w:val="en-US"/>
              </w:rPr>
            </w:pPr>
          </w:p>
        </w:tc>
        <w:tc>
          <w:tcPr>
            <w:tcW w:w="540" w:type="dxa"/>
            <w:tcBorders/>
          </w:tcPr>
          <w:p w14:paraId="0BC42820">
            <w:pPr>
              <w:pStyle w:val="style0"/>
              <w:spacing w:lineRule="auto" w:line="360"/>
              <w:rPr>
                <w:lang w:val="en-US"/>
              </w:rPr>
            </w:pPr>
          </w:p>
        </w:tc>
      </w:tr>
      <w:tr w14:paraId="5411B5C1">
        <w:tblPrEx/>
        <w:trPr>
          <w:trHeight w:val="561" w:hRule="atLeast"/>
        </w:trPr>
        <w:tc>
          <w:tcPr>
            <w:tcW w:w="1620" w:type="dxa"/>
            <w:tcBorders/>
          </w:tcPr>
          <w:p w14:paraId="46B7A3CF">
            <w:pPr>
              <w:pStyle w:val="style0"/>
              <w:spacing w:lineRule="auto" w:line="360"/>
              <w:rPr>
                <w:lang w:val="en-US"/>
              </w:rPr>
            </w:pPr>
            <w:r>
              <w:rPr>
                <w:lang w:val="en-US"/>
              </w:rPr>
              <w:t>Literature review</w:t>
            </w:r>
          </w:p>
        </w:tc>
        <w:tc>
          <w:tcPr>
            <w:tcW w:w="603" w:type="dxa"/>
            <w:tcBorders/>
          </w:tcPr>
          <w:p w14:paraId="0E140B7A">
            <w:pPr>
              <w:pStyle w:val="style0"/>
              <w:spacing w:lineRule="auto" w:line="360"/>
              <w:rPr>
                <w:lang w:val="en-US"/>
              </w:rPr>
            </w:pPr>
          </w:p>
        </w:tc>
        <w:tc>
          <w:tcPr>
            <w:tcW w:w="572" w:type="dxa"/>
            <w:tcBorders/>
          </w:tcPr>
          <w:p w14:paraId="3209018A">
            <w:pPr>
              <w:pStyle w:val="style0"/>
              <w:spacing w:lineRule="auto" w:line="360"/>
              <w:rPr>
                <w:lang w:val="en-US"/>
              </w:rPr>
            </w:pPr>
          </w:p>
        </w:tc>
        <w:tc>
          <w:tcPr>
            <w:tcW w:w="535" w:type="dxa"/>
            <w:tcBorders/>
            <w:shd w:val="clear" w:color="auto" w:fill="ffff00"/>
          </w:tcPr>
          <w:p w14:paraId="1E8CEA25">
            <w:pPr>
              <w:pStyle w:val="style0"/>
              <w:spacing w:lineRule="auto" w:line="360"/>
              <w:rPr>
                <w:lang w:val="en-US"/>
              </w:rPr>
            </w:pPr>
          </w:p>
        </w:tc>
        <w:tc>
          <w:tcPr>
            <w:tcW w:w="691" w:type="dxa"/>
            <w:tcBorders/>
            <w:shd w:val="clear" w:color="auto" w:fill="ffff00"/>
          </w:tcPr>
          <w:p w14:paraId="1EFF4D35">
            <w:pPr>
              <w:pStyle w:val="style0"/>
              <w:spacing w:lineRule="auto" w:line="360"/>
              <w:rPr>
                <w:lang w:val="en-US"/>
              </w:rPr>
            </w:pPr>
          </w:p>
        </w:tc>
        <w:tc>
          <w:tcPr>
            <w:tcW w:w="572" w:type="dxa"/>
            <w:tcBorders/>
          </w:tcPr>
          <w:p w14:paraId="4341B3D5">
            <w:pPr>
              <w:pStyle w:val="style0"/>
              <w:spacing w:lineRule="auto" w:line="360"/>
              <w:rPr>
                <w:lang w:val="en-US"/>
              </w:rPr>
            </w:pPr>
          </w:p>
        </w:tc>
        <w:tc>
          <w:tcPr>
            <w:tcW w:w="572" w:type="dxa"/>
            <w:tcBorders/>
          </w:tcPr>
          <w:p w14:paraId="4A9CDA74">
            <w:pPr>
              <w:pStyle w:val="style0"/>
              <w:spacing w:lineRule="auto" w:line="360"/>
              <w:rPr>
                <w:lang w:val="en-US"/>
              </w:rPr>
            </w:pPr>
          </w:p>
        </w:tc>
        <w:tc>
          <w:tcPr>
            <w:tcW w:w="505" w:type="dxa"/>
            <w:tcBorders/>
          </w:tcPr>
          <w:p w14:paraId="7E757971">
            <w:pPr>
              <w:pStyle w:val="style0"/>
              <w:spacing w:lineRule="auto" w:line="360"/>
              <w:rPr>
                <w:lang w:val="en-US"/>
              </w:rPr>
            </w:pPr>
          </w:p>
        </w:tc>
        <w:tc>
          <w:tcPr>
            <w:tcW w:w="540" w:type="dxa"/>
            <w:tcBorders/>
          </w:tcPr>
          <w:p w14:paraId="7BC0D411">
            <w:pPr>
              <w:pStyle w:val="style0"/>
              <w:spacing w:lineRule="auto" w:line="360"/>
              <w:rPr>
                <w:lang w:val="en-US"/>
              </w:rPr>
            </w:pPr>
          </w:p>
        </w:tc>
        <w:tc>
          <w:tcPr>
            <w:tcW w:w="540" w:type="dxa"/>
            <w:tcBorders/>
          </w:tcPr>
          <w:p w14:paraId="2F947F4C">
            <w:pPr>
              <w:pStyle w:val="style0"/>
              <w:spacing w:lineRule="auto" w:line="360"/>
              <w:rPr>
                <w:lang w:val="en-US"/>
              </w:rPr>
            </w:pPr>
          </w:p>
        </w:tc>
        <w:tc>
          <w:tcPr>
            <w:tcW w:w="630" w:type="dxa"/>
            <w:tcBorders/>
          </w:tcPr>
          <w:p w14:paraId="6EE44878">
            <w:pPr>
              <w:pStyle w:val="style0"/>
              <w:spacing w:lineRule="auto" w:line="360"/>
              <w:rPr>
                <w:lang w:val="en-US"/>
              </w:rPr>
            </w:pPr>
          </w:p>
        </w:tc>
        <w:tc>
          <w:tcPr>
            <w:tcW w:w="630" w:type="dxa"/>
            <w:tcBorders/>
          </w:tcPr>
          <w:p w14:paraId="46BD16D5">
            <w:pPr>
              <w:pStyle w:val="style0"/>
              <w:spacing w:lineRule="auto" w:line="360"/>
              <w:rPr>
                <w:lang w:val="en-US"/>
              </w:rPr>
            </w:pPr>
          </w:p>
        </w:tc>
        <w:tc>
          <w:tcPr>
            <w:tcW w:w="540" w:type="dxa"/>
            <w:tcBorders/>
          </w:tcPr>
          <w:p w14:paraId="5F21D14E">
            <w:pPr>
              <w:pStyle w:val="style0"/>
              <w:spacing w:lineRule="auto" w:line="360"/>
              <w:rPr>
                <w:lang w:val="en-US"/>
              </w:rPr>
            </w:pPr>
          </w:p>
        </w:tc>
        <w:tc>
          <w:tcPr>
            <w:tcW w:w="540" w:type="dxa"/>
            <w:tcBorders/>
          </w:tcPr>
          <w:p w14:paraId="2F6774B4">
            <w:pPr>
              <w:pStyle w:val="style0"/>
              <w:spacing w:lineRule="auto" w:line="360"/>
              <w:rPr>
                <w:lang w:val="en-US"/>
              </w:rPr>
            </w:pPr>
          </w:p>
        </w:tc>
        <w:tc>
          <w:tcPr>
            <w:tcW w:w="540" w:type="dxa"/>
            <w:tcBorders/>
          </w:tcPr>
          <w:p w14:paraId="2EF4EF4A">
            <w:pPr>
              <w:pStyle w:val="style0"/>
              <w:spacing w:lineRule="auto" w:line="360"/>
              <w:rPr>
                <w:lang w:val="en-US"/>
              </w:rPr>
            </w:pPr>
          </w:p>
        </w:tc>
        <w:tc>
          <w:tcPr>
            <w:tcW w:w="540" w:type="dxa"/>
            <w:tcBorders/>
          </w:tcPr>
          <w:p w14:paraId="058CB1D1">
            <w:pPr>
              <w:pStyle w:val="style0"/>
              <w:spacing w:lineRule="auto" w:line="360"/>
              <w:rPr>
                <w:lang w:val="en-US"/>
              </w:rPr>
            </w:pPr>
          </w:p>
        </w:tc>
        <w:tc>
          <w:tcPr>
            <w:tcW w:w="540" w:type="dxa"/>
            <w:tcBorders/>
          </w:tcPr>
          <w:p w14:paraId="72A5A186">
            <w:pPr>
              <w:pStyle w:val="style0"/>
              <w:spacing w:lineRule="auto" w:line="360"/>
              <w:rPr>
                <w:lang w:val="en-US"/>
              </w:rPr>
            </w:pPr>
          </w:p>
        </w:tc>
      </w:tr>
      <w:tr w14:paraId="4FB7BD7F">
        <w:tblPrEx/>
        <w:trPr>
          <w:trHeight w:val="561" w:hRule="atLeast"/>
        </w:trPr>
        <w:tc>
          <w:tcPr>
            <w:tcW w:w="1620" w:type="dxa"/>
            <w:tcBorders/>
          </w:tcPr>
          <w:p w14:paraId="262F401B">
            <w:pPr>
              <w:pStyle w:val="style0"/>
              <w:spacing w:lineRule="auto" w:line="360"/>
              <w:rPr>
                <w:lang w:val="en-US"/>
              </w:rPr>
            </w:pPr>
            <w:r>
              <w:rPr>
                <w:lang w:val="en-US"/>
              </w:rPr>
              <w:t>Research methodology</w:t>
            </w:r>
          </w:p>
        </w:tc>
        <w:tc>
          <w:tcPr>
            <w:tcW w:w="603" w:type="dxa"/>
            <w:tcBorders/>
          </w:tcPr>
          <w:p w14:paraId="7DBB1576">
            <w:pPr>
              <w:pStyle w:val="style0"/>
              <w:spacing w:lineRule="auto" w:line="360"/>
              <w:rPr>
                <w:lang w:val="en-US"/>
              </w:rPr>
            </w:pPr>
          </w:p>
        </w:tc>
        <w:tc>
          <w:tcPr>
            <w:tcW w:w="572" w:type="dxa"/>
            <w:tcBorders/>
          </w:tcPr>
          <w:p w14:paraId="0D333EEA">
            <w:pPr>
              <w:pStyle w:val="style0"/>
              <w:spacing w:lineRule="auto" w:line="360"/>
              <w:rPr>
                <w:lang w:val="en-US"/>
              </w:rPr>
            </w:pPr>
          </w:p>
        </w:tc>
        <w:tc>
          <w:tcPr>
            <w:tcW w:w="535" w:type="dxa"/>
            <w:tcBorders/>
            <w:shd w:val="clear" w:color="auto" w:fill="ffffff"/>
          </w:tcPr>
          <w:p w14:paraId="020151FB">
            <w:pPr>
              <w:pStyle w:val="style0"/>
              <w:spacing w:lineRule="auto" w:line="360"/>
              <w:rPr>
                <w:lang w:val="en-US"/>
              </w:rPr>
            </w:pPr>
          </w:p>
        </w:tc>
        <w:tc>
          <w:tcPr>
            <w:tcW w:w="691" w:type="dxa"/>
            <w:tcBorders/>
            <w:shd w:val="clear" w:color="auto" w:fill="ffffff"/>
          </w:tcPr>
          <w:p w14:paraId="07B2BBCA">
            <w:pPr>
              <w:pStyle w:val="style0"/>
              <w:spacing w:lineRule="auto" w:line="360"/>
              <w:rPr>
                <w:lang w:val="en-US"/>
              </w:rPr>
            </w:pPr>
          </w:p>
        </w:tc>
        <w:tc>
          <w:tcPr>
            <w:tcW w:w="572" w:type="dxa"/>
            <w:tcBorders/>
            <w:shd w:val="clear" w:color="auto" w:fill="acb9ca"/>
          </w:tcPr>
          <w:p w14:paraId="6EDAF14D">
            <w:pPr>
              <w:pStyle w:val="style0"/>
              <w:spacing w:lineRule="auto" w:line="360"/>
              <w:rPr>
                <w:lang w:val="en-US"/>
              </w:rPr>
            </w:pPr>
          </w:p>
        </w:tc>
        <w:tc>
          <w:tcPr>
            <w:tcW w:w="572" w:type="dxa"/>
            <w:tcBorders/>
          </w:tcPr>
          <w:p w14:paraId="6067FB4A">
            <w:pPr>
              <w:pStyle w:val="style0"/>
              <w:spacing w:lineRule="auto" w:line="360"/>
              <w:rPr>
                <w:lang w:val="en-US"/>
              </w:rPr>
            </w:pPr>
          </w:p>
        </w:tc>
        <w:tc>
          <w:tcPr>
            <w:tcW w:w="505" w:type="dxa"/>
            <w:tcBorders/>
          </w:tcPr>
          <w:p w14:paraId="10203F32">
            <w:pPr>
              <w:pStyle w:val="style0"/>
              <w:spacing w:lineRule="auto" w:line="360"/>
              <w:rPr>
                <w:lang w:val="en-US"/>
              </w:rPr>
            </w:pPr>
          </w:p>
        </w:tc>
        <w:tc>
          <w:tcPr>
            <w:tcW w:w="540" w:type="dxa"/>
            <w:tcBorders/>
          </w:tcPr>
          <w:p w14:paraId="40251790">
            <w:pPr>
              <w:pStyle w:val="style0"/>
              <w:spacing w:lineRule="auto" w:line="360"/>
              <w:rPr>
                <w:lang w:val="en-US"/>
              </w:rPr>
            </w:pPr>
          </w:p>
        </w:tc>
        <w:tc>
          <w:tcPr>
            <w:tcW w:w="540" w:type="dxa"/>
            <w:tcBorders/>
          </w:tcPr>
          <w:p w14:paraId="6A05C434">
            <w:pPr>
              <w:pStyle w:val="style0"/>
              <w:spacing w:lineRule="auto" w:line="360"/>
              <w:rPr>
                <w:lang w:val="en-US"/>
              </w:rPr>
            </w:pPr>
          </w:p>
        </w:tc>
        <w:tc>
          <w:tcPr>
            <w:tcW w:w="630" w:type="dxa"/>
            <w:tcBorders/>
          </w:tcPr>
          <w:p w14:paraId="7A44F75F">
            <w:pPr>
              <w:pStyle w:val="style0"/>
              <w:spacing w:lineRule="auto" w:line="360"/>
              <w:rPr>
                <w:lang w:val="en-US"/>
              </w:rPr>
            </w:pPr>
          </w:p>
        </w:tc>
        <w:tc>
          <w:tcPr>
            <w:tcW w:w="630" w:type="dxa"/>
            <w:tcBorders/>
          </w:tcPr>
          <w:p w14:paraId="42D2FAB6">
            <w:pPr>
              <w:pStyle w:val="style0"/>
              <w:spacing w:lineRule="auto" w:line="360"/>
              <w:rPr>
                <w:lang w:val="en-US"/>
              </w:rPr>
            </w:pPr>
          </w:p>
        </w:tc>
        <w:tc>
          <w:tcPr>
            <w:tcW w:w="540" w:type="dxa"/>
            <w:tcBorders/>
          </w:tcPr>
          <w:p w14:paraId="32E8F40E">
            <w:pPr>
              <w:pStyle w:val="style0"/>
              <w:spacing w:lineRule="auto" w:line="360"/>
              <w:rPr>
                <w:lang w:val="en-US"/>
              </w:rPr>
            </w:pPr>
          </w:p>
        </w:tc>
        <w:tc>
          <w:tcPr>
            <w:tcW w:w="540" w:type="dxa"/>
            <w:tcBorders/>
          </w:tcPr>
          <w:p w14:paraId="2DE7920E">
            <w:pPr>
              <w:pStyle w:val="style0"/>
              <w:spacing w:lineRule="auto" w:line="360"/>
              <w:rPr>
                <w:lang w:val="en-US"/>
              </w:rPr>
            </w:pPr>
          </w:p>
        </w:tc>
        <w:tc>
          <w:tcPr>
            <w:tcW w:w="540" w:type="dxa"/>
            <w:tcBorders/>
          </w:tcPr>
          <w:p w14:paraId="27DAFC2D">
            <w:pPr>
              <w:pStyle w:val="style0"/>
              <w:spacing w:lineRule="auto" w:line="360"/>
              <w:rPr>
                <w:lang w:val="en-US"/>
              </w:rPr>
            </w:pPr>
          </w:p>
        </w:tc>
        <w:tc>
          <w:tcPr>
            <w:tcW w:w="540" w:type="dxa"/>
            <w:tcBorders/>
          </w:tcPr>
          <w:p w14:paraId="17092311">
            <w:pPr>
              <w:pStyle w:val="style0"/>
              <w:spacing w:lineRule="auto" w:line="360"/>
              <w:rPr>
                <w:lang w:val="en-US"/>
              </w:rPr>
            </w:pPr>
          </w:p>
        </w:tc>
        <w:tc>
          <w:tcPr>
            <w:tcW w:w="540" w:type="dxa"/>
            <w:tcBorders/>
          </w:tcPr>
          <w:p w14:paraId="49A06205">
            <w:pPr>
              <w:pStyle w:val="style0"/>
              <w:spacing w:lineRule="auto" w:line="360"/>
              <w:rPr>
                <w:lang w:val="en-US"/>
              </w:rPr>
            </w:pPr>
          </w:p>
        </w:tc>
      </w:tr>
      <w:tr w14:paraId="22E13D5B">
        <w:tblPrEx/>
        <w:trPr>
          <w:trHeight w:val="561" w:hRule="atLeast"/>
        </w:trPr>
        <w:tc>
          <w:tcPr>
            <w:tcW w:w="1620" w:type="dxa"/>
            <w:tcBorders/>
          </w:tcPr>
          <w:p w14:paraId="56813431">
            <w:pPr>
              <w:pStyle w:val="style0"/>
              <w:spacing w:lineRule="auto" w:line="360"/>
              <w:rPr>
                <w:lang w:val="en-US"/>
              </w:rPr>
            </w:pPr>
            <w:r>
              <w:rPr>
                <w:lang w:val="en-US"/>
              </w:rPr>
              <w:t>Questionnaire design</w:t>
            </w:r>
          </w:p>
        </w:tc>
        <w:tc>
          <w:tcPr>
            <w:tcW w:w="603" w:type="dxa"/>
            <w:tcBorders/>
          </w:tcPr>
          <w:p w14:paraId="35BC168A">
            <w:pPr>
              <w:pStyle w:val="style0"/>
              <w:spacing w:lineRule="auto" w:line="360"/>
              <w:rPr>
                <w:lang w:val="en-US"/>
              </w:rPr>
            </w:pPr>
          </w:p>
        </w:tc>
        <w:tc>
          <w:tcPr>
            <w:tcW w:w="572" w:type="dxa"/>
            <w:tcBorders/>
          </w:tcPr>
          <w:p w14:paraId="0BB984B4">
            <w:pPr>
              <w:pStyle w:val="style0"/>
              <w:spacing w:lineRule="auto" w:line="360"/>
              <w:rPr>
                <w:lang w:val="en-US"/>
              </w:rPr>
            </w:pPr>
          </w:p>
        </w:tc>
        <w:tc>
          <w:tcPr>
            <w:tcW w:w="535" w:type="dxa"/>
            <w:tcBorders/>
            <w:shd w:val="clear" w:color="auto" w:fill="ffffff"/>
          </w:tcPr>
          <w:p w14:paraId="67249553">
            <w:pPr>
              <w:pStyle w:val="style0"/>
              <w:spacing w:lineRule="auto" w:line="360"/>
              <w:rPr>
                <w:lang w:val="en-US"/>
              </w:rPr>
            </w:pPr>
          </w:p>
        </w:tc>
        <w:tc>
          <w:tcPr>
            <w:tcW w:w="691" w:type="dxa"/>
            <w:tcBorders/>
          </w:tcPr>
          <w:p w14:paraId="01818A3E">
            <w:pPr>
              <w:pStyle w:val="style0"/>
              <w:spacing w:lineRule="auto" w:line="360"/>
              <w:rPr>
                <w:lang w:val="en-US"/>
              </w:rPr>
            </w:pPr>
          </w:p>
        </w:tc>
        <w:tc>
          <w:tcPr>
            <w:tcW w:w="572" w:type="dxa"/>
            <w:tcBorders/>
            <w:shd w:val="clear" w:color="auto" w:fill="ffc000"/>
          </w:tcPr>
          <w:p w14:paraId="61A10E04">
            <w:pPr>
              <w:pStyle w:val="style0"/>
              <w:spacing w:lineRule="auto" w:line="360"/>
              <w:rPr>
                <w:lang w:val="en-US"/>
              </w:rPr>
            </w:pPr>
          </w:p>
        </w:tc>
        <w:tc>
          <w:tcPr>
            <w:tcW w:w="572" w:type="dxa"/>
            <w:tcBorders>
              <w:bottom w:val="single" w:sz="4" w:space="0" w:color="auto"/>
            </w:tcBorders>
            <w:shd w:val="clear" w:color="auto" w:fill="ffc000"/>
          </w:tcPr>
          <w:p w14:paraId="7AA390B5">
            <w:pPr>
              <w:pStyle w:val="style0"/>
              <w:spacing w:lineRule="auto" w:line="360"/>
              <w:rPr>
                <w:lang w:val="en-US"/>
              </w:rPr>
            </w:pPr>
          </w:p>
        </w:tc>
        <w:tc>
          <w:tcPr>
            <w:tcW w:w="505" w:type="dxa"/>
            <w:tcBorders/>
          </w:tcPr>
          <w:p w14:paraId="6FF37293">
            <w:pPr>
              <w:pStyle w:val="style0"/>
              <w:spacing w:lineRule="auto" w:line="360"/>
              <w:rPr>
                <w:lang w:val="en-US"/>
              </w:rPr>
            </w:pPr>
          </w:p>
        </w:tc>
        <w:tc>
          <w:tcPr>
            <w:tcW w:w="540" w:type="dxa"/>
            <w:tcBorders/>
          </w:tcPr>
          <w:p w14:paraId="697F774C">
            <w:pPr>
              <w:pStyle w:val="style0"/>
              <w:spacing w:lineRule="auto" w:line="360"/>
              <w:rPr>
                <w:lang w:val="en-US"/>
              </w:rPr>
            </w:pPr>
          </w:p>
        </w:tc>
        <w:tc>
          <w:tcPr>
            <w:tcW w:w="540" w:type="dxa"/>
            <w:tcBorders/>
          </w:tcPr>
          <w:p w14:paraId="5A108F3A">
            <w:pPr>
              <w:pStyle w:val="style0"/>
              <w:spacing w:lineRule="auto" w:line="360"/>
              <w:rPr>
                <w:lang w:val="en-US"/>
              </w:rPr>
            </w:pPr>
          </w:p>
        </w:tc>
        <w:tc>
          <w:tcPr>
            <w:tcW w:w="630" w:type="dxa"/>
            <w:tcBorders/>
          </w:tcPr>
          <w:p w14:paraId="48537E22">
            <w:pPr>
              <w:pStyle w:val="style0"/>
              <w:spacing w:lineRule="auto" w:line="360"/>
              <w:rPr>
                <w:lang w:val="en-US"/>
              </w:rPr>
            </w:pPr>
          </w:p>
        </w:tc>
        <w:tc>
          <w:tcPr>
            <w:tcW w:w="630" w:type="dxa"/>
            <w:tcBorders/>
          </w:tcPr>
          <w:p w14:paraId="461AC4EE">
            <w:pPr>
              <w:pStyle w:val="style0"/>
              <w:spacing w:lineRule="auto" w:line="360"/>
              <w:rPr>
                <w:lang w:val="en-US"/>
              </w:rPr>
            </w:pPr>
          </w:p>
        </w:tc>
        <w:tc>
          <w:tcPr>
            <w:tcW w:w="540" w:type="dxa"/>
            <w:tcBorders/>
          </w:tcPr>
          <w:p w14:paraId="0C01AB7E">
            <w:pPr>
              <w:pStyle w:val="style0"/>
              <w:spacing w:lineRule="auto" w:line="360"/>
              <w:rPr>
                <w:lang w:val="en-US"/>
              </w:rPr>
            </w:pPr>
          </w:p>
        </w:tc>
        <w:tc>
          <w:tcPr>
            <w:tcW w:w="540" w:type="dxa"/>
            <w:tcBorders/>
          </w:tcPr>
          <w:p w14:paraId="371CA9C3">
            <w:pPr>
              <w:pStyle w:val="style0"/>
              <w:spacing w:lineRule="auto" w:line="360"/>
              <w:rPr>
                <w:lang w:val="en-US"/>
              </w:rPr>
            </w:pPr>
          </w:p>
        </w:tc>
        <w:tc>
          <w:tcPr>
            <w:tcW w:w="540" w:type="dxa"/>
            <w:tcBorders/>
          </w:tcPr>
          <w:p w14:paraId="61A95F07">
            <w:pPr>
              <w:pStyle w:val="style0"/>
              <w:spacing w:lineRule="auto" w:line="360"/>
              <w:rPr>
                <w:lang w:val="en-US"/>
              </w:rPr>
            </w:pPr>
          </w:p>
        </w:tc>
        <w:tc>
          <w:tcPr>
            <w:tcW w:w="540" w:type="dxa"/>
            <w:tcBorders/>
          </w:tcPr>
          <w:p w14:paraId="39AF6A6F">
            <w:pPr>
              <w:pStyle w:val="style0"/>
              <w:spacing w:lineRule="auto" w:line="360"/>
              <w:rPr>
                <w:lang w:val="en-US"/>
              </w:rPr>
            </w:pPr>
          </w:p>
        </w:tc>
        <w:tc>
          <w:tcPr>
            <w:tcW w:w="540" w:type="dxa"/>
            <w:tcBorders/>
          </w:tcPr>
          <w:p w14:paraId="4BC286CB">
            <w:pPr>
              <w:pStyle w:val="style0"/>
              <w:spacing w:lineRule="auto" w:line="360"/>
              <w:rPr>
                <w:lang w:val="en-US"/>
              </w:rPr>
            </w:pPr>
          </w:p>
        </w:tc>
      </w:tr>
      <w:tr w14:paraId="7C83271C">
        <w:tblPrEx/>
        <w:trPr>
          <w:trHeight w:val="561" w:hRule="atLeast"/>
        </w:trPr>
        <w:tc>
          <w:tcPr>
            <w:tcW w:w="1620" w:type="dxa"/>
            <w:tcBorders/>
          </w:tcPr>
          <w:p w14:paraId="236891BB">
            <w:pPr>
              <w:pStyle w:val="style0"/>
              <w:spacing w:lineRule="auto" w:line="360"/>
              <w:rPr>
                <w:lang w:val="en-US"/>
              </w:rPr>
            </w:pPr>
            <w:r>
              <w:rPr>
                <w:lang w:val="en-US"/>
              </w:rPr>
              <w:t>Data collection</w:t>
            </w:r>
          </w:p>
        </w:tc>
        <w:tc>
          <w:tcPr>
            <w:tcW w:w="603" w:type="dxa"/>
            <w:tcBorders/>
          </w:tcPr>
          <w:p w14:paraId="7DAB8367">
            <w:pPr>
              <w:pStyle w:val="style0"/>
              <w:spacing w:lineRule="auto" w:line="360"/>
              <w:rPr>
                <w:lang w:val="en-US"/>
              </w:rPr>
            </w:pPr>
          </w:p>
        </w:tc>
        <w:tc>
          <w:tcPr>
            <w:tcW w:w="572" w:type="dxa"/>
            <w:tcBorders/>
          </w:tcPr>
          <w:p w14:paraId="37DD09C5">
            <w:pPr>
              <w:pStyle w:val="style0"/>
              <w:spacing w:lineRule="auto" w:line="360"/>
              <w:rPr>
                <w:lang w:val="en-US"/>
              </w:rPr>
            </w:pPr>
          </w:p>
        </w:tc>
        <w:tc>
          <w:tcPr>
            <w:tcW w:w="535" w:type="dxa"/>
            <w:tcBorders/>
            <w:shd w:val="clear" w:color="auto" w:fill="ffffff"/>
          </w:tcPr>
          <w:p w14:paraId="35CC8E14">
            <w:pPr>
              <w:pStyle w:val="style0"/>
              <w:spacing w:lineRule="auto" w:line="360"/>
              <w:rPr>
                <w:lang w:val="en-US"/>
              </w:rPr>
            </w:pPr>
          </w:p>
        </w:tc>
        <w:tc>
          <w:tcPr>
            <w:tcW w:w="691" w:type="dxa"/>
            <w:tcBorders/>
          </w:tcPr>
          <w:p w14:paraId="037361FF">
            <w:pPr>
              <w:pStyle w:val="style0"/>
              <w:spacing w:lineRule="auto" w:line="360"/>
              <w:rPr>
                <w:lang w:val="en-US"/>
              </w:rPr>
            </w:pPr>
          </w:p>
        </w:tc>
        <w:tc>
          <w:tcPr>
            <w:tcW w:w="572" w:type="dxa"/>
            <w:tcBorders/>
          </w:tcPr>
          <w:p w14:paraId="1FFC600D">
            <w:pPr>
              <w:pStyle w:val="style0"/>
              <w:spacing w:lineRule="auto" w:line="360"/>
              <w:rPr>
                <w:lang w:val="en-US"/>
              </w:rPr>
            </w:pPr>
          </w:p>
        </w:tc>
        <w:tc>
          <w:tcPr>
            <w:tcW w:w="572" w:type="dxa"/>
            <w:tcBorders>
              <w:bottom w:val="nil"/>
            </w:tcBorders>
            <w:shd w:val="clear" w:color="auto" w:fill="ff0000"/>
          </w:tcPr>
          <w:p w14:paraId="5FC8E004">
            <w:pPr>
              <w:pStyle w:val="style0"/>
              <w:spacing w:lineRule="auto" w:line="360"/>
              <w:rPr>
                <w:lang w:val="en-US"/>
              </w:rPr>
            </w:pPr>
          </w:p>
        </w:tc>
        <w:tc>
          <w:tcPr>
            <w:tcW w:w="505" w:type="dxa"/>
            <w:tcBorders/>
            <w:shd w:val="clear" w:color="auto" w:fill="ff0000"/>
          </w:tcPr>
          <w:p w14:paraId="155255E9">
            <w:pPr>
              <w:pStyle w:val="style0"/>
              <w:spacing w:lineRule="auto" w:line="360"/>
              <w:rPr>
                <w:lang w:val="en-US"/>
              </w:rPr>
            </w:pPr>
          </w:p>
        </w:tc>
        <w:tc>
          <w:tcPr>
            <w:tcW w:w="540" w:type="dxa"/>
            <w:tcBorders/>
          </w:tcPr>
          <w:p w14:paraId="17B335B8">
            <w:pPr>
              <w:pStyle w:val="style0"/>
              <w:spacing w:lineRule="auto" w:line="360"/>
              <w:rPr>
                <w:lang w:val="en-US"/>
              </w:rPr>
            </w:pPr>
          </w:p>
        </w:tc>
        <w:tc>
          <w:tcPr>
            <w:tcW w:w="540" w:type="dxa"/>
            <w:tcBorders/>
          </w:tcPr>
          <w:p w14:paraId="1374C5C6">
            <w:pPr>
              <w:pStyle w:val="style0"/>
              <w:spacing w:lineRule="auto" w:line="360"/>
              <w:rPr>
                <w:lang w:val="en-US"/>
              </w:rPr>
            </w:pPr>
          </w:p>
        </w:tc>
        <w:tc>
          <w:tcPr>
            <w:tcW w:w="630" w:type="dxa"/>
            <w:tcBorders/>
          </w:tcPr>
          <w:p w14:paraId="081F278B">
            <w:pPr>
              <w:pStyle w:val="style0"/>
              <w:spacing w:lineRule="auto" w:line="360"/>
              <w:rPr>
                <w:lang w:val="en-US"/>
              </w:rPr>
            </w:pPr>
          </w:p>
        </w:tc>
        <w:tc>
          <w:tcPr>
            <w:tcW w:w="630" w:type="dxa"/>
            <w:tcBorders/>
          </w:tcPr>
          <w:p w14:paraId="042D826D">
            <w:pPr>
              <w:pStyle w:val="style0"/>
              <w:spacing w:lineRule="auto" w:line="360"/>
              <w:rPr>
                <w:lang w:val="en-US"/>
              </w:rPr>
            </w:pPr>
          </w:p>
        </w:tc>
        <w:tc>
          <w:tcPr>
            <w:tcW w:w="540" w:type="dxa"/>
            <w:tcBorders/>
          </w:tcPr>
          <w:p w14:paraId="76820D0F">
            <w:pPr>
              <w:pStyle w:val="style0"/>
              <w:spacing w:lineRule="auto" w:line="360"/>
              <w:rPr>
                <w:lang w:val="en-US"/>
              </w:rPr>
            </w:pPr>
          </w:p>
        </w:tc>
        <w:tc>
          <w:tcPr>
            <w:tcW w:w="540" w:type="dxa"/>
            <w:tcBorders/>
          </w:tcPr>
          <w:p w14:paraId="3FB221BC">
            <w:pPr>
              <w:pStyle w:val="style0"/>
              <w:spacing w:lineRule="auto" w:line="360"/>
              <w:rPr>
                <w:lang w:val="en-US"/>
              </w:rPr>
            </w:pPr>
          </w:p>
        </w:tc>
        <w:tc>
          <w:tcPr>
            <w:tcW w:w="540" w:type="dxa"/>
            <w:tcBorders/>
          </w:tcPr>
          <w:p w14:paraId="035BB287">
            <w:pPr>
              <w:pStyle w:val="style0"/>
              <w:spacing w:lineRule="auto" w:line="360"/>
              <w:rPr>
                <w:lang w:val="en-US"/>
              </w:rPr>
            </w:pPr>
          </w:p>
        </w:tc>
        <w:tc>
          <w:tcPr>
            <w:tcW w:w="540" w:type="dxa"/>
            <w:tcBorders/>
          </w:tcPr>
          <w:p w14:paraId="2378DFF9">
            <w:pPr>
              <w:pStyle w:val="style0"/>
              <w:spacing w:lineRule="auto" w:line="360"/>
              <w:rPr>
                <w:lang w:val="en-US"/>
              </w:rPr>
            </w:pPr>
          </w:p>
        </w:tc>
        <w:tc>
          <w:tcPr>
            <w:tcW w:w="540" w:type="dxa"/>
            <w:tcBorders/>
          </w:tcPr>
          <w:p w14:paraId="7A915E57">
            <w:pPr>
              <w:pStyle w:val="style0"/>
              <w:spacing w:lineRule="auto" w:line="360"/>
              <w:rPr>
                <w:lang w:val="en-US"/>
              </w:rPr>
            </w:pPr>
          </w:p>
        </w:tc>
      </w:tr>
      <w:tr w14:paraId="6E2081E0">
        <w:tblPrEx/>
        <w:trPr>
          <w:trHeight w:val="561" w:hRule="atLeast"/>
        </w:trPr>
        <w:tc>
          <w:tcPr>
            <w:tcW w:w="1620" w:type="dxa"/>
            <w:tcBorders/>
          </w:tcPr>
          <w:p w14:paraId="1F77072F">
            <w:pPr>
              <w:pStyle w:val="style0"/>
              <w:spacing w:lineRule="auto" w:line="360"/>
              <w:rPr>
                <w:lang w:val="en-US"/>
              </w:rPr>
            </w:pPr>
            <w:r>
              <w:rPr>
                <w:lang w:val="en-US"/>
              </w:rPr>
              <w:t>Obtain ethical approval</w:t>
            </w:r>
          </w:p>
        </w:tc>
        <w:tc>
          <w:tcPr>
            <w:tcW w:w="603" w:type="dxa"/>
            <w:tcBorders/>
          </w:tcPr>
          <w:p w14:paraId="345B6ABF">
            <w:pPr>
              <w:pStyle w:val="style0"/>
              <w:spacing w:lineRule="auto" w:line="360"/>
              <w:rPr>
                <w:lang w:val="en-US"/>
              </w:rPr>
            </w:pPr>
          </w:p>
        </w:tc>
        <w:tc>
          <w:tcPr>
            <w:tcW w:w="572" w:type="dxa"/>
            <w:tcBorders/>
          </w:tcPr>
          <w:p w14:paraId="321ADE9B">
            <w:pPr>
              <w:pStyle w:val="style0"/>
              <w:spacing w:lineRule="auto" w:line="360"/>
              <w:rPr>
                <w:lang w:val="en-US"/>
              </w:rPr>
            </w:pPr>
          </w:p>
        </w:tc>
        <w:tc>
          <w:tcPr>
            <w:tcW w:w="535" w:type="dxa"/>
            <w:tcBorders/>
            <w:shd w:val="clear" w:color="auto" w:fill="ffffff"/>
          </w:tcPr>
          <w:p w14:paraId="4BDAA325">
            <w:pPr>
              <w:pStyle w:val="style0"/>
              <w:spacing w:lineRule="auto" w:line="360"/>
              <w:rPr>
                <w:lang w:val="en-US"/>
              </w:rPr>
            </w:pPr>
          </w:p>
        </w:tc>
        <w:tc>
          <w:tcPr>
            <w:tcW w:w="691" w:type="dxa"/>
            <w:tcBorders/>
          </w:tcPr>
          <w:p w14:paraId="1DB19D2F">
            <w:pPr>
              <w:pStyle w:val="style0"/>
              <w:spacing w:lineRule="auto" w:line="360"/>
              <w:rPr>
                <w:lang w:val="en-US"/>
              </w:rPr>
            </w:pPr>
          </w:p>
        </w:tc>
        <w:tc>
          <w:tcPr>
            <w:tcW w:w="572" w:type="dxa"/>
            <w:tcBorders/>
          </w:tcPr>
          <w:p w14:paraId="41E7C647">
            <w:pPr>
              <w:pStyle w:val="style0"/>
              <w:spacing w:lineRule="auto" w:line="360"/>
              <w:rPr>
                <w:lang w:val="en-US"/>
              </w:rPr>
            </w:pPr>
          </w:p>
        </w:tc>
        <w:tc>
          <w:tcPr>
            <w:tcW w:w="572" w:type="dxa"/>
            <w:tcBorders>
              <w:bottom w:val="nil"/>
            </w:tcBorders>
            <w:shd w:val="clear" w:color="auto" w:fill="ffffff"/>
          </w:tcPr>
          <w:p w14:paraId="73AE6017">
            <w:pPr>
              <w:pStyle w:val="style0"/>
              <w:spacing w:lineRule="auto" w:line="360"/>
              <w:rPr>
                <w:lang w:val="en-US"/>
              </w:rPr>
            </w:pPr>
          </w:p>
        </w:tc>
        <w:tc>
          <w:tcPr>
            <w:tcW w:w="505" w:type="dxa"/>
            <w:tcBorders/>
            <w:shd w:val="clear" w:color="auto" w:fill="ffffff"/>
          </w:tcPr>
          <w:p w14:paraId="03A94B72">
            <w:pPr>
              <w:pStyle w:val="style0"/>
              <w:spacing w:lineRule="auto" w:line="360"/>
              <w:rPr>
                <w:lang w:val="en-US"/>
              </w:rPr>
            </w:pPr>
          </w:p>
        </w:tc>
        <w:tc>
          <w:tcPr>
            <w:tcW w:w="540" w:type="dxa"/>
            <w:tcBorders/>
            <w:shd w:val="clear" w:color="auto" w:fill="00b0f0"/>
          </w:tcPr>
          <w:p w14:paraId="10BFF5E9">
            <w:pPr>
              <w:pStyle w:val="style0"/>
              <w:spacing w:lineRule="auto" w:line="360"/>
              <w:rPr>
                <w:lang w:val="en-US"/>
              </w:rPr>
            </w:pPr>
          </w:p>
        </w:tc>
        <w:tc>
          <w:tcPr>
            <w:tcW w:w="540" w:type="dxa"/>
            <w:tcBorders/>
          </w:tcPr>
          <w:p w14:paraId="2F49A68A">
            <w:pPr>
              <w:pStyle w:val="style0"/>
              <w:spacing w:lineRule="auto" w:line="360"/>
              <w:rPr>
                <w:lang w:val="en-US"/>
              </w:rPr>
            </w:pPr>
          </w:p>
        </w:tc>
        <w:tc>
          <w:tcPr>
            <w:tcW w:w="630" w:type="dxa"/>
            <w:tcBorders/>
          </w:tcPr>
          <w:p w14:paraId="3786CD22">
            <w:pPr>
              <w:pStyle w:val="style0"/>
              <w:spacing w:lineRule="auto" w:line="360"/>
              <w:rPr>
                <w:lang w:val="en-US"/>
              </w:rPr>
            </w:pPr>
          </w:p>
        </w:tc>
        <w:tc>
          <w:tcPr>
            <w:tcW w:w="630" w:type="dxa"/>
            <w:tcBorders/>
          </w:tcPr>
          <w:p w14:paraId="49785264">
            <w:pPr>
              <w:pStyle w:val="style0"/>
              <w:spacing w:lineRule="auto" w:line="360"/>
              <w:rPr>
                <w:lang w:val="en-US"/>
              </w:rPr>
            </w:pPr>
          </w:p>
        </w:tc>
        <w:tc>
          <w:tcPr>
            <w:tcW w:w="540" w:type="dxa"/>
            <w:tcBorders/>
          </w:tcPr>
          <w:p w14:paraId="27FD9348">
            <w:pPr>
              <w:pStyle w:val="style0"/>
              <w:spacing w:lineRule="auto" w:line="360"/>
              <w:rPr>
                <w:lang w:val="en-US"/>
              </w:rPr>
            </w:pPr>
          </w:p>
        </w:tc>
        <w:tc>
          <w:tcPr>
            <w:tcW w:w="540" w:type="dxa"/>
            <w:tcBorders/>
          </w:tcPr>
          <w:p w14:paraId="4607F989">
            <w:pPr>
              <w:pStyle w:val="style0"/>
              <w:spacing w:lineRule="auto" w:line="360"/>
              <w:rPr>
                <w:lang w:val="en-US"/>
              </w:rPr>
            </w:pPr>
          </w:p>
        </w:tc>
        <w:tc>
          <w:tcPr>
            <w:tcW w:w="540" w:type="dxa"/>
            <w:tcBorders/>
          </w:tcPr>
          <w:p w14:paraId="3AFCE871">
            <w:pPr>
              <w:pStyle w:val="style0"/>
              <w:spacing w:lineRule="auto" w:line="360"/>
              <w:rPr>
                <w:lang w:val="en-US"/>
              </w:rPr>
            </w:pPr>
          </w:p>
        </w:tc>
        <w:tc>
          <w:tcPr>
            <w:tcW w:w="540" w:type="dxa"/>
            <w:tcBorders/>
          </w:tcPr>
          <w:p w14:paraId="136E1191">
            <w:pPr>
              <w:pStyle w:val="style0"/>
              <w:spacing w:lineRule="auto" w:line="360"/>
              <w:rPr>
                <w:lang w:val="en-US"/>
              </w:rPr>
            </w:pPr>
          </w:p>
        </w:tc>
        <w:tc>
          <w:tcPr>
            <w:tcW w:w="540" w:type="dxa"/>
            <w:tcBorders/>
          </w:tcPr>
          <w:p w14:paraId="7FBCA9B6">
            <w:pPr>
              <w:pStyle w:val="style0"/>
              <w:spacing w:lineRule="auto" w:line="360"/>
              <w:rPr>
                <w:lang w:val="en-US"/>
              </w:rPr>
            </w:pPr>
          </w:p>
        </w:tc>
      </w:tr>
      <w:tr w14:paraId="256DE3D5">
        <w:tblPrEx/>
        <w:trPr>
          <w:trHeight w:val="561" w:hRule="atLeast"/>
        </w:trPr>
        <w:tc>
          <w:tcPr>
            <w:tcW w:w="1620" w:type="dxa"/>
            <w:tcBorders/>
          </w:tcPr>
          <w:p w14:paraId="4A6AC03B">
            <w:pPr>
              <w:pStyle w:val="style0"/>
              <w:spacing w:lineRule="auto" w:line="360"/>
              <w:rPr>
                <w:lang w:val="en-US"/>
              </w:rPr>
            </w:pPr>
            <w:r>
              <w:rPr>
                <w:lang w:val="en-US"/>
              </w:rPr>
              <w:t>Data Analysis (Excel)</w:t>
            </w:r>
          </w:p>
        </w:tc>
        <w:tc>
          <w:tcPr>
            <w:tcW w:w="603" w:type="dxa"/>
            <w:tcBorders/>
          </w:tcPr>
          <w:p w14:paraId="7C5D8460">
            <w:pPr>
              <w:pStyle w:val="style0"/>
              <w:spacing w:lineRule="auto" w:line="360"/>
              <w:rPr>
                <w:lang w:val="en-US"/>
              </w:rPr>
            </w:pPr>
          </w:p>
        </w:tc>
        <w:tc>
          <w:tcPr>
            <w:tcW w:w="572" w:type="dxa"/>
            <w:tcBorders/>
          </w:tcPr>
          <w:p w14:paraId="2AAC5B20">
            <w:pPr>
              <w:pStyle w:val="style0"/>
              <w:spacing w:lineRule="auto" w:line="360"/>
              <w:rPr>
                <w:lang w:val="en-US"/>
              </w:rPr>
            </w:pPr>
          </w:p>
        </w:tc>
        <w:tc>
          <w:tcPr>
            <w:tcW w:w="535" w:type="dxa"/>
            <w:tcBorders/>
            <w:shd w:val="clear" w:color="auto" w:fill="ffffff"/>
          </w:tcPr>
          <w:p w14:paraId="3130A508">
            <w:pPr>
              <w:pStyle w:val="style0"/>
              <w:spacing w:lineRule="auto" w:line="360"/>
              <w:rPr>
                <w:lang w:val="en-US"/>
              </w:rPr>
            </w:pPr>
          </w:p>
        </w:tc>
        <w:tc>
          <w:tcPr>
            <w:tcW w:w="691" w:type="dxa"/>
            <w:tcBorders/>
            <w:shd w:val="clear" w:color="auto" w:fill="ffffff"/>
          </w:tcPr>
          <w:p w14:paraId="3237E58B">
            <w:pPr>
              <w:pStyle w:val="style0"/>
              <w:spacing w:lineRule="auto" w:line="360"/>
              <w:rPr>
                <w:lang w:val="en-US"/>
              </w:rPr>
            </w:pPr>
          </w:p>
        </w:tc>
        <w:tc>
          <w:tcPr>
            <w:tcW w:w="572" w:type="dxa"/>
            <w:tcBorders/>
            <w:shd w:val="clear" w:color="auto" w:fill="ffffff"/>
          </w:tcPr>
          <w:p w14:paraId="2EA186B7">
            <w:pPr>
              <w:pStyle w:val="style0"/>
              <w:spacing w:lineRule="auto" w:line="360"/>
              <w:rPr>
                <w:lang w:val="en-US"/>
              </w:rPr>
            </w:pPr>
          </w:p>
        </w:tc>
        <w:tc>
          <w:tcPr>
            <w:tcW w:w="572" w:type="dxa"/>
            <w:tcBorders>
              <w:top w:val="nil"/>
              <w:bottom w:val="nil"/>
            </w:tcBorders>
            <w:shd w:val="clear" w:color="auto" w:fill="ffffff"/>
          </w:tcPr>
          <w:p w14:paraId="102D63EB">
            <w:pPr>
              <w:pStyle w:val="style0"/>
              <w:spacing w:lineRule="auto" w:line="360"/>
              <w:rPr>
                <w:lang w:val="en-US"/>
              </w:rPr>
            </w:pPr>
          </w:p>
        </w:tc>
        <w:tc>
          <w:tcPr>
            <w:tcW w:w="505" w:type="dxa"/>
            <w:tcBorders/>
            <w:shd w:val="clear" w:color="auto" w:fill="ffffff"/>
          </w:tcPr>
          <w:p w14:paraId="003D02A9">
            <w:pPr>
              <w:pStyle w:val="style0"/>
              <w:spacing w:lineRule="auto" w:line="360"/>
              <w:rPr>
                <w:lang w:val="en-US"/>
              </w:rPr>
            </w:pPr>
          </w:p>
        </w:tc>
        <w:tc>
          <w:tcPr>
            <w:tcW w:w="540" w:type="dxa"/>
            <w:tcBorders/>
            <w:shd w:val="clear" w:color="auto" w:fill="ffffff"/>
          </w:tcPr>
          <w:p w14:paraId="683C033A">
            <w:pPr>
              <w:pStyle w:val="style0"/>
              <w:spacing w:lineRule="auto" w:line="360"/>
              <w:rPr>
                <w:lang w:val="en-US"/>
              </w:rPr>
            </w:pPr>
          </w:p>
        </w:tc>
        <w:tc>
          <w:tcPr>
            <w:tcW w:w="540" w:type="dxa"/>
            <w:tcBorders/>
            <w:shd w:val="clear" w:color="auto" w:fill="00b050"/>
          </w:tcPr>
          <w:p w14:paraId="3A787A6E">
            <w:pPr>
              <w:pStyle w:val="style0"/>
              <w:spacing w:lineRule="auto" w:line="360"/>
              <w:rPr>
                <w:lang w:val="en-US"/>
              </w:rPr>
            </w:pPr>
          </w:p>
        </w:tc>
        <w:tc>
          <w:tcPr>
            <w:tcW w:w="630" w:type="dxa"/>
            <w:tcBorders/>
            <w:shd w:val="clear" w:color="auto" w:fill="00b050"/>
          </w:tcPr>
          <w:p w14:paraId="67ED402C">
            <w:pPr>
              <w:pStyle w:val="style0"/>
              <w:spacing w:lineRule="auto" w:line="360"/>
              <w:rPr>
                <w:lang w:val="en-US"/>
              </w:rPr>
            </w:pPr>
          </w:p>
        </w:tc>
        <w:tc>
          <w:tcPr>
            <w:tcW w:w="630" w:type="dxa"/>
            <w:tcBorders/>
            <w:shd w:val="clear" w:color="auto" w:fill="ffffff"/>
          </w:tcPr>
          <w:p w14:paraId="22DD9F1E">
            <w:pPr>
              <w:pStyle w:val="style0"/>
              <w:spacing w:lineRule="auto" w:line="360"/>
              <w:rPr>
                <w:lang w:val="en-US"/>
              </w:rPr>
            </w:pPr>
          </w:p>
        </w:tc>
        <w:tc>
          <w:tcPr>
            <w:tcW w:w="540" w:type="dxa"/>
            <w:tcBorders/>
            <w:shd w:val="clear" w:color="auto" w:fill="ffffff"/>
          </w:tcPr>
          <w:p w14:paraId="74D61AF6">
            <w:pPr>
              <w:pStyle w:val="style0"/>
              <w:spacing w:lineRule="auto" w:line="360"/>
              <w:rPr>
                <w:lang w:val="en-US"/>
              </w:rPr>
            </w:pPr>
          </w:p>
        </w:tc>
        <w:tc>
          <w:tcPr>
            <w:tcW w:w="540" w:type="dxa"/>
            <w:tcBorders/>
            <w:shd w:val="clear" w:color="auto" w:fill="ffffff"/>
          </w:tcPr>
          <w:p w14:paraId="35BF943F">
            <w:pPr>
              <w:pStyle w:val="style0"/>
              <w:spacing w:lineRule="auto" w:line="360"/>
              <w:rPr>
                <w:lang w:val="en-US"/>
              </w:rPr>
            </w:pPr>
          </w:p>
        </w:tc>
        <w:tc>
          <w:tcPr>
            <w:tcW w:w="540" w:type="dxa"/>
            <w:tcBorders/>
            <w:shd w:val="clear" w:color="auto" w:fill="ffffff"/>
          </w:tcPr>
          <w:p w14:paraId="7C4CDE10">
            <w:pPr>
              <w:pStyle w:val="style0"/>
              <w:spacing w:lineRule="auto" w:line="360"/>
              <w:rPr>
                <w:lang w:val="en-US"/>
              </w:rPr>
            </w:pPr>
          </w:p>
        </w:tc>
        <w:tc>
          <w:tcPr>
            <w:tcW w:w="540" w:type="dxa"/>
            <w:tcBorders/>
            <w:shd w:val="clear" w:color="auto" w:fill="ffffff"/>
          </w:tcPr>
          <w:p w14:paraId="63DB8804">
            <w:pPr>
              <w:pStyle w:val="style0"/>
              <w:spacing w:lineRule="auto" w:line="360"/>
              <w:rPr>
                <w:lang w:val="en-US"/>
              </w:rPr>
            </w:pPr>
          </w:p>
        </w:tc>
        <w:tc>
          <w:tcPr>
            <w:tcW w:w="540" w:type="dxa"/>
            <w:tcBorders/>
            <w:shd w:val="clear" w:color="auto" w:fill="ffffff"/>
          </w:tcPr>
          <w:p w14:paraId="1D046620">
            <w:pPr>
              <w:pStyle w:val="style0"/>
              <w:spacing w:lineRule="auto" w:line="360"/>
              <w:rPr>
                <w:lang w:val="en-US"/>
              </w:rPr>
            </w:pPr>
          </w:p>
        </w:tc>
      </w:tr>
      <w:tr w14:paraId="57AA86EB">
        <w:tblPrEx/>
        <w:trPr>
          <w:trHeight w:val="561" w:hRule="atLeast"/>
        </w:trPr>
        <w:tc>
          <w:tcPr>
            <w:tcW w:w="1620" w:type="dxa"/>
            <w:tcBorders/>
          </w:tcPr>
          <w:p w14:paraId="0266F245">
            <w:pPr>
              <w:pStyle w:val="style0"/>
              <w:spacing w:lineRule="auto" w:line="360"/>
              <w:rPr>
                <w:lang w:val="en-US"/>
              </w:rPr>
            </w:pPr>
            <w:r>
              <w:rPr>
                <w:lang w:val="en-US"/>
              </w:rPr>
              <w:t>Entering data into SPSS</w:t>
            </w:r>
          </w:p>
        </w:tc>
        <w:tc>
          <w:tcPr>
            <w:tcW w:w="603" w:type="dxa"/>
            <w:tcBorders/>
          </w:tcPr>
          <w:p w14:paraId="42690148">
            <w:pPr>
              <w:pStyle w:val="style0"/>
              <w:spacing w:lineRule="auto" w:line="360"/>
              <w:rPr>
                <w:lang w:val="en-US"/>
              </w:rPr>
            </w:pPr>
          </w:p>
        </w:tc>
        <w:tc>
          <w:tcPr>
            <w:tcW w:w="572" w:type="dxa"/>
            <w:tcBorders/>
          </w:tcPr>
          <w:p w14:paraId="5162F42F">
            <w:pPr>
              <w:pStyle w:val="style0"/>
              <w:spacing w:lineRule="auto" w:line="360"/>
              <w:rPr>
                <w:lang w:val="en-US"/>
              </w:rPr>
            </w:pPr>
          </w:p>
        </w:tc>
        <w:tc>
          <w:tcPr>
            <w:tcW w:w="535" w:type="dxa"/>
            <w:tcBorders/>
            <w:shd w:val="clear" w:color="auto" w:fill="ffffff"/>
          </w:tcPr>
          <w:p w14:paraId="5C3E956D">
            <w:pPr>
              <w:pStyle w:val="style0"/>
              <w:spacing w:lineRule="auto" w:line="360"/>
              <w:rPr>
                <w:lang w:val="en-US"/>
              </w:rPr>
            </w:pPr>
          </w:p>
        </w:tc>
        <w:tc>
          <w:tcPr>
            <w:tcW w:w="691" w:type="dxa"/>
            <w:tcBorders/>
            <w:shd w:val="clear" w:color="auto" w:fill="ffffff"/>
          </w:tcPr>
          <w:p w14:paraId="67F75515">
            <w:pPr>
              <w:pStyle w:val="style0"/>
              <w:spacing w:lineRule="auto" w:line="360"/>
              <w:rPr>
                <w:lang w:val="en-US"/>
              </w:rPr>
            </w:pPr>
          </w:p>
        </w:tc>
        <w:tc>
          <w:tcPr>
            <w:tcW w:w="572" w:type="dxa"/>
            <w:tcBorders/>
            <w:shd w:val="clear" w:color="auto" w:fill="ffffff"/>
          </w:tcPr>
          <w:p w14:paraId="1687E258">
            <w:pPr>
              <w:pStyle w:val="style0"/>
              <w:spacing w:lineRule="auto" w:line="360"/>
              <w:rPr>
                <w:lang w:val="en-US"/>
              </w:rPr>
            </w:pPr>
          </w:p>
        </w:tc>
        <w:tc>
          <w:tcPr>
            <w:tcW w:w="572" w:type="dxa"/>
            <w:tcBorders>
              <w:top w:val="nil"/>
              <w:bottom w:val="nil"/>
            </w:tcBorders>
            <w:shd w:val="clear" w:color="auto" w:fill="ffffff"/>
          </w:tcPr>
          <w:p w14:paraId="76030A08">
            <w:pPr>
              <w:pStyle w:val="style0"/>
              <w:spacing w:lineRule="auto" w:line="360"/>
              <w:rPr>
                <w:lang w:val="en-US"/>
              </w:rPr>
            </w:pPr>
          </w:p>
        </w:tc>
        <w:tc>
          <w:tcPr>
            <w:tcW w:w="505" w:type="dxa"/>
            <w:tcBorders/>
            <w:shd w:val="clear" w:color="auto" w:fill="ffffff"/>
          </w:tcPr>
          <w:p w14:paraId="6DA4BA5B">
            <w:pPr>
              <w:pStyle w:val="style0"/>
              <w:spacing w:lineRule="auto" w:line="360"/>
              <w:rPr>
                <w:lang w:val="en-US"/>
              </w:rPr>
            </w:pPr>
          </w:p>
        </w:tc>
        <w:tc>
          <w:tcPr>
            <w:tcW w:w="540" w:type="dxa"/>
            <w:tcBorders/>
            <w:shd w:val="clear" w:color="auto" w:fill="ffffff"/>
          </w:tcPr>
          <w:p w14:paraId="638E3329">
            <w:pPr>
              <w:pStyle w:val="style0"/>
              <w:spacing w:lineRule="auto" w:line="360"/>
              <w:rPr>
                <w:lang w:val="en-US"/>
              </w:rPr>
            </w:pPr>
          </w:p>
        </w:tc>
        <w:tc>
          <w:tcPr>
            <w:tcW w:w="540" w:type="dxa"/>
            <w:tcBorders/>
            <w:shd w:val="clear" w:color="auto" w:fill="ffffff"/>
          </w:tcPr>
          <w:p w14:paraId="614DA0B5">
            <w:pPr>
              <w:pStyle w:val="style0"/>
              <w:spacing w:lineRule="auto" w:line="360"/>
              <w:rPr>
                <w:lang w:val="en-US"/>
              </w:rPr>
            </w:pPr>
          </w:p>
        </w:tc>
        <w:tc>
          <w:tcPr>
            <w:tcW w:w="630" w:type="dxa"/>
            <w:tcBorders/>
            <w:shd w:val="clear" w:color="auto" w:fill="ffffff"/>
          </w:tcPr>
          <w:p w14:paraId="7A1B2068">
            <w:pPr>
              <w:pStyle w:val="style0"/>
              <w:spacing w:lineRule="auto" w:line="360"/>
              <w:rPr>
                <w:lang w:val="en-US"/>
              </w:rPr>
            </w:pPr>
          </w:p>
        </w:tc>
        <w:tc>
          <w:tcPr>
            <w:tcW w:w="630" w:type="dxa"/>
            <w:tcBorders/>
            <w:shd w:val="clear" w:color="auto" w:fill="d0cece"/>
          </w:tcPr>
          <w:p w14:paraId="7DB7421E">
            <w:pPr>
              <w:pStyle w:val="style0"/>
              <w:spacing w:lineRule="auto" w:line="360"/>
              <w:rPr>
                <w:lang w:val="en-US"/>
              </w:rPr>
            </w:pPr>
          </w:p>
        </w:tc>
        <w:tc>
          <w:tcPr>
            <w:tcW w:w="540" w:type="dxa"/>
            <w:tcBorders/>
            <w:shd w:val="clear" w:color="auto" w:fill="ffffff"/>
          </w:tcPr>
          <w:p w14:paraId="7A708157">
            <w:pPr>
              <w:pStyle w:val="style0"/>
              <w:spacing w:lineRule="auto" w:line="360"/>
              <w:rPr>
                <w:lang w:val="en-US"/>
              </w:rPr>
            </w:pPr>
          </w:p>
        </w:tc>
        <w:tc>
          <w:tcPr>
            <w:tcW w:w="540" w:type="dxa"/>
            <w:tcBorders/>
            <w:shd w:val="clear" w:color="auto" w:fill="ffffff"/>
          </w:tcPr>
          <w:p w14:paraId="491EDDF7">
            <w:pPr>
              <w:pStyle w:val="style0"/>
              <w:spacing w:lineRule="auto" w:line="360"/>
              <w:rPr>
                <w:lang w:val="en-US"/>
              </w:rPr>
            </w:pPr>
          </w:p>
        </w:tc>
        <w:tc>
          <w:tcPr>
            <w:tcW w:w="540" w:type="dxa"/>
            <w:tcBorders/>
            <w:shd w:val="clear" w:color="auto" w:fill="ffffff"/>
          </w:tcPr>
          <w:p w14:paraId="40363435">
            <w:pPr>
              <w:pStyle w:val="style0"/>
              <w:spacing w:lineRule="auto" w:line="360"/>
              <w:rPr>
                <w:lang w:val="en-US"/>
              </w:rPr>
            </w:pPr>
          </w:p>
        </w:tc>
        <w:tc>
          <w:tcPr>
            <w:tcW w:w="540" w:type="dxa"/>
            <w:tcBorders/>
            <w:shd w:val="clear" w:color="auto" w:fill="ffffff"/>
          </w:tcPr>
          <w:p w14:paraId="7A7DA92C">
            <w:pPr>
              <w:pStyle w:val="style0"/>
              <w:spacing w:lineRule="auto" w:line="360"/>
              <w:rPr>
                <w:lang w:val="en-US"/>
              </w:rPr>
            </w:pPr>
          </w:p>
        </w:tc>
        <w:tc>
          <w:tcPr>
            <w:tcW w:w="540" w:type="dxa"/>
            <w:tcBorders/>
            <w:shd w:val="clear" w:color="auto" w:fill="ffffff"/>
          </w:tcPr>
          <w:p w14:paraId="2A8695F0">
            <w:pPr>
              <w:pStyle w:val="style0"/>
              <w:spacing w:lineRule="auto" w:line="360"/>
              <w:rPr>
                <w:lang w:val="en-US"/>
              </w:rPr>
            </w:pPr>
          </w:p>
        </w:tc>
      </w:tr>
      <w:tr w14:paraId="6D6691A3">
        <w:tblPrEx/>
        <w:trPr>
          <w:trHeight w:val="561" w:hRule="atLeast"/>
        </w:trPr>
        <w:tc>
          <w:tcPr>
            <w:tcW w:w="1620" w:type="dxa"/>
            <w:tcBorders/>
          </w:tcPr>
          <w:p w14:paraId="10337C27">
            <w:pPr>
              <w:pStyle w:val="style0"/>
              <w:spacing w:lineRule="auto" w:line="360"/>
              <w:rPr>
                <w:lang w:val="en-US"/>
              </w:rPr>
            </w:pPr>
            <w:r>
              <w:rPr>
                <w:lang w:val="en-US"/>
              </w:rPr>
              <w:t>Interpretation of data</w:t>
            </w:r>
          </w:p>
        </w:tc>
        <w:tc>
          <w:tcPr>
            <w:tcW w:w="603" w:type="dxa"/>
            <w:tcBorders/>
          </w:tcPr>
          <w:p w14:paraId="222E9AA5">
            <w:pPr>
              <w:pStyle w:val="style0"/>
              <w:spacing w:lineRule="auto" w:line="360"/>
              <w:rPr>
                <w:lang w:val="en-US"/>
              </w:rPr>
            </w:pPr>
          </w:p>
        </w:tc>
        <w:tc>
          <w:tcPr>
            <w:tcW w:w="572" w:type="dxa"/>
            <w:tcBorders/>
          </w:tcPr>
          <w:p w14:paraId="70EF6170">
            <w:pPr>
              <w:pStyle w:val="style0"/>
              <w:spacing w:lineRule="auto" w:line="360"/>
              <w:rPr>
                <w:lang w:val="en-US"/>
              </w:rPr>
            </w:pPr>
          </w:p>
        </w:tc>
        <w:tc>
          <w:tcPr>
            <w:tcW w:w="535" w:type="dxa"/>
            <w:tcBorders/>
            <w:shd w:val="clear" w:color="auto" w:fill="ffffff"/>
          </w:tcPr>
          <w:p w14:paraId="2A79FA0E">
            <w:pPr>
              <w:pStyle w:val="style0"/>
              <w:spacing w:lineRule="auto" w:line="360"/>
              <w:rPr>
                <w:lang w:val="en-US"/>
              </w:rPr>
            </w:pPr>
          </w:p>
        </w:tc>
        <w:tc>
          <w:tcPr>
            <w:tcW w:w="691" w:type="dxa"/>
            <w:tcBorders/>
            <w:shd w:val="clear" w:color="auto" w:fill="ffffff"/>
          </w:tcPr>
          <w:p w14:paraId="247AA203">
            <w:pPr>
              <w:pStyle w:val="style0"/>
              <w:spacing w:lineRule="auto" w:line="360"/>
              <w:rPr>
                <w:lang w:val="en-US"/>
              </w:rPr>
            </w:pPr>
          </w:p>
        </w:tc>
        <w:tc>
          <w:tcPr>
            <w:tcW w:w="572" w:type="dxa"/>
            <w:tcBorders/>
            <w:shd w:val="clear" w:color="auto" w:fill="ffffff"/>
          </w:tcPr>
          <w:p w14:paraId="0FA6060A">
            <w:pPr>
              <w:pStyle w:val="style0"/>
              <w:spacing w:lineRule="auto" w:line="360"/>
              <w:rPr>
                <w:lang w:val="en-US"/>
              </w:rPr>
            </w:pPr>
          </w:p>
        </w:tc>
        <w:tc>
          <w:tcPr>
            <w:tcW w:w="572" w:type="dxa"/>
            <w:tcBorders>
              <w:top w:val="nil"/>
              <w:bottom w:val="nil"/>
            </w:tcBorders>
            <w:shd w:val="clear" w:color="auto" w:fill="ffffff"/>
          </w:tcPr>
          <w:p w14:paraId="6F4262E7">
            <w:pPr>
              <w:pStyle w:val="style0"/>
              <w:spacing w:lineRule="auto" w:line="360"/>
              <w:rPr>
                <w:lang w:val="en-US"/>
              </w:rPr>
            </w:pPr>
          </w:p>
        </w:tc>
        <w:tc>
          <w:tcPr>
            <w:tcW w:w="505" w:type="dxa"/>
            <w:tcBorders/>
            <w:shd w:val="clear" w:color="auto" w:fill="ffffff"/>
          </w:tcPr>
          <w:p w14:paraId="60D93DBD">
            <w:pPr>
              <w:pStyle w:val="style0"/>
              <w:spacing w:lineRule="auto" w:line="360"/>
              <w:rPr>
                <w:lang w:val="en-US"/>
              </w:rPr>
            </w:pPr>
          </w:p>
        </w:tc>
        <w:tc>
          <w:tcPr>
            <w:tcW w:w="540" w:type="dxa"/>
            <w:tcBorders/>
            <w:shd w:val="clear" w:color="auto" w:fill="ffffff"/>
          </w:tcPr>
          <w:p w14:paraId="09226563">
            <w:pPr>
              <w:pStyle w:val="style0"/>
              <w:spacing w:lineRule="auto" w:line="360"/>
              <w:rPr>
                <w:lang w:val="en-US"/>
              </w:rPr>
            </w:pPr>
          </w:p>
        </w:tc>
        <w:tc>
          <w:tcPr>
            <w:tcW w:w="540" w:type="dxa"/>
            <w:tcBorders/>
            <w:shd w:val="clear" w:color="auto" w:fill="ffffff"/>
          </w:tcPr>
          <w:p w14:paraId="079845C2">
            <w:pPr>
              <w:pStyle w:val="style0"/>
              <w:spacing w:lineRule="auto" w:line="360"/>
              <w:rPr>
                <w:lang w:val="en-US"/>
              </w:rPr>
            </w:pPr>
          </w:p>
        </w:tc>
        <w:tc>
          <w:tcPr>
            <w:tcW w:w="630" w:type="dxa"/>
            <w:tcBorders/>
            <w:shd w:val="clear" w:color="auto" w:fill="auto"/>
          </w:tcPr>
          <w:p w14:paraId="77B8DF31">
            <w:pPr>
              <w:pStyle w:val="style0"/>
              <w:spacing w:lineRule="auto" w:line="360"/>
              <w:rPr>
                <w:lang w:val="en-US"/>
              </w:rPr>
            </w:pPr>
          </w:p>
        </w:tc>
        <w:tc>
          <w:tcPr>
            <w:tcW w:w="630" w:type="dxa"/>
            <w:tcBorders/>
            <w:shd w:val="clear" w:color="auto" w:fill="ffffff"/>
          </w:tcPr>
          <w:p w14:paraId="0A575217">
            <w:pPr>
              <w:pStyle w:val="style0"/>
              <w:spacing w:lineRule="auto" w:line="360"/>
              <w:rPr>
                <w:lang w:val="en-US"/>
              </w:rPr>
            </w:pPr>
          </w:p>
        </w:tc>
        <w:tc>
          <w:tcPr>
            <w:tcW w:w="540" w:type="dxa"/>
            <w:tcBorders/>
            <w:shd w:val="clear" w:color="auto" w:fill="4472c4"/>
          </w:tcPr>
          <w:p w14:paraId="52F4F66D">
            <w:pPr>
              <w:pStyle w:val="style0"/>
              <w:spacing w:lineRule="auto" w:line="360"/>
              <w:rPr>
                <w:lang w:val="en-US"/>
              </w:rPr>
            </w:pPr>
          </w:p>
        </w:tc>
        <w:tc>
          <w:tcPr>
            <w:tcW w:w="540" w:type="dxa"/>
            <w:tcBorders/>
            <w:shd w:val="clear" w:color="auto" w:fill="4472c4"/>
          </w:tcPr>
          <w:p w14:paraId="1A9E84AC">
            <w:pPr>
              <w:pStyle w:val="style0"/>
              <w:spacing w:lineRule="auto" w:line="360"/>
              <w:rPr>
                <w:lang w:val="en-US"/>
              </w:rPr>
            </w:pPr>
          </w:p>
        </w:tc>
        <w:tc>
          <w:tcPr>
            <w:tcW w:w="540" w:type="dxa"/>
            <w:tcBorders/>
            <w:shd w:val="clear" w:color="auto" w:fill="4472c4"/>
          </w:tcPr>
          <w:p w14:paraId="4E54827D">
            <w:pPr>
              <w:pStyle w:val="style0"/>
              <w:spacing w:lineRule="auto" w:line="360"/>
              <w:rPr>
                <w:lang w:val="en-US"/>
              </w:rPr>
            </w:pPr>
          </w:p>
        </w:tc>
        <w:tc>
          <w:tcPr>
            <w:tcW w:w="540" w:type="dxa"/>
            <w:tcBorders/>
            <w:shd w:val="clear" w:color="auto" w:fill="ffffff"/>
          </w:tcPr>
          <w:p w14:paraId="1B1EE49B">
            <w:pPr>
              <w:pStyle w:val="style0"/>
              <w:spacing w:lineRule="auto" w:line="360"/>
              <w:rPr>
                <w:lang w:val="en-US"/>
              </w:rPr>
            </w:pPr>
          </w:p>
        </w:tc>
        <w:tc>
          <w:tcPr>
            <w:tcW w:w="540" w:type="dxa"/>
            <w:tcBorders/>
            <w:shd w:val="clear" w:color="auto" w:fill="ffffff"/>
          </w:tcPr>
          <w:p w14:paraId="247633FC">
            <w:pPr>
              <w:pStyle w:val="style0"/>
              <w:spacing w:lineRule="auto" w:line="360"/>
              <w:rPr>
                <w:lang w:val="en-US"/>
              </w:rPr>
            </w:pPr>
          </w:p>
        </w:tc>
      </w:tr>
      <w:tr w14:paraId="7C78EC8D">
        <w:tblPrEx/>
        <w:trPr>
          <w:trHeight w:val="561" w:hRule="atLeast"/>
        </w:trPr>
        <w:tc>
          <w:tcPr>
            <w:tcW w:w="1620" w:type="dxa"/>
            <w:tcBorders/>
          </w:tcPr>
          <w:p w14:paraId="28556D47">
            <w:pPr>
              <w:pStyle w:val="style0"/>
              <w:spacing w:lineRule="auto" w:line="360"/>
              <w:rPr>
                <w:lang w:val="en-US"/>
              </w:rPr>
            </w:pPr>
            <w:r>
              <w:rPr>
                <w:lang w:val="en-US"/>
              </w:rPr>
              <w:t xml:space="preserve">Review and </w:t>
            </w:r>
            <w:r>
              <w:rPr>
                <w:lang w:val="en-US"/>
              </w:rPr>
              <w:t>e</w:t>
            </w:r>
            <w:r>
              <w:rPr>
                <w:lang w:val="en-US"/>
              </w:rPr>
              <w:t xml:space="preserve">dit </w:t>
            </w:r>
            <w:r>
              <w:rPr>
                <w:lang w:val="en-US"/>
              </w:rPr>
              <w:t>r</w:t>
            </w:r>
            <w:r>
              <w:rPr>
                <w:lang w:val="en-US"/>
              </w:rPr>
              <w:t>eport</w:t>
            </w:r>
          </w:p>
        </w:tc>
        <w:tc>
          <w:tcPr>
            <w:tcW w:w="603" w:type="dxa"/>
            <w:tcBorders/>
          </w:tcPr>
          <w:p w14:paraId="704DFEF4">
            <w:pPr>
              <w:pStyle w:val="style0"/>
              <w:spacing w:lineRule="auto" w:line="360"/>
              <w:rPr>
                <w:lang w:val="en-US"/>
              </w:rPr>
            </w:pPr>
          </w:p>
        </w:tc>
        <w:tc>
          <w:tcPr>
            <w:tcW w:w="572" w:type="dxa"/>
            <w:tcBorders/>
          </w:tcPr>
          <w:p w14:paraId="7B3ABF63">
            <w:pPr>
              <w:pStyle w:val="style0"/>
              <w:spacing w:lineRule="auto" w:line="360"/>
              <w:rPr>
                <w:lang w:val="en-US"/>
              </w:rPr>
            </w:pPr>
          </w:p>
        </w:tc>
        <w:tc>
          <w:tcPr>
            <w:tcW w:w="535" w:type="dxa"/>
            <w:tcBorders/>
            <w:shd w:val="clear" w:color="auto" w:fill="ffffff"/>
          </w:tcPr>
          <w:p w14:paraId="17CD36C6">
            <w:pPr>
              <w:pStyle w:val="style0"/>
              <w:spacing w:lineRule="auto" w:line="360"/>
              <w:rPr>
                <w:lang w:val="en-US"/>
              </w:rPr>
            </w:pPr>
          </w:p>
        </w:tc>
        <w:tc>
          <w:tcPr>
            <w:tcW w:w="691" w:type="dxa"/>
            <w:tcBorders/>
            <w:shd w:val="clear" w:color="auto" w:fill="ffffff"/>
          </w:tcPr>
          <w:p w14:paraId="36BAFC82">
            <w:pPr>
              <w:pStyle w:val="style0"/>
              <w:spacing w:lineRule="auto" w:line="360"/>
              <w:rPr>
                <w:lang w:val="en-US"/>
              </w:rPr>
            </w:pPr>
          </w:p>
        </w:tc>
        <w:tc>
          <w:tcPr>
            <w:tcW w:w="572" w:type="dxa"/>
            <w:tcBorders/>
            <w:shd w:val="clear" w:color="auto" w:fill="ffffff"/>
          </w:tcPr>
          <w:p w14:paraId="3E75D201">
            <w:pPr>
              <w:pStyle w:val="style0"/>
              <w:spacing w:lineRule="auto" w:line="360"/>
              <w:rPr>
                <w:lang w:val="en-US"/>
              </w:rPr>
            </w:pPr>
          </w:p>
        </w:tc>
        <w:tc>
          <w:tcPr>
            <w:tcW w:w="572" w:type="dxa"/>
            <w:tcBorders>
              <w:top w:val="nil"/>
              <w:bottom w:val="nil"/>
            </w:tcBorders>
            <w:shd w:val="clear" w:color="auto" w:fill="ffffff"/>
          </w:tcPr>
          <w:p w14:paraId="490654D8">
            <w:pPr>
              <w:pStyle w:val="style0"/>
              <w:spacing w:lineRule="auto" w:line="360"/>
              <w:rPr>
                <w:lang w:val="en-US"/>
              </w:rPr>
            </w:pPr>
          </w:p>
        </w:tc>
        <w:tc>
          <w:tcPr>
            <w:tcW w:w="505" w:type="dxa"/>
            <w:tcBorders/>
            <w:shd w:val="clear" w:color="auto" w:fill="ffffff"/>
          </w:tcPr>
          <w:p w14:paraId="12F1AC34">
            <w:pPr>
              <w:pStyle w:val="style0"/>
              <w:spacing w:lineRule="auto" w:line="360"/>
              <w:rPr>
                <w:lang w:val="en-US"/>
              </w:rPr>
            </w:pPr>
          </w:p>
        </w:tc>
        <w:tc>
          <w:tcPr>
            <w:tcW w:w="540" w:type="dxa"/>
            <w:tcBorders/>
            <w:shd w:val="clear" w:color="auto" w:fill="ffffff"/>
          </w:tcPr>
          <w:p w14:paraId="5C67F02D">
            <w:pPr>
              <w:pStyle w:val="style0"/>
              <w:spacing w:lineRule="auto" w:line="360"/>
              <w:rPr>
                <w:lang w:val="en-US"/>
              </w:rPr>
            </w:pPr>
          </w:p>
        </w:tc>
        <w:tc>
          <w:tcPr>
            <w:tcW w:w="540" w:type="dxa"/>
            <w:tcBorders/>
            <w:shd w:val="clear" w:color="auto" w:fill="ffffff"/>
          </w:tcPr>
          <w:p w14:paraId="1A75CB69">
            <w:pPr>
              <w:pStyle w:val="style0"/>
              <w:spacing w:lineRule="auto" w:line="360"/>
              <w:rPr>
                <w:lang w:val="en-US"/>
              </w:rPr>
            </w:pPr>
          </w:p>
        </w:tc>
        <w:tc>
          <w:tcPr>
            <w:tcW w:w="630" w:type="dxa"/>
            <w:tcBorders/>
            <w:shd w:val="clear" w:color="auto" w:fill="ffffff"/>
          </w:tcPr>
          <w:p w14:paraId="3409458D">
            <w:pPr>
              <w:pStyle w:val="style0"/>
              <w:spacing w:lineRule="auto" w:line="360"/>
              <w:rPr>
                <w:lang w:val="en-US"/>
              </w:rPr>
            </w:pPr>
          </w:p>
        </w:tc>
        <w:tc>
          <w:tcPr>
            <w:tcW w:w="630" w:type="dxa"/>
            <w:tcBorders/>
            <w:shd w:val="clear" w:color="auto" w:fill="ffffff"/>
          </w:tcPr>
          <w:p w14:paraId="62BDF3DC">
            <w:pPr>
              <w:pStyle w:val="style0"/>
              <w:spacing w:lineRule="auto" w:line="360"/>
              <w:rPr>
                <w:lang w:val="en-US"/>
              </w:rPr>
            </w:pPr>
          </w:p>
        </w:tc>
        <w:tc>
          <w:tcPr>
            <w:tcW w:w="540" w:type="dxa"/>
            <w:tcBorders/>
            <w:shd w:val="clear" w:color="auto" w:fill="ffffff"/>
          </w:tcPr>
          <w:p w14:paraId="2C411D42">
            <w:pPr>
              <w:pStyle w:val="style0"/>
              <w:spacing w:lineRule="auto" w:line="360"/>
              <w:rPr>
                <w:lang w:val="en-US"/>
              </w:rPr>
            </w:pPr>
          </w:p>
        </w:tc>
        <w:tc>
          <w:tcPr>
            <w:tcW w:w="540" w:type="dxa"/>
            <w:tcBorders/>
            <w:shd w:val="clear" w:color="auto" w:fill="ffffff"/>
          </w:tcPr>
          <w:p w14:paraId="590C3AC0">
            <w:pPr>
              <w:pStyle w:val="style0"/>
              <w:spacing w:lineRule="auto" w:line="360"/>
              <w:rPr>
                <w:lang w:val="en-US"/>
              </w:rPr>
            </w:pPr>
          </w:p>
        </w:tc>
        <w:tc>
          <w:tcPr>
            <w:tcW w:w="540" w:type="dxa"/>
            <w:tcBorders/>
            <w:shd w:val="clear" w:color="auto" w:fill="ffffff"/>
          </w:tcPr>
          <w:p w14:paraId="4536C66B">
            <w:pPr>
              <w:pStyle w:val="style0"/>
              <w:spacing w:lineRule="auto" w:line="360"/>
              <w:rPr>
                <w:lang w:val="en-US"/>
              </w:rPr>
            </w:pPr>
          </w:p>
        </w:tc>
        <w:tc>
          <w:tcPr>
            <w:tcW w:w="540" w:type="dxa"/>
            <w:tcBorders/>
            <w:shd w:val="clear" w:color="auto" w:fill="8496b0"/>
          </w:tcPr>
          <w:p w14:paraId="6166DB93">
            <w:pPr>
              <w:pStyle w:val="style0"/>
              <w:spacing w:lineRule="auto" w:line="360"/>
              <w:rPr>
                <w:lang w:val="en-US"/>
              </w:rPr>
            </w:pPr>
          </w:p>
        </w:tc>
        <w:tc>
          <w:tcPr>
            <w:tcW w:w="540" w:type="dxa"/>
            <w:tcBorders/>
            <w:shd w:val="clear" w:color="auto" w:fill="ffffff"/>
          </w:tcPr>
          <w:p w14:paraId="6FE5EB48">
            <w:pPr>
              <w:pStyle w:val="style0"/>
              <w:spacing w:lineRule="auto" w:line="360"/>
              <w:rPr>
                <w:lang w:val="en-US"/>
              </w:rPr>
            </w:pPr>
          </w:p>
        </w:tc>
      </w:tr>
      <w:tr w14:paraId="000BC51E">
        <w:tblPrEx/>
        <w:trPr>
          <w:trHeight w:val="561" w:hRule="atLeast"/>
        </w:trPr>
        <w:tc>
          <w:tcPr>
            <w:tcW w:w="1620" w:type="dxa"/>
            <w:tcBorders/>
          </w:tcPr>
          <w:p w14:paraId="718026EF">
            <w:pPr>
              <w:pStyle w:val="style0"/>
              <w:spacing w:lineRule="auto" w:line="360"/>
              <w:rPr>
                <w:lang w:val="en-US"/>
              </w:rPr>
            </w:pPr>
            <w:r>
              <w:rPr>
                <w:lang w:val="en-US"/>
              </w:rPr>
              <w:t xml:space="preserve">Final submission </w:t>
            </w:r>
          </w:p>
        </w:tc>
        <w:tc>
          <w:tcPr>
            <w:tcW w:w="603" w:type="dxa"/>
            <w:tcBorders/>
          </w:tcPr>
          <w:p w14:paraId="5C629609">
            <w:pPr>
              <w:pStyle w:val="style0"/>
              <w:spacing w:lineRule="auto" w:line="360"/>
              <w:rPr>
                <w:lang w:val="en-US"/>
              </w:rPr>
            </w:pPr>
          </w:p>
        </w:tc>
        <w:tc>
          <w:tcPr>
            <w:tcW w:w="572" w:type="dxa"/>
            <w:tcBorders/>
          </w:tcPr>
          <w:p w14:paraId="4D22B0CF">
            <w:pPr>
              <w:pStyle w:val="style0"/>
              <w:spacing w:lineRule="auto" w:line="360"/>
              <w:rPr>
                <w:lang w:val="en-US"/>
              </w:rPr>
            </w:pPr>
          </w:p>
        </w:tc>
        <w:tc>
          <w:tcPr>
            <w:tcW w:w="535" w:type="dxa"/>
            <w:tcBorders/>
            <w:shd w:val="clear" w:color="auto" w:fill="ffffff"/>
          </w:tcPr>
          <w:p w14:paraId="46E5D15C">
            <w:pPr>
              <w:pStyle w:val="style0"/>
              <w:spacing w:lineRule="auto" w:line="360"/>
              <w:rPr>
                <w:lang w:val="en-US"/>
              </w:rPr>
            </w:pPr>
          </w:p>
        </w:tc>
        <w:tc>
          <w:tcPr>
            <w:tcW w:w="691" w:type="dxa"/>
            <w:tcBorders/>
            <w:shd w:val="clear" w:color="auto" w:fill="ffffff"/>
          </w:tcPr>
          <w:p w14:paraId="799DA04B">
            <w:pPr>
              <w:pStyle w:val="style0"/>
              <w:spacing w:lineRule="auto" w:line="360"/>
              <w:rPr>
                <w:lang w:val="en-US"/>
              </w:rPr>
            </w:pPr>
          </w:p>
        </w:tc>
        <w:tc>
          <w:tcPr>
            <w:tcW w:w="572" w:type="dxa"/>
            <w:tcBorders/>
            <w:shd w:val="clear" w:color="auto" w:fill="ffffff"/>
          </w:tcPr>
          <w:p w14:paraId="2F1B5056">
            <w:pPr>
              <w:pStyle w:val="style0"/>
              <w:spacing w:lineRule="auto" w:line="360"/>
              <w:rPr>
                <w:lang w:val="en-US"/>
              </w:rPr>
            </w:pPr>
          </w:p>
        </w:tc>
        <w:tc>
          <w:tcPr>
            <w:tcW w:w="572" w:type="dxa"/>
            <w:tcBorders>
              <w:top w:val="nil"/>
              <w:bottom w:val="nil"/>
            </w:tcBorders>
            <w:shd w:val="clear" w:color="auto" w:fill="ffffff"/>
          </w:tcPr>
          <w:p w14:paraId="45E5CD15">
            <w:pPr>
              <w:pStyle w:val="style0"/>
              <w:spacing w:lineRule="auto" w:line="360"/>
              <w:rPr>
                <w:lang w:val="en-US"/>
              </w:rPr>
            </w:pPr>
          </w:p>
        </w:tc>
        <w:tc>
          <w:tcPr>
            <w:tcW w:w="505" w:type="dxa"/>
            <w:tcBorders/>
            <w:shd w:val="clear" w:color="auto" w:fill="ffffff"/>
          </w:tcPr>
          <w:p w14:paraId="1BF9704E">
            <w:pPr>
              <w:pStyle w:val="style0"/>
              <w:spacing w:lineRule="auto" w:line="360"/>
              <w:rPr>
                <w:lang w:val="en-US"/>
              </w:rPr>
            </w:pPr>
          </w:p>
        </w:tc>
        <w:tc>
          <w:tcPr>
            <w:tcW w:w="540" w:type="dxa"/>
            <w:tcBorders/>
            <w:shd w:val="clear" w:color="auto" w:fill="ffffff"/>
          </w:tcPr>
          <w:p w14:paraId="4B56135D">
            <w:pPr>
              <w:pStyle w:val="style0"/>
              <w:spacing w:lineRule="auto" w:line="360"/>
              <w:rPr>
                <w:lang w:val="en-US"/>
              </w:rPr>
            </w:pPr>
          </w:p>
        </w:tc>
        <w:tc>
          <w:tcPr>
            <w:tcW w:w="540" w:type="dxa"/>
            <w:tcBorders/>
            <w:shd w:val="clear" w:color="auto" w:fill="ffffff"/>
          </w:tcPr>
          <w:p w14:paraId="4031A503">
            <w:pPr>
              <w:pStyle w:val="style0"/>
              <w:spacing w:lineRule="auto" w:line="360"/>
              <w:rPr>
                <w:lang w:val="en-US"/>
              </w:rPr>
            </w:pPr>
          </w:p>
        </w:tc>
        <w:tc>
          <w:tcPr>
            <w:tcW w:w="630" w:type="dxa"/>
            <w:tcBorders/>
            <w:shd w:val="clear" w:color="auto" w:fill="ffffff"/>
          </w:tcPr>
          <w:p w14:paraId="4B942FD8">
            <w:pPr>
              <w:pStyle w:val="style0"/>
              <w:spacing w:lineRule="auto" w:line="360"/>
              <w:rPr>
                <w:lang w:val="en-US"/>
              </w:rPr>
            </w:pPr>
          </w:p>
        </w:tc>
        <w:tc>
          <w:tcPr>
            <w:tcW w:w="630" w:type="dxa"/>
            <w:tcBorders/>
            <w:shd w:val="clear" w:color="auto" w:fill="ffffff"/>
          </w:tcPr>
          <w:p w14:paraId="0EFC3D73">
            <w:pPr>
              <w:pStyle w:val="style0"/>
              <w:spacing w:lineRule="auto" w:line="360"/>
              <w:rPr>
                <w:lang w:val="en-US"/>
              </w:rPr>
            </w:pPr>
          </w:p>
        </w:tc>
        <w:tc>
          <w:tcPr>
            <w:tcW w:w="540" w:type="dxa"/>
            <w:tcBorders/>
            <w:shd w:val="clear" w:color="auto" w:fill="ffffff"/>
          </w:tcPr>
          <w:p w14:paraId="7DCE1F4B">
            <w:pPr>
              <w:pStyle w:val="style0"/>
              <w:spacing w:lineRule="auto" w:line="360"/>
              <w:rPr>
                <w:lang w:val="en-US"/>
              </w:rPr>
            </w:pPr>
          </w:p>
        </w:tc>
        <w:tc>
          <w:tcPr>
            <w:tcW w:w="540" w:type="dxa"/>
            <w:tcBorders/>
            <w:shd w:val="clear" w:color="auto" w:fill="ffffff"/>
          </w:tcPr>
          <w:p w14:paraId="67937B20">
            <w:pPr>
              <w:pStyle w:val="style0"/>
              <w:spacing w:lineRule="auto" w:line="360"/>
              <w:rPr>
                <w:lang w:val="en-US"/>
              </w:rPr>
            </w:pPr>
          </w:p>
        </w:tc>
        <w:tc>
          <w:tcPr>
            <w:tcW w:w="540" w:type="dxa"/>
            <w:tcBorders/>
            <w:shd w:val="clear" w:color="auto" w:fill="ffffff"/>
          </w:tcPr>
          <w:p w14:paraId="1FE776A2">
            <w:pPr>
              <w:pStyle w:val="style0"/>
              <w:spacing w:lineRule="auto" w:line="360"/>
              <w:rPr>
                <w:lang w:val="en-US"/>
              </w:rPr>
            </w:pPr>
          </w:p>
        </w:tc>
        <w:tc>
          <w:tcPr>
            <w:tcW w:w="540" w:type="dxa"/>
            <w:tcBorders/>
            <w:shd w:val="clear" w:color="auto" w:fill="ffffff"/>
          </w:tcPr>
          <w:p w14:paraId="0DBEEFEF">
            <w:pPr>
              <w:pStyle w:val="style0"/>
              <w:spacing w:lineRule="auto" w:line="360"/>
              <w:rPr>
                <w:lang w:val="en-US"/>
              </w:rPr>
            </w:pPr>
          </w:p>
        </w:tc>
        <w:tc>
          <w:tcPr>
            <w:tcW w:w="540" w:type="dxa"/>
            <w:tcBorders/>
            <w:shd w:val="clear" w:color="auto" w:fill="ffff00"/>
          </w:tcPr>
          <w:p w14:paraId="69AB60FF">
            <w:pPr>
              <w:pStyle w:val="style0"/>
              <w:spacing w:lineRule="auto" w:line="360"/>
              <w:rPr>
                <w:lang w:val="en-US"/>
              </w:rPr>
            </w:pPr>
          </w:p>
        </w:tc>
      </w:tr>
    </w:tbl>
    <w:p w14:paraId="32D887D3">
      <w:pPr>
        <w:pStyle w:val="style0"/>
        <w:spacing w:lineRule="auto" w:line="360"/>
        <w:rPr>
          <w:lang w:val="en-US"/>
        </w:rPr>
      </w:pPr>
    </w:p>
    <w:p w14:paraId="6D6C395D">
      <w:pPr>
        <w:pStyle w:val="style0"/>
        <w:spacing w:lineRule="auto" w:line="360"/>
        <w:rPr/>
      </w:pPr>
    </w:p>
    <w:bookmarkStart w:id="7" w:name="_Toc233760196"/>
    <w:p w14:paraId="49DC9728">
      <w:pPr>
        <w:pStyle w:val="style1"/>
        <w:spacing w:lineRule="auto" w:line="360"/>
        <w:jc w:val="both"/>
        <w:rPr/>
      </w:pPr>
      <w:r>
        <w:t>6. C</w:t>
      </w:r>
      <w:r>
        <w:t>o</w:t>
      </w:r>
      <w:r>
        <w:t>ncl</w:t>
      </w:r>
      <w:r>
        <w:t>us</w:t>
      </w:r>
      <w:r>
        <w:t>ion</w:t>
      </w:r>
      <w:bookmarkEnd w:id="7"/>
      <w:r>
        <w:t xml:space="preserve"> </w:t>
      </w:r>
    </w:p>
    <w:p w14:paraId="5A5440E3">
      <w:pPr>
        <w:pStyle w:val="style0"/>
        <w:spacing w:lineRule="auto" w:line="360"/>
        <w:rPr/>
      </w:pPr>
      <w:r>
        <w:t xml:space="preserve">The study's </w:t>
      </w:r>
      <w:r>
        <w:t xml:space="preserve">purpose </w:t>
      </w:r>
      <w:r>
        <w:t>is to explore the effect of the personalisation of offer on customer loyalty in UK grocery retailers. The study will be quantitative in nature, in order to explore the effect of perceived offer relevance, reward value, fairness and trust on customer loyalty. Results are anticipated to add to the literature and suggest actionable guidelines for UK supermarkets to create a more effective and customer-driven personalised offers strategy. Although there are some expected limitations, the study will be beneficial to gain insight into how personalised offers can help in retaining long-term customers.</w:t>
      </w:r>
    </w:p>
    <w:p w14:paraId="0D4F0EB3">
      <w:pPr>
        <w:pStyle w:val="style0"/>
        <w:jc w:val="left"/>
        <w:rPr/>
      </w:pPr>
      <w:r>
        <w:br w:type="page"/>
      </w:r>
    </w:p>
    <w:bookmarkStart w:id="8" w:name="_Toc233760197"/>
    <w:p w14:paraId="16CDE94D">
      <w:pPr>
        <w:pStyle w:val="style1"/>
        <w:spacing w:lineRule="auto" w:line="360"/>
        <w:jc w:val="both"/>
        <w:rPr/>
      </w:pPr>
      <w:r>
        <w:t>References</w:t>
      </w:r>
      <w:bookmarkEnd w:id="8"/>
    </w:p>
    <w:p w14:paraId="42425F6A">
      <w:pPr>
        <w:pStyle w:val="style0"/>
        <w:spacing w:lineRule="auto" w:line="360"/>
        <w:rPr>
          <w:lang w:val="en-US"/>
        </w:rPr>
      </w:pPr>
      <w:r>
        <w:rPr>
          <w:lang w:val="en-US"/>
        </w:rPr>
        <w:t xml:space="preserve">Ahmed, S.M.M. </w:t>
      </w:r>
      <w:r>
        <w:rPr>
          <w:i/>
          <w:iCs/>
          <w:lang w:val="en-US"/>
        </w:rPr>
        <w:t>et al.</w:t>
      </w:r>
      <w:r>
        <w:rPr>
          <w:lang w:val="en-US"/>
        </w:rPr>
        <w:t xml:space="preserve"> (2025) “The impact of AI-driven personalization on consumer engagement and brand loyalty,” </w:t>
      </w:r>
      <w:r>
        <w:rPr>
          <w:i/>
          <w:iCs/>
          <w:lang w:val="en-US"/>
        </w:rPr>
        <w:t>Qlantic</w:t>
      </w:r>
      <w:r>
        <w:rPr>
          <w:i/>
          <w:iCs/>
          <w:lang w:val="en-US"/>
        </w:rPr>
        <w:t xml:space="preserve"> Journal of Social Sciences</w:t>
      </w:r>
      <w:r>
        <w:rPr>
          <w:lang w:val="en-US"/>
        </w:rPr>
        <w:t xml:space="preserve">, 6(1), pp. 311–323. Available at: </w:t>
      </w:r>
      <w:r>
        <w:rPr/>
        <w:fldChar w:fldCharType="begin"/>
      </w:r>
      <w:r>
        <w:instrText xml:space="preserve"> HYPERLINK "https://doi.org/10.55737/qjss.v-iv.24313" </w:instrText>
      </w:r>
      <w:r>
        <w:rPr/>
        <w:fldChar w:fldCharType="separate"/>
      </w:r>
      <w:r>
        <w:rPr>
          <w:rStyle w:val="style85"/>
          <w:lang w:val="en-US"/>
        </w:rPr>
        <w:t>https://doi.org/10.55737/qjss.v-iv.24313</w:t>
      </w:r>
      <w:r>
        <w:rPr/>
        <w:fldChar w:fldCharType="end"/>
      </w:r>
      <w:r>
        <w:rPr>
          <w:lang w:val="en-US"/>
        </w:rPr>
        <w:t>.</w:t>
      </w:r>
      <w:r>
        <w:rPr>
          <w:lang w:val="en-US"/>
        </w:rPr>
        <w:t xml:space="preserve"> </w:t>
      </w:r>
    </w:p>
    <w:p w14:paraId="07533CF4">
      <w:pPr>
        <w:pStyle w:val="style0"/>
        <w:spacing w:lineRule="auto" w:line="360"/>
        <w:rPr>
          <w:lang w:val="en-US"/>
        </w:rPr>
      </w:pPr>
      <w:r>
        <w:rPr>
          <w:lang w:val="en-US"/>
        </w:rPr>
        <w:t xml:space="preserve">Ali (2024) </w:t>
      </w:r>
      <w:r>
        <w:rPr>
          <w:i/>
          <w:iCs/>
          <w:lang w:val="en-US"/>
        </w:rPr>
        <w:t>Investigating the impact of business analytics on consumer experience and loyalty in the supermarket industry of Ireland (Doctoral dissertation)</w:t>
      </w:r>
      <w:r>
        <w:rPr>
          <w:lang w:val="en-US"/>
        </w:rPr>
        <w:t>. Dublin Business School.</w:t>
      </w:r>
    </w:p>
    <w:p w14:paraId="1F560F25">
      <w:pPr>
        <w:pStyle w:val="style0"/>
        <w:spacing w:lineRule="auto" w:line="360"/>
        <w:rPr>
          <w:lang w:val="en-US"/>
        </w:rPr>
      </w:pPr>
      <w:r>
        <w:rPr>
          <w:lang w:val="en-US"/>
        </w:rPr>
        <w:t xml:space="preserve">Andrade, C. (2021) “The inconvenient truth about convenience and purposive samples,” </w:t>
      </w:r>
      <w:r>
        <w:rPr>
          <w:i/>
          <w:iCs/>
          <w:lang w:val="en-US"/>
        </w:rPr>
        <w:t>Indian Journal of Psychological Medicine</w:t>
      </w:r>
      <w:r>
        <w:rPr>
          <w:lang w:val="en-US"/>
        </w:rPr>
        <w:t xml:space="preserve">, 43(1), pp. 86–88. Available at: </w:t>
      </w:r>
      <w:r>
        <w:rPr/>
        <w:fldChar w:fldCharType="begin"/>
      </w:r>
      <w:r>
        <w:instrText xml:space="preserve"> HYPERLINK "https://doi.org/10.1177/0253717620977000" </w:instrText>
      </w:r>
      <w:r>
        <w:rPr/>
        <w:fldChar w:fldCharType="separate"/>
      </w:r>
      <w:r>
        <w:rPr>
          <w:rStyle w:val="style85"/>
          <w:lang w:val="en-US"/>
        </w:rPr>
        <w:t>https://doi.org/10.1177/0253717620977000</w:t>
      </w:r>
      <w:r>
        <w:rPr/>
        <w:fldChar w:fldCharType="end"/>
      </w:r>
      <w:r>
        <w:rPr>
          <w:lang w:val="en-US"/>
        </w:rPr>
        <w:t>.</w:t>
      </w:r>
      <w:r>
        <w:rPr>
          <w:lang w:val="en-US"/>
        </w:rPr>
        <w:t xml:space="preserve"> </w:t>
      </w:r>
    </w:p>
    <w:p w14:paraId="438FC240">
      <w:pPr>
        <w:pStyle w:val="style0"/>
        <w:spacing w:lineRule="auto" w:line="360"/>
        <w:rPr>
          <w:lang w:val="en-US"/>
        </w:rPr>
      </w:pPr>
      <w:r>
        <w:rPr>
          <w:lang w:val="en-US"/>
        </w:rPr>
        <w:t>Bleier</w:t>
      </w:r>
      <w:r>
        <w:rPr>
          <w:lang w:val="en-US"/>
        </w:rPr>
        <w:t xml:space="preserve">, A. and </w:t>
      </w:r>
      <w:r>
        <w:rPr>
          <w:lang w:val="en-US"/>
        </w:rPr>
        <w:t>Eisenbeiss</w:t>
      </w:r>
      <w:r>
        <w:rPr>
          <w:lang w:val="en-US"/>
        </w:rPr>
        <w:t xml:space="preserve">, M. (2015) “Personalized online advertising effectiveness: The interplay of what, when, and where,” </w:t>
      </w:r>
      <w:r>
        <w:rPr>
          <w:i/>
          <w:iCs/>
          <w:lang w:val="en-US"/>
        </w:rPr>
        <w:t>Marketing Science</w:t>
      </w:r>
      <w:r>
        <w:rPr>
          <w:lang w:val="en-US"/>
        </w:rPr>
        <w:t xml:space="preserve">, 34(5), pp. 669–688. Available at: </w:t>
      </w:r>
      <w:r>
        <w:rPr/>
        <w:fldChar w:fldCharType="begin"/>
      </w:r>
      <w:r>
        <w:instrText xml:space="preserve"> HYPERLINK "https://doi.org/10.1287/mksc.2015.0930" </w:instrText>
      </w:r>
      <w:r>
        <w:rPr/>
        <w:fldChar w:fldCharType="separate"/>
      </w:r>
      <w:r>
        <w:rPr>
          <w:rStyle w:val="style85"/>
          <w:lang w:val="en-US"/>
        </w:rPr>
        <w:t>https://doi.org/10.1287/mksc.2015.0930</w:t>
      </w:r>
      <w:r>
        <w:rPr/>
        <w:fldChar w:fldCharType="end"/>
      </w:r>
      <w:r>
        <w:rPr>
          <w:lang w:val="en-US"/>
        </w:rPr>
        <w:t>.</w:t>
      </w:r>
      <w:r>
        <w:rPr>
          <w:lang w:val="en-US"/>
        </w:rPr>
        <w:t xml:space="preserve"> </w:t>
      </w:r>
    </w:p>
    <w:p w14:paraId="45E47B87">
      <w:pPr>
        <w:pStyle w:val="style0"/>
        <w:spacing w:lineRule="auto" w:line="360"/>
        <w:rPr>
          <w:lang w:val="en-US"/>
        </w:rPr>
      </w:pPr>
      <w:r>
        <w:rPr>
          <w:lang w:val="en-US"/>
        </w:rPr>
        <w:t>Casaca</w:t>
      </w:r>
      <w:r>
        <w:rPr>
          <w:lang w:val="en-US"/>
        </w:rPr>
        <w:t xml:space="preserve">, J.A. and Miguel, L.P. (2024) “The influence of personalization on consumer satisfaction: Trends and challenges,” in </w:t>
      </w:r>
      <w:r>
        <w:rPr>
          <w:i/>
          <w:iCs/>
          <w:lang w:val="en-US"/>
        </w:rPr>
        <w:t>Advances in Marketing, Customer Relationship Management, and E-Services</w:t>
      </w:r>
      <w:r>
        <w:rPr>
          <w:lang w:val="en-US"/>
        </w:rPr>
        <w:t>. IGI Global, pp. 256–292.</w:t>
      </w:r>
      <w:r>
        <w:rPr>
          <w:lang w:val="en-US"/>
        </w:rPr>
        <w:t xml:space="preserve"> </w:t>
      </w:r>
    </w:p>
    <w:p w14:paraId="6963D6E9">
      <w:pPr>
        <w:pStyle w:val="style0"/>
        <w:spacing w:lineRule="auto" w:line="360"/>
        <w:rPr>
          <w:lang w:val="en-US"/>
        </w:rPr>
      </w:pPr>
      <w:r>
        <w:rPr>
          <w:lang w:val="en-US"/>
        </w:rPr>
        <w:t xml:space="preserve">Chandra, S. </w:t>
      </w:r>
      <w:r>
        <w:rPr>
          <w:i/>
          <w:iCs/>
          <w:lang w:val="en-US"/>
        </w:rPr>
        <w:t>et al.</w:t>
      </w:r>
      <w:r>
        <w:rPr>
          <w:lang w:val="en-US"/>
        </w:rPr>
        <w:t xml:space="preserve"> (2022) “Personalization in personalized marketing: Trends and ways forward,” </w:t>
      </w:r>
      <w:r>
        <w:rPr>
          <w:i/>
          <w:iCs/>
          <w:lang w:val="en-US"/>
        </w:rPr>
        <w:t>Psychology &amp; Marketing</w:t>
      </w:r>
      <w:r>
        <w:rPr>
          <w:lang w:val="en-US"/>
        </w:rPr>
        <w:t>, 39(8), pp. 1529–1562. Available at: https://doi.org/10.1002/mar.21670.</w:t>
      </w:r>
    </w:p>
    <w:p w14:paraId="3638A5ED">
      <w:pPr>
        <w:pStyle w:val="style0"/>
        <w:spacing w:lineRule="auto" w:line="360"/>
        <w:rPr>
          <w:lang w:val="en-US"/>
        </w:rPr>
      </w:pPr>
      <w:r>
        <w:rPr>
          <w:lang w:val="en-US"/>
        </w:rPr>
        <w:t xml:space="preserve">CMA (2026) </w:t>
      </w:r>
      <w:r>
        <w:rPr>
          <w:i/>
          <w:iCs/>
          <w:lang w:val="en-US"/>
        </w:rPr>
        <w:t>Research and analysis: Executive summary</w:t>
      </w:r>
      <w:r>
        <w:rPr>
          <w:lang w:val="en-US"/>
        </w:rPr>
        <w:t xml:space="preserve">, </w:t>
      </w:r>
      <w:r>
        <w:rPr>
          <w:i/>
          <w:iCs/>
          <w:lang w:val="en-US"/>
        </w:rPr>
        <w:t>Gov.uk</w:t>
      </w:r>
      <w:r>
        <w:rPr>
          <w:lang w:val="en-US"/>
        </w:rPr>
        <w:t xml:space="preserve">. Available at: </w:t>
      </w:r>
      <w:r>
        <w:rPr/>
        <w:fldChar w:fldCharType="begin"/>
      </w:r>
      <w:r>
        <w:instrText xml:space="preserve"> HYPERLINK "https://www.gov.uk/government/publications/review-of-loyalty-pricing-in-the-groceries-sector/executive-summary" </w:instrText>
      </w:r>
      <w:r>
        <w:rPr/>
        <w:fldChar w:fldCharType="separate"/>
      </w:r>
      <w:r>
        <w:rPr>
          <w:rStyle w:val="style85"/>
          <w:lang w:val="en-US"/>
        </w:rPr>
        <w:t>https://www.gov.uk/government/publications/review-of-loyalty-pricing-in-the-groceries-sector/executive-summary</w:t>
      </w:r>
      <w:r>
        <w:rPr/>
        <w:fldChar w:fldCharType="end"/>
      </w:r>
      <w:r>
        <w:rPr>
          <w:lang w:val="en-US"/>
        </w:rPr>
        <w:t xml:space="preserve"> </w:t>
      </w:r>
      <w:r>
        <w:rPr>
          <w:lang w:val="en-US"/>
        </w:rPr>
        <w:t xml:space="preserve"> (Accessed: June 30, 2026).</w:t>
      </w:r>
    </w:p>
    <w:p w14:paraId="3642438C">
      <w:pPr>
        <w:pStyle w:val="style0"/>
        <w:spacing w:lineRule="auto" w:line="360"/>
        <w:rPr>
          <w:lang w:val="en-US"/>
        </w:rPr>
      </w:pPr>
      <w:r>
        <w:rPr>
          <w:lang w:val="en-US"/>
        </w:rPr>
        <w:t xml:space="preserve">Coelho, P.S. and </w:t>
      </w:r>
      <w:r>
        <w:rPr>
          <w:lang w:val="en-US"/>
        </w:rPr>
        <w:t>Henseler</w:t>
      </w:r>
      <w:r>
        <w:rPr>
          <w:lang w:val="en-US"/>
        </w:rPr>
        <w:t xml:space="preserve">, J. (2012) “Creating customer loyalty through service customization,” </w:t>
      </w:r>
      <w:r>
        <w:rPr>
          <w:i/>
          <w:iCs/>
          <w:lang w:val="en-US"/>
        </w:rPr>
        <w:t>European Journal of Marketing</w:t>
      </w:r>
      <w:r>
        <w:rPr>
          <w:lang w:val="en-US"/>
        </w:rPr>
        <w:t xml:space="preserve">, 46(3/4), pp. 331–356. Available at: </w:t>
      </w:r>
      <w:r>
        <w:rPr/>
        <w:fldChar w:fldCharType="begin"/>
      </w:r>
      <w:r>
        <w:instrText xml:space="preserve"> HYPERLINK "https://doi.org/10.1108/03090561211202503" </w:instrText>
      </w:r>
      <w:r>
        <w:rPr/>
        <w:fldChar w:fldCharType="separate"/>
      </w:r>
      <w:r>
        <w:rPr>
          <w:rStyle w:val="style85"/>
          <w:lang w:val="en-US"/>
        </w:rPr>
        <w:t>https://doi.org/10.1108/03090561211202503</w:t>
      </w:r>
      <w:r>
        <w:rPr/>
        <w:fldChar w:fldCharType="end"/>
      </w:r>
      <w:r>
        <w:rPr>
          <w:lang w:val="en-US"/>
        </w:rPr>
        <w:t>.</w:t>
      </w:r>
      <w:r>
        <w:rPr>
          <w:lang w:val="en-US"/>
        </w:rPr>
        <w:t xml:space="preserve"> </w:t>
      </w:r>
    </w:p>
    <w:p w14:paraId="44E25188">
      <w:pPr>
        <w:pStyle w:val="style0"/>
        <w:spacing w:lineRule="auto" w:line="360"/>
        <w:rPr>
          <w:lang w:val="en-US"/>
        </w:rPr>
      </w:pPr>
      <w:r>
        <w:rPr>
          <w:lang w:val="en-US"/>
        </w:rPr>
        <w:t>Damaschi</w:t>
      </w:r>
      <w:r>
        <w:rPr>
          <w:lang w:val="en-US"/>
        </w:rPr>
        <w:t xml:space="preserve">, G., </w:t>
      </w:r>
      <w:r>
        <w:rPr>
          <w:lang w:val="en-US"/>
        </w:rPr>
        <w:t>Aboueldahab</w:t>
      </w:r>
      <w:r>
        <w:rPr>
          <w:lang w:val="en-US"/>
        </w:rPr>
        <w:t xml:space="preserve">, A. and </w:t>
      </w:r>
      <w:r>
        <w:rPr>
          <w:lang w:val="en-US"/>
        </w:rPr>
        <w:t>D’Addario</w:t>
      </w:r>
      <w:r>
        <w:rPr>
          <w:lang w:val="en-US"/>
        </w:rPr>
        <w:t xml:space="preserve">, M. (2025) “Decomposing brand loyalty: An examination of loyalty subcomponents, product price range, consumer personality, and willingness to pay,” </w:t>
      </w:r>
      <w:r>
        <w:rPr>
          <w:i/>
          <w:iCs/>
          <w:lang w:val="en-US"/>
        </w:rPr>
        <w:t>Behavioral Sciences</w:t>
      </w:r>
      <w:r>
        <w:rPr>
          <w:lang w:val="en-US"/>
        </w:rPr>
        <w:t xml:space="preserve">, 15(2), p. 189. Available at: </w:t>
      </w:r>
      <w:r>
        <w:rPr/>
        <w:fldChar w:fldCharType="begin"/>
      </w:r>
      <w:r>
        <w:instrText xml:space="preserve"> HYPERLINK "https://doi.org/10.3390/bs15020189" </w:instrText>
      </w:r>
      <w:r>
        <w:rPr/>
        <w:fldChar w:fldCharType="separate"/>
      </w:r>
      <w:r>
        <w:rPr>
          <w:rStyle w:val="style85"/>
          <w:lang w:val="en-US"/>
        </w:rPr>
        <w:t>https://doi.org/10.3390/bs15020189</w:t>
      </w:r>
      <w:r>
        <w:rPr/>
        <w:fldChar w:fldCharType="end"/>
      </w:r>
      <w:r>
        <w:rPr>
          <w:lang w:val="en-US"/>
        </w:rPr>
        <w:t>.</w:t>
      </w:r>
      <w:r>
        <w:rPr>
          <w:lang w:val="en-US"/>
        </w:rPr>
        <w:t xml:space="preserve"> </w:t>
      </w:r>
    </w:p>
    <w:p w14:paraId="395EA001">
      <w:pPr>
        <w:pStyle w:val="style0"/>
        <w:spacing w:lineRule="auto" w:line="360"/>
        <w:rPr>
          <w:lang w:val="en-US"/>
        </w:rPr>
      </w:pPr>
      <w:r>
        <w:rPr>
          <w:lang w:val="en-US"/>
        </w:rPr>
        <w:t>Dávila</w:t>
      </w:r>
      <w:r>
        <w:rPr>
          <w:lang w:val="en-US"/>
        </w:rPr>
        <w:t xml:space="preserve"> </w:t>
      </w:r>
      <w:r>
        <w:rPr>
          <w:lang w:val="en-US"/>
        </w:rPr>
        <w:t>Espuela</w:t>
      </w:r>
      <w:r>
        <w:rPr>
          <w:lang w:val="en-US"/>
        </w:rPr>
        <w:t xml:space="preserve">, N., Reina Paz, M.D. and Sevilla </w:t>
      </w:r>
      <w:r>
        <w:rPr>
          <w:lang w:val="en-US"/>
        </w:rPr>
        <w:t>Sevilla</w:t>
      </w:r>
      <w:r>
        <w:rPr>
          <w:lang w:val="en-US"/>
        </w:rPr>
        <w:t xml:space="preserve">, C. (2023) “Social networks and customer loyalty: review of loyalty keys and main social networks publications’ characteristics,” </w:t>
      </w:r>
      <w:r>
        <w:rPr>
          <w:i/>
          <w:iCs/>
          <w:lang w:val="en-US"/>
        </w:rPr>
        <w:t>Frontiers in Psychology</w:t>
      </w:r>
      <w:r>
        <w:rPr>
          <w:lang w:val="en-US"/>
        </w:rPr>
        <w:t xml:space="preserve">, 14, p. 1286445. Available at: </w:t>
      </w:r>
      <w:r>
        <w:rPr/>
        <w:fldChar w:fldCharType="begin"/>
      </w:r>
      <w:r>
        <w:instrText xml:space="preserve"> HYPERLINK "https://doi.org/10.3389/fpsyg.2023.1286445" </w:instrText>
      </w:r>
      <w:r>
        <w:rPr/>
        <w:fldChar w:fldCharType="separate"/>
      </w:r>
      <w:r>
        <w:rPr>
          <w:rStyle w:val="style85"/>
          <w:lang w:val="en-US"/>
        </w:rPr>
        <w:t>https://doi.org/10.3389/fpsyg.2023.1286445</w:t>
      </w:r>
      <w:r>
        <w:rPr/>
        <w:fldChar w:fldCharType="end"/>
      </w:r>
      <w:r>
        <w:rPr>
          <w:lang w:val="en-US"/>
        </w:rPr>
        <w:t>.</w:t>
      </w:r>
      <w:r>
        <w:rPr>
          <w:lang w:val="en-US"/>
        </w:rPr>
        <w:t xml:space="preserve"> </w:t>
      </w:r>
    </w:p>
    <w:p w14:paraId="7E2D18C8">
      <w:pPr>
        <w:pStyle w:val="style0"/>
        <w:spacing w:lineRule="auto" w:line="360"/>
        <w:rPr>
          <w:lang w:val="en-US"/>
        </w:rPr>
      </w:pPr>
      <w:r>
        <w:rPr>
          <w:lang w:val="en-US"/>
        </w:rPr>
        <w:t>Dorotic</w:t>
      </w:r>
      <w:r>
        <w:rPr>
          <w:lang w:val="en-US"/>
        </w:rPr>
        <w:t xml:space="preserve">, M., </w:t>
      </w:r>
      <w:r>
        <w:rPr>
          <w:lang w:val="en-US"/>
        </w:rPr>
        <w:t>Bijmolt</w:t>
      </w:r>
      <w:r>
        <w:rPr>
          <w:lang w:val="en-US"/>
        </w:rPr>
        <w:t xml:space="preserve">, T.H.A. and </w:t>
      </w:r>
      <w:r>
        <w:rPr>
          <w:lang w:val="en-US"/>
        </w:rPr>
        <w:t>Verhoef</w:t>
      </w:r>
      <w:r>
        <w:rPr>
          <w:lang w:val="en-US"/>
        </w:rPr>
        <w:t xml:space="preserve">, P.C. (2012) “Loyalty </w:t>
      </w:r>
      <w:r>
        <w:rPr>
          <w:lang w:val="en-US"/>
        </w:rPr>
        <w:t>programmes</w:t>
      </w:r>
      <w:r>
        <w:rPr>
          <w:lang w:val="en-US"/>
        </w:rPr>
        <w:t>: Current knowledge and research directions</w:t>
      </w:r>
      <w:r>
        <w:rPr>
          <w:vertAlign w:val="superscript"/>
          <w:lang w:val="en-US"/>
        </w:rPr>
        <w:t>*</w:t>
      </w:r>
      <w:r>
        <w:rPr>
          <w:lang w:val="en-US"/>
        </w:rPr>
        <w:t xml:space="preserve">: Loyalty </w:t>
      </w:r>
      <w:r>
        <w:rPr>
          <w:lang w:val="en-US"/>
        </w:rPr>
        <w:t>programmes</w:t>
      </w:r>
      <w:r>
        <w:rPr>
          <w:lang w:val="en-US"/>
        </w:rPr>
        <w:t xml:space="preserve">: An overview and research directions,” </w:t>
      </w:r>
      <w:r>
        <w:rPr>
          <w:i/>
          <w:iCs/>
          <w:lang w:val="en-US"/>
        </w:rPr>
        <w:t>International Journal of Management Reviews</w:t>
      </w:r>
      <w:r>
        <w:rPr>
          <w:lang w:val="en-US"/>
        </w:rPr>
        <w:t xml:space="preserve">, 14(3), pp. 217–237. Available at: </w:t>
      </w:r>
      <w:r>
        <w:rPr/>
        <w:fldChar w:fldCharType="begin"/>
      </w:r>
      <w:r>
        <w:instrText xml:space="preserve"> HYPERLINK "https://doi.org/10.1111/j.1468-2370.2011.00314.x" </w:instrText>
      </w:r>
      <w:r>
        <w:rPr/>
        <w:fldChar w:fldCharType="separate"/>
      </w:r>
      <w:r>
        <w:rPr>
          <w:rStyle w:val="style85"/>
          <w:lang w:val="en-US"/>
        </w:rPr>
        <w:t>https://doi.org/10.1111/j.1468-2370.2011.00314.x</w:t>
      </w:r>
      <w:r>
        <w:rPr/>
        <w:fldChar w:fldCharType="end"/>
      </w:r>
      <w:r>
        <w:rPr>
          <w:lang w:val="en-US"/>
        </w:rPr>
        <w:t>.</w:t>
      </w:r>
      <w:r>
        <w:rPr>
          <w:lang w:val="en-US"/>
        </w:rPr>
        <w:t xml:space="preserve"> </w:t>
      </w:r>
    </w:p>
    <w:p w14:paraId="231CA95E">
      <w:pPr>
        <w:pStyle w:val="style0"/>
        <w:spacing w:lineRule="auto" w:line="360"/>
        <w:rPr>
          <w:lang w:val="en-US"/>
        </w:rPr>
      </w:pPr>
      <w:r>
        <w:rPr>
          <w:lang w:val="en-US"/>
        </w:rPr>
        <w:t xml:space="preserve">Fourie, S., Goldman, M. and McCall, M. (2022) “Designing for loyalty </w:t>
      </w:r>
      <w:r>
        <w:rPr>
          <w:lang w:val="en-US"/>
        </w:rPr>
        <w:t>programme</w:t>
      </w:r>
      <w:r>
        <w:rPr>
          <w:lang w:val="en-US"/>
        </w:rPr>
        <w:t xml:space="preserve"> effectiveness in the financial services industry,” </w:t>
      </w:r>
      <w:r>
        <w:rPr>
          <w:i/>
          <w:iCs/>
          <w:lang w:val="en-US"/>
        </w:rPr>
        <w:t>Journal of Financial Services Marketing</w:t>
      </w:r>
      <w:r>
        <w:rPr>
          <w:lang w:val="en-US"/>
        </w:rPr>
        <w:t xml:space="preserve">, pp. 1–24. Available at: </w:t>
      </w:r>
      <w:r>
        <w:rPr/>
        <w:fldChar w:fldCharType="begin"/>
      </w:r>
      <w:r>
        <w:instrText xml:space="preserve"> HYPERLINK "https://doi.org/10.1057/s41264-022-00158-9" </w:instrText>
      </w:r>
      <w:r>
        <w:rPr/>
        <w:fldChar w:fldCharType="separate"/>
      </w:r>
      <w:r>
        <w:rPr>
          <w:rStyle w:val="style85"/>
          <w:lang w:val="en-US"/>
        </w:rPr>
        <w:t>https://doi.org/10.1057/s41264-022-00158-9</w:t>
      </w:r>
      <w:r>
        <w:rPr/>
        <w:fldChar w:fldCharType="end"/>
      </w:r>
      <w:r>
        <w:rPr>
          <w:lang w:val="en-US"/>
        </w:rPr>
        <w:t>.</w:t>
      </w:r>
      <w:r>
        <w:rPr>
          <w:lang w:val="en-US"/>
        </w:rPr>
        <w:t xml:space="preserve"> </w:t>
      </w:r>
    </w:p>
    <w:p w14:paraId="7775A77D">
      <w:pPr>
        <w:pStyle w:val="style0"/>
        <w:spacing w:lineRule="auto" w:line="360"/>
        <w:rPr>
          <w:lang w:val="en-US"/>
        </w:rPr>
      </w:pPr>
      <w:r>
        <w:rPr>
          <w:lang w:val="en-US"/>
        </w:rPr>
        <w:t>García-</w:t>
      </w:r>
      <w:r>
        <w:rPr>
          <w:lang w:val="en-US"/>
        </w:rPr>
        <w:t>Salirrosas</w:t>
      </w:r>
      <w:r>
        <w:rPr>
          <w:lang w:val="en-US"/>
        </w:rPr>
        <w:t xml:space="preserve">, E.E. </w:t>
      </w:r>
      <w:r>
        <w:rPr>
          <w:i/>
          <w:iCs/>
          <w:lang w:val="en-US"/>
        </w:rPr>
        <w:t>et al.</w:t>
      </w:r>
      <w:r>
        <w:rPr>
          <w:lang w:val="en-US"/>
        </w:rPr>
        <w:t xml:space="preserve"> (2024) “The impact of perceived value on brand image and loyalty: a study of healthy food brands in emerging markets,” </w:t>
      </w:r>
      <w:r>
        <w:rPr>
          <w:i/>
          <w:iCs/>
          <w:lang w:val="en-US"/>
        </w:rPr>
        <w:t>Frontiers in Nutrition</w:t>
      </w:r>
      <w:r>
        <w:rPr>
          <w:lang w:val="en-US"/>
        </w:rPr>
        <w:t xml:space="preserve">, 11, p. 1482009. Available at: </w:t>
      </w:r>
      <w:r>
        <w:rPr/>
        <w:fldChar w:fldCharType="begin"/>
      </w:r>
      <w:r>
        <w:instrText xml:space="preserve"> HYPERLINK "https://doi.org/10.3389/fnut.2024.1482009" </w:instrText>
      </w:r>
      <w:r>
        <w:rPr/>
        <w:fldChar w:fldCharType="separate"/>
      </w:r>
      <w:r>
        <w:rPr>
          <w:rStyle w:val="style85"/>
          <w:lang w:val="en-US"/>
        </w:rPr>
        <w:t>https://doi.org/10.3389/fnut.2024.1482009</w:t>
      </w:r>
      <w:r>
        <w:rPr/>
        <w:fldChar w:fldCharType="end"/>
      </w:r>
      <w:r>
        <w:rPr>
          <w:lang w:val="en-US"/>
        </w:rPr>
        <w:t>.</w:t>
      </w:r>
      <w:r>
        <w:rPr>
          <w:lang w:val="en-US"/>
        </w:rPr>
        <w:t xml:space="preserve"> </w:t>
      </w:r>
    </w:p>
    <w:p w14:paraId="77A76004">
      <w:pPr>
        <w:pStyle w:val="style0"/>
        <w:spacing w:lineRule="auto" w:line="360"/>
        <w:rPr>
          <w:lang w:val="en-US"/>
        </w:rPr>
      </w:pPr>
      <w:r>
        <w:rPr>
          <w:lang w:val="en-US"/>
        </w:rPr>
        <w:t>Ghanad</w:t>
      </w:r>
      <w:r>
        <w:rPr>
          <w:lang w:val="en-US"/>
        </w:rPr>
        <w:t xml:space="preserve">, A. (2023) “An overview of quantitative research methods,” </w:t>
      </w:r>
      <w:r>
        <w:rPr>
          <w:i/>
          <w:iCs/>
          <w:lang w:val="en-US"/>
        </w:rPr>
        <w:t>INTERNATIONAL JOURNAL OF MULTIDISCIPLINARY RESEARCH AND ANALYSIS</w:t>
      </w:r>
      <w:r>
        <w:rPr>
          <w:lang w:val="en-US"/>
        </w:rPr>
        <w:t>, 06(08). Available at: https://doi.org/10.47191/ijmra/v6-i8-52.</w:t>
      </w:r>
    </w:p>
    <w:p w14:paraId="6B1B7229">
      <w:pPr>
        <w:pStyle w:val="style0"/>
        <w:spacing w:lineRule="auto" w:line="360"/>
        <w:rPr>
          <w:lang w:val="en-US"/>
        </w:rPr>
      </w:pPr>
      <w:r>
        <w:rPr>
          <w:lang w:val="en-US"/>
        </w:rPr>
        <w:t>Hallikainen</w:t>
      </w:r>
      <w:r>
        <w:rPr>
          <w:lang w:val="en-US"/>
        </w:rPr>
        <w:t xml:space="preserve">, H. </w:t>
      </w:r>
      <w:r>
        <w:rPr>
          <w:i/>
          <w:iCs/>
          <w:lang w:val="en-US"/>
        </w:rPr>
        <w:t>et al.</w:t>
      </w:r>
      <w:r>
        <w:rPr>
          <w:lang w:val="en-US"/>
        </w:rPr>
        <w:t xml:space="preserve"> (2022) “Consequences of personalized product recommendations and price promotions in online grocery shopping,” </w:t>
      </w:r>
      <w:r>
        <w:rPr>
          <w:i/>
          <w:iCs/>
          <w:lang w:val="en-US"/>
        </w:rPr>
        <w:t>Journal of Retailing and Consumer Services</w:t>
      </w:r>
      <w:r>
        <w:rPr>
          <w:lang w:val="en-US"/>
        </w:rPr>
        <w:t xml:space="preserve">, 69(103088), p. 103088. Available at: </w:t>
      </w:r>
      <w:r>
        <w:rPr/>
        <w:fldChar w:fldCharType="begin"/>
      </w:r>
      <w:r>
        <w:instrText xml:space="preserve"> HYPERLINK "https://doi.org/10.1016/j.jretconser.2022.103088" </w:instrText>
      </w:r>
      <w:r>
        <w:rPr/>
        <w:fldChar w:fldCharType="separate"/>
      </w:r>
      <w:r>
        <w:rPr>
          <w:rStyle w:val="style85"/>
          <w:lang w:val="en-US"/>
        </w:rPr>
        <w:t>https://doi.org/10.1016/j.jretconser.2022.103088</w:t>
      </w:r>
      <w:r>
        <w:rPr/>
        <w:fldChar w:fldCharType="end"/>
      </w:r>
      <w:r>
        <w:rPr>
          <w:lang w:val="en-US"/>
        </w:rPr>
        <w:t>.</w:t>
      </w:r>
      <w:r>
        <w:rPr>
          <w:lang w:val="en-US"/>
        </w:rPr>
        <w:t xml:space="preserve"> </w:t>
      </w:r>
    </w:p>
    <w:p w14:paraId="16F780B7">
      <w:pPr>
        <w:pStyle w:val="style0"/>
        <w:spacing w:lineRule="auto" w:line="360"/>
        <w:rPr>
          <w:lang w:val="en-US"/>
        </w:rPr>
      </w:pPr>
      <w:r>
        <w:rPr>
          <w:lang w:val="en-US"/>
        </w:rPr>
        <w:t xml:space="preserve">Hazarika, D.J. (2019) “SPSS as a means for scientific analysis in social science research,” </w:t>
      </w:r>
      <w:r>
        <w:rPr>
          <w:i/>
          <w:iCs/>
          <w:lang w:val="en-US"/>
        </w:rPr>
        <w:t>International Journal of Innovative Technology and Exploring Engineering</w:t>
      </w:r>
      <w:r>
        <w:rPr>
          <w:lang w:val="en-US"/>
        </w:rPr>
        <w:t xml:space="preserve">, 8(12), pp. 2043–2045. Available at: </w:t>
      </w:r>
      <w:r>
        <w:rPr/>
        <w:fldChar w:fldCharType="begin"/>
      </w:r>
      <w:r>
        <w:instrText xml:space="preserve"> HYPERLINK "https://doi.org/10.35940/ijitee.l3252.1081219" </w:instrText>
      </w:r>
      <w:r>
        <w:rPr/>
        <w:fldChar w:fldCharType="separate"/>
      </w:r>
      <w:r>
        <w:rPr>
          <w:rStyle w:val="style85"/>
          <w:lang w:val="en-US"/>
        </w:rPr>
        <w:t>https://doi.org/10.35940/ijitee.l3252.1081219</w:t>
      </w:r>
      <w:r>
        <w:rPr/>
        <w:fldChar w:fldCharType="end"/>
      </w:r>
      <w:r>
        <w:rPr>
          <w:lang w:val="en-US"/>
        </w:rPr>
        <w:t>.</w:t>
      </w:r>
      <w:r>
        <w:rPr>
          <w:lang w:val="en-US"/>
        </w:rPr>
        <w:t xml:space="preserve"> </w:t>
      </w:r>
    </w:p>
    <w:p w14:paraId="30119CA9">
      <w:pPr>
        <w:pStyle w:val="style0"/>
        <w:spacing w:lineRule="auto" w:line="360"/>
        <w:rPr>
          <w:lang w:val="en-US"/>
        </w:rPr>
      </w:pPr>
      <w:r>
        <w:rPr>
          <w:lang w:val="en-US"/>
        </w:rPr>
        <w:t xml:space="preserve">Jessop, C., </w:t>
      </w:r>
      <w:r>
        <w:rPr>
          <w:lang w:val="en-US"/>
        </w:rPr>
        <w:t>Mezzanzanica</w:t>
      </w:r>
      <w:r>
        <w:rPr>
          <w:lang w:val="en-US"/>
        </w:rPr>
        <w:t xml:space="preserve">, M. and </w:t>
      </w:r>
      <w:r>
        <w:rPr>
          <w:lang w:val="en-US"/>
        </w:rPr>
        <w:t>Sivathasan</w:t>
      </w:r>
      <w:r>
        <w:rPr>
          <w:lang w:val="en-US"/>
        </w:rPr>
        <w:t xml:space="preserve">, C. (2024) </w:t>
      </w:r>
      <w:r>
        <w:rPr>
          <w:i/>
          <w:iCs/>
          <w:lang w:val="en-US"/>
        </w:rPr>
        <w:t>Attitudes towards supermarket loyalty pricing</w:t>
      </w:r>
      <w:r>
        <w:rPr>
          <w:lang w:val="en-US"/>
        </w:rPr>
        <w:t xml:space="preserve">, </w:t>
      </w:r>
      <w:r>
        <w:rPr>
          <w:i/>
          <w:iCs/>
          <w:lang w:val="en-US"/>
        </w:rPr>
        <w:t>National Centre for Social Research</w:t>
      </w:r>
      <w:r>
        <w:rPr>
          <w:lang w:val="en-US"/>
        </w:rPr>
        <w:t xml:space="preserve">. Available at: </w:t>
      </w:r>
      <w:r>
        <w:rPr/>
        <w:fldChar w:fldCharType="begin"/>
      </w:r>
      <w:r>
        <w:instrText xml:space="preserve"> HYPERLINK "https://natcen.ac.uk/publications/attitudes-towards-supermarket-loyalty-pricing" </w:instrText>
      </w:r>
      <w:r>
        <w:rPr/>
        <w:fldChar w:fldCharType="separate"/>
      </w:r>
      <w:r>
        <w:rPr>
          <w:rStyle w:val="style85"/>
          <w:lang w:val="en-US"/>
        </w:rPr>
        <w:t>https://natcen.ac.uk/publications/attitudes-towards-supermarket-loyalty-pricing</w:t>
      </w:r>
      <w:r>
        <w:rPr/>
        <w:fldChar w:fldCharType="end"/>
      </w:r>
      <w:r>
        <w:rPr>
          <w:lang w:val="en-US"/>
        </w:rPr>
        <w:t xml:space="preserve"> </w:t>
      </w:r>
      <w:r>
        <w:rPr>
          <w:lang w:val="en-US"/>
        </w:rPr>
        <w:t xml:space="preserve"> (Accessed: June 30, 2026).</w:t>
      </w:r>
    </w:p>
    <w:p w14:paraId="10F891F0">
      <w:pPr>
        <w:pStyle w:val="style0"/>
        <w:spacing w:lineRule="auto" w:line="360"/>
        <w:rPr>
          <w:lang w:val="en-US"/>
        </w:rPr>
      </w:pPr>
      <w:r>
        <w:t xml:space="preserve"> </w:t>
      </w:r>
      <w:r>
        <w:rPr>
          <w:lang w:val="en-US"/>
        </w:rPr>
        <w:t xml:space="preserve">Kallus, N. and Zhou, A. (2021) “Fairness, welfare, and equity in personalized pricing,” in </w:t>
      </w:r>
      <w:r>
        <w:rPr>
          <w:i/>
          <w:iCs/>
          <w:lang w:val="en-US"/>
        </w:rPr>
        <w:t>Proceedings of the 2021 ACM Conference on Fairness, Accountability, and Transparency</w:t>
      </w:r>
      <w:r>
        <w:rPr>
          <w:lang w:val="en-US"/>
        </w:rPr>
        <w:t>. New York, NY, USA: ACM.</w:t>
      </w:r>
    </w:p>
    <w:p w14:paraId="2B035CAF">
      <w:pPr>
        <w:pStyle w:val="style0"/>
        <w:spacing w:lineRule="auto" w:line="360"/>
        <w:rPr>
          <w:lang w:val="en-US"/>
        </w:rPr>
      </w:pPr>
      <w:r>
        <w:rPr>
          <w:lang w:val="en-US"/>
        </w:rPr>
        <w:t xml:space="preserve">Kennedy, B.L. and </w:t>
      </w:r>
      <w:r>
        <w:rPr>
          <w:lang w:val="en-US"/>
        </w:rPr>
        <w:t>Thornberg</w:t>
      </w:r>
      <w:r>
        <w:rPr>
          <w:lang w:val="en-US"/>
        </w:rPr>
        <w:t xml:space="preserve">, R. (2018) “Deduction, Induction, and Abduction,” in </w:t>
      </w:r>
      <w:r>
        <w:rPr>
          <w:i/>
          <w:iCs/>
          <w:lang w:val="en-US"/>
        </w:rPr>
        <w:t>The SAGE Handbook of Qualitative Data Collection</w:t>
      </w:r>
      <w:r>
        <w:rPr>
          <w:lang w:val="en-US"/>
        </w:rPr>
        <w:t>. 1 Oliver’s Yard, 55 City Road London EC1Y 1SP: SAGE Publications Ltd, pp. 49–64.</w:t>
      </w:r>
    </w:p>
    <w:p w14:paraId="3B077DC4">
      <w:pPr>
        <w:pStyle w:val="style0"/>
        <w:spacing w:lineRule="auto" w:line="360"/>
        <w:rPr>
          <w:lang w:val="en-US"/>
        </w:rPr>
      </w:pPr>
      <w:r>
        <w:rPr>
          <w:lang w:val="en-US"/>
        </w:rPr>
        <w:t>Kovalev</w:t>
      </w:r>
      <w:r>
        <w:rPr>
          <w:lang w:val="en-US"/>
        </w:rPr>
        <w:t xml:space="preserve">, V., </w:t>
      </w:r>
      <w:r>
        <w:rPr>
          <w:lang w:val="en-US"/>
        </w:rPr>
        <w:t>Novikova</w:t>
      </w:r>
      <w:r>
        <w:rPr>
          <w:lang w:val="en-US"/>
        </w:rPr>
        <w:t xml:space="preserve">, K. and </w:t>
      </w:r>
      <w:r>
        <w:rPr>
          <w:lang w:val="en-US"/>
        </w:rPr>
        <w:t>Antineskul</w:t>
      </w:r>
      <w:r>
        <w:rPr>
          <w:lang w:val="en-US"/>
        </w:rPr>
        <w:t xml:space="preserve">, E. (2023) “Efficiency of customer loyalty </w:t>
      </w:r>
      <w:r>
        <w:rPr>
          <w:lang w:val="en-US"/>
        </w:rPr>
        <w:t>programmes</w:t>
      </w:r>
      <w:r>
        <w:rPr>
          <w:lang w:val="en-US"/>
        </w:rPr>
        <w:t xml:space="preserve"> in the food retail industry,” </w:t>
      </w:r>
      <w:r>
        <w:rPr>
          <w:i/>
          <w:iCs/>
          <w:lang w:val="en-US"/>
        </w:rPr>
        <w:t>Journal of New Economy</w:t>
      </w:r>
      <w:r>
        <w:rPr>
          <w:lang w:val="en-US"/>
        </w:rPr>
        <w:t xml:space="preserve">, 23(4), pp. 121–136. Available at: </w:t>
      </w:r>
      <w:r>
        <w:rPr/>
        <w:fldChar w:fldCharType="begin"/>
      </w:r>
      <w:r>
        <w:instrText xml:space="preserve"> HYPERLINK "https://doi.org/10.29141/2658-5081-2022-23-4-6" </w:instrText>
      </w:r>
      <w:r>
        <w:rPr/>
        <w:fldChar w:fldCharType="separate"/>
      </w:r>
      <w:r>
        <w:rPr>
          <w:rStyle w:val="style85"/>
          <w:lang w:val="en-US"/>
        </w:rPr>
        <w:t>https://doi.org/10.29141/2658-5081-2022-23-4-6</w:t>
      </w:r>
      <w:r>
        <w:rPr/>
        <w:fldChar w:fldCharType="end"/>
      </w:r>
      <w:r>
        <w:rPr>
          <w:lang w:val="en-US"/>
        </w:rPr>
        <w:t>.</w:t>
      </w:r>
      <w:r>
        <w:rPr>
          <w:lang w:val="en-US"/>
        </w:rPr>
        <w:t xml:space="preserve"> </w:t>
      </w:r>
    </w:p>
    <w:p w14:paraId="58E3957E">
      <w:pPr>
        <w:pStyle w:val="style0"/>
        <w:spacing w:lineRule="auto" w:line="360"/>
        <w:rPr>
          <w:lang w:val="en-US"/>
        </w:rPr>
      </w:pPr>
      <w:r>
        <w:rPr>
          <w:lang w:val="en-US"/>
        </w:rPr>
        <w:t xml:space="preserve">Lin, C. and Bowman, D. (2022) “The impact of introducing a customer loyalty program on category sales and profitability,” </w:t>
      </w:r>
      <w:r>
        <w:rPr>
          <w:i/>
          <w:iCs/>
          <w:lang w:val="en-US"/>
        </w:rPr>
        <w:t>Journal of Retailing and Consumer Services</w:t>
      </w:r>
      <w:r>
        <w:rPr>
          <w:lang w:val="en-US"/>
        </w:rPr>
        <w:t xml:space="preserve">, 64(102769), p. 102769. Available at: </w:t>
      </w:r>
      <w:r>
        <w:rPr/>
        <w:fldChar w:fldCharType="begin"/>
      </w:r>
      <w:r>
        <w:instrText xml:space="preserve"> HYPERLINK "https://doi.org/10.1016/j.jretconser.2021.102769" </w:instrText>
      </w:r>
      <w:r>
        <w:rPr/>
        <w:fldChar w:fldCharType="separate"/>
      </w:r>
      <w:r>
        <w:rPr>
          <w:rStyle w:val="style85"/>
          <w:lang w:val="en-US"/>
        </w:rPr>
        <w:t>https://doi.org/10.1016/j.jretconser.2021.102769</w:t>
      </w:r>
      <w:r>
        <w:rPr/>
        <w:fldChar w:fldCharType="end"/>
      </w:r>
      <w:r>
        <w:rPr>
          <w:lang w:val="en-US"/>
        </w:rPr>
        <w:t>.</w:t>
      </w:r>
      <w:r>
        <w:rPr>
          <w:lang w:val="en-US"/>
        </w:rPr>
        <w:t xml:space="preserve"> </w:t>
      </w:r>
    </w:p>
    <w:p w14:paraId="2DEADB1E">
      <w:pPr>
        <w:pStyle w:val="style0"/>
        <w:spacing w:lineRule="auto" w:line="360"/>
        <w:rPr>
          <w:lang w:val="en-US"/>
        </w:rPr>
      </w:pPr>
      <w:r>
        <w:rPr>
          <w:lang w:val="en-US"/>
        </w:rPr>
        <w:t>Lindecrantz</w:t>
      </w:r>
      <w:r>
        <w:rPr>
          <w:lang w:val="en-US"/>
        </w:rPr>
        <w:t xml:space="preserve">, E., Gi, M.T.P. and </w:t>
      </w:r>
      <w:r>
        <w:rPr>
          <w:lang w:val="en-US"/>
        </w:rPr>
        <w:t>Zerbi</w:t>
      </w:r>
      <w:r>
        <w:rPr>
          <w:lang w:val="en-US"/>
        </w:rPr>
        <w:t xml:space="preserve">, S. (2020) </w:t>
      </w:r>
      <w:r>
        <w:rPr>
          <w:i/>
          <w:iCs/>
          <w:lang w:val="en-US"/>
        </w:rPr>
        <w:t>Personalizing the customer experience: Driving differentiation in retail</w:t>
      </w:r>
      <w:r>
        <w:rPr>
          <w:lang w:val="en-US"/>
        </w:rPr>
        <w:t xml:space="preserve">, </w:t>
      </w:r>
      <w:r>
        <w:rPr>
          <w:i/>
          <w:iCs/>
          <w:lang w:val="en-US"/>
        </w:rPr>
        <w:t>Mckinsey.com</w:t>
      </w:r>
      <w:r>
        <w:rPr>
          <w:lang w:val="en-US"/>
        </w:rPr>
        <w:t xml:space="preserve">. Available at: </w:t>
      </w:r>
      <w:r>
        <w:rPr/>
        <w:fldChar w:fldCharType="begin"/>
      </w:r>
      <w:r>
        <w:instrText xml:space="preserve"> HYPERLINK "https://www.mckinsey.com/industries/retail/our-insights/personalizing-the-customer-experience-driving-differentiation-in-retail" </w:instrText>
      </w:r>
      <w:r>
        <w:rPr/>
        <w:fldChar w:fldCharType="separate"/>
      </w:r>
      <w:r>
        <w:rPr>
          <w:rStyle w:val="style85"/>
          <w:lang w:val="en-US"/>
        </w:rPr>
        <w:t>https://www.mckinsey.com/industries/retail/our-insights/personalizing-the-customer-experience-driving-differentiation-in-retail</w:t>
      </w:r>
      <w:r>
        <w:rPr/>
        <w:fldChar w:fldCharType="end"/>
      </w:r>
      <w:r>
        <w:rPr>
          <w:lang w:val="en-US"/>
        </w:rPr>
        <w:t xml:space="preserve"> </w:t>
      </w:r>
      <w:r>
        <w:rPr>
          <w:lang w:val="en-US"/>
        </w:rPr>
        <w:t xml:space="preserve"> (Accessed: June 30, 2026).</w:t>
      </w:r>
    </w:p>
    <w:p w14:paraId="25E4C74C">
      <w:pPr>
        <w:pStyle w:val="style0"/>
        <w:spacing w:lineRule="auto" w:line="360"/>
        <w:rPr>
          <w:lang w:val="en-US"/>
        </w:rPr>
      </w:pPr>
      <w:r>
        <w:rPr>
          <w:lang w:val="en-US"/>
        </w:rPr>
        <w:t>Markou</w:t>
      </w:r>
      <w:r>
        <w:rPr>
          <w:lang w:val="en-US"/>
        </w:rPr>
        <w:t xml:space="preserve">, V. </w:t>
      </w:r>
      <w:r>
        <w:rPr>
          <w:i/>
          <w:iCs/>
          <w:lang w:val="en-US"/>
        </w:rPr>
        <w:t>et al.</w:t>
      </w:r>
      <w:r>
        <w:rPr>
          <w:lang w:val="en-US"/>
        </w:rPr>
        <w:t xml:space="preserve"> (2025) “Personalization, trust, and identity in AI-based marketing: An empirical study of consumer acceptance in Greece,” </w:t>
      </w:r>
      <w:r>
        <w:rPr>
          <w:i/>
          <w:iCs/>
          <w:lang w:val="en-US"/>
        </w:rPr>
        <w:t>Administr</w:t>
      </w:r>
      <w:r>
        <w:rPr>
          <w:i/>
          <w:iCs/>
          <w:lang w:val="en-US"/>
        </w:rPr>
        <w:t xml:space="preserve"> </w:t>
      </w:r>
      <w:r>
        <w:rPr>
          <w:i/>
          <w:iCs/>
          <w:lang w:val="en-US"/>
        </w:rPr>
        <w:t>ative</w:t>
      </w:r>
      <w:r>
        <w:rPr>
          <w:i/>
          <w:iCs/>
          <w:lang w:val="en-US"/>
        </w:rPr>
        <w:t xml:space="preserve"> Sciences</w:t>
      </w:r>
      <w:r>
        <w:rPr>
          <w:lang w:val="en-US"/>
        </w:rPr>
        <w:t xml:space="preserve">, 15(11), p. 440. Available at: </w:t>
      </w:r>
      <w:r>
        <w:rPr/>
        <w:fldChar w:fldCharType="begin"/>
      </w:r>
      <w:r>
        <w:instrText xml:space="preserve"> HYPERLINK "https://doi.org/10.3390/admsci15110440" </w:instrText>
      </w:r>
      <w:r>
        <w:rPr/>
        <w:fldChar w:fldCharType="separate"/>
      </w:r>
      <w:r>
        <w:rPr>
          <w:rStyle w:val="style85"/>
          <w:lang w:val="en-US"/>
        </w:rPr>
        <w:t>https://doi.org/10.3390/admsci15110440</w:t>
      </w:r>
      <w:r>
        <w:rPr/>
        <w:fldChar w:fldCharType="end"/>
      </w:r>
      <w:r>
        <w:rPr>
          <w:lang w:val="en-US"/>
        </w:rPr>
        <w:t>.</w:t>
      </w:r>
      <w:r>
        <w:rPr>
          <w:lang w:val="en-US"/>
        </w:rPr>
        <w:t xml:space="preserve"> </w:t>
      </w:r>
    </w:p>
    <w:p w14:paraId="54BE6754">
      <w:pPr>
        <w:pStyle w:val="style0"/>
        <w:spacing w:lineRule="auto" w:line="360"/>
        <w:rPr>
          <w:lang w:val="en-US"/>
        </w:rPr>
      </w:pPr>
      <w:r>
        <w:rPr>
          <w:lang w:val="en-US"/>
        </w:rPr>
        <w:t xml:space="preserve">Melnyk, V. and </w:t>
      </w:r>
      <w:r>
        <w:rPr>
          <w:lang w:val="en-US"/>
        </w:rPr>
        <w:t>Bijmolt</w:t>
      </w:r>
      <w:r>
        <w:rPr>
          <w:lang w:val="en-US"/>
        </w:rPr>
        <w:t xml:space="preserve">, T. (2015) “The effects of introducing and terminating loyalty programs,” </w:t>
      </w:r>
      <w:r>
        <w:rPr>
          <w:i/>
          <w:iCs/>
          <w:lang w:val="en-US"/>
        </w:rPr>
        <w:t>European Journal of Marketing</w:t>
      </w:r>
      <w:r>
        <w:rPr>
          <w:lang w:val="en-US"/>
        </w:rPr>
        <w:t xml:space="preserve">, 49(3/4), pp. 398–419. Available at: </w:t>
      </w:r>
      <w:r>
        <w:rPr/>
        <w:fldChar w:fldCharType="begin"/>
      </w:r>
      <w:r>
        <w:instrText xml:space="preserve"> HYPERLINK "https://doi.org/10.1108/ejm-12-2012-0694" </w:instrText>
      </w:r>
      <w:r>
        <w:rPr/>
        <w:fldChar w:fldCharType="separate"/>
      </w:r>
      <w:r>
        <w:rPr>
          <w:rStyle w:val="style85"/>
          <w:lang w:val="en-US"/>
        </w:rPr>
        <w:t>https://doi.org/10.1108/ejm-12-2012-0694</w:t>
      </w:r>
      <w:r>
        <w:rPr/>
        <w:fldChar w:fldCharType="end"/>
      </w:r>
      <w:r>
        <w:rPr>
          <w:lang w:val="en-US"/>
        </w:rPr>
        <w:t>.</w:t>
      </w:r>
      <w:r>
        <w:rPr>
          <w:lang w:val="en-US"/>
        </w:rPr>
        <w:t xml:space="preserve"> </w:t>
      </w:r>
    </w:p>
    <w:p w14:paraId="4F614496">
      <w:pPr>
        <w:pStyle w:val="style0"/>
        <w:spacing w:lineRule="auto" w:line="360"/>
        <w:rPr>
          <w:lang w:val="en-US"/>
        </w:rPr>
      </w:pPr>
      <w:r>
        <w:rPr>
          <w:lang w:val="en-US"/>
        </w:rPr>
        <w:t>Neetu, N. and Pandey, A. (2025) “Topic: Enhancing Customer Loyalty through Personalized Experiences in E-Commerce. Advances in Consumer Research,” 2, pp. 1811–1818.</w:t>
      </w:r>
    </w:p>
    <w:p w14:paraId="61911FB5">
      <w:pPr>
        <w:pStyle w:val="style0"/>
        <w:spacing w:lineRule="auto" w:line="360"/>
        <w:rPr>
          <w:lang w:val="en-US"/>
        </w:rPr>
      </w:pPr>
      <w:r>
        <w:rPr>
          <w:lang w:val="en-US"/>
        </w:rPr>
        <w:t>Nishio</w:t>
      </w:r>
      <w:r>
        <w:rPr>
          <w:lang w:val="en-US"/>
        </w:rPr>
        <w:t xml:space="preserve">, K. and Hoshino, T. (2024) “Quantifying the short- and long-term effects of promotional incentives in a loyalty program: Evidence from birthday rewards in a large retail company,” </w:t>
      </w:r>
      <w:r>
        <w:rPr>
          <w:i/>
          <w:iCs/>
          <w:lang w:val="en-US"/>
        </w:rPr>
        <w:t>Journal of Retailing and Consumer Services</w:t>
      </w:r>
      <w:r>
        <w:rPr>
          <w:lang w:val="en-US"/>
        </w:rPr>
        <w:t xml:space="preserve">, 81(103957), p. 103957. Available at: </w:t>
      </w:r>
      <w:r>
        <w:rPr/>
        <w:fldChar w:fldCharType="begin"/>
      </w:r>
      <w:r>
        <w:instrText xml:space="preserve"> HYPERLINK "https://doi.org/10.1016/j.jretconser.2024.103957" </w:instrText>
      </w:r>
      <w:r>
        <w:rPr/>
        <w:fldChar w:fldCharType="separate"/>
      </w:r>
      <w:r>
        <w:rPr>
          <w:rStyle w:val="style85"/>
          <w:lang w:val="en-US"/>
        </w:rPr>
        <w:t>https://doi.org/10.1016/j.jretconser.2024.103957</w:t>
      </w:r>
      <w:r>
        <w:rPr/>
        <w:fldChar w:fldCharType="end"/>
      </w:r>
      <w:r>
        <w:rPr>
          <w:lang w:val="en-US"/>
        </w:rPr>
        <w:t>.</w:t>
      </w:r>
      <w:r>
        <w:rPr>
          <w:lang w:val="en-US"/>
        </w:rPr>
        <w:t xml:space="preserve"> </w:t>
      </w:r>
    </w:p>
    <w:p w14:paraId="177A4E34">
      <w:pPr>
        <w:pStyle w:val="style0"/>
        <w:spacing w:lineRule="auto" w:line="360"/>
        <w:rPr>
          <w:lang w:val="en-US"/>
        </w:rPr>
      </w:pPr>
      <w:r>
        <w:rPr>
          <w:lang w:val="en-US"/>
        </w:rPr>
        <w:t xml:space="preserve">Park, Y.S. </w:t>
      </w:r>
      <w:r>
        <w:rPr>
          <w:i/>
          <w:iCs/>
          <w:lang w:val="en-US"/>
        </w:rPr>
        <w:t>et al.</w:t>
      </w:r>
      <w:r>
        <w:rPr>
          <w:lang w:val="en-US"/>
        </w:rPr>
        <w:t xml:space="preserve"> (2020) “The positivism paradigm of research,” </w:t>
      </w:r>
      <w:r>
        <w:rPr>
          <w:i/>
          <w:iCs/>
          <w:lang w:val="en-US"/>
        </w:rPr>
        <w:t>Academic Medicine: Journal of the Association of American Medical Colleges</w:t>
      </w:r>
      <w:r>
        <w:rPr>
          <w:lang w:val="en-US"/>
        </w:rPr>
        <w:t xml:space="preserve">, 95(5), pp. 690–694. Available at: </w:t>
      </w:r>
      <w:r>
        <w:rPr/>
        <w:fldChar w:fldCharType="begin"/>
      </w:r>
      <w:r>
        <w:instrText xml:space="preserve"> HYPERLINK "https://doi.org/10.1097/ACM.0000000000003093" </w:instrText>
      </w:r>
      <w:r>
        <w:rPr/>
        <w:fldChar w:fldCharType="separate"/>
      </w:r>
      <w:r>
        <w:rPr>
          <w:rStyle w:val="style85"/>
          <w:lang w:val="en-US"/>
        </w:rPr>
        <w:t>https://doi.org/10.1097/ACM.0000000000003093</w:t>
      </w:r>
      <w:r>
        <w:rPr/>
        <w:fldChar w:fldCharType="end"/>
      </w:r>
      <w:r>
        <w:rPr>
          <w:lang w:val="en-US"/>
        </w:rPr>
        <w:t>.</w:t>
      </w:r>
      <w:r>
        <w:rPr>
          <w:lang w:val="en-US"/>
        </w:rPr>
        <w:t xml:space="preserve"> </w:t>
      </w:r>
    </w:p>
    <w:p w14:paraId="4A16E680">
      <w:pPr>
        <w:pStyle w:val="style0"/>
        <w:spacing w:lineRule="auto" w:line="360"/>
        <w:rPr>
          <w:lang w:val="en-US"/>
        </w:rPr>
      </w:pPr>
      <w:r>
        <w:rPr>
          <w:lang w:val="en-US"/>
        </w:rPr>
        <w:t xml:space="preserve">Pereira, M. de S. </w:t>
      </w:r>
      <w:r>
        <w:rPr>
          <w:i/>
          <w:iCs/>
          <w:lang w:val="en-US"/>
        </w:rPr>
        <w:t>et al.</w:t>
      </w:r>
      <w:r>
        <w:rPr>
          <w:lang w:val="en-US"/>
        </w:rPr>
        <w:t xml:space="preserve"> (2025) “Factors of customer loyalty and retention in the digital environment,” </w:t>
      </w:r>
      <w:r>
        <w:rPr>
          <w:i/>
          <w:iCs/>
          <w:lang w:val="en-US"/>
        </w:rPr>
        <w:t>Journal of Theoretical and Applied Electronic Commerce Research</w:t>
      </w:r>
      <w:r>
        <w:rPr>
          <w:lang w:val="en-US"/>
        </w:rPr>
        <w:t xml:space="preserve">, 20(2), p. 71. Available at: </w:t>
      </w:r>
      <w:r>
        <w:rPr/>
        <w:fldChar w:fldCharType="begin"/>
      </w:r>
      <w:r>
        <w:instrText xml:space="preserve"> HYPERLINK "https://doi.org/10.3390/jtaer20020071" </w:instrText>
      </w:r>
      <w:r>
        <w:rPr/>
        <w:fldChar w:fldCharType="separate"/>
      </w:r>
      <w:r>
        <w:rPr>
          <w:rStyle w:val="style85"/>
          <w:lang w:val="en-US"/>
        </w:rPr>
        <w:t>https://doi.org/10.3390/jtaer20020071</w:t>
      </w:r>
      <w:r>
        <w:rPr/>
        <w:fldChar w:fldCharType="end"/>
      </w:r>
      <w:r>
        <w:rPr>
          <w:lang w:val="en-US"/>
        </w:rPr>
        <w:t>.</w:t>
      </w:r>
      <w:r>
        <w:rPr>
          <w:lang w:val="en-US"/>
        </w:rPr>
        <w:t xml:space="preserve"> </w:t>
      </w:r>
    </w:p>
    <w:p w14:paraId="6B958C85">
      <w:pPr>
        <w:pStyle w:val="style0"/>
        <w:spacing w:lineRule="auto" w:line="360"/>
        <w:rPr>
          <w:lang w:val="en-US"/>
        </w:rPr>
      </w:pPr>
      <w:r>
        <w:rPr>
          <w:lang w:val="en-US"/>
        </w:rPr>
        <w:t>Regmi</w:t>
      </w:r>
      <w:r>
        <w:rPr>
          <w:lang w:val="en-US"/>
        </w:rPr>
        <w:t xml:space="preserve">, P.R. </w:t>
      </w:r>
      <w:r>
        <w:rPr>
          <w:i/>
          <w:iCs/>
          <w:lang w:val="en-US"/>
        </w:rPr>
        <w:t>et al.</w:t>
      </w:r>
      <w:r>
        <w:rPr>
          <w:lang w:val="en-US"/>
        </w:rPr>
        <w:t xml:space="preserve"> (2016) “Guide to the design and application of online questionnaire surveys,” </w:t>
      </w:r>
      <w:r>
        <w:rPr>
          <w:i/>
          <w:iCs/>
          <w:lang w:val="en-US"/>
        </w:rPr>
        <w:t>Nepal Journal of Epidemiology</w:t>
      </w:r>
      <w:r>
        <w:rPr>
          <w:lang w:val="en-US"/>
        </w:rPr>
        <w:t xml:space="preserve">, 6(4), pp. 640–644. Available at: </w:t>
      </w:r>
      <w:r>
        <w:rPr/>
        <w:fldChar w:fldCharType="begin"/>
      </w:r>
      <w:r>
        <w:instrText xml:space="preserve"> HYPERLINK "https://doi.org/10.3126/nje.v6i4.17258" </w:instrText>
      </w:r>
      <w:r>
        <w:rPr/>
        <w:fldChar w:fldCharType="separate"/>
      </w:r>
      <w:r>
        <w:rPr>
          <w:rStyle w:val="style85"/>
          <w:lang w:val="en-US"/>
        </w:rPr>
        <w:t>https://doi.org/10.3126/nje.v6i4.17258</w:t>
      </w:r>
      <w:r>
        <w:rPr/>
        <w:fldChar w:fldCharType="end"/>
      </w:r>
      <w:r>
        <w:rPr>
          <w:lang w:val="en-US"/>
        </w:rPr>
        <w:t>.</w:t>
      </w:r>
      <w:r>
        <w:rPr>
          <w:lang w:val="en-US"/>
        </w:rPr>
        <w:t xml:space="preserve"> </w:t>
      </w:r>
    </w:p>
    <w:p w14:paraId="633CCA38">
      <w:pPr>
        <w:pStyle w:val="style0"/>
        <w:spacing w:lineRule="auto" w:line="360"/>
        <w:rPr>
          <w:lang w:val="en-US"/>
        </w:rPr>
      </w:pPr>
      <w:r>
        <w:rPr>
          <w:lang w:val="en-US"/>
        </w:rPr>
        <w:t xml:space="preserve">Saxena, C. and Thakur, P. (2024) “Mediating role of trust and privacy concerns between web assurance mechanism and purchase intention of online products,” </w:t>
      </w:r>
      <w:r>
        <w:rPr>
          <w:i/>
          <w:iCs/>
          <w:lang w:val="en-US"/>
        </w:rPr>
        <w:t>Telematics and Informatics Reports</w:t>
      </w:r>
      <w:r>
        <w:rPr>
          <w:lang w:val="en-US"/>
        </w:rPr>
        <w:t xml:space="preserve">, 16(100177), p. 100177. Available at: </w:t>
      </w:r>
      <w:r>
        <w:rPr/>
        <w:fldChar w:fldCharType="begin"/>
      </w:r>
      <w:r>
        <w:instrText xml:space="preserve"> HYPERLINK "https://doi.org/10.1016/j.teler.2024.100177" </w:instrText>
      </w:r>
      <w:r>
        <w:rPr/>
        <w:fldChar w:fldCharType="separate"/>
      </w:r>
      <w:r>
        <w:rPr>
          <w:rStyle w:val="style85"/>
          <w:lang w:val="en-US"/>
        </w:rPr>
        <w:t>https://doi.org/10.1016/j.teler.2024.100177</w:t>
      </w:r>
      <w:r>
        <w:rPr/>
        <w:fldChar w:fldCharType="end"/>
      </w:r>
      <w:r>
        <w:rPr>
          <w:lang w:val="en-US"/>
        </w:rPr>
        <w:t>.</w:t>
      </w:r>
      <w:r>
        <w:rPr>
          <w:lang w:val="en-US"/>
        </w:rPr>
        <w:t xml:space="preserve"> </w:t>
      </w:r>
    </w:p>
    <w:p w14:paraId="2E26A295">
      <w:pPr>
        <w:pStyle w:val="style0"/>
        <w:spacing w:lineRule="auto" w:line="360"/>
        <w:rPr>
          <w:lang w:val="en-US"/>
        </w:rPr>
      </w:pPr>
      <w:r>
        <w:rPr>
          <w:lang w:val="en-US"/>
        </w:rPr>
        <w:t xml:space="preserve">Shaw, J. (2025) </w:t>
      </w:r>
      <w:r>
        <w:rPr>
          <w:i/>
          <w:iCs/>
          <w:lang w:val="en-US"/>
        </w:rPr>
        <w:t>When personalization backfires</w:t>
      </w:r>
      <w:r>
        <w:rPr>
          <w:lang w:val="en-US"/>
        </w:rPr>
        <w:t xml:space="preserve">, </w:t>
      </w:r>
      <w:r>
        <w:rPr>
          <w:i/>
          <w:iCs/>
          <w:lang w:val="en-US"/>
        </w:rPr>
        <w:t>Medium</w:t>
      </w:r>
      <w:r>
        <w:rPr>
          <w:lang w:val="en-US"/>
        </w:rPr>
        <w:t xml:space="preserve">. Available at: </w:t>
      </w:r>
      <w:r>
        <w:rPr/>
        <w:fldChar w:fldCharType="begin"/>
      </w:r>
      <w:r>
        <w:instrText xml:space="preserve"> HYPERLINK "https://medium.com/@jodiemshaw/when-personalization-backfires-b9b1af5d66c6" </w:instrText>
      </w:r>
      <w:r>
        <w:rPr/>
        <w:fldChar w:fldCharType="separate"/>
      </w:r>
      <w:r>
        <w:rPr>
          <w:rStyle w:val="style85"/>
          <w:lang w:val="en-US"/>
        </w:rPr>
        <w:t>https://medium.com/@jodiemshaw/when-personalization-backfires-b9b1af5d66c6</w:t>
      </w:r>
      <w:r>
        <w:rPr/>
        <w:fldChar w:fldCharType="end"/>
      </w:r>
      <w:r>
        <w:rPr>
          <w:lang w:val="en-US"/>
        </w:rPr>
        <w:t xml:space="preserve"> </w:t>
      </w:r>
      <w:r>
        <w:rPr>
          <w:lang w:val="en-US"/>
        </w:rPr>
        <w:t xml:space="preserve"> (Accessed: June 30, 2026).</w:t>
      </w:r>
    </w:p>
    <w:p w14:paraId="1B37F89C">
      <w:pPr>
        <w:pStyle w:val="style0"/>
        <w:spacing w:lineRule="auto" w:line="360"/>
        <w:rPr>
          <w:lang w:val="en-US"/>
        </w:rPr>
      </w:pPr>
      <w:r>
        <w:rPr>
          <w:lang w:val="en-US"/>
        </w:rPr>
        <w:t xml:space="preserve">Shin, W., Kim, E. and Huh, J. (2025) “Young adults’ acceptance of data-driven personalized advertising: Privacy and Trust Equilibrium (PATE) model,” </w:t>
      </w:r>
      <w:r>
        <w:rPr>
          <w:i/>
          <w:iCs/>
          <w:lang w:val="en-US"/>
        </w:rPr>
        <w:t>Young Consumers Insight and Ideas for Responsible Marketers</w:t>
      </w:r>
      <w:r>
        <w:rPr>
          <w:lang w:val="en-US"/>
        </w:rPr>
        <w:t>, 26(2), pp. 189–206. Available at: https://doi.org/10.1108/yc-06-2024-2105.</w:t>
      </w:r>
    </w:p>
    <w:p w14:paraId="4D494147">
      <w:pPr>
        <w:pStyle w:val="style0"/>
        <w:spacing w:lineRule="auto" w:line="360"/>
        <w:rPr>
          <w:lang w:val="en-US"/>
        </w:rPr>
      </w:pPr>
      <w:r>
        <w:rPr>
          <w:lang w:val="en-US"/>
        </w:rPr>
        <w:t xml:space="preserve">Sy, S.A., Ong, M.A.L. and Li, A.N.T. (2025) “Influence of customer loyalty programs on repeat purchase behavior: A study on the perspective of Millennials.” Available at: </w:t>
      </w:r>
      <w:r>
        <w:rPr/>
        <w:fldChar w:fldCharType="begin"/>
      </w:r>
      <w:r>
        <w:instrText xml:space="preserve"> HYPERLINK "https://doi.org/10.5281/ZENODO.15829755" </w:instrText>
      </w:r>
      <w:r>
        <w:rPr/>
        <w:fldChar w:fldCharType="separate"/>
      </w:r>
      <w:r>
        <w:rPr>
          <w:rStyle w:val="style85"/>
          <w:lang w:val="en-US"/>
        </w:rPr>
        <w:t>https://doi.org/10.5281/ZENODO.15829755</w:t>
      </w:r>
      <w:r>
        <w:rPr/>
        <w:fldChar w:fldCharType="end"/>
      </w:r>
      <w:r>
        <w:rPr>
          <w:lang w:val="en-US"/>
        </w:rPr>
        <w:t>.</w:t>
      </w:r>
      <w:r>
        <w:rPr>
          <w:lang w:val="en-US"/>
        </w:rPr>
        <w:t xml:space="preserve"> </w:t>
      </w:r>
    </w:p>
    <w:p w14:paraId="0E5A1B03">
      <w:pPr>
        <w:pStyle w:val="style0"/>
        <w:spacing w:lineRule="auto" w:line="360"/>
        <w:rPr>
          <w:lang w:val="en-US"/>
        </w:rPr>
      </w:pPr>
      <w:r>
        <w:rPr>
          <w:lang w:val="en-US"/>
        </w:rPr>
        <w:t>Tileagă</w:t>
      </w:r>
      <w:r>
        <w:rPr>
          <w:lang w:val="en-US"/>
        </w:rPr>
        <w:t xml:space="preserve">, C. and </w:t>
      </w:r>
      <w:r>
        <w:rPr>
          <w:lang w:val="en-US"/>
        </w:rPr>
        <w:t>Oprișan</w:t>
      </w:r>
      <w:r>
        <w:rPr>
          <w:lang w:val="en-US"/>
        </w:rPr>
        <w:t xml:space="preserve">, O. (2021) “Personalization – A key element in creating better customer experiences,” </w:t>
      </w:r>
      <w:r>
        <w:rPr>
          <w:i/>
          <w:iCs/>
          <w:lang w:val="en-US"/>
        </w:rPr>
        <w:t>Expert Journal of Business and Management</w:t>
      </w:r>
      <w:r>
        <w:rPr>
          <w:lang w:val="en-US"/>
        </w:rPr>
        <w:t xml:space="preserve">, 9(2). Available at: </w:t>
      </w:r>
      <w:r>
        <w:rPr/>
        <w:fldChar w:fldCharType="begin"/>
      </w:r>
      <w:r>
        <w:instrText xml:space="preserve"> HYPERLINK "https://business.expertjournals.com/23446781-909/" </w:instrText>
      </w:r>
      <w:r>
        <w:rPr/>
        <w:fldChar w:fldCharType="separate"/>
      </w:r>
      <w:r>
        <w:rPr>
          <w:rStyle w:val="style85"/>
          <w:lang w:val="en-US"/>
        </w:rPr>
        <w:t>https://business.expertjournals.com/23446781-909/</w:t>
      </w:r>
      <w:r>
        <w:rPr/>
        <w:fldChar w:fldCharType="end"/>
      </w:r>
      <w:r>
        <w:rPr>
          <w:lang w:val="en-US"/>
        </w:rPr>
        <w:t xml:space="preserve"> </w:t>
      </w:r>
      <w:r>
        <w:rPr>
          <w:lang w:val="en-US"/>
        </w:rPr>
        <w:t xml:space="preserve"> (Accessed: June 30, 2026).</w:t>
      </w:r>
    </w:p>
    <w:p w14:paraId="31CAE9E1">
      <w:pPr>
        <w:pStyle w:val="style0"/>
        <w:spacing w:lineRule="auto" w:line="360"/>
        <w:rPr>
          <w:lang w:val="en-US"/>
        </w:rPr>
      </w:pPr>
      <w:r>
        <w:rPr>
          <w:lang w:val="en-US"/>
        </w:rPr>
        <w:t xml:space="preserve">Vishwakarma, D. </w:t>
      </w:r>
      <w:r>
        <w:rPr>
          <w:i/>
          <w:iCs/>
          <w:lang w:val="en-US"/>
        </w:rPr>
        <w:t>et al.</w:t>
      </w:r>
      <w:r>
        <w:rPr>
          <w:lang w:val="en-US"/>
        </w:rPr>
        <w:t xml:space="preserve"> (2025) “Personalization vs. Privacy: Marketing Strategies in the Digital Age,” </w:t>
      </w:r>
      <w:r>
        <w:rPr>
          <w:i/>
          <w:iCs/>
          <w:lang w:val="en-US"/>
        </w:rPr>
        <w:t>Journal of Marketing &amp; Social Research</w:t>
      </w:r>
      <w:r>
        <w:rPr>
          <w:lang w:val="en-US"/>
        </w:rPr>
        <w:t>, 2(5), pp. 177–191.</w:t>
      </w:r>
    </w:p>
    <w:p w14:paraId="6689A9BA">
      <w:pPr>
        <w:pStyle w:val="style0"/>
        <w:spacing w:lineRule="auto" w:line="360"/>
        <w:rPr/>
      </w:pPr>
    </w:p>
    <w:sectPr>
      <w:footerReference w:type="default" r:id="rId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E2CA3A5">
    <w:pPr>
      <w:pStyle w:val="style32"/>
      <w:jc w:val="right"/>
      <w:rPr/>
    </w:pPr>
  </w:p>
  <w:p w14:paraId="518EC10A">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3FA36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F21EF6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71B4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60364E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5FB641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jc w:val="both"/>
    </w:pPr>
    <w:rPr>
      <w:rFonts w:ascii="Times New Roman" w:cs="Calibri" w:hAnsi="Times New Roman"/>
      <w:sz w:val="24"/>
      <w:lang w:val="en-GB"/>
    </w:rPr>
  </w:style>
  <w:style w:type="paragraph" w:styleId="style1">
    <w:name w:val="heading 1"/>
    <w:basedOn w:val="style0"/>
    <w:next w:val="style0"/>
    <w:link w:val="style4097"/>
    <w:qFormat/>
    <w:uiPriority w:val="1"/>
    <w:pPr>
      <w:keepNext/>
      <w:keepLines/>
      <w:spacing w:before="240" w:after="0"/>
      <w:jc w:val="left"/>
      <w:outlineLvl w:val="0"/>
    </w:pPr>
    <w:rPr>
      <w:rFonts w:cs="宋体" w:eastAsia="Calibri"/>
      <w:b/>
      <w:sz w:val="32"/>
      <w:szCs w:val="32"/>
      <w:lang w:val="en-US"/>
    </w:rPr>
  </w:style>
  <w:style w:type="paragraph" w:styleId="style2">
    <w:name w:val="heading 2"/>
    <w:basedOn w:val="style0"/>
    <w:next w:val="style0"/>
    <w:link w:val="style4098"/>
    <w:qFormat/>
    <w:uiPriority w:val="9"/>
    <w:pPr>
      <w:keepNext/>
      <w:keepLines/>
      <w:spacing w:before="40" w:after="0"/>
      <w:outlineLvl w:val="1"/>
    </w:pPr>
    <w:rPr>
      <w:b/>
      <w:sz w:val="28"/>
      <w:szCs w:val="26"/>
    </w:rPr>
  </w:style>
  <w:style w:type="paragraph" w:styleId="style3">
    <w:name w:val="heading 3"/>
    <w:basedOn w:val="style0"/>
    <w:next w:val="style0"/>
    <w:link w:val="style4100"/>
    <w:qFormat/>
    <w:uiPriority w:val="9"/>
    <w:pPr>
      <w:keepNext/>
      <w:keepLines/>
      <w:spacing w:before="40" w:after="0" w:lineRule="auto" w:line="360"/>
      <w:outlineLvl w:val="2"/>
    </w:pPr>
    <w:rPr>
      <w:rFonts w:cs="宋体" w:eastAsia="宋体"/>
      <w:b/>
      <w:szCs w:val="24"/>
      <w:lang w:val="en-U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59b714f-4686-489b-a5b4-82b2c093d8af"/>
    <w:basedOn w:val="style65"/>
    <w:next w:val="style4097"/>
    <w:link w:val="style1"/>
    <w:uiPriority w:val="1"/>
    <w:rPr>
      <w:rFonts w:ascii="Times New Roman" w:eastAsia="Calibri" w:hAnsi="Times New Roman"/>
      <w:b/>
      <w:sz w:val="32"/>
      <w:szCs w:val="32"/>
    </w:rPr>
  </w:style>
  <w:style w:type="character" w:customStyle="1" w:styleId="style4098">
    <w:name w:val="Heading 2 Char_068a242e-89bf-4842-b5a5-ffb881888bc0"/>
    <w:basedOn w:val="style65"/>
    <w:next w:val="style4098"/>
    <w:link w:val="style2"/>
    <w:uiPriority w:val="9"/>
    <w:rPr>
      <w:rFonts w:ascii="Times New Roman" w:cs="Calibri" w:eastAsia="Calibri" w:hAnsi="Times New Roman"/>
      <w:b/>
      <w:sz w:val="28"/>
      <w:szCs w:val="26"/>
      <w:lang w:val="en-GB"/>
    </w:rPr>
  </w:style>
  <w:style w:type="paragraph" w:styleId="style62">
    <w:name w:val="Title"/>
    <w:basedOn w:val="style0"/>
    <w:next w:val="style0"/>
    <w:link w:val="style4099"/>
    <w:qFormat/>
    <w:uiPriority w:val="10"/>
    <w:pPr>
      <w:spacing w:after="0" w:lineRule="auto" w:line="240"/>
      <w:contextualSpacing/>
    </w:pPr>
    <w:rPr>
      <w:rFonts w:cs="宋体" w:eastAsia="宋体"/>
      <w:spacing w:val="-10"/>
      <w:kern w:val="28"/>
      <w:sz w:val="28"/>
      <w:szCs w:val="56"/>
    </w:rPr>
  </w:style>
  <w:style w:type="character" w:customStyle="1" w:styleId="style4099">
    <w:name w:val="Title Char_f323bec5-de4d-411f-8d7f-9bd97c593cee"/>
    <w:basedOn w:val="style65"/>
    <w:next w:val="style4099"/>
    <w:link w:val="style62"/>
    <w:uiPriority w:val="10"/>
    <w:rPr>
      <w:rFonts w:ascii="Times New Roman" w:cs="宋体" w:eastAsia="宋体" w:hAnsi="Times New Roman"/>
      <w:spacing w:val="-10"/>
      <w:kern w:val="28"/>
      <w:sz w:val="28"/>
      <w:szCs w:val="56"/>
    </w:rPr>
  </w:style>
  <w:style w:type="character" w:customStyle="1" w:styleId="style4100">
    <w:name w:val="Heading 3 Char_e328af30-7bc7-4e09-823f-518dc2d23c72"/>
    <w:basedOn w:val="style65"/>
    <w:next w:val="style4100"/>
    <w:link w:val="style3"/>
    <w:uiPriority w:val="9"/>
    <w:rPr>
      <w:rFonts w:ascii="Times New Roman" w:cs="宋体" w:eastAsia="宋体" w:hAnsi="Times New Roman"/>
      <w:b/>
      <w:sz w:val="24"/>
      <w:szCs w:val="24"/>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5">
    <w:name w:val="Hyperlink"/>
    <w:basedOn w:val="style65"/>
    <w:next w:val="style85"/>
    <w:uiPriority w:val="99"/>
    <w:rPr>
      <w:color w:val="0563c1"/>
      <w:u w:val="single"/>
    </w:rPr>
  </w:style>
  <w:style w:type="character" w:customStyle="1" w:styleId="style4101">
    <w:name w:val="Unresolved Mention"/>
    <w:basedOn w:val="style65"/>
    <w:next w:val="style4101"/>
    <w:uiPriority w:val="99"/>
    <w:rPr>
      <w:color w:val="605e5c"/>
      <w:shd w:val="clear" w:color="auto" w:fill="e1dfdd"/>
    </w:rPr>
  </w:style>
  <w:style w:type="paragraph" w:styleId="style266">
    <w:name w:val="TOC Heading"/>
    <w:basedOn w:val="style1"/>
    <w:next w:val="style0"/>
    <w:qFormat/>
    <w:uiPriority w:val="39"/>
    <w:pPr>
      <w:outlineLvl w:val="9"/>
    </w:pPr>
    <w:rPr>
      <w:rFonts w:ascii="Calibri Light" w:cs="宋体" w:eastAsia="宋体" w:hAnsi="Calibri Light"/>
      <w:b w:val="false"/>
      <w:color w:val="2f5496"/>
    </w:rPr>
  </w:style>
  <w:style w:type="paragraph" w:styleId="style19">
    <w:name w:val="toc 1"/>
    <w:basedOn w:val="style0"/>
    <w:next w:val="style0"/>
    <w:uiPriority w:val="39"/>
    <w:pPr>
      <w:spacing w:after="100"/>
    </w:pPr>
    <w:rPr/>
  </w:style>
  <w:style w:type="paragraph" w:styleId="style179">
    <w:name w:val="List Paragraph"/>
    <w:basedOn w:val="style0"/>
    <w:next w:val="style179"/>
    <w:qFormat/>
    <w:uiPriority w:val="34"/>
    <w:pPr>
      <w:ind w:left="720"/>
      <w:contextualSpacing/>
    </w:pPr>
    <w:rPr/>
  </w:style>
  <w:style w:type="paragraph" w:styleId="style32">
    <w:name w:val="footer"/>
    <w:basedOn w:val="style0"/>
    <w:next w:val="style32"/>
    <w:link w:val="style4102"/>
    <w:uiPriority w:val="99"/>
    <w:pPr>
      <w:tabs>
        <w:tab w:val="center" w:leader="none" w:pos="4680"/>
        <w:tab w:val="right" w:leader="none" w:pos="9360"/>
      </w:tabs>
      <w:spacing w:after="0" w:lineRule="auto" w:line="240"/>
      <w:jc w:val="left"/>
    </w:pPr>
    <w:rPr>
      <w:rFonts w:ascii="Calibri" w:cs="宋体" w:eastAsia="宋体" w:hAnsi="Calibri"/>
      <w:kern w:val="2"/>
      <w:szCs w:val="24"/>
      <w:lang w:val="en-US" w:eastAsia="zh-CN"/>
      <w14:ligatures xmlns:w14="http://schemas.microsoft.com/office/word/2010/wordml" w14:val="standardContextual"/>
    </w:rPr>
  </w:style>
  <w:style w:type="character" w:customStyle="1" w:styleId="style4102">
    <w:name w:val="Footer Char_3e936637-8fb3-4696-b064-77668fa5aa93"/>
    <w:basedOn w:val="style65"/>
    <w:next w:val="style4102"/>
    <w:link w:val="style32"/>
    <w:uiPriority w:val="99"/>
    <w:rPr>
      <w:rFonts w:eastAsia="宋体"/>
      <w:kern w:val="2"/>
      <w:sz w:val="24"/>
      <w:szCs w:val="24"/>
      <w:lang w:eastAsia="zh-CN"/>
      <w14:ligatures xmlns:w14="http://schemas.microsoft.com/office/word/2010/wordml" w14:val="standardContextual"/>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C4811FF-F4A5-4BE4-93F5-F0C637179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Words>3442</Words>
  <Pages>15</Pages>
  <Characters>21105</Characters>
  <Application>WPS Office</Application>
  <DocSecurity>0</DocSecurity>
  <Paragraphs>398</Paragraphs>
  <ScaleCrop>false</ScaleCrop>
  <LinksUpToDate>false</LinksUpToDate>
  <CharactersWithSpaces>24479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2026-06-30T11:17:00Z</dcterms:created>
  <dc:creator>taqui</dc:creator>
  <lastModifiedBy>RMO-NX1</lastModifiedBy>
  <dcterms:modified xsi:type="dcterms:W3CDTF">2026-07-17T10:25:26Z</dcterms:modified>
  <revision>103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b89fd387-a4ba-4c3f-9f23-6ac8f1225198</vt:lpwstr>
  </property>
  <property fmtid="{D5CDD505-2E9C-101B-9397-08002B2CF9AE}" pid="3" name="ICV">
    <vt:lpwstr>4a3aa9b34e2a48eaab7b8de4d0aee5ae_23</vt:lpwstr>
  </property>
</Properties>
</file>