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2BED6E" w14:textId="4D2BCF91" w:rsidR="001E6DDB" w:rsidRDefault="00F3373F">
      <w:r>
        <w:t>Critically compare the influence of Herodotus and Plutarch on Modern, popular or academic conceptions of spartan women.</w:t>
      </w:r>
    </w:p>
    <w:p w14:paraId="17B14A66" w14:textId="51CA2D60" w:rsidR="00F3373F" w:rsidRDefault="00F3373F"/>
    <w:p w14:paraId="19687628" w14:textId="44539770" w:rsidR="000465FB" w:rsidRDefault="008B2376" w:rsidP="00183081">
      <w:pPr>
        <w:spacing w:line="480" w:lineRule="auto"/>
      </w:pPr>
      <w:r>
        <w:t xml:space="preserve">Herodotus and Plutarch are two of the main sources for Spartan women in the ancient world, and cover a wide variety of subjects both directly and indirectly. The three main subject areas, for women, that I have noticed in their works are education, marriage and motherhood. This essay will discuss where these sources seem to focus their narrative of Spartan women, how modern scholars use this information to present these women to a modern audience, and how both the ancient sources and the modern sources manipulate history to change the readers perceptions of Spartan women. </w:t>
      </w:r>
      <w:r w:rsidR="00516038">
        <w:t>The essay will explore each subject in detail and will reflect upon possible origins of information, reasons for choosing particular quotes by modern academia and how our perception of each element changes with each presentation.</w:t>
      </w:r>
    </w:p>
    <w:p w14:paraId="54BF5EE1" w14:textId="77777777" w:rsidR="000465FB" w:rsidRDefault="000465FB" w:rsidP="00183081">
      <w:pPr>
        <w:spacing w:line="480" w:lineRule="auto"/>
      </w:pPr>
    </w:p>
    <w:p w14:paraId="72F64938" w14:textId="12C44E07" w:rsidR="00351C05" w:rsidRDefault="00BF79FA" w:rsidP="00183081">
      <w:pPr>
        <w:spacing w:line="480" w:lineRule="auto"/>
      </w:pPr>
      <w:r>
        <w:t>Sparta is often considered highly different to other states, not only because it offered a physical education for its women</w:t>
      </w:r>
      <w:r>
        <w:rPr>
          <w:rStyle w:val="FootnoteReference"/>
        </w:rPr>
        <w:footnoteReference w:id="1"/>
      </w:r>
      <w:r>
        <w:t>, but because such an education was state funded</w:t>
      </w:r>
      <w:r>
        <w:rPr>
          <w:rStyle w:val="FootnoteReference"/>
        </w:rPr>
        <w:footnoteReference w:id="2"/>
      </w:r>
      <w:r>
        <w:t xml:space="preserve">. </w:t>
      </w:r>
      <w:r w:rsidR="000465FB">
        <w:t>In the wider scope of academia, it is believed that women were educated to make them more useful to the state</w:t>
      </w:r>
      <w:r w:rsidR="000465FB">
        <w:rPr>
          <w:rStyle w:val="FootnoteReference"/>
        </w:rPr>
        <w:footnoteReference w:id="3"/>
      </w:r>
      <w:r w:rsidR="008B2376">
        <w:t>,</w:t>
      </w:r>
      <w:r w:rsidR="000465FB">
        <w:t xml:space="preserve"> </w:t>
      </w:r>
      <w:r w:rsidR="008B2376">
        <w:t xml:space="preserve">an interpretation that relies </w:t>
      </w:r>
      <w:r w:rsidR="004316D9">
        <w:t>heavily on the accounts of Plutarch’s lives</w:t>
      </w:r>
      <w:r w:rsidR="000465FB">
        <w:rPr>
          <w:rStyle w:val="FootnoteReference"/>
        </w:rPr>
        <w:footnoteReference w:id="4"/>
      </w:r>
      <w:r w:rsidR="008B2376">
        <w:t>.</w:t>
      </w:r>
      <w:r w:rsidR="004316D9">
        <w:t xml:space="preserve"> and use his </w:t>
      </w:r>
      <w:r w:rsidR="000465FB">
        <w:t xml:space="preserve">presentation of female education as a baseline of how to understand and present other ancient sources descriptions. </w:t>
      </w:r>
      <w:r w:rsidR="00EE3257">
        <w:t xml:space="preserve">Figueira </w:t>
      </w:r>
      <w:r w:rsidR="00351C05">
        <w:t>argues</w:t>
      </w:r>
      <w:r w:rsidR="00EE3257">
        <w:t xml:space="preserve"> </w:t>
      </w:r>
      <w:r w:rsidR="00351C05">
        <w:t xml:space="preserve">that although the education was funded by the state, the cost must have been worth as it created the </w:t>
      </w:r>
      <w:r w:rsidR="00351C05">
        <w:t>perfect warriors</w:t>
      </w:r>
      <w:r w:rsidR="00351C05">
        <w:rPr>
          <w:rStyle w:val="FootnoteReference"/>
        </w:rPr>
        <w:footnoteReference w:id="5"/>
      </w:r>
      <w:r w:rsidR="00787023">
        <w:t xml:space="preserve"> </w:t>
      </w:r>
      <w:r w:rsidR="00351C05">
        <w:t>whose reputation was known across the Mediterranean</w:t>
      </w:r>
      <w:r w:rsidR="00241153">
        <w:t>.</w:t>
      </w:r>
      <w:r w:rsidR="00787023">
        <w:t xml:space="preserve"> </w:t>
      </w:r>
      <w:r w:rsidR="00E44909">
        <w:t xml:space="preserve">Plutarch’s </w:t>
      </w:r>
      <w:r w:rsidR="00241153" w:rsidRPr="00BF79FA">
        <w:rPr>
          <w:i/>
          <w:iCs/>
        </w:rPr>
        <w:t>Lives</w:t>
      </w:r>
      <w:r w:rsidR="00241153">
        <w:t xml:space="preserve"> records that</w:t>
      </w:r>
      <w:r w:rsidR="00E44909">
        <w:t xml:space="preserve"> </w:t>
      </w:r>
      <w:r w:rsidR="00E44909">
        <w:lastRenderedPageBreak/>
        <w:t>Lycurgus</w:t>
      </w:r>
      <w:r w:rsidR="00241153">
        <w:t xml:space="preserve"> set up </w:t>
      </w:r>
      <w:r w:rsidR="000465FB">
        <w:t>women’s</w:t>
      </w:r>
      <w:r w:rsidR="00241153">
        <w:t xml:space="preserve"> physical education so that their children would be as healthy and strong as possible</w:t>
      </w:r>
      <w:r w:rsidR="00241153">
        <w:rPr>
          <w:rStyle w:val="FootnoteReference"/>
        </w:rPr>
        <w:footnoteReference w:id="6"/>
      </w:r>
      <w:r w:rsidR="00241153">
        <w:t xml:space="preserve">, </w:t>
      </w:r>
      <w:r w:rsidR="00351C05">
        <w:t>an idea that modern scholarship doesn’t actively challenge</w:t>
      </w:r>
      <w:r w:rsidR="000465FB">
        <w:t xml:space="preserve">. </w:t>
      </w:r>
      <w:r>
        <w:t xml:space="preserve">The reason this idea may be so popular in in academia is that this makes Spartan women distinctly different from their Athenian </w:t>
      </w:r>
      <w:r w:rsidR="007E66DD">
        <w:t>counterparts</w:t>
      </w:r>
      <w:r>
        <w:rPr>
          <w:rStyle w:val="FootnoteReference"/>
        </w:rPr>
        <w:footnoteReference w:id="7"/>
      </w:r>
      <w:r>
        <w:t xml:space="preserve">, who were taught to weave and keep a house as these would be skills needed as they </w:t>
      </w:r>
      <w:r w:rsidR="007E66DD">
        <w:t>became</w:t>
      </w:r>
      <w:r>
        <w:t xml:space="preserve"> a wife and a mother</w:t>
      </w:r>
      <w:r w:rsidR="00351C05">
        <w:t xml:space="preserve"> in their own society</w:t>
      </w:r>
      <w:r>
        <w:rPr>
          <w:rStyle w:val="FootnoteReference"/>
        </w:rPr>
        <w:footnoteReference w:id="8"/>
      </w:r>
      <w:r>
        <w:t xml:space="preserve">. Spartan </w:t>
      </w:r>
      <w:r w:rsidR="007E66DD">
        <w:t>women’s</w:t>
      </w:r>
      <w:r>
        <w:t xml:space="preserve"> education, according to </w:t>
      </w:r>
      <w:r w:rsidR="007E66DD">
        <w:t>Plutarch</w:t>
      </w:r>
      <w:r>
        <w:t>, consisted of running, wrestling, throwing of discus and javelin</w:t>
      </w:r>
      <w:r>
        <w:rPr>
          <w:rStyle w:val="FootnoteReference"/>
        </w:rPr>
        <w:footnoteReference w:id="9"/>
      </w:r>
      <w:r>
        <w:t>, and was taught the same to each girl, because their ultimate goal of producing healthy children for the state was the same</w:t>
      </w:r>
      <w:r>
        <w:rPr>
          <w:rStyle w:val="FootnoteReference"/>
        </w:rPr>
        <w:footnoteReference w:id="10"/>
      </w:r>
      <w:r>
        <w:t>.</w:t>
      </w:r>
      <w:r w:rsidR="00351C05">
        <w:t xml:space="preserve"> </w:t>
      </w:r>
      <w:r w:rsidR="00351C05">
        <w:t xml:space="preserve">This extract from Plutarch is </w:t>
      </w:r>
      <w:r w:rsidR="00351C05">
        <w:t>sometimes</w:t>
      </w:r>
      <w:r w:rsidR="00351C05">
        <w:t xml:space="preserve"> considered proof that the Spartans were engaged in the idea and practice of eugenics</w:t>
      </w:r>
      <w:r w:rsidR="00351C05">
        <w:rPr>
          <w:rStyle w:val="FootnoteReference"/>
        </w:rPr>
        <w:footnoteReference w:id="11"/>
      </w:r>
      <w:r w:rsidR="00351C05">
        <w:t xml:space="preserve">, however despite this having some worthy </w:t>
      </w:r>
      <w:r w:rsidR="001C4DD9">
        <w:t>schoalrship</w:t>
      </w:r>
      <w:r w:rsidR="00351C05">
        <w:rPr>
          <w:rStyle w:val="FootnoteReference"/>
        </w:rPr>
        <w:footnoteReference w:id="12"/>
      </w:r>
      <w:r w:rsidR="001C4DD9">
        <w:t xml:space="preserve"> and</w:t>
      </w:r>
      <w:r w:rsidR="00351C05">
        <w:t xml:space="preserve"> the fact that Plutarch makes it clea</w:t>
      </w:r>
      <w:r w:rsidR="001C4DD9">
        <w:t>r</w:t>
      </w:r>
      <w:r w:rsidR="00351C05">
        <w:t xml:space="preserve"> that the education i</w:t>
      </w:r>
      <w:r w:rsidR="001C4DD9">
        <w:t>s</w:t>
      </w:r>
      <w:r w:rsidR="00351C05">
        <w:t xml:space="preserve"> for the benefit of the state, rather than the individual women, </w:t>
      </w:r>
      <w:r w:rsidR="001C4DD9">
        <w:t>some scholarship</w:t>
      </w:r>
      <w:r w:rsidR="00351C05">
        <w:t xml:space="preserve"> is keen to argue that</w:t>
      </w:r>
      <w:r w:rsidR="00351C05" w:rsidRPr="00351C05">
        <w:t xml:space="preserve"> </w:t>
      </w:r>
      <w:r w:rsidR="00351C05">
        <w:t xml:space="preserve">the physical education of women was instead </w:t>
      </w:r>
      <w:r w:rsidR="001C4DD9">
        <w:t xml:space="preserve">primarily </w:t>
      </w:r>
      <w:r w:rsidR="00351C05">
        <w:t>a source of freedom and strength of character</w:t>
      </w:r>
      <w:r w:rsidR="00351C05">
        <w:rPr>
          <w:rStyle w:val="FootnoteReference"/>
        </w:rPr>
        <w:footnoteReference w:id="13"/>
      </w:r>
      <w:r w:rsidR="00351C05">
        <w:t>.</w:t>
      </w:r>
    </w:p>
    <w:p w14:paraId="285F6AA2" w14:textId="77777777" w:rsidR="000841F5" w:rsidRDefault="000841F5" w:rsidP="00183081">
      <w:pPr>
        <w:spacing w:line="480" w:lineRule="auto"/>
      </w:pPr>
    </w:p>
    <w:p w14:paraId="09CED358" w14:textId="45FCFFB6" w:rsidR="00084401" w:rsidRDefault="001C4DD9" w:rsidP="00183081">
      <w:pPr>
        <w:spacing w:line="480" w:lineRule="auto"/>
      </w:pPr>
      <w:r>
        <w:t xml:space="preserve">Both </w:t>
      </w:r>
      <w:r w:rsidR="007E66DD">
        <w:t>Plutarch and Herodotus have had a significant effect on how we perceive female intelligence</w:t>
      </w:r>
      <w:r>
        <w:t xml:space="preserve"> and cultural awareness through education</w:t>
      </w:r>
      <w:r w:rsidR="007E66DD">
        <w:t xml:space="preserve">. </w:t>
      </w:r>
      <w:r w:rsidR="000841F5">
        <w:t xml:space="preserve">Plutarch makes it clear that women </w:t>
      </w:r>
      <w:r w:rsidR="007E66DD">
        <w:t>received</w:t>
      </w:r>
      <w:r w:rsidR="000841F5">
        <w:t xml:space="preserve"> educati</w:t>
      </w:r>
      <w:r w:rsidR="00860644">
        <w:t>on in music and dancing</w:t>
      </w:r>
      <w:r w:rsidR="00860644">
        <w:rPr>
          <w:rStyle w:val="FootnoteReference"/>
        </w:rPr>
        <w:footnoteReference w:id="14"/>
      </w:r>
      <w:r>
        <w:t>, and</w:t>
      </w:r>
      <w:r w:rsidR="00860644">
        <w:t xml:space="preserve"> </w:t>
      </w:r>
      <w:r>
        <w:t>m</w:t>
      </w:r>
      <w:r w:rsidR="007E66DD">
        <w:t xml:space="preserve">odern scholars believe that </w:t>
      </w:r>
      <w:r>
        <w:t xml:space="preserve">this </w:t>
      </w:r>
      <w:r w:rsidR="007E66DD">
        <w:t>was most likely</w:t>
      </w:r>
      <w:r>
        <w:t xml:space="preserve"> taught</w:t>
      </w:r>
      <w:r w:rsidR="007E66DD">
        <w:t xml:space="preserve"> in a choral group</w:t>
      </w:r>
      <w:r w:rsidR="007E66DD">
        <w:rPr>
          <w:rStyle w:val="FootnoteReference"/>
        </w:rPr>
        <w:footnoteReference w:id="15"/>
      </w:r>
      <w:r w:rsidR="007E66DD">
        <w:t xml:space="preserve">, </w:t>
      </w:r>
      <w:r w:rsidR="00084401">
        <w:t>akin to what w</w:t>
      </w:r>
      <w:r w:rsidR="007E66DD">
        <w:t xml:space="preserve">as described by Spartan poet Alcman in his </w:t>
      </w:r>
      <w:r w:rsidR="007E66DD">
        <w:lastRenderedPageBreak/>
        <w:t>Partheneion</w:t>
      </w:r>
      <w:r w:rsidR="002201D9">
        <w:rPr>
          <w:rStyle w:val="FootnoteReference"/>
        </w:rPr>
        <w:footnoteReference w:id="16"/>
      </w:r>
      <w:r w:rsidR="007E66DD">
        <w:t>. Despite Alcman dating from the seventh century</w:t>
      </w:r>
      <w:r w:rsidR="007E66DD">
        <w:rPr>
          <w:rStyle w:val="FootnoteReference"/>
        </w:rPr>
        <w:footnoteReference w:id="17"/>
      </w:r>
      <w:r w:rsidR="00084401">
        <w:t xml:space="preserve">, </w:t>
      </w:r>
      <w:r w:rsidR="007E66DD">
        <w:t xml:space="preserve">pre-dating Plutarch </w:t>
      </w:r>
      <w:r w:rsidR="002201D9">
        <w:t>by seven centuries</w:t>
      </w:r>
      <w:r w:rsidR="007E66DD">
        <w:t>, modern scholars frequently use them as collaborative evidence of female choral education in Sparta</w:t>
      </w:r>
      <w:r w:rsidR="007E66DD">
        <w:rPr>
          <w:rStyle w:val="FootnoteReference"/>
        </w:rPr>
        <w:footnoteReference w:id="18"/>
      </w:r>
      <w:r w:rsidR="00084401">
        <w:t xml:space="preserve">. </w:t>
      </w:r>
      <w:r w:rsidR="000F63F2">
        <w:t xml:space="preserve">This is idea that women </w:t>
      </w:r>
      <w:r w:rsidR="007E66DD">
        <w:t>received</w:t>
      </w:r>
      <w:r w:rsidR="000F63F2">
        <w:t xml:space="preserve"> </w:t>
      </w:r>
      <w:r w:rsidR="00084401">
        <w:t>a segregated</w:t>
      </w:r>
      <w:r w:rsidR="0037059B">
        <w:rPr>
          <w:rStyle w:val="FootnoteReference"/>
        </w:rPr>
        <w:footnoteReference w:id="19"/>
      </w:r>
      <w:r w:rsidR="000F63F2">
        <w:t xml:space="preserve"> </w:t>
      </w:r>
      <w:r w:rsidR="007E66DD">
        <w:t>education</w:t>
      </w:r>
      <w:r w:rsidR="000F63F2">
        <w:t xml:space="preserve">, </w:t>
      </w:r>
      <w:r w:rsidR="007E66DD">
        <w:t>led</w:t>
      </w:r>
      <w:r w:rsidR="000F63F2">
        <w:t xml:space="preserve"> by an important member </w:t>
      </w:r>
      <w:r w:rsidR="007E66DD">
        <w:t>of</w:t>
      </w:r>
      <w:r w:rsidR="000F63F2">
        <w:t xml:space="preserve"> the community, such as Alcman</w:t>
      </w:r>
      <w:r w:rsidR="00084401">
        <w:t>,</w:t>
      </w:r>
      <w:r w:rsidR="000F63F2">
        <w:t xml:space="preserve"> is highly popular in </w:t>
      </w:r>
      <w:r>
        <w:t xml:space="preserve">modern </w:t>
      </w:r>
      <w:r w:rsidR="000F63F2">
        <w:t>academia</w:t>
      </w:r>
      <w:r>
        <w:rPr>
          <w:rStyle w:val="FootnoteReference"/>
        </w:rPr>
        <w:footnoteReference w:id="20"/>
      </w:r>
      <w:r w:rsidR="00084401">
        <w:t>. The most recent modern scholars are keen to express that not only was the female education based as a mirror to the all-male Agoge</w:t>
      </w:r>
      <w:r w:rsidR="00084401">
        <w:rPr>
          <w:rStyle w:val="FootnoteReference"/>
        </w:rPr>
        <w:footnoteReference w:id="21"/>
      </w:r>
      <w:r w:rsidR="00084401">
        <w:t>, but that it was actually “superior”</w:t>
      </w:r>
      <w:r w:rsidR="00084401">
        <w:rPr>
          <w:rStyle w:val="FootnoteReference"/>
        </w:rPr>
        <w:footnoteReference w:id="22"/>
      </w:r>
      <w:r w:rsidR="00084401">
        <w:t xml:space="preserve"> </w:t>
      </w:r>
      <w:r w:rsidR="004C4C85">
        <w:t xml:space="preserve"> </w:t>
      </w:r>
      <w:r w:rsidR="00084401">
        <w:t>or better in many ways.</w:t>
      </w:r>
      <w:r w:rsidR="000D1F76">
        <w:t xml:space="preserve"> This idea in scholarship is further perpetuated by their deliberate use of Herodotus’ accounts of notable Spartan women</w:t>
      </w:r>
      <w:r w:rsidR="00F06EB5">
        <w:t xml:space="preserve">, </w:t>
      </w:r>
      <w:r w:rsidR="007A766D">
        <w:t>particularly</w:t>
      </w:r>
      <w:r w:rsidR="00F06EB5">
        <w:t xml:space="preserve"> Gorgo</w:t>
      </w:r>
      <w:r w:rsidR="000D1F76">
        <w:rPr>
          <w:rStyle w:val="FootnoteReference"/>
        </w:rPr>
        <w:footnoteReference w:id="23"/>
      </w:r>
      <w:r w:rsidR="000D1F76">
        <w:t>.</w:t>
      </w:r>
      <w:r w:rsidR="00F06EB5">
        <w:t xml:space="preserve"> Gorgo is often presented as the holder of hidden wisdoms and the provider of enlightened answers by Herodotu</w:t>
      </w:r>
      <w:r w:rsidR="00374C51">
        <w:t>s</w:t>
      </w:r>
      <w:r w:rsidR="00374C51">
        <w:rPr>
          <w:rStyle w:val="FootnoteReference"/>
        </w:rPr>
        <w:footnoteReference w:id="24"/>
      </w:r>
      <w:r w:rsidR="00734C51">
        <w:t xml:space="preserve">, and scholars use these examples </w:t>
      </w:r>
      <w:r w:rsidR="007A766D">
        <w:t>to argue</w:t>
      </w:r>
      <w:r w:rsidR="00734C51">
        <w:t xml:space="preserve"> that women must have learned some level of history and societal traditions in education, a</w:t>
      </w:r>
      <w:r w:rsidR="007A766D">
        <w:t>nd that</w:t>
      </w:r>
      <w:r w:rsidR="00734C51">
        <w:t xml:space="preserve"> it would be their duty to maintain this</w:t>
      </w:r>
      <w:r w:rsidR="00734C51">
        <w:rPr>
          <w:rStyle w:val="FootnoteReference"/>
        </w:rPr>
        <w:footnoteReference w:id="25"/>
      </w:r>
      <w:r w:rsidR="00CA531F">
        <w:t>.</w:t>
      </w:r>
      <w:r w:rsidR="001F43DB">
        <w:t xml:space="preserve"> </w:t>
      </w:r>
      <w:r w:rsidR="007A766D">
        <w:t>They further argue that m</w:t>
      </w:r>
      <w:r w:rsidR="001F43DB">
        <w:t xml:space="preserve">en and women seem to have been taught </w:t>
      </w:r>
      <w:r w:rsidR="001F43DB">
        <w:t>adversarial subcultures”</w:t>
      </w:r>
      <w:r w:rsidR="001F43DB">
        <w:rPr>
          <w:rStyle w:val="FootnoteReference"/>
        </w:rPr>
        <w:footnoteReference w:id="26"/>
      </w:r>
      <w:r w:rsidR="001F43DB">
        <w:t xml:space="preserve"> to keep the other toeing the line and not allowing either one to gain too much power </w:t>
      </w:r>
      <w:r w:rsidR="007A766D">
        <w:t>or</w:t>
      </w:r>
      <w:r w:rsidR="001F43DB">
        <w:t xml:space="preserve"> influence</w:t>
      </w:r>
      <w:r w:rsidR="001F43DB">
        <w:t>.</w:t>
      </w:r>
      <w:r w:rsidR="00CA531F">
        <w:t xml:space="preserve"> Modern </w:t>
      </w:r>
      <w:r w:rsidR="000A318A">
        <w:t>scholars</w:t>
      </w:r>
      <w:r w:rsidR="00CA531F">
        <w:t xml:space="preserve"> are keen to represent </w:t>
      </w:r>
      <w:r w:rsidR="000A318A">
        <w:t>Spartan</w:t>
      </w:r>
      <w:r w:rsidR="00CA531F">
        <w:t xml:space="preserve"> women as </w:t>
      </w:r>
      <w:r w:rsidR="007A766D">
        <w:t>having</w:t>
      </w:r>
      <w:r w:rsidR="00CA531F">
        <w:t xml:space="preserve"> some level of influence over the males in their life, and </w:t>
      </w:r>
      <w:r w:rsidR="007A766D">
        <w:t>that they were</w:t>
      </w:r>
      <w:r w:rsidR="00CA531F">
        <w:t xml:space="preserve"> in</w:t>
      </w:r>
      <w:r w:rsidR="007A766D">
        <w:t xml:space="preserve"> some control of the men</w:t>
      </w:r>
      <w:r w:rsidR="00CA531F">
        <w:rPr>
          <w:rStyle w:val="FootnoteReference"/>
        </w:rPr>
        <w:footnoteReference w:id="27"/>
      </w:r>
      <w:r w:rsidR="00CA531F">
        <w:t xml:space="preserve">. </w:t>
      </w:r>
      <w:r w:rsidR="000A318A">
        <w:t>However,</w:t>
      </w:r>
      <w:r w:rsidR="00CA531F">
        <w:t xml:space="preserve"> these ideas are heavily biased as neither Herodotus </w:t>
      </w:r>
      <w:r w:rsidR="00516038">
        <w:t>nor</w:t>
      </w:r>
      <w:r w:rsidR="00CA531F">
        <w:t xml:space="preserve"> </w:t>
      </w:r>
      <w:r w:rsidR="00516038">
        <w:t>Plutarch’s</w:t>
      </w:r>
      <w:r w:rsidR="007A766D">
        <w:t xml:space="preserve"> works are fully examined by academics, </w:t>
      </w:r>
      <w:r w:rsidR="00516038">
        <w:t>instead</w:t>
      </w:r>
      <w:r w:rsidR="007A766D">
        <w:t xml:space="preserve"> specific sections are chosen that </w:t>
      </w:r>
      <w:r w:rsidR="00516038">
        <w:lastRenderedPageBreak/>
        <w:t>particularly</w:t>
      </w:r>
      <w:r w:rsidR="007A766D">
        <w:t xml:space="preserve"> glorify the women. Nor Does </w:t>
      </w:r>
      <w:r w:rsidR="00516038">
        <w:t>modern</w:t>
      </w:r>
      <w:r w:rsidR="007A766D">
        <w:t xml:space="preserve"> scholarship account for the fact that the audience who read these works may not have found these actions </w:t>
      </w:r>
      <w:r w:rsidR="00516038">
        <w:t>praiseworthy</w:t>
      </w:r>
      <w:r w:rsidR="007A766D">
        <w:rPr>
          <w:rStyle w:val="FootnoteReference"/>
        </w:rPr>
        <w:footnoteReference w:id="28"/>
      </w:r>
      <w:r w:rsidR="007A766D">
        <w:t xml:space="preserve">, and their inclusion in these works may not have been </w:t>
      </w:r>
      <w:r w:rsidR="00516038">
        <w:t>meant</w:t>
      </w:r>
      <w:r w:rsidR="007A766D">
        <w:t xml:space="preserve"> to record what ideal spartan women were like. </w:t>
      </w:r>
      <w:r w:rsidR="00CA531F" w:rsidRPr="00CA531F">
        <w:t xml:space="preserve">Spartan behaviour </w:t>
      </w:r>
      <w:r w:rsidR="00F97C33">
        <w:t>is now</w:t>
      </w:r>
      <w:r w:rsidR="00CA531F" w:rsidRPr="00CA531F">
        <w:t xml:space="preserve"> determined by what </w:t>
      </w:r>
      <w:r w:rsidR="00CA531F">
        <w:t>writers</w:t>
      </w:r>
      <w:r w:rsidR="00CA531F" w:rsidRPr="00CA531F">
        <w:t xml:space="preserve"> thought Spartans should be like</w:t>
      </w:r>
      <w:r w:rsidR="00D416FC">
        <w:rPr>
          <w:rStyle w:val="FootnoteReference"/>
        </w:rPr>
        <w:footnoteReference w:id="29"/>
      </w:r>
      <w:r w:rsidR="00F97C33">
        <w:t xml:space="preserve"> and modern </w:t>
      </w:r>
      <w:r w:rsidR="00516038">
        <w:t>scholars</w:t>
      </w:r>
      <w:r w:rsidR="00F97C33">
        <w:t xml:space="preserve"> are also subject to focusing on what interests them most</w:t>
      </w:r>
      <w:r w:rsidR="00F97C33">
        <w:rPr>
          <w:rStyle w:val="FootnoteReference"/>
        </w:rPr>
        <w:footnoteReference w:id="30"/>
      </w:r>
      <w:r w:rsidR="00CA531F">
        <w:t xml:space="preserve">. </w:t>
      </w:r>
      <w:r w:rsidR="000A318A">
        <w:t>So,</w:t>
      </w:r>
      <w:r w:rsidR="00CA531F">
        <w:t xml:space="preserve"> whilst Modern scholarships explanations of Spartan </w:t>
      </w:r>
      <w:r w:rsidR="000A318A">
        <w:t>women’s</w:t>
      </w:r>
      <w:r w:rsidR="00CA531F">
        <w:t xml:space="preserve"> education may seem well informed, it is most likely manipulating its source pool and only choosing the specific elements of Herodotus and Plutarch that add to their </w:t>
      </w:r>
      <w:r w:rsidR="000A318A">
        <w:t>argument’s</w:t>
      </w:r>
      <w:r w:rsidR="00EB1592">
        <w:t xml:space="preserve"> standpoint.</w:t>
      </w:r>
    </w:p>
    <w:p w14:paraId="41D8EF96" w14:textId="3A6C2DC7" w:rsidR="00D20F46" w:rsidRDefault="00D20F46" w:rsidP="00183081">
      <w:pPr>
        <w:spacing w:line="480" w:lineRule="auto"/>
      </w:pPr>
    </w:p>
    <w:p w14:paraId="6324EE6D" w14:textId="3CF94884" w:rsidR="00D20F46" w:rsidRDefault="00D20F46" w:rsidP="00183081">
      <w:pPr>
        <w:spacing w:line="480" w:lineRule="auto"/>
      </w:pPr>
      <w:r>
        <w:t xml:space="preserve">The </w:t>
      </w:r>
      <w:r w:rsidR="00D4162F">
        <w:t>second</w:t>
      </w:r>
      <w:r>
        <w:t xml:space="preserve"> most influential part of Plutarch and Herodotus’ works is their influence over how modern scholars </w:t>
      </w:r>
      <w:r w:rsidR="00D4162F">
        <w:t>understand Spartan marriage</w:t>
      </w:r>
      <w:r w:rsidR="00F97C33">
        <w:t xml:space="preserve"> and </w:t>
      </w:r>
      <w:r w:rsidR="00D4162F">
        <w:t xml:space="preserve">how </w:t>
      </w:r>
      <w:r w:rsidR="00F97C33">
        <w:t xml:space="preserve">the larger degree of freedom </w:t>
      </w:r>
      <w:r w:rsidR="00D4162F">
        <w:t>spartan women experienced in their marriages</w:t>
      </w:r>
      <w:r w:rsidR="00F97C33">
        <w:t xml:space="preserve"> marked</w:t>
      </w:r>
      <w:r w:rsidR="00D4162F">
        <w:t xml:space="preserve"> Spartan marriages </w:t>
      </w:r>
      <w:r w:rsidR="00F97C33">
        <w:t>as</w:t>
      </w:r>
      <w:r w:rsidR="00D4162F">
        <w:t xml:space="preserve"> different to other poleis of the time</w:t>
      </w:r>
      <w:r w:rsidR="00D4162F">
        <w:rPr>
          <w:rStyle w:val="FootnoteReference"/>
        </w:rPr>
        <w:footnoteReference w:id="31"/>
      </w:r>
      <w:r w:rsidR="00D4162F">
        <w:t>.</w:t>
      </w:r>
      <w:r w:rsidR="004A3218">
        <w:t xml:space="preserve"> Plutarch acts as the main source of modern scholars in trying to decipher Spartan marriage and courtship </w:t>
      </w:r>
      <w:r w:rsidR="00F97C33">
        <w:t>traditions</w:t>
      </w:r>
      <w:r w:rsidR="004A3218">
        <w:t>.</w:t>
      </w:r>
      <w:r w:rsidR="003061D8">
        <w:t xml:space="preserve"> His account of Lycurgus’ life is often used by scholars to validify the notion that all marriages between Spartiate existed to serve the state</w:t>
      </w:r>
      <w:r w:rsidR="00F97C33">
        <w:t xml:space="preserve"> alone</w:t>
      </w:r>
      <w:r w:rsidR="003061D8">
        <w:rPr>
          <w:rStyle w:val="FootnoteReference"/>
        </w:rPr>
        <w:footnoteReference w:id="32"/>
      </w:r>
      <w:r w:rsidR="003061D8">
        <w:t>. Pomeroy describes this happening through two primary methods, firstly the use of the oikos system to promote a prosperous marriage between the couple and future generations, and the “communal ideal” of producing healthy children for the use of the state</w:t>
      </w:r>
      <w:r w:rsidR="003061D8">
        <w:rPr>
          <w:rStyle w:val="FootnoteReference"/>
        </w:rPr>
        <w:footnoteReference w:id="33"/>
      </w:r>
      <w:r w:rsidR="003061D8">
        <w:t>.</w:t>
      </w:r>
      <w:r w:rsidR="00576A69">
        <w:t xml:space="preserve"> According to our modern sources the notion of state-controlled marriage seems highly present in Plutarch’s writings</w:t>
      </w:r>
      <w:r w:rsidR="00F97C33">
        <w:t xml:space="preserve"> and therefore must have been present in Spartan </w:t>
      </w:r>
      <w:r w:rsidR="00F97C33">
        <w:lastRenderedPageBreak/>
        <w:t>society to some extent</w:t>
      </w:r>
      <w:r w:rsidR="00D95525">
        <w:rPr>
          <w:rStyle w:val="FootnoteReference"/>
        </w:rPr>
        <w:footnoteReference w:id="34"/>
      </w:r>
      <w:r w:rsidR="00F97C33">
        <w:t xml:space="preserve">. Ther is a farticualr focus on </w:t>
      </w:r>
      <w:r w:rsidR="00576A69">
        <w:t>the negative consequences and opinions of individuals who did not marry quickly, well or at all</w:t>
      </w:r>
      <w:r w:rsidR="00576A69">
        <w:rPr>
          <w:rStyle w:val="FootnoteReference"/>
        </w:rPr>
        <w:footnoteReference w:id="35"/>
      </w:r>
      <w:r w:rsidR="00F7390F">
        <w:t xml:space="preserve">, as well as the treatment of </w:t>
      </w:r>
      <w:r w:rsidR="00516038">
        <w:t>bachelors</w:t>
      </w:r>
      <w:r w:rsidR="00F7390F">
        <w:t xml:space="preserve"> in Sparta</w:t>
      </w:r>
      <w:r w:rsidR="00F7390F">
        <w:rPr>
          <w:rStyle w:val="FootnoteReference"/>
        </w:rPr>
        <w:footnoteReference w:id="36"/>
      </w:r>
      <w:r w:rsidR="00F7390F">
        <w:t>,</w:t>
      </w:r>
      <w:r w:rsidR="00F97C33">
        <w:t xml:space="preserve"> which are deemed as highly oppressive to modern </w:t>
      </w:r>
      <w:r w:rsidR="00F7390F">
        <w:t>sensibilities</w:t>
      </w:r>
      <w:r w:rsidR="00576A69">
        <w:t>.</w:t>
      </w:r>
      <w:r w:rsidR="00F7390F">
        <w:t xml:space="preserve"> </w:t>
      </w:r>
      <w:r w:rsidR="00D95525">
        <w:t xml:space="preserve">Plutarch also </w:t>
      </w:r>
      <w:r w:rsidR="00516038">
        <w:t>notes other</w:t>
      </w:r>
      <w:r w:rsidR="00F7390F">
        <w:t xml:space="preserve"> oppressive</w:t>
      </w:r>
      <w:r w:rsidR="00D95525">
        <w:t xml:space="preserve"> </w:t>
      </w:r>
      <w:r w:rsidR="00A74B3B">
        <w:t>Spartan</w:t>
      </w:r>
      <w:r w:rsidR="00D95525">
        <w:t xml:space="preserve"> traditions</w:t>
      </w:r>
      <w:r w:rsidR="00F7390F">
        <w:t>, which</w:t>
      </w:r>
      <w:r w:rsidR="00D95525">
        <w:t xml:space="preserve"> </w:t>
      </w:r>
      <w:r w:rsidR="00F7390F">
        <w:t xml:space="preserve">controlled </w:t>
      </w:r>
      <w:r w:rsidR="00D95525">
        <w:t>not just who married on another, but how sexual relations should have been conducted between husband and wife</w:t>
      </w:r>
      <w:r w:rsidR="00D95525">
        <w:rPr>
          <w:rStyle w:val="FootnoteReference"/>
        </w:rPr>
        <w:footnoteReference w:id="37"/>
      </w:r>
      <w:r w:rsidR="00D95525">
        <w:t xml:space="preserve">. Modern scholars </w:t>
      </w:r>
      <w:r w:rsidR="001E6DDB">
        <w:t xml:space="preserve">see this as an extension of the </w:t>
      </w:r>
      <w:r w:rsidR="00A74B3B">
        <w:t>sates</w:t>
      </w:r>
      <w:r w:rsidR="001E6DDB">
        <w:t xml:space="preserve"> </w:t>
      </w:r>
      <w:r w:rsidR="00A74B3B">
        <w:t>control</w:t>
      </w:r>
      <w:r w:rsidR="00D95525">
        <w:t xml:space="preserve"> over </w:t>
      </w:r>
      <w:r w:rsidR="001E6DDB">
        <w:t>the</w:t>
      </w:r>
      <w:r w:rsidR="00D95525">
        <w:t xml:space="preserve"> population</w:t>
      </w:r>
      <w:r w:rsidR="001E6DDB">
        <w:t>,</w:t>
      </w:r>
      <w:r w:rsidR="00D95525">
        <w:t xml:space="preserve"> </w:t>
      </w:r>
      <w:r w:rsidR="001E6DDB">
        <w:t xml:space="preserve">which may have been </w:t>
      </w:r>
      <w:r w:rsidR="00D95525">
        <w:t xml:space="preserve">dwindling </w:t>
      </w:r>
      <w:r w:rsidR="001E6DDB">
        <w:t>and</w:t>
      </w:r>
      <w:r w:rsidR="00D95525">
        <w:t xml:space="preserve"> causing a</w:t>
      </w:r>
      <w:r w:rsidR="001E6DDB">
        <w:t>n</w:t>
      </w:r>
      <w:r w:rsidR="00D95525">
        <w:t xml:space="preserve"> </w:t>
      </w:r>
      <w:r w:rsidR="001E6DDB">
        <w:t>economic</w:t>
      </w:r>
      <w:r w:rsidR="00D95525">
        <w:t xml:space="preserve"> crisis</w:t>
      </w:r>
      <w:r w:rsidR="001E6DDB">
        <w:t>, as discussed by Aristotle</w:t>
      </w:r>
      <w:r w:rsidR="001E6DDB">
        <w:rPr>
          <w:rStyle w:val="FootnoteReference"/>
        </w:rPr>
        <w:footnoteReference w:id="38"/>
      </w:r>
      <w:r w:rsidR="001E6DDB">
        <w:t>. Scholars</w:t>
      </w:r>
      <w:r w:rsidR="00F7390F">
        <w:t xml:space="preserve"> use these sources together to argue</w:t>
      </w:r>
      <w:r w:rsidR="001E6DDB">
        <w:t xml:space="preserve"> that </w:t>
      </w:r>
      <w:r w:rsidR="00F7390F">
        <w:t>a</w:t>
      </w:r>
      <w:r w:rsidR="001E6DDB">
        <w:t xml:space="preserve"> dwindling population is what made the state allow for multiple marriages, or </w:t>
      </w:r>
      <w:r w:rsidR="001E6DDB" w:rsidRPr="001E6DDB">
        <w:t>polyamic</w:t>
      </w:r>
      <w:r w:rsidR="001E6DDB">
        <w:t xml:space="preserve"> relationships</w:t>
      </w:r>
      <w:r w:rsidR="001E6DDB">
        <w:rPr>
          <w:rStyle w:val="FootnoteReference"/>
        </w:rPr>
        <w:footnoteReference w:id="39"/>
      </w:r>
      <w:r w:rsidR="001E6DDB">
        <w:t xml:space="preserve">. This however doesn’t actually fit into the explanations Plutarch gives us, where marriage seems to be expressly monogamous in nature and </w:t>
      </w:r>
      <w:r w:rsidR="00F7390F">
        <w:t>his representation of</w:t>
      </w:r>
      <w:r w:rsidR="001E6DDB">
        <w:t xml:space="preserve"> state interference is more to do with the moral character of those involved</w:t>
      </w:r>
      <w:r w:rsidR="004658D7">
        <w:rPr>
          <w:rStyle w:val="FootnoteReference"/>
        </w:rPr>
        <w:footnoteReference w:id="40"/>
      </w:r>
      <w:r w:rsidR="001E6DDB">
        <w:t>.</w:t>
      </w:r>
      <w:r w:rsidR="000313CD">
        <w:t xml:space="preserve"> </w:t>
      </w:r>
      <w:r w:rsidR="00F7390F">
        <w:t xml:space="preserve">Here most likely scholars such as Pomeroy and Scott will be </w:t>
      </w:r>
      <w:r w:rsidR="00A660E8">
        <w:t xml:space="preserve">supplementing Plutarch with works that came before him, such as Xenophon in order to </w:t>
      </w:r>
      <w:r w:rsidR="000313CD">
        <w:t>valid</w:t>
      </w:r>
      <w:r w:rsidR="00A660E8">
        <w:t>ate</w:t>
      </w:r>
      <w:r w:rsidR="000313CD">
        <w:t xml:space="preserve"> their argument</w:t>
      </w:r>
      <w:r w:rsidR="000313CD">
        <w:rPr>
          <w:rStyle w:val="FootnoteReference"/>
        </w:rPr>
        <w:footnoteReference w:id="41"/>
      </w:r>
      <w:r w:rsidR="000313CD">
        <w:t>.</w:t>
      </w:r>
    </w:p>
    <w:p w14:paraId="6C06CFF4" w14:textId="5C64AB44" w:rsidR="000313CD" w:rsidRDefault="000313CD" w:rsidP="00183081">
      <w:pPr>
        <w:spacing w:line="480" w:lineRule="auto"/>
      </w:pPr>
    </w:p>
    <w:p w14:paraId="723D1423" w14:textId="4BE3BF11" w:rsidR="00241153" w:rsidRDefault="000313CD" w:rsidP="00183081">
      <w:pPr>
        <w:spacing w:line="480" w:lineRule="auto"/>
      </w:pPr>
      <w:r>
        <w:t>Herodotus</w:t>
      </w:r>
      <w:r w:rsidR="0013710D">
        <w:t>’</w:t>
      </w:r>
      <w:r>
        <w:t xml:space="preserve"> impact on modern </w:t>
      </w:r>
      <w:r w:rsidR="00A74B3B">
        <w:t>scholars’</w:t>
      </w:r>
      <w:r>
        <w:t xml:space="preserve"> image of marriage is perhaps </w:t>
      </w:r>
      <w:r w:rsidR="0013710D">
        <w:t xml:space="preserve">one of </w:t>
      </w:r>
      <w:r>
        <w:t xml:space="preserve">the most </w:t>
      </w:r>
      <w:r w:rsidR="0013710D">
        <w:t xml:space="preserve">obvious signs of source bias and selective bias I have found on Spartan women. The main crux of this issue is whether or not Spartan women had control over who they were marrying, and whether the eventual nuptials of such a match were consensual.  Whilst a lot </w:t>
      </w:r>
      <w:r w:rsidR="0013710D">
        <w:lastRenderedPageBreak/>
        <w:t xml:space="preserve">of scholarship on Spartan women often focuses on how Spartan women were </w:t>
      </w:r>
      <w:r w:rsidR="00A74B3B">
        <w:t>generally</w:t>
      </w:r>
      <w:r w:rsidR="0013710D">
        <w:t xml:space="preserve"> considered quite free and liberated in the ancient world</w:t>
      </w:r>
      <w:r w:rsidR="00CA12AF">
        <w:rPr>
          <w:rStyle w:val="FootnoteReference"/>
        </w:rPr>
        <w:footnoteReference w:id="42"/>
      </w:r>
      <w:r w:rsidR="0013710D">
        <w:t xml:space="preserve">, </w:t>
      </w:r>
      <w:r w:rsidR="003C0A3C">
        <w:t>such as</w:t>
      </w:r>
      <w:r w:rsidR="0013710D">
        <w:t xml:space="preserve"> being able to get married 18 quite late compared to Athenian women</w:t>
      </w:r>
      <w:r w:rsidR="0013710D">
        <w:rPr>
          <w:rStyle w:val="FootnoteReference"/>
        </w:rPr>
        <w:footnoteReference w:id="43"/>
      </w:r>
      <w:r w:rsidR="0013710D">
        <w:t xml:space="preserve">. They also had large amounts of </w:t>
      </w:r>
      <w:r w:rsidR="00A74B3B">
        <w:t>leisure</w:t>
      </w:r>
      <w:r w:rsidR="0013710D">
        <w:t xml:space="preserve"> time as servants and slaves did the c</w:t>
      </w:r>
      <w:r w:rsidR="003C0A3C">
        <w:t>h</w:t>
      </w:r>
      <w:r w:rsidR="0013710D">
        <w:t xml:space="preserve">ores that </w:t>
      </w:r>
      <w:r w:rsidR="003C0A3C">
        <w:t>e</w:t>
      </w:r>
      <w:r w:rsidR="0013710D">
        <w:t>lite women normally d</w:t>
      </w:r>
      <w:r w:rsidR="003C0A3C">
        <w:t>id</w:t>
      </w:r>
      <w:r w:rsidR="0013710D">
        <w:t xml:space="preserve"> in the Greek world, such as weaving and </w:t>
      </w:r>
      <w:r w:rsidR="001F43DB">
        <w:t>cleaning</w:t>
      </w:r>
      <w:r w:rsidR="0013710D">
        <w:rPr>
          <w:rStyle w:val="FootnoteReference"/>
        </w:rPr>
        <w:footnoteReference w:id="44"/>
      </w:r>
      <w:r w:rsidR="0013710D">
        <w:t>.</w:t>
      </w:r>
      <w:r w:rsidR="007661FA">
        <w:t xml:space="preserve"> As mentioned above, scholars also believe a </w:t>
      </w:r>
      <w:r w:rsidR="00A74B3B">
        <w:t>woman’s</w:t>
      </w:r>
      <w:r w:rsidR="007661FA">
        <w:t xml:space="preserve"> physical education </w:t>
      </w:r>
      <w:r w:rsidR="00A74B3B">
        <w:t>afforded</w:t>
      </w:r>
      <w:r w:rsidR="007661FA">
        <w:t xml:space="preserve"> her a lot of freedom and strength with which to fight against men if they needed to</w:t>
      </w:r>
      <w:r w:rsidR="007661FA">
        <w:rPr>
          <w:rStyle w:val="FootnoteReference"/>
        </w:rPr>
        <w:footnoteReference w:id="45"/>
      </w:r>
      <w:r w:rsidR="007661FA">
        <w:t xml:space="preserve">. </w:t>
      </w:r>
      <w:r w:rsidR="00A74B3B">
        <w:t>However,</w:t>
      </w:r>
      <w:r w:rsidR="007661FA">
        <w:t xml:space="preserve"> </w:t>
      </w:r>
      <w:r w:rsidR="003C0A3C">
        <w:t>w</w:t>
      </w:r>
      <w:r w:rsidR="007661FA">
        <w:t>hen it comes to the traditions and rituals of marriage in Sparta</w:t>
      </w:r>
      <w:r w:rsidR="00A74B3B">
        <w:t>,</w:t>
      </w:r>
      <w:r w:rsidR="007661FA">
        <w:t xml:space="preserve"> modern </w:t>
      </w:r>
      <w:r w:rsidR="00A74B3B">
        <w:t>scholars</w:t>
      </w:r>
      <w:r w:rsidR="007661FA">
        <w:t xml:space="preserve"> have difficulty placing the </w:t>
      </w:r>
      <w:r w:rsidR="00A74B3B">
        <w:t>evidence</w:t>
      </w:r>
      <w:r w:rsidR="007661FA">
        <w:t xml:space="preserve"> </w:t>
      </w:r>
      <w:r w:rsidR="00A74B3B">
        <w:t>and</w:t>
      </w:r>
      <w:r w:rsidR="007661FA">
        <w:t xml:space="preserve"> explanations given to </w:t>
      </w:r>
      <w:r w:rsidR="00A74B3B">
        <w:t xml:space="preserve">us by ancient sources, alongside their presentation of women in other areas of life. Both Plutarch and Herodotus tell us that the traditional way of getting a bride was through ritualistic kidnapping, where the woman’s head would be shaved, she was dressed in a man’s cloak and left alone in a bedroom to await her </w:t>
      </w:r>
      <w:r w:rsidR="00516038">
        <w:t>husband’s</w:t>
      </w:r>
      <w:r w:rsidR="00A74B3B">
        <w:t xml:space="preserve"> arrival</w:t>
      </w:r>
      <w:r w:rsidR="00511CE8">
        <w:rPr>
          <w:rStyle w:val="FootnoteReference"/>
        </w:rPr>
        <w:footnoteReference w:id="46"/>
      </w:r>
      <w:r w:rsidR="00A74B3B">
        <w:t>.</w:t>
      </w:r>
      <w:r w:rsidR="004C4C85">
        <w:t xml:space="preserve"> Modern </w:t>
      </w:r>
      <w:r w:rsidR="00516038">
        <w:t>scholars</w:t>
      </w:r>
      <w:r w:rsidR="004C4C85">
        <w:t xml:space="preserve">, particularly those who argue for feminist stances often have difficulty </w:t>
      </w:r>
      <w:r w:rsidR="00516038">
        <w:t>incorporating</w:t>
      </w:r>
      <w:r w:rsidR="004C4C85">
        <w:t xml:space="preserve"> this into their historical record without </w:t>
      </w:r>
      <w:r w:rsidR="00516038">
        <w:t>losing</w:t>
      </w:r>
      <w:r w:rsidR="004C4C85">
        <w:t xml:space="preserve"> the image of Spartan women they have created</w:t>
      </w:r>
      <w:r w:rsidR="004C4C85">
        <w:rPr>
          <w:rStyle w:val="FootnoteReference"/>
        </w:rPr>
        <w:footnoteReference w:id="47"/>
      </w:r>
      <w:r w:rsidR="004C4C85">
        <w:t xml:space="preserve">. So instead they use </w:t>
      </w:r>
      <w:r w:rsidR="00516038">
        <w:t>Herodotus’</w:t>
      </w:r>
      <w:r w:rsidR="004C4C85">
        <w:t xml:space="preserve"> account</w:t>
      </w:r>
      <w:r w:rsidR="004C4C85">
        <w:rPr>
          <w:rStyle w:val="FootnoteReference"/>
        </w:rPr>
        <w:footnoteReference w:id="48"/>
      </w:r>
      <w:r w:rsidR="004C4C85">
        <w:t xml:space="preserve"> to argue that fathers would have traditionally have given consent for their daughter to marry, implying that there would have been some knowledge of the </w:t>
      </w:r>
      <w:r w:rsidR="00DF7239">
        <w:t xml:space="preserve">ritual before it took place, </w:t>
      </w:r>
      <w:r w:rsidR="00516038">
        <w:t>instead</w:t>
      </w:r>
      <w:r w:rsidR="00DF7239">
        <w:t xml:space="preserve"> of it being a forcible struggle</w:t>
      </w:r>
      <w:r w:rsidR="00DF7239">
        <w:rPr>
          <w:rStyle w:val="FootnoteReference"/>
        </w:rPr>
        <w:footnoteReference w:id="49"/>
      </w:r>
      <w:r w:rsidR="00DF7239">
        <w:t>, as the idea that women had no control over their romantic partner goes against the popular theory of g</w:t>
      </w:r>
      <w:r w:rsidR="00DF7239">
        <w:t>ynaikokratia</w:t>
      </w:r>
      <w:r w:rsidR="00DF7239">
        <w:rPr>
          <w:rStyle w:val="FootnoteReference"/>
        </w:rPr>
        <w:footnoteReference w:id="50"/>
      </w:r>
      <w:r w:rsidR="00DF7239">
        <w:t xml:space="preserve">. </w:t>
      </w:r>
      <w:r w:rsidR="00516038">
        <w:t>However,</w:t>
      </w:r>
      <w:r w:rsidR="00DF7239">
        <w:t xml:space="preserve"> The use of Herodotus here is deliberate by modern scholars, in </w:t>
      </w:r>
      <w:r w:rsidR="00DF7239">
        <w:lastRenderedPageBreak/>
        <w:t xml:space="preserve">order </w:t>
      </w:r>
      <w:r w:rsidR="00516038">
        <w:t>to avoid</w:t>
      </w:r>
      <w:r w:rsidR="00DF7239">
        <w:t xml:space="preserve"> addressing </w:t>
      </w:r>
      <w:r w:rsidR="00516038">
        <w:t>the</w:t>
      </w:r>
      <w:r w:rsidR="00DF7239">
        <w:t xml:space="preserve"> anomaly that appears in Spartan </w:t>
      </w:r>
      <w:r w:rsidR="00516038">
        <w:t>women’s</w:t>
      </w:r>
      <w:r w:rsidR="00DF7239">
        <w:t xml:space="preserve"> portrayal in scholarship. Despite </w:t>
      </w:r>
      <w:r w:rsidR="00516038">
        <w:t>Herodotus’</w:t>
      </w:r>
      <w:r w:rsidR="00DF7239">
        <w:t xml:space="preserve"> </w:t>
      </w:r>
      <w:r w:rsidR="00516038">
        <w:t>account of</w:t>
      </w:r>
      <w:r w:rsidR="00DF7239">
        <w:t xml:space="preserve"> fathers giving consent to their daughters, we still cannot be sure exactly if women had the freedom to choose a husband. Despite Pomeroy’s argument that the ritual was merely a tradition, and that the Spartan women could have resisted with her physical strength if she needed to</w:t>
      </w:r>
      <w:r w:rsidR="00DF7239">
        <w:rPr>
          <w:rStyle w:val="FootnoteReference"/>
        </w:rPr>
        <w:footnoteReference w:id="51"/>
      </w:r>
      <w:r w:rsidR="00A919DB">
        <w:t xml:space="preserve">, we cannot forget that </w:t>
      </w:r>
      <w:r w:rsidR="00516038">
        <w:t>despite</w:t>
      </w:r>
      <w:r w:rsidR="00A919DB">
        <w:t xml:space="preserve"> not being under direct male control a Spartan women as still under the societal control of the state</w:t>
      </w:r>
      <w:r w:rsidR="00A919DB">
        <w:rPr>
          <w:rStyle w:val="FootnoteReference"/>
        </w:rPr>
        <w:footnoteReference w:id="52"/>
      </w:r>
      <w:r w:rsidR="00A919DB">
        <w:t xml:space="preserve"> and was therefore no more free in her decisions of marriage than her Athenian sisters.</w:t>
      </w:r>
    </w:p>
    <w:p w14:paraId="29290CE8" w14:textId="26E0DA21" w:rsidR="00A919DB" w:rsidRDefault="00A919DB" w:rsidP="00183081">
      <w:pPr>
        <w:spacing w:line="480" w:lineRule="auto"/>
      </w:pPr>
    </w:p>
    <w:p w14:paraId="2C06B19A" w14:textId="4D451CBE" w:rsidR="00B74901" w:rsidRDefault="00A919DB" w:rsidP="00183081">
      <w:pPr>
        <w:spacing w:line="480" w:lineRule="auto"/>
      </w:pPr>
      <w:r>
        <w:t xml:space="preserve">The last great impact of Herodotus and </w:t>
      </w:r>
      <w:r w:rsidR="00516038">
        <w:t>Plutarch’s</w:t>
      </w:r>
      <w:r>
        <w:t xml:space="preserve"> works is their presentations of motherhood in Sparta. Herodotus here offers little direct </w:t>
      </w:r>
      <w:r w:rsidR="00516038">
        <w:t>evidence,</w:t>
      </w:r>
      <w:r>
        <w:t xml:space="preserve"> but we can see what he seems to denote mothers from Sparta</w:t>
      </w:r>
      <w:r w:rsidR="00834691" w:rsidRPr="00834691">
        <w:t xml:space="preserve"> </w:t>
      </w:r>
      <w:r w:rsidR="00834691">
        <w:t>as special or praiseworthy</w:t>
      </w:r>
      <w:r>
        <w:t xml:space="preserve"> </w:t>
      </w:r>
      <w:r w:rsidR="00834691">
        <w:t>p</w:t>
      </w:r>
      <w:r>
        <w:t>articularly we see his idolisation of Gorgo</w:t>
      </w:r>
      <w:r>
        <w:rPr>
          <w:rStyle w:val="FootnoteReference"/>
        </w:rPr>
        <w:footnoteReference w:id="53"/>
      </w:r>
      <w:r w:rsidR="00834691">
        <w:t xml:space="preserve"> who is presented intelligent and subservient to her state</w:t>
      </w:r>
      <w:r w:rsidR="00834691">
        <w:rPr>
          <w:rStyle w:val="FootnoteReference"/>
        </w:rPr>
        <w:footnoteReference w:id="54"/>
      </w:r>
      <w:r w:rsidR="00834691">
        <w:t>.</w:t>
      </w:r>
      <w:r w:rsidR="00CE1FD5">
        <w:t xml:space="preserve"> Herodotus, </w:t>
      </w:r>
      <w:r w:rsidR="00516038">
        <w:t>however</w:t>
      </w:r>
      <w:r w:rsidR="00CE1FD5">
        <w:t>, is primarily used to supplement Plutarch, whose ‘</w:t>
      </w:r>
      <w:r w:rsidR="00CE1FD5">
        <w:rPr>
          <w:i/>
          <w:iCs/>
        </w:rPr>
        <w:t xml:space="preserve">sayings of Spartan women’ </w:t>
      </w:r>
      <w:r w:rsidR="00CE1FD5">
        <w:t xml:space="preserve">make up the main foundations of how we perceive Spartan motherhood, along with extracts from his Lives. </w:t>
      </w:r>
      <w:r w:rsidR="00516038">
        <w:t>Plutarch’s</w:t>
      </w:r>
      <w:r w:rsidR="00CE1FD5">
        <w:t xml:space="preserve"> </w:t>
      </w:r>
      <w:r w:rsidR="00CE1FD5">
        <w:rPr>
          <w:i/>
          <w:iCs/>
        </w:rPr>
        <w:t>sayings</w:t>
      </w:r>
      <w:r w:rsidR="00CE1FD5">
        <w:t xml:space="preserve"> are highlighted by academia as showing that spartan women new her role in life was to produce warriors for the Spartan state</w:t>
      </w:r>
      <w:r w:rsidR="00CE1FD5">
        <w:rPr>
          <w:rStyle w:val="FootnoteReference"/>
        </w:rPr>
        <w:footnoteReference w:id="55"/>
      </w:r>
      <w:r w:rsidR="002E3F6A">
        <w:t xml:space="preserve">. Modern scholars widely agree that a spartan </w:t>
      </w:r>
      <w:r w:rsidR="00516038">
        <w:t>woman’s</w:t>
      </w:r>
      <w:r w:rsidR="002E3F6A">
        <w:t xml:space="preserve"> main contribution </w:t>
      </w:r>
      <w:r w:rsidR="00516038">
        <w:t>her</w:t>
      </w:r>
      <w:r w:rsidR="002E3F6A">
        <w:t xml:space="preserve"> community was her ability to become a mother</w:t>
      </w:r>
      <w:r w:rsidR="002E3F6A">
        <w:rPr>
          <w:rStyle w:val="FootnoteReference"/>
        </w:rPr>
        <w:footnoteReference w:id="56"/>
      </w:r>
      <w:r w:rsidR="002E3F6A">
        <w:t xml:space="preserve">. Mothers in </w:t>
      </w:r>
      <w:r w:rsidR="00516038">
        <w:t>Plutarch’s</w:t>
      </w:r>
      <w:r w:rsidR="002E3F6A">
        <w:t xml:space="preserve"> works are mainly concerned with the </w:t>
      </w:r>
      <w:r w:rsidR="002E3F6A">
        <w:lastRenderedPageBreak/>
        <w:t>ability to raise good sons</w:t>
      </w:r>
      <w:r w:rsidR="002E3F6A">
        <w:rPr>
          <w:rStyle w:val="FootnoteReference"/>
        </w:rPr>
        <w:footnoteReference w:id="57"/>
      </w:r>
      <w:r w:rsidR="00B45061">
        <w:t xml:space="preserve">. </w:t>
      </w:r>
      <w:r w:rsidR="00CF31BA">
        <w:t>M</w:t>
      </w:r>
      <w:r w:rsidR="002E3F6A">
        <w:t xml:space="preserve">odern scholars have used </w:t>
      </w:r>
      <w:r w:rsidR="00516038">
        <w:t>Plutarch’s</w:t>
      </w:r>
      <w:r w:rsidR="002E3F6A">
        <w:t xml:space="preserve"> work </w:t>
      </w:r>
      <w:r w:rsidR="00B45061">
        <w:t>and</w:t>
      </w:r>
      <w:r w:rsidR="002E3F6A">
        <w:t xml:space="preserve"> the </w:t>
      </w:r>
      <w:r w:rsidR="00B45061">
        <w:t xml:space="preserve">seemingly </w:t>
      </w:r>
      <w:r w:rsidR="002E3F6A">
        <w:t xml:space="preserve">close connection that </w:t>
      </w:r>
      <w:r w:rsidR="00516038">
        <w:t>Spartan</w:t>
      </w:r>
      <w:r w:rsidR="002E3F6A">
        <w:t xml:space="preserve"> mothers seem to have to their sons</w:t>
      </w:r>
      <w:r w:rsidR="002E3F6A">
        <w:rPr>
          <w:rStyle w:val="FootnoteReference"/>
        </w:rPr>
        <w:footnoteReference w:id="58"/>
      </w:r>
      <w:r w:rsidR="00B45061">
        <w:t xml:space="preserve"> to argue for elements of g</w:t>
      </w:r>
      <w:r w:rsidR="00B45061">
        <w:t>ynaikokratia</w:t>
      </w:r>
      <w:r w:rsidR="00B45061">
        <w:t xml:space="preserve"> within spartan society, as the women seem to have the ultimate control over the males, via their roles as mothers</w:t>
      </w:r>
      <w:r w:rsidR="00B45061">
        <w:rPr>
          <w:rStyle w:val="FootnoteReference"/>
        </w:rPr>
        <w:footnoteReference w:id="59"/>
      </w:r>
      <w:r w:rsidR="00B45061">
        <w:t>. Particularly the saying most focused on are those made by Gorgo</w:t>
      </w:r>
      <w:r w:rsidR="00FC2F3B">
        <w:t xml:space="preserve"> and other famous named spartan women</w:t>
      </w:r>
      <w:r w:rsidR="00FC2F3B">
        <w:rPr>
          <w:rStyle w:val="FootnoteReference"/>
        </w:rPr>
        <w:footnoteReference w:id="60"/>
      </w:r>
      <w:r w:rsidR="00FC2F3B">
        <w:t xml:space="preserve">. Issues with these reading </w:t>
      </w:r>
      <w:r w:rsidR="00516038">
        <w:t>occur</w:t>
      </w:r>
      <w:r w:rsidR="00FC2F3B">
        <w:t xml:space="preserve"> </w:t>
      </w:r>
      <w:r w:rsidR="00516038">
        <w:t>when</w:t>
      </w:r>
      <w:r w:rsidR="00FC2F3B">
        <w:t xml:space="preserve"> closer </w:t>
      </w:r>
      <w:r w:rsidR="00516038">
        <w:t>analysing</w:t>
      </w:r>
      <w:r w:rsidR="00FC2F3B">
        <w:t xml:space="preserve"> </w:t>
      </w:r>
      <w:r w:rsidR="00516038">
        <w:t>Plutarch’s</w:t>
      </w:r>
      <w:r w:rsidR="00FC2F3B">
        <w:t xml:space="preserve"> works. Despite being </w:t>
      </w:r>
      <w:r w:rsidR="00516038">
        <w:t>apothegms</w:t>
      </w:r>
      <w:r w:rsidR="00FC2F3B">
        <w:t>, they can be proverbial in nature</w:t>
      </w:r>
      <w:r w:rsidR="00FC2F3B">
        <w:rPr>
          <w:rStyle w:val="FootnoteReference"/>
        </w:rPr>
        <w:footnoteReference w:id="61"/>
      </w:r>
      <w:r w:rsidR="00FC2F3B">
        <w:t>, and therefore should not be taken as literally as some scholars have seemed to. It is unknown if the Sayings are even spartan in origin</w:t>
      </w:r>
      <w:r w:rsidR="00FC2F3B">
        <w:rPr>
          <w:rStyle w:val="FootnoteReference"/>
        </w:rPr>
        <w:footnoteReference w:id="62"/>
      </w:r>
      <w:r w:rsidR="00FC2F3B">
        <w:t>, or whether Plutarch himself had created them himself in order to appeal to his roman audience</w:t>
      </w:r>
      <w:r w:rsidR="00FC2F3B">
        <w:rPr>
          <w:rStyle w:val="FootnoteReference"/>
        </w:rPr>
        <w:footnoteReference w:id="63"/>
      </w:r>
      <w:r w:rsidR="00FC2F3B">
        <w:t>. Whilst some of the sayings can be found in Herodotus work</w:t>
      </w:r>
      <w:r w:rsidR="00FC2F3B">
        <w:rPr>
          <w:rStyle w:val="FootnoteReference"/>
        </w:rPr>
        <w:footnoteReference w:id="64"/>
      </w:r>
      <w:r w:rsidR="00FC2F3B">
        <w:t xml:space="preserve">, others are of an unknown origin and are most likely not contemporaneous to </w:t>
      </w:r>
      <w:r w:rsidR="00516038">
        <w:t>Plutarch’s</w:t>
      </w:r>
      <w:r w:rsidR="00FC2F3B">
        <w:t xml:space="preserve"> own </w:t>
      </w:r>
      <w:r w:rsidR="00516038">
        <w:t>writings</w:t>
      </w:r>
      <w:r w:rsidR="00FC2F3B">
        <w:rPr>
          <w:rStyle w:val="FootnoteReference"/>
        </w:rPr>
        <w:footnoteReference w:id="65"/>
      </w:r>
      <w:r w:rsidR="00FC2F3B">
        <w:t>. This would all affect both the meaning and validity of using Plutarch in modern scholarship</w:t>
      </w:r>
      <w:r w:rsidR="00785F31">
        <w:t xml:space="preserve">, and add to </w:t>
      </w:r>
      <w:r w:rsidR="00516038">
        <w:t>scholar’s</w:t>
      </w:r>
      <w:r w:rsidR="00785F31">
        <w:t xml:space="preserve"> confusion on what </w:t>
      </w:r>
      <w:r w:rsidR="00516038">
        <w:t>being</w:t>
      </w:r>
      <w:r w:rsidR="00785F31">
        <w:t xml:space="preserve"> a mother in ancient Sparta would have </w:t>
      </w:r>
      <w:r w:rsidR="00516038">
        <w:t>really</w:t>
      </w:r>
      <w:r w:rsidR="00785F31">
        <w:t xml:space="preserve"> been like</w:t>
      </w:r>
    </w:p>
    <w:p w14:paraId="01CD1F5E" w14:textId="77777777" w:rsidR="00930502" w:rsidRDefault="00930502" w:rsidP="00183081">
      <w:pPr>
        <w:spacing w:line="480" w:lineRule="auto"/>
      </w:pPr>
    </w:p>
    <w:p w14:paraId="0046A8B6" w14:textId="221E27AC" w:rsidR="00B74901" w:rsidRDefault="00B74901" w:rsidP="00183081">
      <w:pPr>
        <w:spacing w:line="480" w:lineRule="auto"/>
      </w:pPr>
      <w:r>
        <w:t xml:space="preserve">Herodotus and Plutarch often feature as modern scholarships main two sources for depicting what Spartan women were like. Generally modern scholars </w:t>
      </w:r>
      <w:r>
        <w:t>use them to</w:t>
      </w:r>
      <w:r w:rsidR="008B2376">
        <w:t xml:space="preserve"> </w:t>
      </w:r>
      <w:r>
        <w:t xml:space="preserve">focus on three key elements of Spartan women, their education, their role as wives and motherhood. Often all three of these areas are discussed in concern of the women’s freedoms and differences in lifestyle in comparison to Athenian women. Herodotus is mainly used as an </w:t>
      </w:r>
      <w:r>
        <w:lastRenderedPageBreak/>
        <w:t>insight into how famous and idealised women of Sparta may have represented trends in wider contemporary society, with his writings have the largest impact on our understanding of marriage.</w:t>
      </w:r>
      <w:r>
        <w:t xml:space="preserve"> However modern </w:t>
      </w:r>
      <w:r w:rsidR="00516038">
        <w:t>scholars</w:t>
      </w:r>
      <w:r>
        <w:t xml:space="preserve"> have </w:t>
      </w:r>
      <w:r w:rsidR="00516038">
        <w:t>cherry-picked</w:t>
      </w:r>
      <w:r>
        <w:t xml:space="preserve"> parts of his work so that it may compliment their argument for a more feminist reading of </w:t>
      </w:r>
      <w:r w:rsidR="00516038">
        <w:t>Spartan</w:t>
      </w:r>
      <w:r>
        <w:t xml:space="preserve"> women.</w:t>
      </w:r>
      <w:r>
        <w:t xml:space="preserve"> Plutarch </w:t>
      </w:r>
      <w:r>
        <w:t>is clearly</w:t>
      </w:r>
      <w:r>
        <w:t xml:space="preserve"> academia’s first port of call for Spartan women from archaic to post-classical eras. Plutarch’s main </w:t>
      </w:r>
      <w:r>
        <w:t>use</w:t>
      </w:r>
      <w:r>
        <w:t xml:space="preserve"> appears to be in </w:t>
      </w:r>
      <w:r>
        <w:t>e</w:t>
      </w:r>
      <w:r>
        <w:t>ducation and motherhood</w:t>
      </w:r>
      <w:r>
        <w:t xml:space="preserve">, but he is more widely used than Herodotus in modern scholarship due to his accounts often </w:t>
      </w:r>
      <w:r w:rsidR="00516038">
        <w:t>being</w:t>
      </w:r>
      <w:r>
        <w:t xml:space="preserve"> quite flattering of Sparta and reflective of positive trait of modern society, even if they were not considered positive at the time.</w:t>
      </w:r>
      <w:r>
        <w:t xml:space="preserve"> </w:t>
      </w:r>
    </w:p>
    <w:p w14:paraId="5D6541EA" w14:textId="60AF1482" w:rsidR="00B74901" w:rsidRDefault="00B74901" w:rsidP="00183081">
      <w:pPr>
        <w:spacing w:line="480" w:lineRule="auto"/>
      </w:pPr>
    </w:p>
    <w:p w14:paraId="737E6DC9" w14:textId="5446BA2B" w:rsidR="00B45061" w:rsidRDefault="00B45061" w:rsidP="00183081">
      <w:pPr>
        <w:spacing w:line="480" w:lineRule="auto"/>
      </w:pPr>
    </w:p>
    <w:p w14:paraId="0A953080" w14:textId="18724AEF" w:rsidR="00241153" w:rsidRDefault="00241153" w:rsidP="00183081">
      <w:pPr>
        <w:spacing w:line="480" w:lineRule="auto"/>
      </w:pPr>
    </w:p>
    <w:p w14:paraId="3DE306E4" w14:textId="7A752730" w:rsidR="000F7568" w:rsidRDefault="000F7568">
      <w:r>
        <w:br w:type="page"/>
      </w:r>
    </w:p>
    <w:p w14:paraId="7D0DC740" w14:textId="77777777" w:rsidR="00521983" w:rsidRPr="00993937" w:rsidRDefault="00521983" w:rsidP="00521983">
      <w:pPr>
        <w:pStyle w:val="NormalWeb"/>
        <w:spacing w:before="0" w:beforeAutospacing="0" w:after="240" w:afterAutospacing="0" w:line="360" w:lineRule="atLeast"/>
        <w:rPr>
          <w:color w:val="000000"/>
          <w:sz w:val="28"/>
          <w:szCs w:val="28"/>
          <w:u w:val="single"/>
        </w:rPr>
      </w:pPr>
      <w:r w:rsidRPr="00993937">
        <w:rPr>
          <w:color w:val="000000"/>
          <w:sz w:val="28"/>
          <w:szCs w:val="28"/>
          <w:u w:val="single"/>
        </w:rPr>
        <w:lastRenderedPageBreak/>
        <w:t>Bibliography.</w:t>
      </w:r>
    </w:p>
    <w:p w14:paraId="14A1D425" w14:textId="77777777" w:rsidR="00521983" w:rsidRDefault="00521983" w:rsidP="00521983">
      <w:pPr>
        <w:pStyle w:val="NormalWeb"/>
        <w:spacing w:before="0" w:beforeAutospacing="0" w:after="240" w:afterAutospacing="0" w:line="360" w:lineRule="atLeast"/>
        <w:rPr>
          <w:color w:val="000000"/>
          <w:sz w:val="28"/>
          <w:szCs w:val="28"/>
        </w:rPr>
      </w:pPr>
    </w:p>
    <w:p w14:paraId="1F544684" w14:textId="77777777" w:rsidR="00521983" w:rsidRPr="005B545F" w:rsidRDefault="00521983" w:rsidP="00521983">
      <w:pPr>
        <w:pStyle w:val="NormalWeb"/>
        <w:spacing w:before="0" w:beforeAutospacing="0" w:after="240" w:afterAutospacing="0" w:line="360" w:lineRule="atLeast"/>
        <w:rPr>
          <w:color w:val="000000"/>
          <w:sz w:val="28"/>
          <w:szCs w:val="28"/>
        </w:rPr>
      </w:pPr>
      <w:r>
        <w:rPr>
          <w:color w:val="000000"/>
          <w:sz w:val="28"/>
          <w:szCs w:val="28"/>
        </w:rPr>
        <w:t>Modern Sources.</w:t>
      </w:r>
    </w:p>
    <w:p w14:paraId="7F21FCD5" w14:textId="77777777" w:rsidR="00521983" w:rsidRDefault="00521983" w:rsidP="00521983">
      <w:pPr>
        <w:pStyle w:val="NormalWeb"/>
        <w:spacing w:before="0" w:beforeAutospacing="0" w:after="240" w:afterAutospacing="0" w:line="360" w:lineRule="atLeast"/>
        <w:rPr>
          <w:color w:val="000000"/>
        </w:rPr>
      </w:pPr>
      <w:r>
        <w:rPr>
          <w:color w:val="000000"/>
        </w:rPr>
        <w:t>Blundell, S. (1995). </w:t>
      </w:r>
      <w:r>
        <w:rPr>
          <w:i/>
          <w:iCs/>
          <w:color w:val="000000"/>
        </w:rPr>
        <w:t>Women in ancient Greece</w:t>
      </w:r>
      <w:r>
        <w:rPr>
          <w:color w:val="000000"/>
        </w:rPr>
        <w:t>. Cambridge, Mass.: Harvard University Press.</w:t>
      </w:r>
    </w:p>
    <w:p w14:paraId="55ED7123" w14:textId="6E298856" w:rsidR="00521983" w:rsidRDefault="00521983" w:rsidP="00521983">
      <w:pPr>
        <w:pStyle w:val="NormalWeb"/>
        <w:spacing w:before="0" w:beforeAutospacing="0" w:after="240" w:afterAutospacing="0" w:line="360" w:lineRule="atLeast"/>
        <w:rPr>
          <w:color w:val="000000"/>
        </w:rPr>
      </w:pPr>
      <w:r>
        <w:rPr>
          <w:color w:val="000000"/>
        </w:rPr>
        <w:t>Cartledge, P.</w:t>
      </w:r>
      <w:r w:rsidR="00B54648">
        <w:rPr>
          <w:color w:val="000000"/>
        </w:rPr>
        <w:t xml:space="preserve"> (Ed)</w:t>
      </w:r>
      <w:r>
        <w:rPr>
          <w:color w:val="000000"/>
        </w:rPr>
        <w:t xml:space="preserve"> (1998). </w:t>
      </w:r>
      <w:r>
        <w:rPr>
          <w:i/>
          <w:iCs/>
          <w:color w:val="000000"/>
        </w:rPr>
        <w:t>The Cambridge illustrated history of ancient Greece</w:t>
      </w:r>
      <w:r>
        <w:rPr>
          <w:color w:val="000000"/>
        </w:rPr>
        <w:t>. Cambridge, U.K. ; New York, Ny, USA: Cambridge University Press.</w:t>
      </w:r>
    </w:p>
    <w:p w14:paraId="111A2C00" w14:textId="77777777" w:rsidR="00521983" w:rsidRDefault="00521983" w:rsidP="00521983">
      <w:pPr>
        <w:pStyle w:val="NormalWeb"/>
        <w:spacing w:before="0" w:beforeAutospacing="0" w:after="240" w:afterAutospacing="0" w:line="360" w:lineRule="atLeast"/>
        <w:rPr>
          <w:color w:val="000000"/>
        </w:rPr>
      </w:pPr>
      <w:r>
        <w:rPr>
          <w:color w:val="000000"/>
        </w:rPr>
        <w:t>Christesen, P. (2012). Athletics and Social Order in Sparta in the Classical Period. </w:t>
      </w:r>
      <w:r>
        <w:rPr>
          <w:i/>
          <w:iCs/>
          <w:color w:val="000000"/>
        </w:rPr>
        <w:t>Classical Antiquity</w:t>
      </w:r>
      <w:r>
        <w:rPr>
          <w:color w:val="000000"/>
        </w:rPr>
        <w:t>, 31(2), pp.193–255.</w:t>
      </w:r>
    </w:p>
    <w:p w14:paraId="3416BF23" w14:textId="77777777" w:rsidR="00521983" w:rsidRDefault="00521983" w:rsidP="00521983">
      <w:pPr>
        <w:pStyle w:val="NormalWeb"/>
        <w:spacing w:before="0" w:beforeAutospacing="0" w:after="240" w:afterAutospacing="0" w:line="360" w:lineRule="atLeast"/>
        <w:rPr>
          <w:color w:val="000000"/>
        </w:rPr>
      </w:pPr>
      <w:r>
        <w:rPr>
          <w:color w:val="000000"/>
        </w:rPr>
        <w:t>Dillon, M. (2007). Were Spartan Women Who Died in Childbirth Honoured with Grave Inscriptions? </w:t>
      </w:r>
      <w:r>
        <w:rPr>
          <w:i/>
          <w:iCs/>
          <w:color w:val="000000"/>
        </w:rPr>
        <w:t>Hermes</w:t>
      </w:r>
      <w:r>
        <w:rPr>
          <w:color w:val="000000"/>
        </w:rPr>
        <w:t>, [online] 135(2), pp.149–165. Available at: https://www.jstor.org/stable/40379113.</w:t>
      </w:r>
    </w:p>
    <w:p w14:paraId="67AF71F6" w14:textId="77777777" w:rsidR="00521983" w:rsidRDefault="00521983" w:rsidP="00521983">
      <w:pPr>
        <w:pStyle w:val="NormalWeb"/>
        <w:spacing w:before="0" w:beforeAutospacing="0" w:after="240" w:afterAutospacing="0" w:line="360" w:lineRule="atLeast"/>
        <w:rPr>
          <w:color w:val="000000"/>
        </w:rPr>
      </w:pPr>
      <w:r>
        <w:rPr>
          <w:color w:val="000000"/>
        </w:rPr>
        <w:t xml:space="preserve">Fantham, E., Foley, H.P., </w:t>
      </w:r>
      <w:proofErr w:type="spellStart"/>
      <w:r>
        <w:rPr>
          <w:color w:val="000000"/>
        </w:rPr>
        <w:t>Kampen</w:t>
      </w:r>
      <w:proofErr w:type="spellEnd"/>
      <w:r>
        <w:rPr>
          <w:color w:val="000000"/>
        </w:rPr>
        <w:t>, N.B., Pomeroy, S.B. and Shapiro, H.A. (1995). </w:t>
      </w:r>
      <w:r>
        <w:rPr>
          <w:i/>
          <w:iCs/>
          <w:color w:val="000000"/>
        </w:rPr>
        <w:t>Women in the classical world : image and text</w:t>
      </w:r>
      <w:r>
        <w:rPr>
          <w:color w:val="000000"/>
        </w:rPr>
        <w:t>. New York: Oxford University Press.</w:t>
      </w:r>
    </w:p>
    <w:p w14:paraId="50B3D8D0" w14:textId="77777777" w:rsidR="00521983" w:rsidRDefault="00521983" w:rsidP="00521983">
      <w:pPr>
        <w:pStyle w:val="NormalWeb"/>
        <w:spacing w:before="0" w:beforeAutospacing="0" w:after="240" w:afterAutospacing="0" w:line="360" w:lineRule="atLeast"/>
        <w:rPr>
          <w:color w:val="000000"/>
        </w:rPr>
      </w:pPr>
      <w:r>
        <w:rPr>
          <w:color w:val="000000"/>
        </w:rPr>
        <w:t>Hodkinson, S. (1986). Land Tenure and Inheritance in Classical Sparta. </w:t>
      </w:r>
      <w:r>
        <w:rPr>
          <w:i/>
          <w:iCs/>
          <w:color w:val="000000"/>
        </w:rPr>
        <w:t>The Classical Quarterly</w:t>
      </w:r>
      <w:r>
        <w:rPr>
          <w:color w:val="000000"/>
        </w:rPr>
        <w:t>, 36(2), pp.378–406.</w:t>
      </w:r>
    </w:p>
    <w:p w14:paraId="1E91735D" w14:textId="77777777" w:rsidR="00521983" w:rsidRDefault="00521983" w:rsidP="00521983">
      <w:pPr>
        <w:pStyle w:val="NormalWeb"/>
        <w:spacing w:before="0" w:beforeAutospacing="0" w:after="240" w:afterAutospacing="0" w:line="360" w:lineRule="atLeast"/>
        <w:rPr>
          <w:color w:val="000000"/>
        </w:rPr>
      </w:pPr>
      <w:r>
        <w:rPr>
          <w:color w:val="000000"/>
        </w:rPr>
        <w:t>King, J.K. and Deforest, M. (1993). </w:t>
      </w:r>
      <w:r>
        <w:rPr>
          <w:i/>
          <w:iCs/>
          <w:color w:val="000000"/>
        </w:rPr>
        <w:t>Woman’s power, man’s game : essays on classical antiquity in honour of Joy K. King</w:t>
      </w:r>
      <w:r>
        <w:rPr>
          <w:color w:val="000000"/>
        </w:rPr>
        <w:t xml:space="preserve">. Wauconda, Il. U.S.A.: </w:t>
      </w:r>
      <w:proofErr w:type="spellStart"/>
      <w:r>
        <w:rPr>
          <w:color w:val="000000"/>
        </w:rPr>
        <w:t>Bolchazy</w:t>
      </w:r>
      <w:proofErr w:type="spellEnd"/>
      <w:r>
        <w:rPr>
          <w:color w:val="000000"/>
        </w:rPr>
        <w:t>-Carducci.</w:t>
      </w:r>
    </w:p>
    <w:p w14:paraId="4D037B6B" w14:textId="77777777" w:rsidR="00521983" w:rsidRDefault="00521983" w:rsidP="00521983">
      <w:pPr>
        <w:pStyle w:val="NormalWeb"/>
        <w:spacing w:before="0" w:beforeAutospacing="0" w:after="240" w:afterAutospacing="0" w:line="360" w:lineRule="atLeast"/>
        <w:rPr>
          <w:color w:val="000000"/>
        </w:rPr>
      </w:pPr>
      <w:r>
        <w:rPr>
          <w:color w:val="000000"/>
        </w:rPr>
        <w:t>Lefkowitz, M.R. and Fant, M.B. (2001). </w:t>
      </w:r>
      <w:r>
        <w:rPr>
          <w:i/>
          <w:iCs/>
          <w:color w:val="000000"/>
        </w:rPr>
        <w:t>Women’s life in Greece and Rome : a sourcebook in translation</w:t>
      </w:r>
      <w:r>
        <w:rPr>
          <w:color w:val="000000"/>
        </w:rPr>
        <w:t>. London: G. Duckworth.</w:t>
      </w:r>
    </w:p>
    <w:p w14:paraId="19A2A066" w14:textId="77777777" w:rsidR="00521983" w:rsidRDefault="00521983" w:rsidP="00521983">
      <w:pPr>
        <w:pStyle w:val="NormalWeb"/>
        <w:spacing w:before="0" w:beforeAutospacing="0" w:after="240" w:afterAutospacing="0" w:line="360" w:lineRule="atLeast"/>
        <w:rPr>
          <w:color w:val="000000"/>
        </w:rPr>
      </w:pPr>
      <w:r>
        <w:rPr>
          <w:color w:val="000000"/>
        </w:rPr>
        <w:t xml:space="preserve">Myszkowska-Kaszuba, M. (2014). </w:t>
      </w:r>
      <w:r w:rsidRPr="0017742C">
        <w:rPr>
          <w:i/>
          <w:iCs/>
          <w:color w:val="000000"/>
        </w:rPr>
        <w:t>The Only Women That Are Mothers of Men : Plutarch’s Creation of the Spartan Mother. </w:t>
      </w:r>
      <w:r w:rsidRPr="0017742C">
        <w:rPr>
          <w:color w:val="000000"/>
        </w:rPr>
        <w:t xml:space="preserve">Graeco-Latina </w:t>
      </w:r>
      <w:proofErr w:type="spellStart"/>
      <w:r w:rsidRPr="0017742C">
        <w:rPr>
          <w:color w:val="000000"/>
        </w:rPr>
        <w:t>Brunensia</w:t>
      </w:r>
      <w:proofErr w:type="spellEnd"/>
      <w:r>
        <w:rPr>
          <w:color w:val="000000"/>
        </w:rPr>
        <w:t>, 19(1), pp.77–92. Available at: http://hdl.handle.net/11222.digilib/130051.</w:t>
      </w:r>
    </w:p>
    <w:p w14:paraId="0EF02B72" w14:textId="77777777" w:rsidR="00521983" w:rsidRDefault="00521983" w:rsidP="00521983">
      <w:pPr>
        <w:pStyle w:val="NormalWeb"/>
        <w:spacing w:before="0" w:beforeAutospacing="0" w:after="240" w:afterAutospacing="0" w:line="360" w:lineRule="atLeast"/>
        <w:rPr>
          <w:color w:val="000000"/>
        </w:rPr>
      </w:pPr>
      <w:r>
        <w:rPr>
          <w:color w:val="000000"/>
        </w:rPr>
        <w:t>Pomeroy, S.. (2008). Spartan Women among the Romans: Adapting Models, Forging Identities. </w:t>
      </w:r>
      <w:r>
        <w:rPr>
          <w:i/>
          <w:iCs/>
          <w:color w:val="000000"/>
        </w:rPr>
        <w:t>Memoirs of the American Academy in Rome. Supplementary Volumes</w:t>
      </w:r>
      <w:r>
        <w:rPr>
          <w:color w:val="000000"/>
        </w:rPr>
        <w:t>, 7(1).</w:t>
      </w:r>
    </w:p>
    <w:p w14:paraId="2EBF6558" w14:textId="77777777" w:rsidR="00521983" w:rsidRDefault="00521983" w:rsidP="00521983">
      <w:pPr>
        <w:pStyle w:val="NormalWeb"/>
        <w:spacing w:before="0" w:beforeAutospacing="0" w:after="240" w:afterAutospacing="0" w:line="360" w:lineRule="atLeast"/>
        <w:rPr>
          <w:color w:val="000000"/>
        </w:rPr>
      </w:pPr>
      <w:r>
        <w:rPr>
          <w:color w:val="000000"/>
        </w:rPr>
        <w:t>Pomeroy, S.B. and Ebrary, I. (2002). </w:t>
      </w:r>
      <w:r>
        <w:rPr>
          <w:i/>
          <w:iCs/>
          <w:color w:val="000000"/>
        </w:rPr>
        <w:t>Spartan Women</w:t>
      </w:r>
      <w:r>
        <w:rPr>
          <w:color w:val="000000"/>
        </w:rPr>
        <w:t>. 1st ed. Oxford: Oxford University Press.</w:t>
      </w:r>
    </w:p>
    <w:p w14:paraId="7F9FABE5" w14:textId="00E515B3" w:rsidR="00521983" w:rsidRDefault="00521983" w:rsidP="00521983">
      <w:pPr>
        <w:pStyle w:val="NormalWeb"/>
        <w:spacing w:before="0" w:beforeAutospacing="0" w:after="240" w:afterAutospacing="0" w:line="360" w:lineRule="atLeast"/>
        <w:rPr>
          <w:color w:val="000000"/>
        </w:rPr>
      </w:pPr>
      <w:r>
        <w:rPr>
          <w:color w:val="000000"/>
        </w:rPr>
        <w:t xml:space="preserve">Powell, A., Hodkinson, S. and Christesen, P. </w:t>
      </w:r>
      <w:r w:rsidR="001E7AEA">
        <w:rPr>
          <w:color w:val="000000"/>
        </w:rPr>
        <w:t xml:space="preserve">(Eds) </w:t>
      </w:r>
      <w:bookmarkStart w:id="0" w:name="_GoBack"/>
      <w:bookmarkEnd w:id="0"/>
      <w:r>
        <w:rPr>
          <w:color w:val="000000"/>
        </w:rPr>
        <w:t>(2010). </w:t>
      </w:r>
      <w:r>
        <w:rPr>
          <w:i/>
          <w:iCs/>
          <w:color w:val="000000"/>
        </w:rPr>
        <w:t>Sparta : the Body Politic</w:t>
      </w:r>
      <w:r>
        <w:rPr>
          <w:color w:val="000000"/>
        </w:rPr>
        <w:t>. Swansea: Classical Press of Wales ; Oakville, Ct.</w:t>
      </w:r>
    </w:p>
    <w:p w14:paraId="2B92629C" w14:textId="77777777" w:rsidR="00521983" w:rsidRDefault="00521983" w:rsidP="00521983">
      <w:pPr>
        <w:pStyle w:val="NormalWeb"/>
        <w:spacing w:before="0" w:beforeAutospacing="0" w:after="240" w:afterAutospacing="0" w:line="360" w:lineRule="atLeast"/>
        <w:rPr>
          <w:color w:val="000000"/>
        </w:rPr>
      </w:pPr>
      <w:r>
        <w:rPr>
          <w:color w:val="000000"/>
        </w:rPr>
        <w:lastRenderedPageBreak/>
        <w:t>Redfield, J. (1978). The Women of Sparta. </w:t>
      </w:r>
      <w:r>
        <w:rPr>
          <w:i/>
          <w:iCs/>
          <w:color w:val="000000"/>
        </w:rPr>
        <w:t>The Classical Journal</w:t>
      </w:r>
      <w:r>
        <w:rPr>
          <w:color w:val="000000"/>
        </w:rPr>
        <w:t>, 73(2).</w:t>
      </w:r>
    </w:p>
    <w:p w14:paraId="29DDBC3C" w14:textId="77777777" w:rsidR="00521983" w:rsidRPr="000012C6" w:rsidRDefault="00521983" w:rsidP="00521983">
      <w:pPr>
        <w:pStyle w:val="NormalWeb"/>
        <w:spacing w:before="0" w:beforeAutospacing="0" w:after="240" w:afterAutospacing="0" w:line="360" w:lineRule="atLeast"/>
        <w:rPr>
          <w:color w:val="000000"/>
        </w:rPr>
      </w:pPr>
      <w:r w:rsidRPr="000012C6">
        <w:rPr>
          <w:color w:val="000000"/>
        </w:rPr>
        <w:t>Scott, A.G. (2011). Plural Marriage and the Spartan State. </w:t>
      </w:r>
      <w:r w:rsidRPr="000012C6">
        <w:rPr>
          <w:i/>
          <w:iCs/>
          <w:color w:val="000000"/>
        </w:rPr>
        <w:t xml:space="preserve">Historia: </w:t>
      </w:r>
      <w:proofErr w:type="spellStart"/>
      <w:r w:rsidRPr="000012C6">
        <w:rPr>
          <w:i/>
          <w:iCs/>
          <w:color w:val="000000"/>
        </w:rPr>
        <w:t>Zeitschrift</w:t>
      </w:r>
      <w:proofErr w:type="spellEnd"/>
      <w:r w:rsidRPr="000012C6">
        <w:rPr>
          <w:i/>
          <w:iCs/>
          <w:color w:val="000000"/>
        </w:rPr>
        <w:t xml:space="preserve"> </w:t>
      </w:r>
      <w:proofErr w:type="spellStart"/>
      <w:r w:rsidRPr="000012C6">
        <w:rPr>
          <w:i/>
          <w:iCs/>
          <w:color w:val="000000"/>
        </w:rPr>
        <w:t>für</w:t>
      </w:r>
      <w:proofErr w:type="spellEnd"/>
      <w:r w:rsidRPr="000012C6">
        <w:rPr>
          <w:i/>
          <w:iCs/>
          <w:color w:val="000000"/>
        </w:rPr>
        <w:t xml:space="preserve"> Alte </w:t>
      </w:r>
      <w:proofErr w:type="spellStart"/>
      <w:r w:rsidRPr="000012C6">
        <w:rPr>
          <w:i/>
          <w:iCs/>
          <w:color w:val="000000"/>
        </w:rPr>
        <w:t>Geschichte</w:t>
      </w:r>
      <w:proofErr w:type="spellEnd"/>
      <w:r w:rsidRPr="000012C6">
        <w:rPr>
          <w:color w:val="000000"/>
        </w:rPr>
        <w:t>, 60(4).</w:t>
      </w:r>
    </w:p>
    <w:p w14:paraId="3A8B212A" w14:textId="77777777" w:rsidR="00521983" w:rsidRPr="000012C6" w:rsidRDefault="00521983" w:rsidP="00521983">
      <w:pPr>
        <w:pStyle w:val="NormalWeb"/>
        <w:rPr>
          <w:color w:val="000000"/>
        </w:rPr>
      </w:pPr>
      <w:r w:rsidRPr="000012C6">
        <w:rPr>
          <w:color w:val="000000"/>
        </w:rPr>
        <w:t>‌</w:t>
      </w:r>
    </w:p>
    <w:p w14:paraId="06841A29" w14:textId="77777777" w:rsidR="00521983" w:rsidRDefault="00521983" w:rsidP="00521983">
      <w:pPr>
        <w:pStyle w:val="NormalWeb"/>
        <w:rPr>
          <w:color w:val="000000"/>
          <w:sz w:val="28"/>
          <w:szCs w:val="28"/>
        </w:rPr>
      </w:pPr>
      <w:r w:rsidRPr="000012C6">
        <w:rPr>
          <w:color w:val="000000"/>
          <w:sz w:val="28"/>
          <w:szCs w:val="28"/>
        </w:rPr>
        <w:t>Ancient Sources</w:t>
      </w:r>
    </w:p>
    <w:p w14:paraId="14EC3877" w14:textId="77777777" w:rsidR="00521983" w:rsidRPr="00647F11" w:rsidRDefault="00521983" w:rsidP="00521983">
      <w:pPr>
        <w:pStyle w:val="NormalWeb"/>
        <w:rPr>
          <w:color w:val="000000"/>
        </w:rPr>
      </w:pPr>
      <w:r>
        <w:rPr>
          <w:color w:val="000000"/>
        </w:rPr>
        <w:t xml:space="preserve">Aristophanes, </w:t>
      </w:r>
      <w:r>
        <w:rPr>
          <w:i/>
          <w:iCs/>
          <w:color w:val="000000"/>
        </w:rPr>
        <w:t>Lysistrata,</w:t>
      </w:r>
      <w:r>
        <w:rPr>
          <w:color w:val="000000"/>
        </w:rPr>
        <w:t xml:space="preserve"> Lindsay. J. (trans) Available at: perseus.tufts.edu.</w:t>
      </w:r>
    </w:p>
    <w:p w14:paraId="453EEF18" w14:textId="77777777" w:rsidR="00521983" w:rsidRPr="00E05A03" w:rsidRDefault="00521983" w:rsidP="00521983">
      <w:pPr>
        <w:pStyle w:val="NormalWeb"/>
        <w:rPr>
          <w:color w:val="000000"/>
        </w:rPr>
      </w:pPr>
      <w:r w:rsidRPr="00E05A03">
        <w:rPr>
          <w:color w:val="000000"/>
        </w:rPr>
        <w:t xml:space="preserve">Aristotle. </w:t>
      </w:r>
      <w:r>
        <w:rPr>
          <w:i/>
          <w:iCs/>
          <w:color w:val="000000"/>
        </w:rPr>
        <w:t>Politics</w:t>
      </w:r>
      <w:r w:rsidRPr="00E05A03">
        <w:rPr>
          <w:color w:val="000000"/>
        </w:rPr>
        <w:t>, Rackham.</w:t>
      </w:r>
      <w:r>
        <w:rPr>
          <w:color w:val="000000"/>
        </w:rPr>
        <w:t xml:space="preserve"> H. (trans) (1944)</w:t>
      </w:r>
      <w:r w:rsidRPr="00E05A03">
        <w:rPr>
          <w:color w:val="000000"/>
        </w:rPr>
        <w:t xml:space="preserve"> Harvard University Press; London, William Heinemann Ltd. </w:t>
      </w:r>
    </w:p>
    <w:p w14:paraId="1A673899" w14:textId="77777777" w:rsidR="00521983" w:rsidRDefault="00521983" w:rsidP="00521983">
      <w:pPr>
        <w:spacing w:line="480" w:lineRule="auto"/>
        <w:rPr>
          <w:rFonts w:ascii="Times New Roman" w:eastAsia="Times New Roman" w:hAnsi="Times New Roman" w:cs="Times New Roman"/>
          <w:color w:val="000000" w:themeColor="text1"/>
        </w:rPr>
      </w:pPr>
      <w:r w:rsidRPr="000012C6">
        <w:rPr>
          <w:rFonts w:ascii="Times New Roman" w:eastAsia="Times New Roman" w:hAnsi="Times New Roman" w:cs="Times New Roman"/>
          <w:color w:val="000000" w:themeColor="text1"/>
          <w:shd w:val="clear" w:color="auto" w:fill="FFFFFF"/>
        </w:rPr>
        <w:t>Herodotus. </w:t>
      </w:r>
      <w:r w:rsidRPr="000012C6">
        <w:rPr>
          <w:rFonts w:ascii="Times New Roman" w:eastAsia="Times New Roman" w:hAnsi="Times New Roman" w:cs="Times New Roman"/>
          <w:i/>
          <w:iCs/>
          <w:color w:val="000000" w:themeColor="text1"/>
          <w:shd w:val="clear" w:color="auto" w:fill="FFFFFF"/>
        </w:rPr>
        <w:t>The histories</w:t>
      </w:r>
      <w:r w:rsidRPr="000012C6">
        <w:rPr>
          <w:rFonts w:ascii="Times New Roman" w:eastAsia="Times New Roman" w:hAnsi="Times New Roman" w:cs="Times New Roman"/>
          <w:color w:val="000000" w:themeColor="text1"/>
          <w:shd w:val="clear" w:color="auto" w:fill="FFFFFF"/>
        </w:rPr>
        <w:t xml:space="preserve"> Holland, T. (trans). </w:t>
      </w:r>
      <w:r>
        <w:rPr>
          <w:rFonts w:ascii="Times New Roman" w:eastAsia="Times New Roman" w:hAnsi="Times New Roman" w:cs="Times New Roman"/>
          <w:color w:val="000000" w:themeColor="text1"/>
          <w:shd w:val="clear" w:color="auto" w:fill="FFFFFF"/>
        </w:rPr>
        <w:t>(</w:t>
      </w:r>
      <w:r w:rsidRPr="000012C6">
        <w:rPr>
          <w:rFonts w:ascii="Times New Roman" w:eastAsia="Times New Roman" w:hAnsi="Times New Roman" w:cs="Times New Roman"/>
          <w:color w:val="000000" w:themeColor="text1"/>
          <w:shd w:val="clear" w:color="auto" w:fill="FFFFFF"/>
        </w:rPr>
        <w:t>2013</w:t>
      </w:r>
      <w:r>
        <w:rPr>
          <w:rFonts w:ascii="Times New Roman" w:eastAsia="Times New Roman" w:hAnsi="Times New Roman" w:cs="Times New Roman"/>
          <w:color w:val="000000" w:themeColor="text1"/>
          <w:shd w:val="clear" w:color="auto" w:fill="FFFFFF"/>
        </w:rPr>
        <w:t>)</w:t>
      </w:r>
      <w:r w:rsidRPr="000012C6">
        <w:rPr>
          <w:rFonts w:ascii="Times New Roman" w:eastAsia="Times New Roman" w:hAnsi="Times New Roman" w:cs="Times New Roman"/>
          <w:color w:val="000000" w:themeColor="text1"/>
          <w:shd w:val="clear" w:color="auto" w:fill="FFFFFF"/>
        </w:rPr>
        <w:t xml:space="preserve">. London: Penguin Books Ltd. </w:t>
      </w:r>
    </w:p>
    <w:p w14:paraId="04F30700" w14:textId="77777777" w:rsidR="00521983" w:rsidRPr="00D9253A" w:rsidRDefault="00521983" w:rsidP="00521983">
      <w:pPr>
        <w:rPr>
          <w:rFonts w:ascii="Times New Roman" w:eastAsia="Times New Roman" w:hAnsi="Times New Roman" w:cs="Times New Roman"/>
          <w:lang w:eastAsia="en-GB"/>
        </w:rPr>
      </w:pPr>
      <w:r>
        <w:rPr>
          <w:rFonts w:ascii="Times New Roman" w:eastAsia="Times New Roman" w:hAnsi="Times New Roman" w:cs="Times New Roman"/>
          <w:color w:val="000000" w:themeColor="text1"/>
        </w:rPr>
        <w:t xml:space="preserve">Plutarch. </w:t>
      </w:r>
      <w:r>
        <w:rPr>
          <w:rFonts w:ascii="Times New Roman" w:eastAsia="Times New Roman" w:hAnsi="Times New Roman" w:cs="Times New Roman"/>
          <w:i/>
          <w:iCs/>
          <w:color w:val="000000" w:themeColor="text1"/>
        </w:rPr>
        <w:t>Lives: Lycurgus</w:t>
      </w:r>
      <w:r>
        <w:rPr>
          <w:rFonts w:ascii="Times New Roman" w:eastAsia="Times New Roman" w:hAnsi="Times New Roman" w:cs="Times New Roman"/>
          <w:color w:val="000000" w:themeColor="text1"/>
        </w:rPr>
        <w:t>.</w:t>
      </w:r>
      <w:r w:rsidRPr="00D9253A">
        <w:rPr>
          <w:rFonts w:ascii="Lucida Grande" w:hAnsi="Lucida Grande" w:cs="Lucida Grande"/>
          <w:color w:val="000000"/>
        </w:rPr>
        <w:t xml:space="preserve"> </w:t>
      </w:r>
      <w:r>
        <w:rPr>
          <w:rFonts w:ascii="Times New Roman" w:eastAsia="Times New Roman" w:hAnsi="Times New Roman" w:cs="Times New Roman"/>
          <w:color w:val="000000"/>
          <w:lang w:eastAsia="en-GB"/>
        </w:rPr>
        <w:t>P</w:t>
      </w:r>
      <w:r w:rsidRPr="00D9253A">
        <w:rPr>
          <w:rFonts w:ascii="Times New Roman" w:eastAsia="Times New Roman" w:hAnsi="Times New Roman" w:cs="Times New Roman"/>
          <w:color w:val="000000"/>
          <w:lang w:eastAsia="en-GB"/>
        </w:rPr>
        <w:t>errin.</w:t>
      </w:r>
      <w:r>
        <w:rPr>
          <w:rFonts w:ascii="Times New Roman" w:eastAsia="Times New Roman" w:hAnsi="Times New Roman" w:cs="Times New Roman"/>
          <w:color w:val="000000"/>
          <w:lang w:eastAsia="en-GB"/>
        </w:rPr>
        <w:t xml:space="preserve"> B (trans) (</w:t>
      </w:r>
      <w:r w:rsidRPr="00D9253A">
        <w:rPr>
          <w:rFonts w:ascii="Times New Roman" w:eastAsia="Times New Roman" w:hAnsi="Times New Roman" w:cs="Times New Roman"/>
          <w:color w:val="000000"/>
          <w:lang w:eastAsia="en-GB"/>
        </w:rPr>
        <w:t>1914</w:t>
      </w:r>
      <w:r>
        <w:rPr>
          <w:rFonts w:ascii="Times New Roman" w:eastAsia="Times New Roman" w:hAnsi="Times New Roman" w:cs="Times New Roman"/>
          <w:color w:val="000000"/>
          <w:lang w:eastAsia="en-GB"/>
        </w:rPr>
        <w:t>)</w:t>
      </w:r>
      <w:r w:rsidRPr="00D9253A">
        <w:rPr>
          <w:rFonts w:ascii="Times New Roman" w:eastAsia="Times New Roman" w:hAnsi="Times New Roman" w:cs="Times New Roman"/>
          <w:color w:val="000000"/>
          <w:lang w:eastAsia="en-GB"/>
        </w:rPr>
        <w:t>. Harvard University Press. London. William Heinemann Ltd.</w:t>
      </w:r>
    </w:p>
    <w:p w14:paraId="7A602E10" w14:textId="77777777" w:rsidR="00521983" w:rsidRDefault="00521983" w:rsidP="00521983">
      <w:pPr>
        <w:rPr>
          <w:rFonts w:ascii="Times New Roman" w:eastAsia="Times New Roman" w:hAnsi="Times New Roman" w:cs="Times New Roman"/>
          <w:color w:val="000000" w:themeColor="text1"/>
        </w:rPr>
      </w:pPr>
    </w:p>
    <w:p w14:paraId="56D41C50" w14:textId="3D06F5CB" w:rsidR="00521983" w:rsidRDefault="00521983" w:rsidP="00521983">
      <w:pPr>
        <w:rPr>
          <w:rFonts w:ascii="Times New Roman" w:eastAsia="Times New Roman" w:hAnsi="Times New Roman" w:cs="Times New Roman"/>
          <w:color w:val="000000"/>
          <w:lang w:eastAsia="en-GB"/>
        </w:rPr>
      </w:pPr>
      <w:r>
        <w:rPr>
          <w:rFonts w:ascii="Times New Roman" w:eastAsia="Times New Roman" w:hAnsi="Times New Roman" w:cs="Times New Roman"/>
          <w:color w:val="000000" w:themeColor="text1"/>
        </w:rPr>
        <w:t xml:space="preserve">Plutarch. </w:t>
      </w:r>
      <w:r>
        <w:rPr>
          <w:rFonts w:ascii="Times New Roman" w:eastAsia="Times New Roman" w:hAnsi="Times New Roman" w:cs="Times New Roman"/>
          <w:i/>
          <w:iCs/>
          <w:color w:val="000000" w:themeColor="text1"/>
        </w:rPr>
        <w:t>Lives: Lysander</w:t>
      </w:r>
      <w:r>
        <w:rPr>
          <w:rFonts w:ascii="Times New Roman" w:eastAsia="Times New Roman" w:hAnsi="Times New Roman" w:cs="Times New Roman"/>
          <w:color w:val="000000" w:themeColor="text1"/>
        </w:rPr>
        <w:t>.</w:t>
      </w:r>
      <w:r w:rsidRPr="00D9253A">
        <w:rPr>
          <w:rFonts w:ascii="Lucida Grande" w:hAnsi="Lucida Grande" w:cs="Lucida Grande"/>
          <w:color w:val="000000"/>
        </w:rPr>
        <w:t xml:space="preserve"> </w:t>
      </w:r>
      <w:r>
        <w:rPr>
          <w:rFonts w:ascii="Times New Roman" w:eastAsia="Times New Roman" w:hAnsi="Times New Roman" w:cs="Times New Roman"/>
          <w:color w:val="000000"/>
          <w:lang w:eastAsia="en-GB"/>
        </w:rPr>
        <w:t>P</w:t>
      </w:r>
      <w:r w:rsidRPr="00D9253A">
        <w:rPr>
          <w:rFonts w:ascii="Times New Roman" w:eastAsia="Times New Roman" w:hAnsi="Times New Roman" w:cs="Times New Roman"/>
          <w:color w:val="000000"/>
          <w:lang w:eastAsia="en-GB"/>
        </w:rPr>
        <w:t>errin.</w:t>
      </w:r>
      <w:r>
        <w:rPr>
          <w:rFonts w:ascii="Times New Roman" w:eastAsia="Times New Roman" w:hAnsi="Times New Roman" w:cs="Times New Roman"/>
          <w:color w:val="000000"/>
          <w:lang w:eastAsia="en-GB"/>
        </w:rPr>
        <w:t xml:space="preserve"> B (trans) (</w:t>
      </w:r>
      <w:r w:rsidRPr="00D9253A">
        <w:rPr>
          <w:rFonts w:ascii="Times New Roman" w:eastAsia="Times New Roman" w:hAnsi="Times New Roman" w:cs="Times New Roman"/>
          <w:color w:val="000000"/>
          <w:lang w:eastAsia="en-GB"/>
        </w:rPr>
        <w:t>1914</w:t>
      </w:r>
      <w:r>
        <w:rPr>
          <w:rFonts w:ascii="Times New Roman" w:eastAsia="Times New Roman" w:hAnsi="Times New Roman" w:cs="Times New Roman"/>
          <w:color w:val="000000"/>
          <w:lang w:eastAsia="en-GB"/>
        </w:rPr>
        <w:t>)</w:t>
      </w:r>
      <w:r w:rsidRPr="00D9253A">
        <w:rPr>
          <w:rFonts w:ascii="Times New Roman" w:eastAsia="Times New Roman" w:hAnsi="Times New Roman" w:cs="Times New Roman"/>
          <w:color w:val="000000"/>
          <w:lang w:eastAsia="en-GB"/>
        </w:rPr>
        <w:t>. Harvard University Press. London. William Heinemann Ltd.</w:t>
      </w:r>
    </w:p>
    <w:p w14:paraId="4F10507A" w14:textId="3FEC2918" w:rsidR="00521983" w:rsidRDefault="00521983" w:rsidP="00521983">
      <w:pPr>
        <w:rPr>
          <w:rFonts w:ascii="Times New Roman" w:eastAsia="Times New Roman" w:hAnsi="Times New Roman" w:cs="Times New Roman"/>
          <w:color w:val="000000"/>
          <w:lang w:eastAsia="en-GB"/>
        </w:rPr>
      </w:pPr>
    </w:p>
    <w:p w14:paraId="61F15037" w14:textId="250EE710" w:rsidR="00521983" w:rsidRDefault="00521983" w:rsidP="00521983">
      <w:pPr>
        <w:rPr>
          <w:rFonts w:ascii="Times New Roman" w:eastAsia="Times New Roman" w:hAnsi="Times New Roman" w:cs="Times New Roman"/>
          <w:color w:val="000000"/>
          <w:lang w:eastAsia="en-GB"/>
        </w:rPr>
      </w:pPr>
      <w:r w:rsidRPr="00521983">
        <w:rPr>
          <w:rFonts w:ascii="Times New Roman" w:eastAsia="Times New Roman" w:hAnsi="Times New Roman" w:cs="Times New Roman"/>
          <w:color w:val="000000"/>
          <w:lang w:eastAsia="en-GB"/>
        </w:rPr>
        <w:t xml:space="preserve">Plutarch, </w:t>
      </w:r>
      <w:proofErr w:type="spellStart"/>
      <w:r w:rsidRPr="00521983">
        <w:rPr>
          <w:rFonts w:ascii="Times New Roman" w:eastAsia="Times New Roman" w:hAnsi="Times New Roman" w:cs="Times New Roman"/>
          <w:i/>
          <w:iCs/>
          <w:color w:val="000000"/>
          <w:lang w:eastAsia="en-GB"/>
        </w:rPr>
        <w:t>Lacaenarum</w:t>
      </w:r>
      <w:proofErr w:type="spellEnd"/>
      <w:r w:rsidRPr="00521983">
        <w:rPr>
          <w:rFonts w:ascii="Times New Roman" w:eastAsia="Times New Roman" w:hAnsi="Times New Roman" w:cs="Times New Roman"/>
          <w:i/>
          <w:iCs/>
          <w:color w:val="000000"/>
          <w:lang w:eastAsia="en-GB"/>
        </w:rPr>
        <w:t xml:space="preserve"> </w:t>
      </w:r>
      <w:proofErr w:type="spellStart"/>
      <w:r w:rsidRPr="00521983">
        <w:rPr>
          <w:rFonts w:ascii="Times New Roman" w:eastAsia="Times New Roman" w:hAnsi="Times New Roman" w:cs="Times New Roman"/>
          <w:i/>
          <w:iCs/>
          <w:color w:val="000000"/>
          <w:lang w:eastAsia="en-GB"/>
        </w:rPr>
        <w:t>Apophthegmata</w:t>
      </w:r>
      <w:proofErr w:type="spellEnd"/>
      <w:r>
        <w:rPr>
          <w:rFonts w:ascii="Times New Roman" w:eastAsia="Times New Roman" w:hAnsi="Times New Roman" w:cs="Times New Roman"/>
          <w:color w:val="000000"/>
          <w:lang w:eastAsia="en-GB"/>
        </w:rPr>
        <w:t xml:space="preserve">. </w:t>
      </w:r>
      <w:r w:rsidRPr="00521983">
        <w:rPr>
          <w:rFonts w:ascii="Times New Roman" w:eastAsia="Times New Roman" w:hAnsi="Times New Roman" w:cs="Times New Roman"/>
          <w:color w:val="000000"/>
          <w:lang w:eastAsia="en-GB"/>
        </w:rPr>
        <w:t>Frank Cole Babbitt</w:t>
      </w:r>
      <w:r>
        <w:rPr>
          <w:rFonts w:ascii="Times New Roman" w:eastAsia="Times New Roman" w:hAnsi="Times New Roman" w:cs="Times New Roman"/>
          <w:color w:val="000000"/>
          <w:lang w:eastAsia="en-GB"/>
        </w:rPr>
        <w:t xml:space="preserve"> (trans) (</w:t>
      </w:r>
      <w:r w:rsidRPr="00521983">
        <w:rPr>
          <w:rFonts w:ascii="Times New Roman" w:eastAsia="Times New Roman" w:hAnsi="Times New Roman" w:cs="Times New Roman"/>
          <w:color w:val="000000"/>
          <w:lang w:eastAsia="en-GB"/>
        </w:rPr>
        <w:t>1931</w:t>
      </w:r>
      <w:r>
        <w:rPr>
          <w:rFonts w:ascii="Times New Roman" w:eastAsia="Times New Roman" w:hAnsi="Times New Roman" w:cs="Times New Roman"/>
          <w:color w:val="000000"/>
          <w:lang w:eastAsia="en-GB"/>
        </w:rPr>
        <w:t>)</w:t>
      </w:r>
      <w:r w:rsidRPr="00521983">
        <w:t xml:space="preserve"> </w:t>
      </w:r>
      <w:r w:rsidRPr="00521983">
        <w:rPr>
          <w:rFonts w:ascii="Times New Roman" w:eastAsia="Times New Roman" w:hAnsi="Times New Roman" w:cs="Times New Roman"/>
          <w:color w:val="000000"/>
          <w:lang w:eastAsia="en-GB"/>
        </w:rPr>
        <w:t xml:space="preserve">Harvard University Press. London. William Heinemann Ltd. </w:t>
      </w:r>
    </w:p>
    <w:p w14:paraId="224F16AF" w14:textId="77777777" w:rsidR="00521983" w:rsidRDefault="00521983" w:rsidP="00521983">
      <w:pPr>
        <w:rPr>
          <w:rFonts w:ascii="Times New Roman" w:eastAsia="Times New Roman" w:hAnsi="Times New Roman" w:cs="Times New Roman"/>
          <w:color w:val="000000"/>
          <w:lang w:eastAsia="en-GB"/>
        </w:rPr>
      </w:pPr>
    </w:p>
    <w:p w14:paraId="4F260772" w14:textId="77777777" w:rsidR="00521983" w:rsidRPr="00D9253A" w:rsidRDefault="00521983" w:rsidP="00521983">
      <w:pPr>
        <w:rPr>
          <w:rFonts w:ascii="Times New Roman" w:eastAsia="Times New Roman" w:hAnsi="Times New Roman" w:cs="Times New Roman"/>
          <w:lang w:eastAsia="en-GB"/>
        </w:rPr>
      </w:pPr>
      <w:r w:rsidRPr="00E956B7">
        <w:rPr>
          <w:rFonts w:ascii="Times New Roman" w:eastAsia="Times New Roman" w:hAnsi="Times New Roman" w:cs="Times New Roman"/>
          <w:lang w:eastAsia="en-GB"/>
        </w:rPr>
        <w:t>Xenophon</w:t>
      </w:r>
      <w:r>
        <w:rPr>
          <w:rFonts w:ascii="Times New Roman" w:eastAsia="Times New Roman" w:hAnsi="Times New Roman" w:cs="Times New Roman"/>
          <w:lang w:eastAsia="en-GB"/>
        </w:rPr>
        <w:t>.</w:t>
      </w:r>
      <w:r w:rsidRPr="00E956B7">
        <w:rPr>
          <w:rFonts w:ascii="Times New Roman" w:eastAsia="Times New Roman" w:hAnsi="Times New Roman" w:cs="Times New Roman"/>
          <w:lang w:eastAsia="en-GB"/>
        </w:rPr>
        <w:t xml:space="preserve"> </w:t>
      </w:r>
      <w:r w:rsidRPr="00E956B7">
        <w:rPr>
          <w:rFonts w:ascii="Times New Roman" w:eastAsia="Times New Roman" w:hAnsi="Times New Roman" w:cs="Times New Roman"/>
          <w:i/>
          <w:iCs/>
          <w:lang w:eastAsia="en-GB"/>
        </w:rPr>
        <w:t xml:space="preserve">Constitution of the </w:t>
      </w:r>
      <w:proofErr w:type="spellStart"/>
      <w:r w:rsidRPr="00E956B7">
        <w:rPr>
          <w:rFonts w:ascii="Times New Roman" w:eastAsia="Times New Roman" w:hAnsi="Times New Roman" w:cs="Times New Roman"/>
          <w:i/>
          <w:iCs/>
          <w:lang w:eastAsia="en-GB"/>
        </w:rPr>
        <w:t>Lacedaimonians</w:t>
      </w:r>
      <w:proofErr w:type="spellEnd"/>
      <w:r>
        <w:rPr>
          <w:rFonts w:ascii="Times New Roman" w:eastAsia="Times New Roman" w:hAnsi="Times New Roman" w:cs="Times New Roman"/>
          <w:lang w:eastAsia="en-GB"/>
        </w:rPr>
        <w:t xml:space="preserve">. </w:t>
      </w:r>
      <w:r w:rsidRPr="00E956B7">
        <w:rPr>
          <w:rFonts w:ascii="Times New Roman" w:eastAsia="Times New Roman" w:hAnsi="Times New Roman" w:cs="Times New Roman"/>
          <w:lang w:eastAsia="en-GB"/>
        </w:rPr>
        <w:t xml:space="preserve">E. C. Marchant, G. W. </w:t>
      </w:r>
      <w:proofErr w:type="spellStart"/>
      <w:r w:rsidRPr="00E956B7">
        <w:rPr>
          <w:rFonts w:ascii="Times New Roman" w:eastAsia="Times New Roman" w:hAnsi="Times New Roman" w:cs="Times New Roman"/>
          <w:lang w:eastAsia="en-GB"/>
        </w:rPr>
        <w:t>Bowersock</w:t>
      </w:r>
      <w:proofErr w:type="spellEnd"/>
      <w:r w:rsidRPr="00E956B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t>
      </w:r>
      <w:r w:rsidRPr="00E956B7">
        <w:rPr>
          <w:rFonts w:ascii="Times New Roman" w:eastAsia="Times New Roman" w:hAnsi="Times New Roman" w:cs="Times New Roman"/>
          <w:lang w:eastAsia="en-GB"/>
        </w:rPr>
        <w:t>tr</w:t>
      </w:r>
      <w:r>
        <w:rPr>
          <w:rFonts w:ascii="Times New Roman" w:eastAsia="Times New Roman" w:hAnsi="Times New Roman" w:cs="Times New Roman"/>
          <w:lang w:eastAsia="en-GB"/>
        </w:rPr>
        <w:t>ans) (</w:t>
      </w:r>
      <w:r w:rsidRPr="00E956B7">
        <w:rPr>
          <w:rFonts w:ascii="Times New Roman" w:eastAsia="Times New Roman" w:hAnsi="Times New Roman" w:cs="Times New Roman"/>
          <w:lang w:eastAsia="en-GB"/>
        </w:rPr>
        <w:t>1925</w:t>
      </w:r>
      <w:r>
        <w:rPr>
          <w:rFonts w:ascii="Times New Roman" w:eastAsia="Times New Roman" w:hAnsi="Times New Roman" w:cs="Times New Roman"/>
          <w:lang w:eastAsia="en-GB"/>
        </w:rPr>
        <w:t xml:space="preserve">) </w:t>
      </w:r>
      <w:r w:rsidRPr="00E956B7">
        <w:rPr>
          <w:rFonts w:ascii="Times New Roman" w:eastAsia="Times New Roman" w:hAnsi="Times New Roman" w:cs="Times New Roman"/>
          <w:lang w:eastAsia="en-GB"/>
        </w:rPr>
        <w:t>Harvard University Press, William Heinemann, Ltd., London..</w:t>
      </w:r>
    </w:p>
    <w:p w14:paraId="00F89262" w14:textId="77777777" w:rsidR="00521983" w:rsidRDefault="00521983" w:rsidP="00521983">
      <w:pPr>
        <w:spacing w:line="480" w:lineRule="auto"/>
        <w:rPr>
          <w:rFonts w:ascii="Times New Roman" w:eastAsia="Times New Roman" w:hAnsi="Times New Roman" w:cs="Times New Roman"/>
          <w:color w:val="000000" w:themeColor="text1"/>
        </w:rPr>
      </w:pPr>
    </w:p>
    <w:p w14:paraId="5B1477A4" w14:textId="77777777" w:rsidR="00521983" w:rsidRDefault="00521983" w:rsidP="00521983">
      <w:pPr>
        <w:spacing w:line="480" w:lineRule="auto"/>
        <w:rPr>
          <w:rFonts w:ascii="Times New Roman" w:eastAsia="Times New Roman" w:hAnsi="Times New Roman" w:cs="Times New Roman"/>
          <w:color w:val="000000" w:themeColor="text1"/>
        </w:rPr>
      </w:pPr>
    </w:p>
    <w:p w14:paraId="3B3EB7B4" w14:textId="77777777" w:rsidR="00521983" w:rsidRDefault="00521983" w:rsidP="00521983">
      <w:pPr>
        <w:spacing w:line="480" w:lineRule="auto"/>
        <w:rPr>
          <w:rFonts w:ascii="Times New Roman" w:eastAsia="Times New Roman" w:hAnsi="Times New Roman" w:cs="Times New Roman"/>
          <w:color w:val="000000" w:themeColor="text1"/>
        </w:rPr>
      </w:pPr>
    </w:p>
    <w:p w14:paraId="701A539F" w14:textId="77777777" w:rsidR="00521983" w:rsidRPr="00D9253A" w:rsidRDefault="00521983" w:rsidP="00521983">
      <w:pPr>
        <w:spacing w:line="480" w:lineRule="auto"/>
        <w:rPr>
          <w:rFonts w:ascii="Times New Roman" w:eastAsia="Times New Roman" w:hAnsi="Times New Roman" w:cs="Times New Roman"/>
          <w:color w:val="000000" w:themeColor="text1"/>
        </w:rPr>
      </w:pPr>
    </w:p>
    <w:p w14:paraId="7B6D64E1" w14:textId="77777777" w:rsidR="007E66DD" w:rsidRPr="007E66DD" w:rsidRDefault="007E66DD" w:rsidP="00183081">
      <w:pPr>
        <w:spacing w:line="480" w:lineRule="auto"/>
      </w:pPr>
    </w:p>
    <w:sectPr w:rsidR="007E66DD" w:rsidRPr="007E66DD"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9A62C" w14:textId="77777777" w:rsidR="00E727C2" w:rsidRDefault="00E727C2" w:rsidP="004316D9">
      <w:r>
        <w:separator/>
      </w:r>
    </w:p>
  </w:endnote>
  <w:endnote w:type="continuationSeparator" w:id="0">
    <w:p w14:paraId="4E494DB3" w14:textId="77777777" w:rsidR="00E727C2" w:rsidRDefault="00E727C2" w:rsidP="004316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D9964" w14:textId="77777777" w:rsidR="00E727C2" w:rsidRDefault="00E727C2" w:rsidP="004316D9">
      <w:r>
        <w:separator/>
      </w:r>
    </w:p>
  </w:footnote>
  <w:footnote w:type="continuationSeparator" w:id="0">
    <w:p w14:paraId="3B211F65" w14:textId="77777777" w:rsidR="00E727C2" w:rsidRDefault="00E727C2" w:rsidP="004316D9">
      <w:r>
        <w:continuationSeparator/>
      </w:r>
    </w:p>
  </w:footnote>
  <w:footnote w:id="1">
    <w:p w14:paraId="4B16B869" w14:textId="37158882" w:rsidR="001E6DDB" w:rsidRPr="00BF79FA" w:rsidRDefault="001E6DDB" w:rsidP="00BF79FA">
      <w:pPr>
        <w:pStyle w:val="FootnoteText"/>
        <w:tabs>
          <w:tab w:val="left" w:pos="540"/>
        </w:tabs>
      </w:pPr>
      <w:r>
        <w:rPr>
          <w:rStyle w:val="FootnoteReference"/>
        </w:rPr>
        <w:footnoteRef/>
      </w:r>
      <w:r>
        <w:t xml:space="preserve"> </w:t>
      </w:r>
      <w:r w:rsidRPr="00BF79FA">
        <w:t xml:space="preserve">Blundell.152. 1995, Redfield. 153. 1978, </w:t>
      </w:r>
    </w:p>
  </w:footnote>
  <w:footnote w:id="2">
    <w:p w14:paraId="41AD75C7" w14:textId="77777777" w:rsidR="001E6DDB" w:rsidRPr="00BF79FA" w:rsidRDefault="001E6DDB" w:rsidP="00BF79FA">
      <w:pPr>
        <w:pStyle w:val="FootnoteText"/>
      </w:pPr>
      <w:r w:rsidRPr="00BF79FA">
        <w:rPr>
          <w:rStyle w:val="FootnoteReference"/>
        </w:rPr>
        <w:footnoteRef/>
      </w:r>
      <w:r w:rsidRPr="00BF79FA">
        <w:t xml:space="preserve"> Pomeroy. 7. 2002</w:t>
      </w:r>
    </w:p>
  </w:footnote>
  <w:footnote w:id="3">
    <w:p w14:paraId="7B4FA2D0" w14:textId="77777777" w:rsidR="001E6DDB" w:rsidRPr="00BF79FA" w:rsidRDefault="001E6DDB" w:rsidP="000465FB">
      <w:pPr>
        <w:pStyle w:val="FootnoteText"/>
      </w:pPr>
      <w:r w:rsidRPr="00BF79FA">
        <w:rPr>
          <w:rStyle w:val="FootnoteReference"/>
        </w:rPr>
        <w:footnoteRef/>
      </w:r>
      <w:r w:rsidRPr="00BF79FA">
        <w:t xml:space="preserve"> Myszkowska-Kaszuba, 86. 2014</w:t>
      </w:r>
    </w:p>
  </w:footnote>
  <w:footnote w:id="4">
    <w:p w14:paraId="13C5FB98" w14:textId="77777777" w:rsidR="001E6DDB" w:rsidRPr="00BF79FA" w:rsidRDefault="001E6DDB" w:rsidP="000465FB">
      <w:pPr>
        <w:pStyle w:val="FootnoteText"/>
      </w:pPr>
      <w:r w:rsidRPr="00BF79FA">
        <w:rPr>
          <w:rStyle w:val="FootnoteReference"/>
        </w:rPr>
        <w:footnoteRef/>
      </w:r>
      <w:r w:rsidRPr="00BF79FA">
        <w:t xml:space="preserve"> Blundell.152.1995</w:t>
      </w:r>
    </w:p>
  </w:footnote>
  <w:footnote w:id="5">
    <w:p w14:paraId="4A1F2DBA" w14:textId="77777777" w:rsidR="00351C05" w:rsidRPr="00BF79FA" w:rsidRDefault="00351C05" w:rsidP="00351C05">
      <w:pPr>
        <w:pStyle w:val="FootnoteText"/>
      </w:pPr>
      <w:r w:rsidRPr="00BF79FA">
        <w:rPr>
          <w:rStyle w:val="FootnoteReference"/>
        </w:rPr>
        <w:footnoteRef/>
      </w:r>
      <w:r w:rsidRPr="00BF79FA">
        <w:t xml:space="preserve"> Figueira.279.2010. Here using Plut. Lacae. 3.6, where Gorgos Husband Leonidas tells her she must “bear good children”</w:t>
      </w:r>
    </w:p>
  </w:footnote>
  <w:footnote w:id="6">
    <w:p w14:paraId="383676EB" w14:textId="14FFE5AD" w:rsidR="001E6DDB" w:rsidRPr="00BF79FA" w:rsidRDefault="001E6DDB">
      <w:pPr>
        <w:pStyle w:val="FootnoteText"/>
      </w:pPr>
      <w:r w:rsidRPr="00BF79FA">
        <w:rPr>
          <w:rStyle w:val="FootnoteReference"/>
        </w:rPr>
        <w:footnoteRef/>
      </w:r>
      <w:r w:rsidRPr="00BF79FA">
        <w:t xml:space="preserve"> Plut. Lyc. 14.2</w:t>
      </w:r>
    </w:p>
  </w:footnote>
  <w:footnote w:id="7">
    <w:p w14:paraId="3842EAD0" w14:textId="379220BC" w:rsidR="001E6DDB" w:rsidRDefault="001E6DDB">
      <w:pPr>
        <w:pStyle w:val="FootnoteText"/>
      </w:pPr>
      <w:r>
        <w:rPr>
          <w:rStyle w:val="FootnoteReference"/>
        </w:rPr>
        <w:footnoteRef/>
      </w:r>
      <w:r>
        <w:t xml:space="preserve"> </w:t>
      </w:r>
      <w:r w:rsidRPr="0082517E">
        <w:t xml:space="preserve">Myszkowska-Kaszuba, </w:t>
      </w:r>
      <w:r>
        <w:t xml:space="preserve">77. </w:t>
      </w:r>
      <w:r w:rsidRPr="0082517E">
        <w:t>2014</w:t>
      </w:r>
    </w:p>
  </w:footnote>
  <w:footnote w:id="8">
    <w:p w14:paraId="38FE3787" w14:textId="6F1C42F2" w:rsidR="001E6DDB" w:rsidRPr="00BF79FA" w:rsidRDefault="001E6DDB">
      <w:pPr>
        <w:pStyle w:val="FootnoteText"/>
      </w:pPr>
      <w:r w:rsidRPr="00BF79FA">
        <w:rPr>
          <w:rStyle w:val="FootnoteReference"/>
        </w:rPr>
        <w:footnoteRef/>
      </w:r>
      <w:r w:rsidRPr="00BF79FA">
        <w:t xml:space="preserve"> Pomeroy. 3. 2002</w:t>
      </w:r>
    </w:p>
  </w:footnote>
  <w:footnote w:id="9">
    <w:p w14:paraId="55B76FA3" w14:textId="43EA7A0B" w:rsidR="001E6DDB" w:rsidRDefault="001E6DDB">
      <w:pPr>
        <w:pStyle w:val="FootnoteText"/>
      </w:pPr>
      <w:r>
        <w:rPr>
          <w:rStyle w:val="FootnoteReference"/>
        </w:rPr>
        <w:footnoteRef/>
      </w:r>
      <w:r>
        <w:t xml:space="preserve"> Plut.Lyc. 14 2</w:t>
      </w:r>
    </w:p>
  </w:footnote>
  <w:footnote w:id="10">
    <w:p w14:paraId="2CAF2340" w14:textId="3AA3B66E" w:rsidR="001E6DDB" w:rsidRDefault="001E6DDB">
      <w:pPr>
        <w:pStyle w:val="FootnoteText"/>
      </w:pPr>
      <w:r>
        <w:rPr>
          <w:rStyle w:val="FootnoteReference"/>
        </w:rPr>
        <w:footnoteRef/>
      </w:r>
      <w:r>
        <w:t xml:space="preserve"> Pomeroy 4. 2002</w:t>
      </w:r>
    </w:p>
  </w:footnote>
  <w:footnote w:id="11">
    <w:p w14:paraId="207439AF" w14:textId="77777777" w:rsidR="00351C05" w:rsidRDefault="00351C05" w:rsidP="00351C05">
      <w:pPr>
        <w:pStyle w:val="FootnoteText"/>
      </w:pPr>
      <w:r>
        <w:rPr>
          <w:rStyle w:val="FootnoteReference"/>
        </w:rPr>
        <w:footnoteRef/>
      </w:r>
      <w:r>
        <w:t xml:space="preserve"> </w:t>
      </w:r>
      <w:r w:rsidRPr="00854DDE">
        <w:t>Christesen</w:t>
      </w:r>
      <w:r>
        <w:t>. 22. 2012</w:t>
      </w:r>
    </w:p>
  </w:footnote>
  <w:footnote w:id="12">
    <w:p w14:paraId="25D5A6EC" w14:textId="77777777" w:rsidR="00351C05" w:rsidRDefault="00351C05" w:rsidP="00351C05">
      <w:pPr>
        <w:pStyle w:val="FootnoteText"/>
      </w:pPr>
      <w:r>
        <w:rPr>
          <w:rStyle w:val="FootnoteReference"/>
        </w:rPr>
        <w:footnoteRef/>
      </w:r>
      <w:r>
        <w:t xml:space="preserve"> </w:t>
      </w:r>
      <w:r w:rsidRPr="00854DDE">
        <w:t>Christesen</w:t>
      </w:r>
      <w:r>
        <w:t>. 22. 2012; Hodkinson. 299. 2010</w:t>
      </w:r>
    </w:p>
  </w:footnote>
  <w:footnote w:id="13">
    <w:p w14:paraId="6E28F798" w14:textId="77777777" w:rsidR="00351C05" w:rsidRDefault="00351C05" w:rsidP="00351C05">
      <w:pPr>
        <w:pStyle w:val="FootnoteText"/>
      </w:pPr>
      <w:r>
        <w:rPr>
          <w:rStyle w:val="FootnoteReference"/>
        </w:rPr>
        <w:footnoteRef/>
      </w:r>
      <w:r>
        <w:t xml:space="preserve"> </w:t>
      </w:r>
      <w:r w:rsidRPr="000841F5">
        <w:t>Zweig. 32.1993</w:t>
      </w:r>
      <w:r>
        <w:t xml:space="preserve">; </w:t>
      </w:r>
      <w:r w:rsidRPr="000841F5">
        <w:t>Blundell. 150.1995</w:t>
      </w:r>
      <w:r>
        <w:t xml:space="preserve">; </w:t>
      </w:r>
      <w:r w:rsidRPr="00854DDE">
        <w:t>Christesen</w:t>
      </w:r>
      <w:r>
        <w:t>. 212. 2012</w:t>
      </w:r>
    </w:p>
  </w:footnote>
  <w:footnote w:id="14">
    <w:p w14:paraId="256A6C90" w14:textId="442FDF96" w:rsidR="001E6DDB" w:rsidRDefault="001E6DDB">
      <w:pPr>
        <w:pStyle w:val="FootnoteText"/>
      </w:pPr>
      <w:r>
        <w:rPr>
          <w:rStyle w:val="FootnoteReference"/>
        </w:rPr>
        <w:footnoteRef/>
      </w:r>
      <w:r>
        <w:t xml:space="preserve"> </w:t>
      </w:r>
      <w:r w:rsidRPr="00860644">
        <w:t>Plut. Lyc. 14.2</w:t>
      </w:r>
    </w:p>
  </w:footnote>
  <w:footnote w:id="15">
    <w:p w14:paraId="2052DA6D" w14:textId="77777777" w:rsidR="001E6DDB" w:rsidRDefault="001E6DDB">
      <w:pPr>
        <w:pStyle w:val="FootnoteText"/>
      </w:pPr>
      <w:r>
        <w:rPr>
          <w:rStyle w:val="FootnoteReference"/>
        </w:rPr>
        <w:footnoteRef/>
      </w:r>
      <w:r>
        <w:t xml:space="preserve"> Pomeroy 4. 2002; Zweig. 42.1993</w:t>
      </w:r>
    </w:p>
  </w:footnote>
  <w:footnote w:id="16">
    <w:p w14:paraId="712ADD96" w14:textId="5CA3CE38" w:rsidR="001E6DDB" w:rsidRDefault="001E6DDB">
      <w:pPr>
        <w:pStyle w:val="FootnoteText"/>
      </w:pPr>
      <w:r>
        <w:rPr>
          <w:rStyle w:val="FootnoteReference"/>
        </w:rPr>
        <w:footnoteRef/>
      </w:r>
      <w:r>
        <w:t xml:space="preserve"> Pomeroy. 7. 2001</w:t>
      </w:r>
    </w:p>
  </w:footnote>
  <w:footnote w:id="17">
    <w:p w14:paraId="1CFAD8E7" w14:textId="792E63F5" w:rsidR="001E6DDB" w:rsidRDefault="001E6DDB">
      <w:pPr>
        <w:pStyle w:val="FootnoteText"/>
      </w:pPr>
      <w:r>
        <w:rPr>
          <w:rStyle w:val="FootnoteReference"/>
        </w:rPr>
        <w:footnoteRef/>
      </w:r>
      <w:r>
        <w:t xml:space="preserve"> Lefkowitz &amp; Fant. 283</w:t>
      </w:r>
      <w:r w:rsidR="007A766D">
        <w:t>;</w:t>
      </w:r>
      <w:r>
        <w:t xml:space="preserve"> 1982; Katz</w:t>
      </w:r>
      <w:r w:rsidRPr="00BF79FA">
        <w:t>.</w:t>
      </w:r>
      <w:r>
        <w:t>128</w:t>
      </w:r>
      <w:r w:rsidRPr="00BF79FA">
        <w:t>.</w:t>
      </w:r>
      <w:r>
        <w:t>1998</w:t>
      </w:r>
    </w:p>
  </w:footnote>
  <w:footnote w:id="18">
    <w:p w14:paraId="5E5FE4E4" w14:textId="3BE6FCD0" w:rsidR="001E6DDB" w:rsidRDefault="001E6DDB">
      <w:pPr>
        <w:pStyle w:val="FootnoteText"/>
      </w:pPr>
      <w:r>
        <w:rPr>
          <w:rStyle w:val="FootnoteReference"/>
        </w:rPr>
        <w:footnoteRef/>
      </w:r>
      <w:r>
        <w:t xml:space="preserve"> Katz</w:t>
      </w:r>
      <w:r w:rsidRPr="00BF79FA">
        <w:t>.</w:t>
      </w:r>
      <w:r>
        <w:t>128</w:t>
      </w:r>
      <w:r w:rsidRPr="00BF79FA">
        <w:t>.</w:t>
      </w:r>
      <w:r>
        <w:t>1998; Redfield. 148. 1978</w:t>
      </w:r>
    </w:p>
  </w:footnote>
  <w:footnote w:id="19">
    <w:p w14:paraId="56A577E0" w14:textId="5512A0BA" w:rsidR="001E6DDB" w:rsidRDefault="001E6DDB">
      <w:pPr>
        <w:pStyle w:val="FootnoteText"/>
      </w:pPr>
      <w:r>
        <w:rPr>
          <w:rStyle w:val="FootnoteReference"/>
        </w:rPr>
        <w:footnoteRef/>
      </w:r>
      <w:r>
        <w:t xml:space="preserve"> Blundell. 152. 1995</w:t>
      </w:r>
    </w:p>
  </w:footnote>
  <w:footnote w:id="20">
    <w:p w14:paraId="1A51BC9A" w14:textId="7DCC8570" w:rsidR="001C4DD9" w:rsidRDefault="001C4DD9">
      <w:pPr>
        <w:pStyle w:val="FootnoteText"/>
      </w:pPr>
      <w:r>
        <w:rPr>
          <w:rStyle w:val="FootnoteReference"/>
        </w:rPr>
        <w:footnoteRef/>
      </w:r>
      <w:r>
        <w:t xml:space="preserve"> Fantham et al. 57-8. 1994 </w:t>
      </w:r>
    </w:p>
  </w:footnote>
  <w:footnote w:id="21">
    <w:p w14:paraId="255E7E27" w14:textId="2C862B23" w:rsidR="001E6DDB" w:rsidRDefault="001E6DDB">
      <w:pPr>
        <w:pStyle w:val="FootnoteText"/>
      </w:pPr>
      <w:r>
        <w:rPr>
          <w:rStyle w:val="FootnoteReference"/>
        </w:rPr>
        <w:footnoteRef/>
      </w:r>
      <w:r>
        <w:t xml:space="preserve"> Scott 148.1978</w:t>
      </w:r>
      <w:r w:rsidR="004C4C85">
        <w:t>; Fantham. Et.al. 56.1994</w:t>
      </w:r>
    </w:p>
  </w:footnote>
  <w:footnote w:id="22">
    <w:p w14:paraId="7C109B28" w14:textId="5EE54AFC" w:rsidR="001E6DDB" w:rsidRDefault="001E6DDB">
      <w:pPr>
        <w:pStyle w:val="FootnoteText"/>
      </w:pPr>
      <w:r>
        <w:rPr>
          <w:rStyle w:val="FootnoteReference"/>
        </w:rPr>
        <w:footnoteRef/>
      </w:r>
      <w:r>
        <w:t xml:space="preserve"> Pomeroy. 8. 2002; Zweig. 42.1993</w:t>
      </w:r>
    </w:p>
  </w:footnote>
  <w:footnote w:id="23">
    <w:p w14:paraId="6533BF79" w14:textId="226B1D6D" w:rsidR="001E6DDB" w:rsidRDefault="001E6DDB">
      <w:pPr>
        <w:pStyle w:val="FootnoteText"/>
      </w:pPr>
      <w:r>
        <w:rPr>
          <w:rStyle w:val="FootnoteReference"/>
        </w:rPr>
        <w:footnoteRef/>
      </w:r>
      <w:r>
        <w:t xml:space="preserve"> Figueira. 266.2010</w:t>
      </w:r>
    </w:p>
  </w:footnote>
  <w:footnote w:id="24">
    <w:p w14:paraId="1812D092" w14:textId="27AA8EEB" w:rsidR="001E6DDB" w:rsidRDefault="001E6DDB" w:rsidP="00374C51">
      <w:pPr>
        <w:pStyle w:val="FootnoteText"/>
      </w:pPr>
      <w:r>
        <w:rPr>
          <w:rStyle w:val="FootnoteReference"/>
        </w:rPr>
        <w:footnoteRef/>
      </w:r>
      <w:r>
        <w:t xml:space="preserve"> </w:t>
      </w:r>
      <w:r w:rsidRPr="00374C51">
        <w:t>Hdt. 5.51</w:t>
      </w:r>
      <w:r>
        <w:t xml:space="preserve"> preserver of her father’s moral and acts against corruption; </w:t>
      </w:r>
      <w:r w:rsidRPr="00374C51">
        <w:t>Hdt. 7.239</w:t>
      </w:r>
      <w:r>
        <w:t>, the discovering of a hidden message on a wax tablet where men had failed.</w:t>
      </w:r>
    </w:p>
  </w:footnote>
  <w:footnote w:id="25">
    <w:p w14:paraId="65BADC14" w14:textId="6625328F" w:rsidR="001E6DDB" w:rsidRDefault="001E6DDB">
      <w:pPr>
        <w:pStyle w:val="FootnoteText"/>
      </w:pPr>
      <w:r>
        <w:rPr>
          <w:rStyle w:val="FootnoteReference"/>
        </w:rPr>
        <w:footnoteRef/>
      </w:r>
      <w:r>
        <w:t xml:space="preserve"> Figueira. 266. 2010; </w:t>
      </w:r>
      <w:r w:rsidRPr="00BF79FA">
        <w:t>Figueira.271.2010</w:t>
      </w:r>
      <w:r>
        <w:t>; Zweig. 43.1993</w:t>
      </w:r>
    </w:p>
  </w:footnote>
  <w:footnote w:id="26">
    <w:p w14:paraId="5AC82BD4" w14:textId="07249D4F" w:rsidR="001F43DB" w:rsidRDefault="001F43DB">
      <w:pPr>
        <w:pStyle w:val="FootnoteText"/>
      </w:pPr>
      <w:r>
        <w:rPr>
          <w:rStyle w:val="FootnoteReference"/>
        </w:rPr>
        <w:footnoteRef/>
      </w:r>
      <w:r>
        <w:t xml:space="preserve"> </w:t>
      </w:r>
      <w:r>
        <w:t>Figueira. 2</w:t>
      </w:r>
      <w:r>
        <w:t>83</w:t>
      </w:r>
      <w:r>
        <w:t>. 2010</w:t>
      </w:r>
    </w:p>
  </w:footnote>
  <w:footnote w:id="27">
    <w:p w14:paraId="20160E08" w14:textId="47D25845" w:rsidR="001E6DDB" w:rsidRDefault="001E6DDB">
      <w:pPr>
        <w:pStyle w:val="FootnoteText"/>
      </w:pPr>
      <w:r>
        <w:rPr>
          <w:rStyle w:val="FootnoteReference"/>
        </w:rPr>
        <w:footnoteRef/>
      </w:r>
      <w:r>
        <w:t xml:space="preserve"> Zweig. 46. 1993</w:t>
      </w:r>
    </w:p>
  </w:footnote>
  <w:footnote w:id="28">
    <w:p w14:paraId="44AA4650" w14:textId="7C2DB417" w:rsidR="007A766D" w:rsidRDefault="007A766D">
      <w:pPr>
        <w:pStyle w:val="FootnoteText"/>
      </w:pPr>
      <w:r>
        <w:rPr>
          <w:rStyle w:val="FootnoteReference"/>
        </w:rPr>
        <w:footnoteRef/>
      </w:r>
      <w:r>
        <w:t xml:space="preserve"> </w:t>
      </w:r>
      <w:r>
        <w:t>Figueira. 2</w:t>
      </w:r>
      <w:r>
        <w:t>66</w:t>
      </w:r>
      <w:r>
        <w:t>. 2010</w:t>
      </w:r>
    </w:p>
  </w:footnote>
  <w:footnote w:id="29">
    <w:p w14:paraId="31C617F4" w14:textId="265CD6A7" w:rsidR="001E6DDB" w:rsidRDefault="001E6DDB">
      <w:pPr>
        <w:pStyle w:val="FootnoteText"/>
      </w:pPr>
      <w:r>
        <w:rPr>
          <w:rStyle w:val="FootnoteReference"/>
        </w:rPr>
        <w:footnoteRef/>
      </w:r>
      <w:r>
        <w:t xml:space="preserve"> </w:t>
      </w:r>
      <w:r w:rsidRPr="00CA531F">
        <w:t>Redfield. 147. 1978</w:t>
      </w:r>
    </w:p>
  </w:footnote>
  <w:footnote w:id="30">
    <w:p w14:paraId="75F0A4F3" w14:textId="3614AFFB" w:rsidR="00F97C33" w:rsidRDefault="00F97C33">
      <w:pPr>
        <w:pStyle w:val="FootnoteText"/>
      </w:pPr>
      <w:r>
        <w:rPr>
          <w:rStyle w:val="FootnoteReference"/>
        </w:rPr>
        <w:footnoteRef/>
      </w:r>
      <w:r>
        <w:t xml:space="preserve"> </w:t>
      </w:r>
      <w:r>
        <w:t xml:space="preserve">Fantham et al. </w:t>
      </w:r>
      <w:r>
        <w:t>66</w:t>
      </w:r>
      <w:r>
        <w:t>. 1994</w:t>
      </w:r>
      <w:r>
        <w:t>.</w:t>
      </w:r>
    </w:p>
  </w:footnote>
  <w:footnote w:id="31">
    <w:p w14:paraId="2BF19FF9" w14:textId="3FA76734" w:rsidR="001E6DDB" w:rsidRDefault="001E6DDB">
      <w:pPr>
        <w:pStyle w:val="FootnoteText"/>
      </w:pPr>
      <w:r>
        <w:rPr>
          <w:rStyle w:val="FootnoteReference"/>
        </w:rPr>
        <w:footnoteRef/>
      </w:r>
      <w:r>
        <w:t xml:space="preserve"> </w:t>
      </w:r>
      <w:r w:rsidRPr="0082517E">
        <w:t xml:space="preserve">Myszkowska-Kaszuba, </w:t>
      </w:r>
      <w:r>
        <w:t xml:space="preserve">77. </w:t>
      </w:r>
      <w:r w:rsidRPr="0082517E">
        <w:t>2014</w:t>
      </w:r>
      <w:r>
        <w:t>; here it should be noted the main comparative for marriage difference is Athens, as evidence from other poleis isn’t well known or clear to define.</w:t>
      </w:r>
    </w:p>
  </w:footnote>
  <w:footnote w:id="32">
    <w:p w14:paraId="0379A96D" w14:textId="2F4C57D1" w:rsidR="001E6DDB" w:rsidRDefault="001E6DDB">
      <w:pPr>
        <w:pStyle w:val="FootnoteText"/>
      </w:pPr>
      <w:r>
        <w:rPr>
          <w:rStyle w:val="FootnoteReference"/>
        </w:rPr>
        <w:footnoteRef/>
      </w:r>
      <w:r>
        <w:t xml:space="preserve"> </w:t>
      </w:r>
      <w:r w:rsidRPr="0082517E">
        <w:t>Myszkowska-Kaszuba</w:t>
      </w:r>
      <w:r>
        <w:t>. 85. 2014; Scott 413. 2011</w:t>
      </w:r>
    </w:p>
  </w:footnote>
  <w:footnote w:id="33">
    <w:p w14:paraId="011ACE76" w14:textId="7584F28A" w:rsidR="001E6DDB" w:rsidRDefault="001E6DDB">
      <w:pPr>
        <w:pStyle w:val="FootnoteText"/>
      </w:pPr>
      <w:r>
        <w:rPr>
          <w:rStyle w:val="FootnoteReference"/>
        </w:rPr>
        <w:footnoteRef/>
      </w:r>
      <w:r>
        <w:t xml:space="preserve"> Pomeroy. 39. 2002</w:t>
      </w:r>
    </w:p>
  </w:footnote>
  <w:footnote w:id="34">
    <w:p w14:paraId="78D4EA0E" w14:textId="542B995E" w:rsidR="001E6DDB" w:rsidRDefault="001E6DDB">
      <w:pPr>
        <w:pStyle w:val="FootnoteText"/>
      </w:pPr>
      <w:r>
        <w:rPr>
          <w:rStyle w:val="FootnoteReference"/>
        </w:rPr>
        <w:footnoteRef/>
      </w:r>
      <w:r>
        <w:t xml:space="preserve"> Scott 413, 420. 2011</w:t>
      </w:r>
    </w:p>
  </w:footnote>
  <w:footnote w:id="35">
    <w:p w14:paraId="49127980" w14:textId="1B935EBA" w:rsidR="001E6DDB" w:rsidRDefault="001E6DDB">
      <w:pPr>
        <w:pStyle w:val="FootnoteText"/>
      </w:pPr>
      <w:r>
        <w:rPr>
          <w:rStyle w:val="FootnoteReference"/>
        </w:rPr>
        <w:footnoteRef/>
      </w:r>
      <w:r>
        <w:t xml:space="preserve"> </w:t>
      </w:r>
      <w:r w:rsidRPr="00576A69">
        <w:t>Plut. Lys. 30</w:t>
      </w:r>
      <w:r>
        <w:t>, Here Plutarch seems to be focusing on specific men, but such expectations are could be applicable to both genders</w:t>
      </w:r>
    </w:p>
  </w:footnote>
  <w:footnote w:id="36">
    <w:p w14:paraId="232E0981" w14:textId="77777777" w:rsidR="00F7390F" w:rsidRDefault="00F7390F" w:rsidP="00F7390F">
      <w:pPr>
        <w:pStyle w:val="FootnoteText"/>
      </w:pPr>
      <w:r>
        <w:rPr>
          <w:rStyle w:val="FootnoteReference"/>
        </w:rPr>
        <w:footnoteRef/>
      </w:r>
      <w:r>
        <w:t xml:space="preserve"> Scott. 421. 2011</w:t>
      </w:r>
    </w:p>
  </w:footnote>
  <w:footnote w:id="37">
    <w:p w14:paraId="2CE5646E" w14:textId="69E90E5B" w:rsidR="001E6DDB" w:rsidRDefault="001E6DDB">
      <w:pPr>
        <w:pStyle w:val="FootnoteText"/>
      </w:pPr>
      <w:r>
        <w:rPr>
          <w:rStyle w:val="FootnoteReference"/>
        </w:rPr>
        <w:footnoteRef/>
      </w:r>
      <w:r>
        <w:t xml:space="preserve"> </w:t>
      </w:r>
      <w:r w:rsidRPr="00D95525">
        <w:t>Plut. Lyc. 15</w:t>
      </w:r>
      <w:r>
        <w:t>.4-5</w:t>
      </w:r>
    </w:p>
  </w:footnote>
  <w:footnote w:id="38">
    <w:p w14:paraId="7C2299B8" w14:textId="7D28DA1B" w:rsidR="001E6DDB" w:rsidRDefault="001E6DDB">
      <w:pPr>
        <w:pStyle w:val="FootnoteText"/>
      </w:pPr>
      <w:r>
        <w:rPr>
          <w:rStyle w:val="FootnoteReference"/>
        </w:rPr>
        <w:footnoteRef/>
      </w:r>
      <w:r>
        <w:t xml:space="preserve"> Arist. Pol. 1270a17-31</w:t>
      </w:r>
    </w:p>
  </w:footnote>
  <w:footnote w:id="39">
    <w:p w14:paraId="4ABEA1A0" w14:textId="60CF8011" w:rsidR="001E6DDB" w:rsidRDefault="001E6DDB">
      <w:pPr>
        <w:pStyle w:val="FootnoteText"/>
      </w:pPr>
      <w:r>
        <w:rPr>
          <w:rStyle w:val="FootnoteReference"/>
        </w:rPr>
        <w:footnoteRef/>
      </w:r>
      <w:r>
        <w:t xml:space="preserve"> Pomeroy. 39-40. 2002</w:t>
      </w:r>
      <w:r w:rsidR="00F7390F">
        <w:t>;</w:t>
      </w:r>
      <w:r>
        <w:t xml:space="preserve"> Scott 413, 420. 2011</w:t>
      </w:r>
    </w:p>
  </w:footnote>
  <w:footnote w:id="40">
    <w:p w14:paraId="030356BD" w14:textId="77777777" w:rsidR="004658D7" w:rsidRDefault="004658D7" w:rsidP="004658D7">
      <w:pPr>
        <w:pStyle w:val="FootnoteText"/>
      </w:pPr>
      <w:r>
        <w:rPr>
          <w:rStyle w:val="FootnoteReference"/>
        </w:rPr>
        <w:footnoteRef/>
      </w:r>
      <w:r>
        <w:t xml:space="preserve"> </w:t>
      </w:r>
      <w:r w:rsidRPr="00D95525">
        <w:t>Plut. Lyc. 15</w:t>
      </w:r>
      <w:r>
        <w:t>.4-5 men were to be ashamed of being seen leaving or entering the woman’s room, and was an exercise in “self-restraint”</w:t>
      </w:r>
    </w:p>
  </w:footnote>
  <w:footnote w:id="41">
    <w:p w14:paraId="01DDC6AC" w14:textId="76AC4A5A" w:rsidR="000313CD" w:rsidRPr="000313CD" w:rsidRDefault="000313CD" w:rsidP="000313CD">
      <w:pPr>
        <w:pStyle w:val="FootnoteText"/>
        <w:rPr>
          <w:b/>
          <w:bCs/>
        </w:rPr>
      </w:pPr>
      <w:r>
        <w:rPr>
          <w:rStyle w:val="FootnoteReference"/>
        </w:rPr>
        <w:footnoteRef/>
      </w:r>
      <w:r>
        <w:t xml:space="preserve"> Xen. Lac.pol.1.5-10</w:t>
      </w:r>
      <w:r>
        <w:t xml:space="preserve"> comments on multiple marriage of Spartans, </w:t>
      </w:r>
      <w:r w:rsidRPr="000313CD">
        <w:t>Pomeroy</w:t>
      </w:r>
      <w:r>
        <w:t xml:space="preserve">. 231. 2008, </w:t>
      </w:r>
      <w:r>
        <w:t>Scott 413. 2011</w:t>
      </w:r>
    </w:p>
  </w:footnote>
  <w:footnote w:id="42">
    <w:p w14:paraId="1A92888D" w14:textId="59E84550" w:rsidR="00CA12AF" w:rsidRDefault="00CA12AF">
      <w:pPr>
        <w:pStyle w:val="FootnoteText"/>
      </w:pPr>
      <w:r>
        <w:rPr>
          <w:rStyle w:val="FootnoteReference"/>
        </w:rPr>
        <w:footnoteRef/>
      </w:r>
      <w:r>
        <w:t xml:space="preserve"> </w:t>
      </w:r>
      <w:r w:rsidRPr="00854DDE">
        <w:t>Christesen</w:t>
      </w:r>
      <w:r>
        <w:t>. 22</w:t>
      </w:r>
      <w:r>
        <w:t>5</w:t>
      </w:r>
      <w:r>
        <w:t>. 2012</w:t>
      </w:r>
      <w:r>
        <w:t xml:space="preserve"> </w:t>
      </w:r>
    </w:p>
  </w:footnote>
  <w:footnote w:id="43">
    <w:p w14:paraId="310C1C0A" w14:textId="13292990" w:rsidR="0013710D" w:rsidRDefault="0013710D">
      <w:pPr>
        <w:pStyle w:val="FootnoteText"/>
      </w:pPr>
      <w:r>
        <w:rPr>
          <w:rStyle w:val="FootnoteReference"/>
        </w:rPr>
        <w:footnoteRef/>
      </w:r>
      <w:r>
        <w:t xml:space="preserve"> </w:t>
      </w:r>
      <w:r>
        <w:t>Pomeroy. 5. 2002</w:t>
      </w:r>
      <w:r>
        <w:t xml:space="preserve">; </w:t>
      </w:r>
      <w:r>
        <w:t>Blundell. 151. 1995</w:t>
      </w:r>
    </w:p>
  </w:footnote>
  <w:footnote w:id="44">
    <w:p w14:paraId="538D63D3" w14:textId="7EB1F042" w:rsidR="0013710D" w:rsidRDefault="0013710D">
      <w:pPr>
        <w:pStyle w:val="FootnoteText"/>
      </w:pPr>
      <w:r>
        <w:rPr>
          <w:rStyle w:val="FootnoteReference"/>
        </w:rPr>
        <w:footnoteRef/>
      </w:r>
      <w:r>
        <w:t xml:space="preserve"> </w:t>
      </w:r>
      <w:r>
        <w:t>Pomeroy 30. 2002</w:t>
      </w:r>
      <w:r>
        <w:t xml:space="preserve">; </w:t>
      </w:r>
      <w:r>
        <w:t>Blundell. 151. 1995</w:t>
      </w:r>
      <w:r w:rsidR="007661FA">
        <w:t>; Katz.128.1998</w:t>
      </w:r>
    </w:p>
  </w:footnote>
  <w:footnote w:id="45">
    <w:p w14:paraId="21067FBC" w14:textId="090C5585" w:rsidR="007661FA" w:rsidRDefault="007661FA">
      <w:pPr>
        <w:pStyle w:val="FootnoteText"/>
      </w:pPr>
      <w:r>
        <w:rPr>
          <w:rStyle w:val="FootnoteReference"/>
        </w:rPr>
        <w:footnoteRef/>
      </w:r>
      <w:r>
        <w:t xml:space="preserve"> </w:t>
      </w:r>
      <w:r>
        <w:t>Pomeroy. 44. 2002</w:t>
      </w:r>
    </w:p>
  </w:footnote>
  <w:footnote w:id="46">
    <w:p w14:paraId="10E1F047" w14:textId="63AB8C93" w:rsidR="00511CE8" w:rsidRDefault="00511CE8">
      <w:pPr>
        <w:pStyle w:val="FootnoteText"/>
      </w:pPr>
      <w:r>
        <w:rPr>
          <w:rStyle w:val="FootnoteReference"/>
        </w:rPr>
        <w:footnoteRef/>
      </w:r>
      <w:r>
        <w:t xml:space="preserve"> </w:t>
      </w:r>
      <w:r>
        <w:t>Plut.lyc.15.1,3-7</w:t>
      </w:r>
    </w:p>
  </w:footnote>
  <w:footnote w:id="47">
    <w:p w14:paraId="11B3DB28" w14:textId="30E8859D" w:rsidR="004C4C85" w:rsidRDefault="004C4C85">
      <w:pPr>
        <w:pStyle w:val="FootnoteText"/>
      </w:pPr>
      <w:r>
        <w:rPr>
          <w:rStyle w:val="FootnoteReference"/>
        </w:rPr>
        <w:footnoteRef/>
      </w:r>
      <w:r>
        <w:t xml:space="preserve"> Fantham et.al. 66. 1994.</w:t>
      </w:r>
    </w:p>
  </w:footnote>
  <w:footnote w:id="48">
    <w:p w14:paraId="2FDDC60A" w14:textId="32D7E866" w:rsidR="004C4C85" w:rsidRDefault="004C4C85">
      <w:pPr>
        <w:pStyle w:val="FootnoteText"/>
      </w:pPr>
      <w:r>
        <w:rPr>
          <w:rStyle w:val="FootnoteReference"/>
        </w:rPr>
        <w:footnoteRef/>
      </w:r>
      <w:r>
        <w:t xml:space="preserve"> Hdt.</w:t>
      </w:r>
      <w:r>
        <w:t>6.57.4</w:t>
      </w:r>
    </w:p>
  </w:footnote>
  <w:footnote w:id="49">
    <w:p w14:paraId="58EAC28F" w14:textId="0C486A3F" w:rsidR="00DF7239" w:rsidRDefault="00DF7239">
      <w:pPr>
        <w:pStyle w:val="FootnoteText"/>
      </w:pPr>
      <w:r>
        <w:rPr>
          <w:rStyle w:val="FootnoteReference"/>
        </w:rPr>
        <w:footnoteRef/>
      </w:r>
      <w:r>
        <w:t xml:space="preserve"> </w:t>
      </w:r>
      <w:r>
        <w:t>Blundell. 152. 1995</w:t>
      </w:r>
    </w:p>
  </w:footnote>
  <w:footnote w:id="50">
    <w:p w14:paraId="0D16E443" w14:textId="3E1008D5" w:rsidR="00DF7239" w:rsidRDefault="00DF7239">
      <w:pPr>
        <w:pStyle w:val="FootnoteText"/>
      </w:pPr>
      <w:r>
        <w:rPr>
          <w:rStyle w:val="FootnoteReference"/>
        </w:rPr>
        <w:footnoteRef/>
      </w:r>
      <w:r>
        <w:t xml:space="preserve"> Zweig. 47. ; </w:t>
      </w:r>
      <w:r>
        <w:t xml:space="preserve">Figueira. </w:t>
      </w:r>
      <w:r>
        <w:t>273</w:t>
      </w:r>
      <w:r>
        <w:t>. 2010</w:t>
      </w:r>
    </w:p>
  </w:footnote>
  <w:footnote w:id="51">
    <w:p w14:paraId="0A02AB42" w14:textId="64598739" w:rsidR="00DF7239" w:rsidRDefault="00DF7239">
      <w:pPr>
        <w:pStyle w:val="FootnoteText"/>
      </w:pPr>
      <w:r>
        <w:rPr>
          <w:rStyle w:val="FootnoteReference"/>
        </w:rPr>
        <w:footnoteRef/>
      </w:r>
      <w:r>
        <w:t xml:space="preserve"> </w:t>
      </w:r>
      <w:r>
        <w:t>Pomeroy. 44. 2002</w:t>
      </w:r>
      <w:r>
        <w:t xml:space="preserve">, This </w:t>
      </w:r>
      <w:r w:rsidR="00516038">
        <w:t>argument</w:t>
      </w:r>
      <w:r>
        <w:t xml:space="preserve"> in itself is </w:t>
      </w:r>
      <w:r w:rsidR="00A919DB">
        <w:t xml:space="preserve">weak as the male would have been trained in combat, where the female wouldn’t and however </w:t>
      </w:r>
      <w:r w:rsidR="00516038">
        <w:t>strong</w:t>
      </w:r>
      <w:r w:rsidR="00A919DB">
        <w:t xml:space="preserve"> she was, he would have still been physically stronger.</w:t>
      </w:r>
    </w:p>
  </w:footnote>
  <w:footnote w:id="52">
    <w:p w14:paraId="480AD7A8" w14:textId="7BCFDF44" w:rsidR="00A919DB" w:rsidRDefault="00A919DB">
      <w:pPr>
        <w:pStyle w:val="FootnoteText"/>
      </w:pPr>
      <w:r>
        <w:rPr>
          <w:rStyle w:val="FootnoteReference"/>
        </w:rPr>
        <w:footnoteRef/>
      </w:r>
      <w:r>
        <w:t xml:space="preserve"> </w:t>
      </w:r>
      <w:r>
        <w:t>Zweig 32. 1993</w:t>
      </w:r>
    </w:p>
  </w:footnote>
  <w:footnote w:id="53">
    <w:p w14:paraId="03D1C9BB" w14:textId="0420290A" w:rsidR="00A919DB" w:rsidRDefault="00A919DB">
      <w:pPr>
        <w:pStyle w:val="FootnoteText"/>
      </w:pPr>
      <w:r>
        <w:rPr>
          <w:rStyle w:val="FootnoteReference"/>
        </w:rPr>
        <w:footnoteRef/>
      </w:r>
      <w:r>
        <w:t xml:space="preserve"> </w:t>
      </w:r>
      <w:r w:rsidR="00CE1FD5">
        <w:t>Hdt.7.239</w:t>
      </w:r>
    </w:p>
  </w:footnote>
  <w:footnote w:id="54">
    <w:p w14:paraId="593DE8D8" w14:textId="36DFBD4E" w:rsidR="00834691" w:rsidRDefault="00834691">
      <w:pPr>
        <w:pStyle w:val="FootnoteText"/>
      </w:pPr>
      <w:r>
        <w:rPr>
          <w:rStyle w:val="FootnoteReference"/>
        </w:rPr>
        <w:footnoteRef/>
      </w:r>
      <w:r>
        <w:t xml:space="preserve"> Pomeroy. 8. 2002</w:t>
      </w:r>
    </w:p>
  </w:footnote>
  <w:footnote w:id="55">
    <w:p w14:paraId="2622420F" w14:textId="4EA856A5" w:rsidR="00CE1FD5" w:rsidRDefault="00CE1FD5">
      <w:pPr>
        <w:pStyle w:val="FootnoteText"/>
      </w:pPr>
      <w:r>
        <w:rPr>
          <w:rStyle w:val="FootnoteReference"/>
        </w:rPr>
        <w:footnoteRef/>
      </w:r>
      <w:r>
        <w:t xml:space="preserve"> </w:t>
      </w:r>
      <w:r>
        <w:t>Scott 416.  2011</w:t>
      </w:r>
      <w:r>
        <w:t xml:space="preserve">; </w:t>
      </w:r>
      <w:r>
        <w:t>plut.lyc.14.1-2</w:t>
      </w:r>
    </w:p>
  </w:footnote>
  <w:footnote w:id="56">
    <w:p w14:paraId="71C67427" w14:textId="02188EF9" w:rsidR="002E3F6A" w:rsidRDefault="002E3F6A">
      <w:pPr>
        <w:pStyle w:val="FootnoteText"/>
      </w:pPr>
      <w:r>
        <w:rPr>
          <w:rStyle w:val="FootnoteReference"/>
        </w:rPr>
        <w:footnoteRef/>
      </w:r>
      <w:r>
        <w:t xml:space="preserve"> </w:t>
      </w:r>
      <w:r>
        <w:t>Pomeroy 44. 2002</w:t>
      </w:r>
      <w:r>
        <w:t xml:space="preserve">, </w:t>
      </w:r>
      <w:r>
        <w:t>Blundell. 151. 1995</w:t>
      </w:r>
    </w:p>
  </w:footnote>
  <w:footnote w:id="57">
    <w:p w14:paraId="61B94C2E" w14:textId="13E3D327" w:rsidR="002E3F6A" w:rsidRDefault="002E3F6A">
      <w:pPr>
        <w:pStyle w:val="FootnoteText"/>
      </w:pPr>
      <w:r>
        <w:rPr>
          <w:rStyle w:val="FootnoteReference"/>
        </w:rPr>
        <w:footnoteRef/>
      </w:r>
      <w:r>
        <w:t xml:space="preserve"> </w:t>
      </w:r>
      <w:r w:rsidRPr="002E3F6A">
        <w:t>Plut. Lacae. 3.5</w:t>
      </w:r>
      <w:r>
        <w:t xml:space="preserve">; </w:t>
      </w:r>
      <w:r w:rsidRPr="002E3F6A">
        <w:t>Plut. Lacae. 6.9</w:t>
      </w:r>
    </w:p>
  </w:footnote>
  <w:footnote w:id="58">
    <w:p w14:paraId="544F92B0" w14:textId="579FB92B" w:rsidR="002E3F6A" w:rsidRDefault="002E3F6A">
      <w:pPr>
        <w:pStyle w:val="FootnoteText"/>
      </w:pPr>
      <w:r>
        <w:rPr>
          <w:rStyle w:val="FootnoteReference"/>
        </w:rPr>
        <w:footnoteRef/>
      </w:r>
      <w:r>
        <w:t xml:space="preserve"> </w:t>
      </w:r>
      <w:r w:rsidR="00B45061" w:rsidRPr="0082517E">
        <w:t xml:space="preserve">Myszkowska-Kaszuba, </w:t>
      </w:r>
      <w:r w:rsidR="00B45061">
        <w:t xml:space="preserve">77. </w:t>
      </w:r>
      <w:r w:rsidR="00B45061" w:rsidRPr="0082517E">
        <w:t>2014</w:t>
      </w:r>
      <w:r w:rsidR="00B45061">
        <w:t xml:space="preserve">; </w:t>
      </w:r>
    </w:p>
  </w:footnote>
  <w:footnote w:id="59">
    <w:p w14:paraId="0BB9E628" w14:textId="3D8B187A" w:rsidR="00B45061" w:rsidRDefault="00B45061">
      <w:pPr>
        <w:pStyle w:val="FootnoteText"/>
      </w:pPr>
      <w:r>
        <w:rPr>
          <w:rStyle w:val="FootnoteReference"/>
        </w:rPr>
        <w:footnoteRef/>
      </w:r>
      <w:r>
        <w:t xml:space="preserve"> Zweig.44-5. 1993</w:t>
      </w:r>
    </w:p>
  </w:footnote>
  <w:footnote w:id="60">
    <w:p w14:paraId="3E46E3EC" w14:textId="5775A74A" w:rsidR="00FC2F3B" w:rsidRDefault="00FC2F3B">
      <w:pPr>
        <w:pStyle w:val="FootnoteText"/>
      </w:pPr>
      <w:r>
        <w:rPr>
          <w:rStyle w:val="FootnoteReference"/>
        </w:rPr>
        <w:footnoteRef/>
      </w:r>
      <w:r>
        <w:t xml:space="preserve"> </w:t>
      </w:r>
      <w:r>
        <w:t>Zweig.45. 1993</w:t>
      </w:r>
      <w:r>
        <w:t>; Pomeroy.58. 2002.</w:t>
      </w:r>
    </w:p>
  </w:footnote>
  <w:footnote w:id="61">
    <w:p w14:paraId="6D070763" w14:textId="2CD0B74F" w:rsidR="00FC2F3B" w:rsidRDefault="00FC2F3B">
      <w:pPr>
        <w:pStyle w:val="FootnoteText"/>
      </w:pPr>
      <w:r>
        <w:rPr>
          <w:rStyle w:val="FootnoteReference"/>
        </w:rPr>
        <w:footnoteRef/>
      </w:r>
      <w:r>
        <w:t xml:space="preserve"> </w:t>
      </w:r>
      <w:r w:rsidR="00A92D56" w:rsidRPr="0082517E">
        <w:t xml:space="preserve">Myszkowska-Kaszuba, </w:t>
      </w:r>
      <w:r w:rsidR="00A92D56">
        <w:t>7</w:t>
      </w:r>
      <w:r w:rsidR="00A92D56">
        <w:t>9</w:t>
      </w:r>
      <w:r w:rsidR="00A92D56">
        <w:t xml:space="preserve">. </w:t>
      </w:r>
      <w:r w:rsidR="00A92D56" w:rsidRPr="0082517E">
        <w:t>2014</w:t>
      </w:r>
    </w:p>
  </w:footnote>
  <w:footnote w:id="62">
    <w:p w14:paraId="3D8AE937" w14:textId="1BDC8DFA" w:rsidR="00FC2F3B" w:rsidRDefault="00FC2F3B">
      <w:pPr>
        <w:pStyle w:val="FootnoteText"/>
      </w:pPr>
      <w:r>
        <w:rPr>
          <w:rStyle w:val="FootnoteReference"/>
        </w:rPr>
        <w:footnoteRef/>
      </w:r>
      <w:r>
        <w:t xml:space="preserve"> </w:t>
      </w:r>
      <w:r w:rsidR="00A92D56">
        <w:t>Dillon. 149. 2007</w:t>
      </w:r>
    </w:p>
  </w:footnote>
  <w:footnote w:id="63">
    <w:p w14:paraId="1646F9B7" w14:textId="3BE69F4C" w:rsidR="00A92D56" w:rsidRDefault="00FC2F3B">
      <w:pPr>
        <w:pStyle w:val="FootnoteText"/>
      </w:pPr>
      <w:r>
        <w:rPr>
          <w:rStyle w:val="FootnoteReference"/>
        </w:rPr>
        <w:footnoteRef/>
      </w:r>
      <w:r>
        <w:t xml:space="preserve"> </w:t>
      </w:r>
      <w:r w:rsidR="00A92D56">
        <w:t>Pomeroy. 224. 2008</w:t>
      </w:r>
    </w:p>
  </w:footnote>
  <w:footnote w:id="64">
    <w:p w14:paraId="214949B0" w14:textId="3A7023CF" w:rsidR="00FC2F3B" w:rsidRDefault="00FC2F3B">
      <w:pPr>
        <w:pStyle w:val="FootnoteText"/>
      </w:pPr>
      <w:r>
        <w:rPr>
          <w:rStyle w:val="FootnoteReference"/>
        </w:rPr>
        <w:footnoteRef/>
      </w:r>
      <w:r>
        <w:t xml:space="preserve"> </w:t>
      </w:r>
      <w:r w:rsidR="00A92D56" w:rsidRPr="0082517E">
        <w:t xml:space="preserve">Myszkowska-Kaszuba, </w:t>
      </w:r>
      <w:r w:rsidR="00A92D56">
        <w:t xml:space="preserve">84. </w:t>
      </w:r>
      <w:r w:rsidR="00A92D56" w:rsidRPr="0082517E">
        <w:t>2014</w:t>
      </w:r>
      <w:r w:rsidR="00A92D56">
        <w:t xml:space="preserve"> </w:t>
      </w:r>
    </w:p>
  </w:footnote>
  <w:footnote w:id="65">
    <w:p w14:paraId="418264C3" w14:textId="7B1A9908" w:rsidR="00FC2F3B" w:rsidRDefault="00FC2F3B">
      <w:pPr>
        <w:pStyle w:val="FootnoteText"/>
      </w:pPr>
      <w:r>
        <w:rPr>
          <w:rStyle w:val="FootnoteReference"/>
        </w:rPr>
        <w:footnoteRef/>
      </w:r>
      <w:r>
        <w:t xml:space="preserve"> </w:t>
      </w:r>
      <w:r w:rsidR="00A92D56">
        <w:t>Fantham et.al. 63.1994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AD0A34"/>
    <w:multiLevelType w:val="hybridMultilevel"/>
    <w:tmpl w:val="A9F6AFEE"/>
    <w:lvl w:ilvl="0" w:tplc="FF9EDAA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BA1C9D"/>
    <w:multiLevelType w:val="hybridMultilevel"/>
    <w:tmpl w:val="215C27DC"/>
    <w:lvl w:ilvl="0" w:tplc="427A8FA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73F"/>
    <w:rsid w:val="000313CD"/>
    <w:rsid w:val="000465FB"/>
    <w:rsid w:val="000841F5"/>
    <w:rsid w:val="00084401"/>
    <w:rsid w:val="000A318A"/>
    <w:rsid w:val="000D1F76"/>
    <w:rsid w:val="000E21A3"/>
    <w:rsid w:val="000F63F2"/>
    <w:rsid w:val="000F7568"/>
    <w:rsid w:val="00111E26"/>
    <w:rsid w:val="0013710D"/>
    <w:rsid w:val="00183081"/>
    <w:rsid w:val="001C4DD9"/>
    <w:rsid w:val="001E6DDB"/>
    <w:rsid w:val="001E7AEA"/>
    <w:rsid w:val="001F43DB"/>
    <w:rsid w:val="002201D9"/>
    <w:rsid w:val="00240377"/>
    <w:rsid w:val="00240668"/>
    <w:rsid w:val="00241153"/>
    <w:rsid w:val="002E3F6A"/>
    <w:rsid w:val="003061D8"/>
    <w:rsid w:val="00351C05"/>
    <w:rsid w:val="0037059B"/>
    <w:rsid w:val="00374C51"/>
    <w:rsid w:val="003C0A3C"/>
    <w:rsid w:val="003F03A2"/>
    <w:rsid w:val="00406884"/>
    <w:rsid w:val="0042382F"/>
    <w:rsid w:val="004316D9"/>
    <w:rsid w:val="004658D7"/>
    <w:rsid w:val="004A3218"/>
    <w:rsid w:val="004C4C85"/>
    <w:rsid w:val="00511CE8"/>
    <w:rsid w:val="00516038"/>
    <w:rsid w:val="00521983"/>
    <w:rsid w:val="00576A69"/>
    <w:rsid w:val="00586893"/>
    <w:rsid w:val="0059416B"/>
    <w:rsid w:val="006F1D03"/>
    <w:rsid w:val="00734C51"/>
    <w:rsid w:val="00742267"/>
    <w:rsid w:val="007661FA"/>
    <w:rsid w:val="00785F31"/>
    <w:rsid w:val="00787023"/>
    <w:rsid w:val="007A766D"/>
    <w:rsid w:val="007E2FB2"/>
    <w:rsid w:val="007E66DD"/>
    <w:rsid w:val="00834691"/>
    <w:rsid w:val="00854DDE"/>
    <w:rsid w:val="00860644"/>
    <w:rsid w:val="00866B34"/>
    <w:rsid w:val="00874D75"/>
    <w:rsid w:val="008B2376"/>
    <w:rsid w:val="008F22AA"/>
    <w:rsid w:val="00930502"/>
    <w:rsid w:val="0093589C"/>
    <w:rsid w:val="00A660E8"/>
    <w:rsid w:val="00A74B3B"/>
    <w:rsid w:val="00A85B6C"/>
    <w:rsid w:val="00A919DB"/>
    <w:rsid w:val="00A92D56"/>
    <w:rsid w:val="00B45061"/>
    <w:rsid w:val="00B54648"/>
    <w:rsid w:val="00B74901"/>
    <w:rsid w:val="00BF79FA"/>
    <w:rsid w:val="00C02FF2"/>
    <w:rsid w:val="00C538A4"/>
    <w:rsid w:val="00C95A93"/>
    <w:rsid w:val="00CA12AF"/>
    <w:rsid w:val="00CA531F"/>
    <w:rsid w:val="00CE1FD5"/>
    <w:rsid w:val="00CF31BA"/>
    <w:rsid w:val="00D20F46"/>
    <w:rsid w:val="00D4162F"/>
    <w:rsid w:val="00D416FC"/>
    <w:rsid w:val="00D95525"/>
    <w:rsid w:val="00DF7239"/>
    <w:rsid w:val="00E44909"/>
    <w:rsid w:val="00E727C2"/>
    <w:rsid w:val="00EB1592"/>
    <w:rsid w:val="00EE3257"/>
    <w:rsid w:val="00F06EB5"/>
    <w:rsid w:val="00F3373F"/>
    <w:rsid w:val="00F7390F"/>
    <w:rsid w:val="00F97C33"/>
    <w:rsid w:val="00FC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6E8D0"/>
  <w14:defaultImageDpi w14:val="32767"/>
  <w15:chartTrackingRefBased/>
  <w15:docId w15:val="{CC6061EB-2E9E-A740-B626-446564BB9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6D9"/>
    <w:pPr>
      <w:ind w:left="720"/>
      <w:contextualSpacing/>
    </w:pPr>
  </w:style>
  <w:style w:type="paragraph" w:styleId="FootnoteText">
    <w:name w:val="footnote text"/>
    <w:basedOn w:val="Normal"/>
    <w:link w:val="FootnoteTextChar"/>
    <w:uiPriority w:val="99"/>
    <w:semiHidden/>
    <w:unhideWhenUsed/>
    <w:rsid w:val="004316D9"/>
    <w:rPr>
      <w:sz w:val="20"/>
      <w:szCs w:val="20"/>
    </w:rPr>
  </w:style>
  <w:style w:type="character" w:customStyle="1" w:styleId="FootnoteTextChar">
    <w:name w:val="Footnote Text Char"/>
    <w:basedOn w:val="DefaultParagraphFont"/>
    <w:link w:val="FootnoteText"/>
    <w:uiPriority w:val="99"/>
    <w:semiHidden/>
    <w:rsid w:val="004316D9"/>
    <w:rPr>
      <w:sz w:val="20"/>
      <w:szCs w:val="20"/>
    </w:rPr>
  </w:style>
  <w:style w:type="character" w:styleId="FootnoteReference">
    <w:name w:val="footnote reference"/>
    <w:basedOn w:val="DefaultParagraphFont"/>
    <w:uiPriority w:val="99"/>
    <w:semiHidden/>
    <w:unhideWhenUsed/>
    <w:rsid w:val="004316D9"/>
    <w:rPr>
      <w:vertAlign w:val="superscript"/>
    </w:rPr>
  </w:style>
  <w:style w:type="paragraph" w:styleId="NormalWeb">
    <w:name w:val="Normal (Web)"/>
    <w:basedOn w:val="Normal"/>
    <w:uiPriority w:val="99"/>
    <w:semiHidden/>
    <w:unhideWhenUsed/>
    <w:rsid w:val="0052198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896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19664A-97C3-974C-BA51-0F8BE36A0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11</Pages>
  <Words>2646</Words>
  <Characters>13389</Characters>
  <Application>Microsoft Office Word</Application>
  <DocSecurity>0</DocSecurity>
  <Lines>199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46</cp:revision>
  <dcterms:created xsi:type="dcterms:W3CDTF">2019-12-06T09:01:00Z</dcterms:created>
  <dcterms:modified xsi:type="dcterms:W3CDTF">2019-12-06T16:22:00Z</dcterms:modified>
</cp:coreProperties>
</file>