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239E4" w14:textId="77777777" w:rsidR="0033492D" w:rsidRPr="002D4A5A" w:rsidRDefault="00BA27D5" w:rsidP="00BA27D5">
      <w:pPr>
        <w:rPr>
          <w:rFonts w:ascii="Arial Black" w:hAnsi="Arial Black"/>
          <w:b/>
          <w:bCs/>
          <w:sz w:val="28"/>
          <w:szCs w:val="28"/>
        </w:rPr>
      </w:pPr>
      <w:r w:rsidRPr="002D4A5A">
        <w:rPr>
          <w:rFonts w:ascii="Arial Black" w:hAnsi="Arial Black"/>
          <w:b/>
          <w:bCs/>
          <w:sz w:val="28"/>
          <w:szCs w:val="28"/>
        </w:rPr>
        <w:t xml:space="preserve"> Certificate of higher education</w:t>
      </w:r>
    </w:p>
    <w:p w14:paraId="7FA0F35A" w14:textId="77777777" w:rsidR="0033492D" w:rsidRPr="002D4A5A" w:rsidRDefault="00BA27D5" w:rsidP="00BA27D5">
      <w:pPr>
        <w:rPr>
          <w:rFonts w:ascii="Arial Black" w:hAnsi="Arial Black"/>
          <w:b/>
          <w:bCs/>
          <w:sz w:val="28"/>
          <w:szCs w:val="28"/>
        </w:rPr>
      </w:pPr>
      <w:r w:rsidRPr="002D4A5A">
        <w:rPr>
          <w:rFonts w:ascii="Arial Black" w:hAnsi="Arial Black"/>
          <w:b/>
          <w:bCs/>
          <w:sz w:val="28"/>
          <w:szCs w:val="28"/>
        </w:rPr>
        <w:t xml:space="preserve"> employability skills </w:t>
      </w:r>
    </w:p>
    <w:p w14:paraId="3594FBFA" w14:textId="77777777" w:rsidR="0033492D" w:rsidRPr="002D4A5A" w:rsidRDefault="00BA27D5" w:rsidP="00BA27D5">
      <w:pPr>
        <w:rPr>
          <w:rFonts w:ascii="Arial Black" w:hAnsi="Arial Black"/>
          <w:b/>
          <w:bCs/>
          <w:sz w:val="28"/>
          <w:szCs w:val="28"/>
        </w:rPr>
      </w:pPr>
      <w:r w:rsidRPr="002D4A5A">
        <w:rPr>
          <w:rFonts w:ascii="Arial Black" w:hAnsi="Arial Black"/>
          <w:b/>
          <w:bCs/>
          <w:sz w:val="28"/>
          <w:szCs w:val="28"/>
        </w:rPr>
        <w:t>Level 4</w:t>
      </w:r>
    </w:p>
    <w:p w14:paraId="50E73449" w14:textId="77777777" w:rsidR="00422809" w:rsidRPr="002D4A5A" w:rsidRDefault="00BA27D5" w:rsidP="00BA27D5">
      <w:pPr>
        <w:rPr>
          <w:rFonts w:ascii="Arial Black" w:hAnsi="Arial Black"/>
          <w:b/>
          <w:bCs/>
          <w:sz w:val="28"/>
          <w:szCs w:val="28"/>
        </w:rPr>
      </w:pPr>
      <w:r w:rsidRPr="002D4A5A">
        <w:rPr>
          <w:rFonts w:ascii="Arial Black" w:hAnsi="Arial Black"/>
          <w:b/>
          <w:bCs/>
          <w:sz w:val="28"/>
          <w:szCs w:val="28"/>
        </w:rPr>
        <w:t xml:space="preserve"> module </w:t>
      </w:r>
      <w:r w:rsidR="00A050E1" w:rsidRPr="002D4A5A">
        <w:rPr>
          <w:rFonts w:ascii="Arial Black" w:hAnsi="Arial Black"/>
          <w:b/>
          <w:bCs/>
          <w:sz w:val="28"/>
          <w:szCs w:val="28"/>
        </w:rPr>
        <w:t xml:space="preserve">BMSW4014 </w:t>
      </w:r>
    </w:p>
    <w:p w14:paraId="01361F1B" w14:textId="77777777" w:rsidR="00422809" w:rsidRPr="002D4A5A" w:rsidRDefault="00422809" w:rsidP="00BA27D5">
      <w:pPr>
        <w:rPr>
          <w:rFonts w:ascii="Arial Black" w:hAnsi="Arial Black"/>
          <w:b/>
          <w:bCs/>
          <w:sz w:val="28"/>
          <w:szCs w:val="28"/>
        </w:rPr>
      </w:pPr>
      <w:r w:rsidRPr="002D4A5A">
        <w:rPr>
          <w:rFonts w:ascii="Arial Black" w:hAnsi="Arial Black"/>
          <w:b/>
          <w:bCs/>
          <w:sz w:val="28"/>
          <w:szCs w:val="28"/>
        </w:rPr>
        <w:t xml:space="preserve">module lead </w:t>
      </w:r>
      <w:proofErr w:type="spellStart"/>
      <w:r w:rsidRPr="002D4A5A">
        <w:rPr>
          <w:rFonts w:ascii="Arial Black" w:hAnsi="Arial Black"/>
          <w:b/>
          <w:bCs/>
          <w:sz w:val="28"/>
          <w:szCs w:val="28"/>
        </w:rPr>
        <w:t>jaliya</w:t>
      </w:r>
      <w:proofErr w:type="spellEnd"/>
      <w:r w:rsidRPr="002D4A5A">
        <w:rPr>
          <w:rFonts w:ascii="Arial Black" w:hAnsi="Arial Black"/>
          <w:b/>
          <w:bCs/>
          <w:sz w:val="28"/>
          <w:szCs w:val="28"/>
        </w:rPr>
        <w:t xml:space="preserve"> de </w:t>
      </w:r>
      <w:proofErr w:type="spellStart"/>
      <w:r w:rsidRPr="002D4A5A">
        <w:rPr>
          <w:rFonts w:ascii="Arial Black" w:hAnsi="Arial Black"/>
          <w:b/>
          <w:bCs/>
          <w:sz w:val="28"/>
          <w:szCs w:val="28"/>
        </w:rPr>
        <w:t>silva</w:t>
      </w:r>
      <w:proofErr w:type="spellEnd"/>
      <w:r w:rsidRPr="002D4A5A">
        <w:rPr>
          <w:rFonts w:ascii="Arial Black" w:hAnsi="Arial Black"/>
          <w:b/>
          <w:bCs/>
          <w:sz w:val="28"/>
          <w:szCs w:val="28"/>
        </w:rPr>
        <w:t xml:space="preserve"> </w:t>
      </w:r>
    </w:p>
    <w:p w14:paraId="1C7FFEC0" w14:textId="50CDC61D" w:rsidR="00422809" w:rsidRPr="002D4A5A" w:rsidRDefault="00422809" w:rsidP="00BA27D5">
      <w:pPr>
        <w:rPr>
          <w:rFonts w:ascii="Arial Black" w:hAnsi="Arial Black"/>
          <w:b/>
          <w:bCs/>
          <w:sz w:val="28"/>
          <w:szCs w:val="28"/>
        </w:rPr>
      </w:pPr>
      <w:r w:rsidRPr="002D4A5A">
        <w:rPr>
          <w:rFonts w:ascii="Arial Black" w:hAnsi="Arial Black"/>
          <w:b/>
          <w:bCs/>
          <w:sz w:val="28"/>
          <w:szCs w:val="28"/>
        </w:rPr>
        <w:t xml:space="preserve">student </w:t>
      </w:r>
      <w:proofErr w:type="spellStart"/>
      <w:r w:rsidRPr="002D4A5A">
        <w:rPr>
          <w:rFonts w:ascii="Arial Black" w:hAnsi="Arial Black"/>
          <w:b/>
          <w:bCs/>
          <w:sz w:val="28"/>
          <w:szCs w:val="28"/>
        </w:rPr>
        <w:t>kelly</w:t>
      </w:r>
      <w:proofErr w:type="spellEnd"/>
      <w:r w:rsidRPr="002D4A5A">
        <w:rPr>
          <w:rFonts w:ascii="Arial Black" w:hAnsi="Arial Black"/>
          <w:b/>
          <w:bCs/>
          <w:sz w:val="28"/>
          <w:szCs w:val="28"/>
        </w:rPr>
        <w:t xml:space="preserve"> </w:t>
      </w:r>
      <w:proofErr w:type="spellStart"/>
      <w:r w:rsidRPr="002D4A5A">
        <w:rPr>
          <w:rFonts w:ascii="Arial Black" w:hAnsi="Arial Black"/>
          <w:b/>
          <w:bCs/>
          <w:sz w:val="28"/>
          <w:szCs w:val="28"/>
        </w:rPr>
        <w:t>harrington</w:t>
      </w:r>
      <w:proofErr w:type="spellEnd"/>
      <w:r w:rsidRPr="002D4A5A">
        <w:rPr>
          <w:rFonts w:ascii="Arial Black" w:hAnsi="Arial Black"/>
          <w:b/>
          <w:bCs/>
          <w:sz w:val="28"/>
          <w:szCs w:val="28"/>
        </w:rPr>
        <w:t xml:space="preserve"> .</w:t>
      </w:r>
    </w:p>
    <w:p w14:paraId="742DD01B" w14:textId="77777777" w:rsidR="00422809" w:rsidRDefault="00422809" w:rsidP="00BA27D5">
      <w:pPr>
        <w:rPr>
          <w:b/>
          <w:bCs/>
          <w:i/>
          <w:iCs/>
        </w:rPr>
      </w:pPr>
    </w:p>
    <w:p w14:paraId="31964BEA" w14:textId="77777777" w:rsidR="00422809" w:rsidRDefault="00422809" w:rsidP="00BA27D5">
      <w:pPr>
        <w:rPr>
          <w:b/>
          <w:bCs/>
          <w:i/>
          <w:iCs/>
        </w:rPr>
      </w:pPr>
    </w:p>
    <w:p w14:paraId="6D08512C" w14:textId="77777777" w:rsidR="00422809" w:rsidRDefault="00422809" w:rsidP="00BA27D5">
      <w:pPr>
        <w:rPr>
          <w:b/>
          <w:bCs/>
          <w:i/>
          <w:iCs/>
        </w:rPr>
      </w:pPr>
    </w:p>
    <w:p w14:paraId="059E70A4" w14:textId="77777777" w:rsidR="00422809" w:rsidRDefault="00422809" w:rsidP="00BA27D5">
      <w:pPr>
        <w:rPr>
          <w:b/>
          <w:bCs/>
          <w:i/>
          <w:iCs/>
        </w:rPr>
      </w:pPr>
    </w:p>
    <w:p w14:paraId="711A32B0" w14:textId="77777777" w:rsidR="00422809" w:rsidRDefault="00422809" w:rsidP="00BA27D5">
      <w:pPr>
        <w:rPr>
          <w:b/>
          <w:bCs/>
          <w:i/>
          <w:iCs/>
        </w:rPr>
      </w:pPr>
    </w:p>
    <w:p w14:paraId="418EAAAC" w14:textId="77777777" w:rsidR="00422809" w:rsidRDefault="00422809" w:rsidP="00BA27D5">
      <w:pPr>
        <w:rPr>
          <w:b/>
          <w:bCs/>
          <w:i/>
          <w:iCs/>
        </w:rPr>
      </w:pPr>
    </w:p>
    <w:p w14:paraId="565E3C36" w14:textId="77777777" w:rsidR="00422809" w:rsidRDefault="00422809" w:rsidP="00BA27D5">
      <w:pPr>
        <w:rPr>
          <w:b/>
          <w:bCs/>
          <w:i/>
          <w:iCs/>
        </w:rPr>
      </w:pPr>
    </w:p>
    <w:p w14:paraId="1A5E630C" w14:textId="1936621A" w:rsidR="00742659" w:rsidRPr="00742659" w:rsidRDefault="00742659" w:rsidP="00BA27D5">
      <w:pPr>
        <w:rPr>
          <w:i/>
          <w:iCs/>
          <w:lang w:val="en-US"/>
        </w:rPr>
      </w:pPr>
      <w:r w:rsidRPr="00742659">
        <w:rPr>
          <w:b/>
          <w:bCs/>
          <w:i/>
          <w:iCs/>
        </w:rPr>
        <w:t>Title:</w:t>
      </w:r>
      <w:r w:rsidRPr="00742659">
        <w:rPr>
          <w:i/>
          <w:iCs/>
        </w:rPr>
        <w:t xml:space="preserve"> A Critical Analysis of External Factors and Root Causes of Greenwashing in Volkswagen’s Automobile Operations</w:t>
      </w:r>
    </w:p>
    <w:p w14:paraId="580A6F91" w14:textId="77777777" w:rsidR="00742659" w:rsidRDefault="00742659">
      <w:pPr>
        <w:jc w:val="left"/>
        <w:rPr>
          <w:rFonts w:eastAsiaTheme="majorEastAsia" w:cstheme="majorBidi"/>
          <w:b/>
          <w:color w:val="000000" w:themeColor="text1"/>
          <w:szCs w:val="40"/>
          <w:lang w:val="en-US"/>
        </w:rPr>
      </w:pPr>
      <w:r>
        <w:rPr>
          <w:lang w:val="en-US"/>
        </w:rPr>
        <w:br w:type="page"/>
      </w:r>
    </w:p>
    <w:sdt>
      <w:sdtPr>
        <w:rPr>
          <w:rFonts w:ascii="Times New Roman" w:eastAsiaTheme="minorHAnsi" w:hAnsi="Times New Roman" w:cs="Times New Roman"/>
          <w:b/>
          <w:bCs/>
          <w:color w:val="000000" w:themeColor="text1"/>
          <w:kern w:val="2"/>
          <w:sz w:val="24"/>
          <w:szCs w:val="24"/>
          <w:lang w:val="en-GB"/>
          <w14:ligatures w14:val="standardContextual"/>
        </w:rPr>
        <w:id w:val="1814376866"/>
        <w:docPartObj>
          <w:docPartGallery w:val="Table of Contents"/>
          <w:docPartUnique/>
        </w:docPartObj>
      </w:sdtPr>
      <w:sdtEndPr>
        <w:rPr>
          <w:rFonts w:cstheme="minorBidi"/>
          <w:noProof/>
          <w:color w:val="auto"/>
        </w:rPr>
      </w:sdtEndPr>
      <w:sdtContent>
        <w:p w14:paraId="3393783D" w14:textId="2BECE6F2" w:rsidR="00742659" w:rsidRPr="00742659" w:rsidRDefault="00742659" w:rsidP="00742659">
          <w:pPr>
            <w:pStyle w:val="TOCHeading"/>
            <w:jc w:val="center"/>
            <w:rPr>
              <w:rFonts w:ascii="Times New Roman" w:hAnsi="Times New Roman" w:cs="Times New Roman"/>
              <w:b/>
              <w:bCs/>
              <w:color w:val="000000" w:themeColor="text1"/>
              <w:sz w:val="24"/>
              <w:szCs w:val="24"/>
            </w:rPr>
          </w:pPr>
          <w:r w:rsidRPr="00742659">
            <w:rPr>
              <w:rFonts w:ascii="Times New Roman" w:hAnsi="Times New Roman" w:cs="Times New Roman"/>
              <w:b/>
              <w:bCs/>
              <w:color w:val="000000" w:themeColor="text1"/>
              <w:sz w:val="24"/>
              <w:szCs w:val="24"/>
            </w:rPr>
            <w:t>Table of Contents</w:t>
          </w:r>
        </w:p>
        <w:p w14:paraId="2EECDC76" w14:textId="6398A6BD" w:rsidR="00742659" w:rsidRDefault="00742659">
          <w:pPr>
            <w:pStyle w:val="TOC1"/>
            <w:tabs>
              <w:tab w:val="right" w:leader="dot" w:pos="9350"/>
            </w:tabs>
            <w:rPr>
              <w:noProof/>
            </w:rPr>
          </w:pPr>
          <w:r>
            <w:fldChar w:fldCharType="begin"/>
          </w:r>
          <w:r>
            <w:instrText xml:space="preserve"> TOC \o "1-3" \h \z \u </w:instrText>
          </w:r>
          <w:r>
            <w:fldChar w:fldCharType="separate"/>
          </w:r>
          <w:hyperlink w:anchor="_Toc214987989" w:history="1">
            <w:r w:rsidRPr="003F4391">
              <w:rPr>
                <w:rStyle w:val="Hyperlink"/>
                <w:noProof/>
                <w:lang w:val="en-US"/>
              </w:rPr>
              <w:t>1. Introduction</w:t>
            </w:r>
            <w:r>
              <w:rPr>
                <w:noProof/>
                <w:webHidden/>
              </w:rPr>
              <w:tab/>
            </w:r>
            <w:r>
              <w:rPr>
                <w:noProof/>
                <w:webHidden/>
              </w:rPr>
              <w:fldChar w:fldCharType="begin"/>
            </w:r>
            <w:r>
              <w:rPr>
                <w:noProof/>
                <w:webHidden/>
              </w:rPr>
              <w:instrText xml:space="preserve"> PAGEREF _Toc214987989 \h </w:instrText>
            </w:r>
            <w:r>
              <w:rPr>
                <w:noProof/>
                <w:webHidden/>
              </w:rPr>
            </w:r>
            <w:r>
              <w:rPr>
                <w:noProof/>
                <w:webHidden/>
              </w:rPr>
              <w:fldChar w:fldCharType="separate"/>
            </w:r>
            <w:r>
              <w:rPr>
                <w:noProof/>
                <w:webHidden/>
              </w:rPr>
              <w:t>3</w:t>
            </w:r>
            <w:r>
              <w:rPr>
                <w:noProof/>
                <w:webHidden/>
              </w:rPr>
              <w:fldChar w:fldCharType="end"/>
            </w:r>
          </w:hyperlink>
        </w:p>
        <w:p w14:paraId="4FD2753B" w14:textId="5655A30A" w:rsidR="00742659" w:rsidRDefault="00742659">
          <w:pPr>
            <w:pStyle w:val="TOC1"/>
            <w:tabs>
              <w:tab w:val="right" w:leader="dot" w:pos="9350"/>
            </w:tabs>
            <w:rPr>
              <w:noProof/>
            </w:rPr>
          </w:pPr>
          <w:hyperlink w:anchor="_Toc214987990" w:history="1">
            <w:r w:rsidRPr="003F4391">
              <w:rPr>
                <w:rStyle w:val="Hyperlink"/>
                <w:noProof/>
                <w:lang w:val="en-US"/>
              </w:rPr>
              <w:t>2. Summary of Current Situation</w:t>
            </w:r>
            <w:r>
              <w:rPr>
                <w:noProof/>
                <w:webHidden/>
              </w:rPr>
              <w:tab/>
            </w:r>
            <w:r>
              <w:rPr>
                <w:noProof/>
                <w:webHidden/>
              </w:rPr>
              <w:fldChar w:fldCharType="begin"/>
            </w:r>
            <w:r>
              <w:rPr>
                <w:noProof/>
                <w:webHidden/>
              </w:rPr>
              <w:instrText xml:space="preserve"> PAGEREF _Toc214987990 \h </w:instrText>
            </w:r>
            <w:r>
              <w:rPr>
                <w:noProof/>
                <w:webHidden/>
              </w:rPr>
            </w:r>
            <w:r>
              <w:rPr>
                <w:noProof/>
                <w:webHidden/>
              </w:rPr>
              <w:fldChar w:fldCharType="separate"/>
            </w:r>
            <w:r>
              <w:rPr>
                <w:noProof/>
                <w:webHidden/>
              </w:rPr>
              <w:t>3</w:t>
            </w:r>
            <w:r>
              <w:rPr>
                <w:noProof/>
                <w:webHidden/>
              </w:rPr>
              <w:fldChar w:fldCharType="end"/>
            </w:r>
          </w:hyperlink>
        </w:p>
        <w:p w14:paraId="57E83485" w14:textId="328C27B2" w:rsidR="00742659" w:rsidRDefault="00742659">
          <w:pPr>
            <w:pStyle w:val="TOC1"/>
            <w:tabs>
              <w:tab w:val="right" w:leader="dot" w:pos="9350"/>
            </w:tabs>
            <w:rPr>
              <w:noProof/>
            </w:rPr>
          </w:pPr>
          <w:hyperlink w:anchor="_Toc214987991" w:history="1">
            <w:r w:rsidRPr="003F4391">
              <w:rPr>
                <w:rStyle w:val="Hyperlink"/>
                <w:noProof/>
                <w:lang w:val="en-US"/>
              </w:rPr>
              <w:t>3. PESTLE Analysis</w:t>
            </w:r>
            <w:r>
              <w:rPr>
                <w:noProof/>
                <w:webHidden/>
              </w:rPr>
              <w:tab/>
            </w:r>
            <w:r>
              <w:rPr>
                <w:noProof/>
                <w:webHidden/>
              </w:rPr>
              <w:fldChar w:fldCharType="begin"/>
            </w:r>
            <w:r>
              <w:rPr>
                <w:noProof/>
                <w:webHidden/>
              </w:rPr>
              <w:instrText xml:space="preserve"> PAGEREF _Toc214987991 \h </w:instrText>
            </w:r>
            <w:r>
              <w:rPr>
                <w:noProof/>
                <w:webHidden/>
              </w:rPr>
            </w:r>
            <w:r>
              <w:rPr>
                <w:noProof/>
                <w:webHidden/>
              </w:rPr>
              <w:fldChar w:fldCharType="separate"/>
            </w:r>
            <w:r>
              <w:rPr>
                <w:noProof/>
                <w:webHidden/>
              </w:rPr>
              <w:t>3</w:t>
            </w:r>
            <w:r>
              <w:rPr>
                <w:noProof/>
                <w:webHidden/>
              </w:rPr>
              <w:fldChar w:fldCharType="end"/>
            </w:r>
          </w:hyperlink>
        </w:p>
        <w:p w14:paraId="0233B53A" w14:textId="16F941C4" w:rsidR="00742659" w:rsidRDefault="00742659">
          <w:pPr>
            <w:pStyle w:val="TOC1"/>
            <w:tabs>
              <w:tab w:val="right" w:leader="dot" w:pos="9350"/>
            </w:tabs>
            <w:rPr>
              <w:noProof/>
            </w:rPr>
          </w:pPr>
          <w:hyperlink w:anchor="_Toc214987992" w:history="1">
            <w:r w:rsidRPr="003F4391">
              <w:rPr>
                <w:rStyle w:val="Hyperlink"/>
                <w:noProof/>
                <w:lang w:val="en-US"/>
              </w:rPr>
              <w:t>4. SWOT Analysis</w:t>
            </w:r>
            <w:r>
              <w:rPr>
                <w:noProof/>
                <w:webHidden/>
              </w:rPr>
              <w:tab/>
            </w:r>
            <w:r>
              <w:rPr>
                <w:noProof/>
                <w:webHidden/>
              </w:rPr>
              <w:fldChar w:fldCharType="begin"/>
            </w:r>
            <w:r>
              <w:rPr>
                <w:noProof/>
                <w:webHidden/>
              </w:rPr>
              <w:instrText xml:space="preserve"> PAGEREF _Toc214987992 \h </w:instrText>
            </w:r>
            <w:r>
              <w:rPr>
                <w:noProof/>
                <w:webHidden/>
              </w:rPr>
            </w:r>
            <w:r>
              <w:rPr>
                <w:noProof/>
                <w:webHidden/>
              </w:rPr>
              <w:fldChar w:fldCharType="separate"/>
            </w:r>
            <w:r>
              <w:rPr>
                <w:noProof/>
                <w:webHidden/>
              </w:rPr>
              <w:t>4</w:t>
            </w:r>
            <w:r>
              <w:rPr>
                <w:noProof/>
                <w:webHidden/>
              </w:rPr>
              <w:fldChar w:fldCharType="end"/>
            </w:r>
          </w:hyperlink>
        </w:p>
        <w:p w14:paraId="14BC1C8F" w14:textId="44AD04D1" w:rsidR="00742659" w:rsidRDefault="00742659">
          <w:pPr>
            <w:pStyle w:val="TOC1"/>
            <w:tabs>
              <w:tab w:val="right" w:leader="dot" w:pos="9350"/>
            </w:tabs>
            <w:rPr>
              <w:noProof/>
            </w:rPr>
          </w:pPr>
          <w:hyperlink w:anchor="_Toc214987993" w:history="1">
            <w:r w:rsidRPr="003F4391">
              <w:rPr>
                <w:rStyle w:val="Hyperlink"/>
                <w:noProof/>
                <w:lang w:val="en-US"/>
              </w:rPr>
              <w:t>5. Root Cause Analysis (RCA)</w:t>
            </w:r>
            <w:r>
              <w:rPr>
                <w:noProof/>
                <w:webHidden/>
              </w:rPr>
              <w:tab/>
            </w:r>
            <w:r>
              <w:rPr>
                <w:noProof/>
                <w:webHidden/>
              </w:rPr>
              <w:fldChar w:fldCharType="begin"/>
            </w:r>
            <w:r>
              <w:rPr>
                <w:noProof/>
                <w:webHidden/>
              </w:rPr>
              <w:instrText xml:space="preserve"> PAGEREF _Toc214987993 \h </w:instrText>
            </w:r>
            <w:r>
              <w:rPr>
                <w:noProof/>
                <w:webHidden/>
              </w:rPr>
            </w:r>
            <w:r>
              <w:rPr>
                <w:noProof/>
                <w:webHidden/>
              </w:rPr>
              <w:fldChar w:fldCharType="separate"/>
            </w:r>
            <w:r>
              <w:rPr>
                <w:noProof/>
                <w:webHidden/>
              </w:rPr>
              <w:t>5</w:t>
            </w:r>
            <w:r>
              <w:rPr>
                <w:noProof/>
                <w:webHidden/>
              </w:rPr>
              <w:fldChar w:fldCharType="end"/>
            </w:r>
          </w:hyperlink>
        </w:p>
        <w:p w14:paraId="0FA04D0E" w14:textId="2ADD0577" w:rsidR="00742659" w:rsidRDefault="00742659">
          <w:pPr>
            <w:pStyle w:val="TOC1"/>
            <w:tabs>
              <w:tab w:val="right" w:leader="dot" w:pos="9350"/>
            </w:tabs>
            <w:rPr>
              <w:noProof/>
            </w:rPr>
          </w:pPr>
          <w:hyperlink w:anchor="_Toc214987994" w:history="1">
            <w:r w:rsidRPr="003F4391">
              <w:rPr>
                <w:rStyle w:val="Hyperlink"/>
                <w:noProof/>
                <w:lang w:val="en-US"/>
              </w:rPr>
              <w:t>6. Recommendations</w:t>
            </w:r>
            <w:r>
              <w:rPr>
                <w:noProof/>
                <w:webHidden/>
              </w:rPr>
              <w:tab/>
            </w:r>
            <w:r>
              <w:rPr>
                <w:noProof/>
                <w:webHidden/>
              </w:rPr>
              <w:fldChar w:fldCharType="begin"/>
            </w:r>
            <w:r>
              <w:rPr>
                <w:noProof/>
                <w:webHidden/>
              </w:rPr>
              <w:instrText xml:space="preserve"> PAGEREF _Toc214987994 \h </w:instrText>
            </w:r>
            <w:r>
              <w:rPr>
                <w:noProof/>
                <w:webHidden/>
              </w:rPr>
            </w:r>
            <w:r>
              <w:rPr>
                <w:noProof/>
                <w:webHidden/>
              </w:rPr>
              <w:fldChar w:fldCharType="separate"/>
            </w:r>
            <w:r>
              <w:rPr>
                <w:noProof/>
                <w:webHidden/>
              </w:rPr>
              <w:t>6</w:t>
            </w:r>
            <w:r>
              <w:rPr>
                <w:noProof/>
                <w:webHidden/>
              </w:rPr>
              <w:fldChar w:fldCharType="end"/>
            </w:r>
          </w:hyperlink>
        </w:p>
        <w:p w14:paraId="13B8D7EC" w14:textId="1018DEDB" w:rsidR="00742659" w:rsidRDefault="00742659">
          <w:pPr>
            <w:pStyle w:val="TOC1"/>
            <w:tabs>
              <w:tab w:val="right" w:leader="dot" w:pos="9350"/>
            </w:tabs>
            <w:rPr>
              <w:noProof/>
            </w:rPr>
          </w:pPr>
          <w:hyperlink w:anchor="_Toc214987995" w:history="1">
            <w:r w:rsidRPr="003F4391">
              <w:rPr>
                <w:rStyle w:val="Hyperlink"/>
                <w:noProof/>
                <w:lang w:val="en-US"/>
              </w:rPr>
              <w:t>7. Conclusion</w:t>
            </w:r>
            <w:r>
              <w:rPr>
                <w:noProof/>
                <w:webHidden/>
              </w:rPr>
              <w:tab/>
            </w:r>
            <w:r>
              <w:rPr>
                <w:noProof/>
                <w:webHidden/>
              </w:rPr>
              <w:fldChar w:fldCharType="begin"/>
            </w:r>
            <w:r>
              <w:rPr>
                <w:noProof/>
                <w:webHidden/>
              </w:rPr>
              <w:instrText xml:space="preserve"> PAGEREF _Toc214987995 \h </w:instrText>
            </w:r>
            <w:r>
              <w:rPr>
                <w:noProof/>
                <w:webHidden/>
              </w:rPr>
            </w:r>
            <w:r>
              <w:rPr>
                <w:noProof/>
                <w:webHidden/>
              </w:rPr>
              <w:fldChar w:fldCharType="separate"/>
            </w:r>
            <w:r>
              <w:rPr>
                <w:noProof/>
                <w:webHidden/>
              </w:rPr>
              <w:t>6</w:t>
            </w:r>
            <w:r>
              <w:rPr>
                <w:noProof/>
                <w:webHidden/>
              </w:rPr>
              <w:fldChar w:fldCharType="end"/>
            </w:r>
          </w:hyperlink>
        </w:p>
        <w:p w14:paraId="3540374D" w14:textId="5E6E422E" w:rsidR="00742659" w:rsidRDefault="00742659">
          <w:pPr>
            <w:pStyle w:val="TOC1"/>
            <w:tabs>
              <w:tab w:val="right" w:leader="dot" w:pos="9350"/>
            </w:tabs>
            <w:rPr>
              <w:noProof/>
            </w:rPr>
          </w:pPr>
          <w:hyperlink w:anchor="_Toc214987996" w:history="1">
            <w:r w:rsidRPr="003F4391">
              <w:rPr>
                <w:rStyle w:val="Hyperlink"/>
                <w:noProof/>
                <w:lang w:val="en-US"/>
              </w:rPr>
              <w:t>References</w:t>
            </w:r>
            <w:r>
              <w:rPr>
                <w:noProof/>
                <w:webHidden/>
              </w:rPr>
              <w:tab/>
            </w:r>
            <w:r>
              <w:rPr>
                <w:noProof/>
                <w:webHidden/>
              </w:rPr>
              <w:fldChar w:fldCharType="begin"/>
            </w:r>
            <w:r>
              <w:rPr>
                <w:noProof/>
                <w:webHidden/>
              </w:rPr>
              <w:instrText xml:space="preserve"> PAGEREF _Toc214987996 \h </w:instrText>
            </w:r>
            <w:r>
              <w:rPr>
                <w:noProof/>
                <w:webHidden/>
              </w:rPr>
            </w:r>
            <w:r>
              <w:rPr>
                <w:noProof/>
                <w:webHidden/>
              </w:rPr>
              <w:fldChar w:fldCharType="separate"/>
            </w:r>
            <w:r>
              <w:rPr>
                <w:noProof/>
                <w:webHidden/>
              </w:rPr>
              <w:t>8</w:t>
            </w:r>
            <w:r>
              <w:rPr>
                <w:noProof/>
                <w:webHidden/>
              </w:rPr>
              <w:fldChar w:fldCharType="end"/>
            </w:r>
          </w:hyperlink>
        </w:p>
        <w:p w14:paraId="3B7879AD" w14:textId="46EDCD61" w:rsidR="00742659" w:rsidRDefault="00742659">
          <w:r>
            <w:rPr>
              <w:b/>
              <w:bCs/>
              <w:noProof/>
            </w:rPr>
            <w:fldChar w:fldCharType="end"/>
          </w:r>
        </w:p>
      </w:sdtContent>
    </w:sdt>
    <w:p w14:paraId="3EBDF9C3" w14:textId="77777777" w:rsidR="00742659" w:rsidRDefault="00742659" w:rsidP="00742659">
      <w:pPr>
        <w:rPr>
          <w:lang w:val="en-US"/>
        </w:rPr>
      </w:pPr>
    </w:p>
    <w:p w14:paraId="02E53237" w14:textId="77777777" w:rsidR="00742659" w:rsidRDefault="00742659">
      <w:pPr>
        <w:jc w:val="left"/>
        <w:rPr>
          <w:rFonts w:eastAsiaTheme="majorEastAsia" w:cstheme="majorBidi"/>
          <w:b/>
          <w:color w:val="000000" w:themeColor="text1"/>
          <w:szCs w:val="40"/>
          <w:lang w:val="en-US"/>
        </w:rPr>
      </w:pPr>
      <w:r>
        <w:rPr>
          <w:lang w:val="en-US"/>
        </w:rPr>
        <w:br w:type="page"/>
      </w:r>
    </w:p>
    <w:p w14:paraId="35E5AC01" w14:textId="19238655" w:rsidR="00761E40" w:rsidRPr="00761E40" w:rsidRDefault="00761E40" w:rsidP="00761E40">
      <w:pPr>
        <w:pStyle w:val="Heading1"/>
        <w:rPr>
          <w:lang w:val="en-US"/>
        </w:rPr>
      </w:pPr>
      <w:bookmarkStart w:id="0" w:name="_Toc214987989"/>
      <w:r w:rsidRPr="00761E40">
        <w:rPr>
          <w:lang w:val="en-US"/>
        </w:rPr>
        <w:t>1. Introduction</w:t>
      </w:r>
      <w:bookmarkEnd w:id="0"/>
      <w:r w:rsidRPr="00761E40">
        <w:rPr>
          <w:lang w:val="en-US"/>
        </w:rPr>
        <w:t xml:space="preserve"> </w:t>
      </w:r>
    </w:p>
    <w:p w14:paraId="611F9E65" w14:textId="4783F6B4" w:rsidR="00BD5DFE" w:rsidRPr="00761E40" w:rsidRDefault="00BD5DFE" w:rsidP="00761E40">
      <w:pPr>
        <w:rPr>
          <w:lang w:val="en-US"/>
        </w:rPr>
      </w:pPr>
      <w:r w:rsidRPr="00BD5DFE">
        <w:rPr>
          <w:lang w:val="en-US"/>
        </w:rPr>
        <w:t>Greenwashing is becoming more accepted as a tactical but misleading sustainability practice that misleads consumer confidence and undermines the real responsibility in the environment (</w:t>
      </w:r>
      <w:proofErr w:type="spellStart"/>
      <w:r w:rsidRPr="00BD5DFE">
        <w:rPr>
          <w:lang w:val="en-US"/>
        </w:rPr>
        <w:t>Alsaggaf</w:t>
      </w:r>
      <w:proofErr w:type="spellEnd"/>
      <w:r w:rsidRPr="00BD5DFE">
        <w:rPr>
          <w:lang w:val="en-US"/>
        </w:rPr>
        <w:t>, 2025). In the car industry, the increasing regulatory pressure and the speed of the EV market race have been the factors contributing to the growth of false environmental assertions aimed at preserving the market trust (Environmental Defender's Office, 2023). The Volkswagen case is an important one, especially when placed against the context of the UK's growing EV conversion and changing consumer demands (</w:t>
      </w:r>
      <w:proofErr w:type="spellStart"/>
      <w:r w:rsidRPr="00BD5DFE">
        <w:rPr>
          <w:lang w:val="en-US"/>
        </w:rPr>
        <w:t>Awahl</w:t>
      </w:r>
      <w:proofErr w:type="spellEnd"/>
      <w:r w:rsidRPr="00BD5DFE">
        <w:rPr>
          <w:lang w:val="en-US"/>
        </w:rPr>
        <w:t xml:space="preserve">, </w:t>
      </w:r>
      <w:r w:rsidR="00EE7CAA">
        <w:rPr>
          <w:lang w:val="en-US"/>
        </w:rPr>
        <w:t>k</w:t>
      </w:r>
      <w:r w:rsidRPr="00BD5DFE">
        <w:rPr>
          <w:lang w:val="en-US"/>
        </w:rPr>
        <w:t xml:space="preserve">). The </w:t>
      </w:r>
      <w:proofErr w:type="spellStart"/>
      <w:r w:rsidRPr="00BD5DFE">
        <w:rPr>
          <w:lang w:val="en-US"/>
        </w:rPr>
        <w:t>Dieselgate</w:t>
      </w:r>
      <w:proofErr w:type="spellEnd"/>
      <w:r w:rsidRPr="00BD5DFE">
        <w:rPr>
          <w:lang w:val="en-US"/>
        </w:rPr>
        <w:t xml:space="preserve"> scandal serves as an example of how both external and internal organisational forces were leveraged to create a manipulation environment, which directly influenced the trajectory of consumer behaviour, as it was reported to impact greenwashing (Li, Mohamad, and Huang, 2025). The analysis is a critical examination of external factors that shape greenwashing, utilising PESTLE, SWOT, and Root Cause Analysis to identify regulatory, market, technological, and stakeholder-related factors that drive misrepresentation.</w:t>
      </w:r>
    </w:p>
    <w:p w14:paraId="7219F6F3" w14:textId="537D61FB" w:rsidR="00761E40" w:rsidRPr="00761E40" w:rsidRDefault="00761E40" w:rsidP="00761E40">
      <w:pPr>
        <w:pStyle w:val="Heading1"/>
        <w:rPr>
          <w:lang w:val="en-US"/>
        </w:rPr>
      </w:pPr>
      <w:bookmarkStart w:id="1" w:name="_Toc214987990"/>
      <w:r w:rsidRPr="00761E40">
        <w:rPr>
          <w:lang w:val="en-US"/>
        </w:rPr>
        <w:t>2. Summary of Current Situation</w:t>
      </w:r>
      <w:bookmarkEnd w:id="1"/>
      <w:r w:rsidRPr="00761E40">
        <w:rPr>
          <w:lang w:val="en-US"/>
        </w:rPr>
        <w:t xml:space="preserve"> </w:t>
      </w:r>
    </w:p>
    <w:p w14:paraId="1221F719" w14:textId="73508F27" w:rsidR="00BD5DFE" w:rsidRDefault="00BD5DFE" w:rsidP="00761E40">
      <w:pPr>
        <w:rPr>
          <w:lang w:val="en-US"/>
        </w:rPr>
      </w:pPr>
      <w:r w:rsidRPr="00BD5DFE">
        <w:rPr>
          <w:lang w:val="en-US"/>
        </w:rPr>
        <w:t xml:space="preserve">The </w:t>
      </w:r>
      <w:r w:rsidR="00B103D8" w:rsidRPr="00BD5DFE">
        <w:rPr>
          <w:lang w:val="en-US"/>
        </w:rPr>
        <w:t>Diesel gate</w:t>
      </w:r>
      <w:r w:rsidRPr="00BD5DFE">
        <w:rPr>
          <w:lang w:val="en-US"/>
        </w:rPr>
        <w:t xml:space="preserve"> scandal revealed how Volkswagen was cheating on the emissions-testing software, which allowed the vehicles to pass regulatory tests and release levels that were much higher than the allowable standards, attracting great condemnation all around the world (Montgomery, Lyon and </w:t>
      </w:r>
      <w:proofErr w:type="spellStart"/>
      <w:r w:rsidRPr="00BD5DFE">
        <w:rPr>
          <w:lang w:val="en-US"/>
        </w:rPr>
        <w:t>Barg</w:t>
      </w:r>
      <w:proofErr w:type="spellEnd"/>
      <w:r w:rsidRPr="00BD5DFE">
        <w:rPr>
          <w:lang w:val="en-US"/>
        </w:rPr>
        <w:t>, 2023). The scandal also caused the loss of organisational credibility, which consumers reacted to through brand hate behaviour that aligns with consumer behaviour towards brand hate and deceptive environmental advertising (Murad et al., 2022). This malpractice was happening in the UK as the EV sector is experiencing growth, and the regulatory tightening and heightened licensing efforts underscored the changing priorities in the country (Department for Transport, 2025). Although EV adoption increased, the sales figures were below what the government anticipated, which depicted a consistent market friction and lack of success in targets (Reuters, 2025). Studies also show that the viability of EVs in the UK still experiences technological and infrastructural limitations, which confirms competitive pressures which defined the larger industry strategic context of Volkswagen (</w:t>
      </w:r>
      <w:proofErr w:type="spellStart"/>
      <w:r w:rsidRPr="00BD5DFE">
        <w:rPr>
          <w:lang w:val="en-US"/>
        </w:rPr>
        <w:t>Hewavidana</w:t>
      </w:r>
      <w:proofErr w:type="spellEnd"/>
      <w:r w:rsidRPr="00BD5DFE">
        <w:rPr>
          <w:lang w:val="en-US"/>
        </w:rPr>
        <w:t>, 2023). In a larger sense, the activities of Volkswagen reflected the global issues of mass misrepresentation in the area of automotive sustainability communication, highlighting global trends of greenwashing in the industry (</w:t>
      </w:r>
      <w:proofErr w:type="spellStart"/>
      <w:r w:rsidRPr="00BD5DFE">
        <w:rPr>
          <w:lang w:val="en-US"/>
        </w:rPr>
        <w:t>Safdie</w:t>
      </w:r>
      <w:proofErr w:type="spellEnd"/>
      <w:r w:rsidRPr="00BD5DFE">
        <w:rPr>
          <w:lang w:val="en-US"/>
        </w:rPr>
        <w:t>, 2024).</w:t>
      </w:r>
    </w:p>
    <w:p w14:paraId="4453DFA8" w14:textId="648AD509" w:rsidR="00761E40" w:rsidRPr="00761E40" w:rsidRDefault="00761E40" w:rsidP="00761E40">
      <w:pPr>
        <w:pStyle w:val="Heading1"/>
        <w:rPr>
          <w:lang w:val="en-US"/>
        </w:rPr>
      </w:pPr>
      <w:bookmarkStart w:id="2" w:name="_Toc214987991"/>
      <w:r w:rsidRPr="00761E40">
        <w:rPr>
          <w:lang w:val="en-US"/>
        </w:rPr>
        <w:t>3. PESTLE Analysis</w:t>
      </w:r>
      <w:bookmarkEnd w:id="2"/>
      <w:r w:rsidRPr="00761E40">
        <w:rPr>
          <w:lang w:val="en-US"/>
        </w:rPr>
        <w:t xml:space="preserve"> </w:t>
      </w:r>
    </w:p>
    <w:p w14:paraId="133D4DE1" w14:textId="77777777" w:rsidR="00BD5DFE" w:rsidRPr="00BD5DFE" w:rsidRDefault="00BD5DFE" w:rsidP="00BD5DFE">
      <w:pPr>
        <w:rPr>
          <w:lang w:val="en-US"/>
        </w:rPr>
      </w:pPr>
      <w:r w:rsidRPr="00BD5DFE">
        <w:rPr>
          <w:lang w:val="en-US"/>
        </w:rPr>
        <w:t xml:space="preserve">The political pressures have greatly escalated within the UK automotive industry, with government-imposed sustainability requirements and policy incentives, with particular emphasis on EVs transforming the competitive demands and subjecting the companies to an increased level of </w:t>
      </w:r>
      <w:proofErr w:type="spellStart"/>
      <w:r w:rsidRPr="00BD5DFE">
        <w:rPr>
          <w:lang w:val="en-US"/>
        </w:rPr>
        <w:t>decarbonisation</w:t>
      </w:r>
      <w:proofErr w:type="spellEnd"/>
      <w:r w:rsidRPr="00BD5DFE">
        <w:rPr>
          <w:lang w:val="en-US"/>
        </w:rPr>
        <w:t xml:space="preserve"> scrutiny (</w:t>
      </w:r>
      <w:proofErr w:type="spellStart"/>
      <w:r w:rsidRPr="00BD5DFE">
        <w:rPr>
          <w:lang w:val="en-US"/>
        </w:rPr>
        <w:t>Topham</w:t>
      </w:r>
      <w:proofErr w:type="spellEnd"/>
      <w:r w:rsidRPr="00BD5DFE">
        <w:rPr>
          <w:lang w:val="en-US"/>
        </w:rPr>
        <w:t xml:space="preserve">, 2025). These political changes left a regulatory environment whereby any failure to prove credible environmental performance would be accompanied by a loss of strategic advantage. </w:t>
      </w:r>
    </w:p>
    <w:p w14:paraId="31E166B0" w14:textId="77777777" w:rsidR="00BD5DFE" w:rsidRPr="00BD5DFE" w:rsidRDefault="00BD5DFE" w:rsidP="00BD5DFE">
      <w:pPr>
        <w:rPr>
          <w:lang w:val="en-US"/>
        </w:rPr>
      </w:pPr>
      <w:r w:rsidRPr="00BD5DFE">
        <w:rPr>
          <w:lang w:val="en-US"/>
        </w:rPr>
        <w:t>On the economic front, manufacturers are operating in a more unstable EV marketplace that is associated with increasing operational expenses, unstable demand, and competitive pressures associated with a fast-paced transformation in the industry (</w:t>
      </w:r>
      <w:proofErr w:type="spellStart"/>
      <w:r w:rsidRPr="00BD5DFE">
        <w:rPr>
          <w:lang w:val="en-US"/>
        </w:rPr>
        <w:t>Awahl</w:t>
      </w:r>
      <w:proofErr w:type="spellEnd"/>
      <w:r w:rsidRPr="00BD5DFE">
        <w:rPr>
          <w:lang w:val="en-US"/>
        </w:rPr>
        <w:t>, 2024). With these kinds of pressures, certain organisations might be tempted to implement unsustainable shortcuts in order to maintain profitability and trust in the organisation, which demonstrates how financial pressures can have an impact on fraudulent environmental behaviour (Lin et al., 2025).</w:t>
      </w:r>
    </w:p>
    <w:p w14:paraId="2F2D3F63" w14:textId="2959D79E" w:rsidR="00BD5DFE" w:rsidRPr="00BD5DFE" w:rsidRDefault="00BD5DFE" w:rsidP="00BD5DFE">
      <w:pPr>
        <w:rPr>
          <w:lang w:val="en-US"/>
        </w:rPr>
      </w:pPr>
      <w:r w:rsidRPr="00BD5DFE">
        <w:rPr>
          <w:lang w:val="en-US"/>
        </w:rPr>
        <w:t>These pressures are further aggravated by social factors, as consumers are becoming more socially responsible in their expectations of environmental mobility and critique brand claims with the sustainability-</w:t>
      </w:r>
      <w:r w:rsidR="00B103D8" w:rsidRPr="00BD5DFE">
        <w:rPr>
          <w:lang w:val="en-US"/>
        </w:rPr>
        <w:t>centered</w:t>
      </w:r>
      <w:r w:rsidRPr="00BD5DFE">
        <w:rPr>
          <w:lang w:val="en-US"/>
        </w:rPr>
        <w:t xml:space="preserve"> prism (Liao and Wu, 2024). These changes increase the pressure on transparency, and experience shows that greenwashing undermines the trustworthiness of society and distorts the buying behaviour in case of untruthfulness revelation (</w:t>
      </w:r>
      <w:proofErr w:type="spellStart"/>
      <w:r w:rsidRPr="00BD5DFE">
        <w:rPr>
          <w:lang w:val="en-US"/>
        </w:rPr>
        <w:t>Alsaggaf</w:t>
      </w:r>
      <w:proofErr w:type="spellEnd"/>
      <w:r w:rsidRPr="00BD5DFE">
        <w:rPr>
          <w:lang w:val="en-US"/>
        </w:rPr>
        <w:t xml:space="preserve">, 2025). </w:t>
      </w:r>
    </w:p>
    <w:p w14:paraId="75E57D72" w14:textId="77777777" w:rsidR="00BD5DFE" w:rsidRPr="00BD5DFE" w:rsidRDefault="00BD5DFE" w:rsidP="00BD5DFE">
      <w:pPr>
        <w:rPr>
          <w:lang w:val="en-US"/>
        </w:rPr>
      </w:pPr>
      <w:r w:rsidRPr="00BD5DFE">
        <w:rPr>
          <w:lang w:val="en-US"/>
        </w:rPr>
        <w:t>Innovations in technology. Traditional diesel advances were at the technological edge, particularly compared to rapidly increasing EV innovations and infrastructure growth, which put a strategic disadvantage on companies that could not move fast (</w:t>
      </w:r>
      <w:proofErr w:type="spellStart"/>
      <w:r w:rsidRPr="00BD5DFE">
        <w:rPr>
          <w:lang w:val="en-US"/>
        </w:rPr>
        <w:t>Hewavidana</w:t>
      </w:r>
      <w:proofErr w:type="spellEnd"/>
      <w:r w:rsidRPr="00BD5DFE">
        <w:rPr>
          <w:lang w:val="en-US"/>
        </w:rPr>
        <w:t>, 2023). Greater evaluations of high-tech industries indicate that companies in the industries have external pressures of innovation that increase the threat of implementing dubious practices to stay at par (Shu, 2022).</w:t>
      </w:r>
    </w:p>
    <w:p w14:paraId="000A7F5F" w14:textId="77777777" w:rsidR="00BD5DFE" w:rsidRPr="00BD5DFE" w:rsidRDefault="00BD5DFE" w:rsidP="00BD5DFE">
      <w:pPr>
        <w:rPr>
          <w:lang w:val="en-US"/>
        </w:rPr>
      </w:pPr>
      <w:r w:rsidRPr="00BD5DFE">
        <w:rPr>
          <w:lang w:val="en-US"/>
        </w:rPr>
        <w:t>The sustainability-reporting requirements have been tightened in law, especially in the automotive sector, which requires improved disclosure of emissions and increases accountability systems (SGS, 2025). Nonetheless, even with this, organisations can continue to bypass regulatory ambiguity or fragmented international standards and make deceptive environmental claims to appear valid (Santos, Coelho and Cancela, 2024).</w:t>
      </w:r>
    </w:p>
    <w:p w14:paraId="7A319FB4" w14:textId="678E8915" w:rsidR="00BD5DFE" w:rsidRPr="00BD5DFE" w:rsidRDefault="00BD5DFE" w:rsidP="00BD5DFE">
      <w:pPr>
        <w:rPr>
          <w:lang w:val="en-US"/>
        </w:rPr>
      </w:pPr>
      <w:r w:rsidRPr="00BD5DFE">
        <w:rPr>
          <w:lang w:val="en-US"/>
        </w:rPr>
        <w:t>These dynamics are reinforced by environmental factors, as increasing decarbonisation commitments on a global scale put extra strain on companies to demonstrate plausible climate-friendly progress (Environmental Defender's Office, 2023). A combination of these overlapping forces formed an environment where misinformed sustainability communications might arise, as a complicated process of external forces and organisational vulnerability against each other (Li, Mohamad and Huang, 2025).</w:t>
      </w:r>
    </w:p>
    <w:p w14:paraId="5CC8BE3D" w14:textId="77777777" w:rsidR="00BD5DFE" w:rsidRPr="00BD5DFE" w:rsidRDefault="00BD5DFE" w:rsidP="00BD5DFE">
      <w:pPr>
        <w:pStyle w:val="Heading1"/>
        <w:rPr>
          <w:lang w:val="en-US"/>
        </w:rPr>
      </w:pPr>
      <w:bookmarkStart w:id="3" w:name="_Toc214987992"/>
      <w:r w:rsidRPr="00BD5DFE">
        <w:rPr>
          <w:lang w:val="en-US"/>
        </w:rPr>
        <w:t>4. SWOT Analysis</w:t>
      </w:r>
      <w:bookmarkEnd w:id="3"/>
      <w:r w:rsidRPr="00BD5DFE">
        <w:rPr>
          <w:lang w:val="en-US"/>
        </w:rPr>
        <w:t xml:space="preserve"> </w:t>
      </w:r>
    </w:p>
    <w:p w14:paraId="1C37221F" w14:textId="77777777" w:rsidR="00BD5DFE" w:rsidRPr="00BD5DFE" w:rsidRDefault="00BD5DFE" w:rsidP="00BD5DFE">
      <w:pPr>
        <w:rPr>
          <w:lang w:val="en-US"/>
        </w:rPr>
      </w:pPr>
      <w:r w:rsidRPr="00BD5DFE">
        <w:rPr>
          <w:lang w:val="en-US"/>
        </w:rPr>
        <w:t xml:space="preserve">The brand recognition and a long history of operating in the worldwide market, combined with a large engineering base of Volkswagen, offered a good competitive base in the automotive industry, which is backed by its massive production capacity and market strength (Reuters, 2025). The above strengths managed to keep the firm at the top of the industry in the past. </w:t>
      </w:r>
    </w:p>
    <w:p w14:paraId="0A24D1B0" w14:textId="77777777" w:rsidR="00BD5DFE" w:rsidRPr="00BD5DFE" w:rsidRDefault="00BD5DFE" w:rsidP="00BD5DFE">
      <w:pPr>
        <w:rPr>
          <w:lang w:val="en-US"/>
        </w:rPr>
      </w:pPr>
      <w:r w:rsidRPr="00BD5DFE">
        <w:rPr>
          <w:lang w:val="en-US"/>
        </w:rPr>
        <w:t xml:space="preserve">Nevertheless, there were major flaws that were woven into organisational settings, such as failures in systemic governance, the insufficient culture of compliance, and technological constraints that propelled the company to default to genuine emission standards without manipulation (Montgomery, Lyon and </w:t>
      </w:r>
      <w:proofErr w:type="spellStart"/>
      <w:r w:rsidRPr="00BD5DFE">
        <w:rPr>
          <w:lang w:val="en-US"/>
        </w:rPr>
        <w:t>Barg</w:t>
      </w:r>
      <w:proofErr w:type="spellEnd"/>
      <w:r w:rsidRPr="00BD5DFE">
        <w:rPr>
          <w:lang w:val="en-US"/>
        </w:rPr>
        <w:t>, 2023). These internal flaws increased the susceptibility to unethical conduct as the foreign pressures increased.</w:t>
      </w:r>
    </w:p>
    <w:p w14:paraId="418CF8EC" w14:textId="77777777" w:rsidR="00BD5DFE" w:rsidRPr="00BD5DFE" w:rsidRDefault="00BD5DFE" w:rsidP="00BD5DFE">
      <w:pPr>
        <w:rPr>
          <w:lang w:val="en-US"/>
        </w:rPr>
      </w:pPr>
      <w:r w:rsidRPr="00BD5DFE">
        <w:rPr>
          <w:lang w:val="en-US"/>
        </w:rPr>
        <w:t>The prospects of Volkswagen were also high, especially with the growing EV market in the UK being the source of large government subsidies and the arrangement of the infrastructure that promoted the innovation of the low-carbon (</w:t>
      </w:r>
      <w:proofErr w:type="spellStart"/>
      <w:r w:rsidRPr="00BD5DFE">
        <w:rPr>
          <w:lang w:val="en-US"/>
        </w:rPr>
        <w:t>Topham</w:t>
      </w:r>
      <w:proofErr w:type="spellEnd"/>
      <w:r w:rsidRPr="00BD5DFE">
        <w:rPr>
          <w:lang w:val="en-US"/>
        </w:rPr>
        <w:t>, 2025). The company also had a chance to capitalise on the rise in consumer demand for mobility solutions that are environmentally responsible, which represents a broader set of sustainability-focused market expectations that have been discovered throughout the changing EV market (A Wahl, 2024). These opportunities could only be tapped successfully through a credible connection to sustainability transitions and not baseless practices.</w:t>
      </w:r>
    </w:p>
    <w:p w14:paraId="5836411C" w14:textId="77777777" w:rsidR="00BD5DFE" w:rsidRPr="00BD5DFE" w:rsidRDefault="00BD5DFE" w:rsidP="00BD5DFE">
      <w:pPr>
        <w:rPr>
          <w:lang w:val="en-US"/>
        </w:rPr>
      </w:pPr>
      <w:r w:rsidRPr="00BD5DFE">
        <w:rPr>
          <w:lang w:val="en-US"/>
        </w:rPr>
        <w:t>On the other hand, threats were increasingly becoming stronger. Increasing regulatory oversight and growing consumer awareness of the dynamics of corporate greenwashing put automotive companies in the eyes of constant reputational pressure (</w:t>
      </w:r>
      <w:proofErr w:type="spellStart"/>
      <w:r w:rsidRPr="00BD5DFE">
        <w:rPr>
          <w:lang w:val="en-US"/>
        </w:rPr>
        <w:t>Safdie</w:t>
      </w:r>
      <w:proofErr w:type="spellEnd"/>
      <w:r w:rsidRPr="00BD5DFE">
        <w:rPr>
          <w:lang w:val="en-US"/>
        </w:rPr>
        <w:t>, 2024). Other risks Volkswagen had to deal with included the loss of population trust and consumer confidence after being proven to be environmentally untruthful, which shows the extent of greenwashing in relation to brand consciousness (</w:t>
      </w:r>
      <w:proofErr w:type="spellStart"/>
      <w:r w:rsidRPr="00BD5DFE">
        <w:rPr>
          <w:lang w:val="en-US"/>
        </w:rPr>
        <w:t>Alsaggaf</w:t>
      </w:r>
      <w:proofErr w:type="spellEnd"/>
      <w:r w:rsidRPr="00BD5DFE">
        <w:rPr>
          <w:lang w:val="en-US"/>
        </w:rPr>
        <w:t xml:space="preserve">, 2025). </w:t>
      </w:r>
    </w:p>
    <w:p w14:paraId="15E96B91" w14:textId="622DDBD8" w:rsidR="00BD5DFE" w:rsidRPr="00BD5DFE" w:rsidRDefault="00BD5DFE" w:rsidP="00761E40">
      <w:pPr>
        <w:rPr>
          <w:lang w:val="en-US"/>
        </w:rPr>
      </w:pPr>
      <w:r w:rsidRPr="00BD5DFE">
        <w:rPr>
          <w:lang w:val="en-US"/>
        </w:rPr>
        <w:t>Together, the internal weaknesses of Volkswagen were compatible with these external threats, which provided a situation that allowed making false environmental statements and increased long-term risks to the organisation in terms of strategy and performance (Lin et al., 2025).</w:t>
      </w:r>
    </w:p>
    <w:p w14:paraId="7E41FC8C" w14:textId="6CAD0016" w:rsidR="00761E40" w:rsidRPr="00761E40" w:rsidRDefault="00761E40" w:rsidP="00761E40">
      <w:pPr>
        <w:pStyle w:val="Heading1"/>
        <w:rPr>
          <w:lang w:val="en-US"/>
        </w:rPr>
      </w:pPr>
      <w:bookmarkStart w:id="4" w:name="_Toc214987993"/>
      <w:r w:rsidRPr="00761E40">
        <w:rPr>
          <w:lang w:val="en-US"/>
        </w:rPr>
        <w:t>5. Root Cause Analysis (RCA)</w:t>
      </w:r>
      <w:bookmarkEnd w:id="4"/>
      <w:r w:rsidRPr="00761E40">
        <w:rPr>
          <w:lang w:val="en-US"/>
        </w:rPr>
        <w:t xml:space="preserve"> </w:t>
      </w:r>
    </w:p>
    <w:p w14:paraId="59D24568" w14:textId="764E4C4E" w:rsidR="00742659" w:rsidRPr="00742659" w:rsidRDefault="00742659" w:rsidP="00742659">
      <w:pPr>
        <w:rPr>
          <w:lang w:val="en-US"/>
        </w:rPr>
      </w:pPr>
      <w:r w:rsidRPr="00742659">
        <w:rPr>
          <w:lang w:val="en-US"/>
        </w:rPr>
        <w:t xml:space="preserve">As revealed in the Root Cause Analysis, the case of greenwashing at Volkswagen came up as a result of a multi-faceted organisational, regulatory, technological, and market-driven pressure. Using a 5 Whys and cause-and-effect logic, the initial root cause is connected to pressure on the leadership to produce compliance results that were impossible under the existing diesel capabilities, which led to the </w:t>
      </w:r>
      <w:proofErr w:type="spellStart"/>
      <w:r w:rsidRPr="00742659">
        <w:rPr>
          <w:lang w:val="en-US"/>
        </w:rPr>
        <w:t>normalisation</w:t>
      </w:r>
      <w:proofErr w:type="spellEnd"/>
      <w:r w:rsidRPr="00742659">
        <w:rPr>
          <w:lang w:val="en-US"/>
        </w:rPr>
        <w:t xml:space="preserve"> of unethical shortcuts (Lin et al., 2025). This pressure, combined with disjointed regulatory frameworks and loopholes in emissions-testing regulations across global markets, thus allows them to manipulate the results and be left unnoticed over a long time</w:t>
      </w:r>
      <w:r w:rsidR="001B293B">
        <w:rPr>
          <w:lang w:val="en-US"/>
        </w:rPr>
        <w:t>.</w:t>
      </w:r>
    </w:p>
    <w:p w14:paraId="72BD84BD" w14:textId="77777777" w:rsidR="00742659" w:rsidRPr="00742659" w:rsidRDefault="00742659" w:rsidP="00742659">
      <w:pPr>
        <w:rPr>
          <w:lang w:val="en-US"/>
        </w:rPr>
      </w:pPr>
      <w:r w:rsidRPr="00742659">
        <w:rPr>
          <w:lang w:val="en-US"/>
        </w:rPr>
        <w:t xml:space="preserve">The cultural relations also led to the misconduct by making </w:t>
      </w:r>
      <w:proofErr w:type="spellStart"/>
      <w:r w:rsidRPr="00742659">
        <w:rPr>
          <w:lang w:val="en-US"/>
        </w:rPr>
        <w:t>organisations</w:t>
      </w:r>
      <w:proofErr w:type="spellEnd"/>
      <w:r w:rsidRPr="00742659">
        <w:rPr>
          <w:lang w:val="en-US"/>
        </w:rPr>
        <w:t xml:space="preserve"> focus on competitive performance, as opposed to ethical transparency, or long-term sustainability requirements, which strengthened the tolerance of non-compliance (Montgomery, Lyon and </w:t>
      </w:r>
      <w:proofErr w:type="spellStart"/>
      <w:r w:rsidRPr="00742659">
        <w:rPr>
          <w:lang w:val="en-US"/>
        </w:rPr>
        <w:t>Barg</w:t>
      </w:r>
      <w:proofErr w:type="spellEnd"/>
      <w:r w:rsidRPr="00742659">
        <w:rPr>
          <w:lang w:val="en-US"/>
        </w:rPr>
        <w:t>, 2023). The importance of technological shortages became critical: diesel systems were unable to achieve the narrowing of the emission standards without the distortions of performance, which portrays inherent incompatibility between the nature of environmental requirements and the limitations of engineering (Hewavidana, 2023).</w:t>
      </w:r>
    </w:p>
    <w:p w14:paraId="6B9A3E51" w14:textId="77777777" w:rsidR="00742659" w:rsidRPr="00742659" w:rsidRDefault="00742659" w:rsidP="00742659">
      <w:pPr>
        <w:rPr>
          <w:lang w:val="en-US"/>
        </w:rPr>
      </w:pPr>
      <w:r w:rsidRPr="00742659">
        <w:rPr>
          <w:lang w:val="en-US"/>
        </w:rPr>
        <w:t>This also had an effect on behaviour, as sustainability-related risks encouraged companies to engage in false environmental presentations to sustain legitimacy and operational viability (Santos, Coelho and Cancela, 2024). The consumer-behaviour research demonstrates the way companies use brand trust to maintain demand on the market during times of competition pressure, a trend which influenced the Volkswagen dependency on falsely inflated environmental assertions (Liao and Wu, 2024). At the industry level, inefficiencies in the practice of sustainability reporting, such as inconsistent standards of disclosure, allowed the phenomenon of false reporting to exist indefinitely without proper checks and balances (SGS, 2025).</w:t>
      </w:r>
    </w:p>
    <w:p w14:paraId="62904F49" w14:textId="1876E58A" w:rsidR="00742659" w:rsidRDefault="00742659" w:rsidP="00761E40">
      <w:pPr>
        <w:rPr>
          <w:lang w:val="en-US"/>
        </w:rPr>
      </w:pPr>
      <w:r w:rsidRPr="00742659">
        <w:rPr>
          <w:lang w:val="en-US"/>
        </w:rPr>
        <w:t>At the same time, the rush to transition to EVs in the UK and European markets increased the motivation of companies to demonstrate positive environmental developments, although the real technological preparedness might not be provided (Topham, 2025). Today, all these systemic flaws and outside forces were put together to create the factors which enabled greenwashing to take place and prove that the misconduct of Volkswagen was the result of numerous structural, cultural, regulatory and market factors and not isolated organisational decisions (Li, Mohamad and Huang, 2025).</w:t>
      </w:r>
    </w:p>
    <w:p w14:paraId="5E1FDA48" w14:textId="600E01F0" w:rsidR="00761E40" w:rsidRPr="00761E40" w:rsidRDefault="00761E40" w:rsidP="00761E40">
      <w:pPr>
        <w:pStyle w:val="Heading1"/>
        <w:rPr>
          <w:lang w:val="en-US"/>
        </w:rPr>
      </w:pPr>
      <w:bookmarkStart w:id="5" w:name="_Toc214987994"/>
      <w:r w:rsidRPr="00761E40">
        <w:rPr>
          <w:lang w:val="en-US"/>
        </w:rPr>
        <w:t>6. Recommendations</w:t>
      </w:r>
      <w:bookmarkEnd w:id="5"/>
      <w:r w:rsidRPr="00761E40">
        <w:rPr>
          <w:lang w:val="en-US"/>
        </w:rPr>
        <w:t xml:space="preserve"> </w:t>
      </w:r>
    </w:p>
    <w:p w14:paraId="6F2AF4D4" w14:textId="77777777" w:rsidR="00742659" w:rsidRPr="00742659" w:rsidRDefault="00742659" w:rsidP="00742659">
      <w:pPr>
        <w:rPr>
          <w:lang w:val="en-US"/>
        </w:rPr>
      </w:pPr>
      <w:r w:rsidRPr="00742659">
        <w:rPr>
          <w:lang w:val="en-US"/>
        </w:rPr>
        <w:t>It is also crucial to reinforce the governance structure of Volkswagen, and that this should start with instating independent ESG-governing mechanisms that reflect the contemporary sustainability expectations in the automotive industry (SGS, 2025). The introduction of compulsory transparency and increased levels of disclosure would help restore consumer trust, which has been eroded through past types of greenwashing efforts (</w:t>
      </w:r>
      <w:proofErr w:type="spellStart"/>
      <w:r w:rsidRPr="00742659">
        <w:rPr>
          <w:lang w:val="en-US"/>
        </w:rPr>
        <w:t>Alsaggaf</w:t>
      </w:r>
      <w:proofErr w:type="spellEnd"/>
      <w:r w:rsidRPr="00742659">
        <w:rPr>
          <w:lang w:val="en-US"/>
        </w:rPr>
        <w:t xml:space="preserve">, 2025). </w:t>
      </w:r>
    </w:p>
    <w:p w14:paraId="45C411ED" w14:textId="088DD5FD" w:rsidR="00742659" w:rsidRDefault="00742659" w:rsidP="00761E40">
      <w:pPr>
        <w:rPr>
          <w:lang w:val="en-US"/>
        </w:rPr>
      </w:pPr>
      <w:r w:rsidRPr="00742659">
        <w:rPr>
          <w:lang w:val="en-US"/>
        </w:rPr>
        <w:t>Together with governance reform, there is a need to have a technological transition strategy. Rapid investment in EV-specific research and development would enhance competitiveness in the long run and reduce dependency on the old-fashioned technologies based on diesel use (</w:t>
      </w:r>
      <w:proofErr w:type="spellStart"/>
      <w:r w:rsidRPr="00742659">
        <w:rPr>
          <w:lang w:val="en-US"/>
        </w:rPr>
        <w:t>Hewavidana</w:t>
      </w:r>
      <w:proofErr w:type="spellEnd"/>
      <w:r w:rsidRPr="00742659">
        <w:rPr>
          <w:lang w:val="en-US"/>
        </w:rPr>
        <w:t>, 2023). Also, real-world compliance-checking systems and the use of the latest and high-tech emissions-testing tools, as suggested in the latest attempts at appraising greenwashing in the automotive sector, would enhance the validity and functionality (Environmental Defender's Office, 2023). The inclusion of supply-chain sustainability would also reduce the general environmental and reputation risks</w:t>
      </w:r>
      <w:r w:rsidR="001B293B">
        <w:rPr>
          <w:lang w:val="en-US"/>
        </w:rPr>
        <w:t>.</w:t>
      </w:r>
    </w:p>
    <w:p w14:paraId="160EAA1F" w14:textId="06B5425A" w:rsidR="00761E40" w:rsidRPr="00761E40" w:rsidRDefault="00761E40" w:rsidP="00761E40">
      <w:pPr>
        <w:pStyle w:val="Heading1"/>
        <w:rPr>
          <w:lang w:val="en-US"/>
        </w:rPr>
      </w:pPr>
      <w:bookmarkStart w:id="6" w:name="_Toc214987995"/>
      <w:r>
        <w:rPr>
          <w:lang w:val="en-US"/>
        </w:rPr>
        <w:t xml:space="preserve">7. </w:t>
      </w:r>
      <w:r w:rsidRPr="00761E40">
        <w:rPr>
          <w:lang w:val="en-US"/>
        </w:rPr>
        <w:t>Conclusion</w:t>
      </w:r>
      <w:bookmarkEnd w:id="6"/>
    </w:p>
    <w:p w14:paraId="6D4999AE" w14:textId="16DFC5D0" w:rsidR="00BD5DFE" w:rsidRPr="00BD5DFE" w:rsidRDefault="00BD5DFE" w:rsidP="00BD5DFE">
      <w:pPr>
        <w:rPr>
          <w:lang w:val="en-US"/>
        </w:rPr>
      </w:pPr>
      <w:r w:rsidRPr="00BD5DFE">
        <w:rPr>
          <w:lang w:val="en-US"/>
        </w:rPr>
        <w:t xml:space="preserve">Interplay between external regulatory, technological and market forces and internal governance and cultural </w:t>
      </w:r>
      <w:r w:rsidR="00B103D8" w:rsidRPr="00BD5DFE">
        <w:rPr>
          <w:lang w:val="en-US"/>
        </w:rPr>
        <w:t>incompetence’s</w:t>
      </w:r>
      <w:r w:rsidRPr="00BD5DFE">
        <w:rPr>
          <w:lang w:val="en-US"/>
        </w:rPr>
        <w:t xml:space="preserve"> led to Volkswagen adversely engaging in greenwashing. The discussion shows that the political motivation of decarbonisation, economic instability, consumer demands and technological limitations all compounded the threat of false environmental statements. Weaknesses in organisations also facilitated misconduct. Enhancement of transparency, investment in innovation, and entrenching ethical accountability are vital elements that would aid in the mitigation of recurrence. Finally, plausible sustainability activities are important to restore confidence and guarantee future resistance within the automotive industry.</w:t>
      </w:r>
    </w:p>
    <w:p w14:paraId="092974FC" w14:textId="77777777" w:rsidR="00BD5DFE" w:rsidRPr="00761E40" w:rsidRDefault="00BD5DFE" w:rsidP="00761E40">
      <w:pPr>
        <w:rPr>
          <w:lang w:val="en-US"/>
        </w:rPr>
      </w:pPr>
    </w:p>
    <w:p w14:paraId="593ADA8C" w14:textId="77777777" w:rsidR="00761E40" w:rsidRDefault="00761E40" w:rsidP="00761E40">
      <w:pPr>
        <w:rPr>
          <w:lang w:val="en-US"/>
        </w:rPr>
      </w:pPr>
    </w:p>
    <w:p w14:paraId="2C991673" w14:textId="77777777" w:rsidR="00761E40" w:rsidRDefault="00761E40" w:rsidP="00761E40">
      <w:pPr>
        <w:rPr>
          <w:lang w:val="en-US"/>
        </w:rPr>
      </w:pPr>
    </w:p>
    <w:p w14:paraId="1DA92685" w14:textId="77777777" w:rsidR="00742659" w:rsidRDefault="00742659" w:rsidP="00761E40">
      <w:pPr>
        <w:rPr>
          <w:lang w:val="en-US"/>
        </w:rPr>
      </w:pPr>
    </w:p>
    <w:p w14:paraId="5C088F74" w14:textId="77777777" w:rsidR="00761E40" w:rsidRDefault="00761E40" w:rsidP="00761E40">
      <w:pPr>
        <w:rPr>
          <w:lang w:val="en-US"/>
        </w:rPr>
      </w:pPr>
    </w:p>
    <w:p w14:paraId="3951CCCD" w14:textId="12CA63F5" w:rsidR="00761E40" w:rsidRDefault="00761E40" w:rsidP="00761E40">
      <w:pPr>
        <w:pStyle w:val="Heading1"/>
        <w:rPr>
          <w:lang w:val="en-US"/>
        </w:rPr>
      </w:pPr>
      <w:bookmarkStart w:id="7" w:name="_Toc214987996"/>
      <w:r>
        <w:rPr>
          <w:lang w:val="en-US"/>
        </w:rPr>
        <w:t>References</w:t>
      </w:r>
      <w:bookmarkEnd w:id="7"/>
      <w:r>
        <w:rPr>
          <w:lang w:val="en-US"/>
        </w:rPr>
        <w:t xml:space="preserve"> </w:t>
      </w:r>
    </w:p>
    <w:p w14:paraId="75E1CE0F" w14:textId="477DE46E" w:rsidR="00BD5DFE" w:rsidRDefault="00BD5DFE" w:rsidP="00BD5DFE">
      <w:pPr>
        <w:ind w:left="720" w:hanging="720"/>
        <w:rPr>
          <w:lang w:val="en-US"/>
        </w:rPr>
      </w:pPr>
      <w:proofErr w:type="spellStart"/>
      <w:r w:rsidRPr="00BD5DFE">
        <w:rPr>
          <w:lang w:val="en-US"/>
        </w:rPr>
        <w:t>Alsaggaf</w:t>
      </w:r>
      <w:proofErr w:type="spellEnd"/>
      <w:r w:rsidRPr="00BD5DFE">
        <w:rPr>
          <w:lang w:val="en-US"/>
        </w:rPr>
        <w:t xml:space="preserve">, H.A. (2025). When green is not clean: A synthesis of evidence on greenwashing and consumer trust. </w:t>
      </w:r>
      <w:r w:rsidRPr="00BD5DFE">
        <w:rPr>
          <w:i/>
          <w:iCs/>
          <w:lang w:val="en-US"/>
        </w:rPr>
        <w:t>International Journal of ADVANCED AND APPLIED SCIENCES</w:t>
      </w:r>
      <w:r w:rsidRPr="00BD5DFE">
        <w:rPr>
          <w:lang w:val="en-US"/>
        </w:rPr>
        <w:t xml:space="preserve">, [online] 12(7), pp.211–220. </w:t>
      </w:r>
      <w:proofErr w:type="spellStart"/>
      <w:r w:rsidRPr="00BD5DFE">
        <w:rPr>
          <w:lang w:val="en-US"/>
        </w:rPr>
        <w:t>doi</w:t>
      </w:r>
      <w:proofErr w:type="spellEnd"/>
      <w:r w:rsidRPr="00BD5DFE">
        <w:rPr>
          <w:lang w:val="en-US"/>
        </w:rPr>
        <w:t>:</w:t>
      </w:r>
      <w:r>
        <w:rPr>
          <w:lang w:val="en-US"/>
        </w:rPr>
        <w:t xml:space="preserve"> </w:t>
      </w:r>
      <w:hyperlink r:id="rId5" w:history="1">
        <w:r w:rsidRPr="00BD5DFE">
          <w:rPr>
            <w:rStyle w:val="Hyperlink"/>
            <w:lang w:val="en-US"/>
          </w:rPr>
          <w:t>https://doi.org/10.21833/ijaas.2025.07.021</w:t>
        </w:r>
      </w:hyperlink>
      <w:r w:rsidRPr="00BD5DFE">
        <w:rPr>
          <w:lang w:val="en-US"/>
        </w:rPr>
        <w:t>.</w:t>
      </w:r>
    </w:p>
    <w:p w14:paraId="72AAFFB2" w14:textId="219AA64B" w:rsidR="00BD5DFE" w:rsidRDefault="00BD5DFE" w:rsidP="00BD5DFE">
      <w:pPr>
        <w:ind w:left="720" w:hanging="720"/>
        <w:rPr>
          <w:lang w:val="en-US"/>
        </w:rPr>
      </w:pPr>
      <w:proofErr w:type="spellStart"/>
      <w:r w:rsidRPr="00BD5DFE">
        <w:rPr>
          <w:lang w:val="en-US"/>
        </w:rPr>
        <w:t>awahl</w:t>
      </w:r>
      <w:proofErr w:type="spellEnd"/>
      <w:r w:rsidRPr="00BD5DFE">
        <w:rPr>
          <w:lang w:val="en-US"/>
        </w:rPr>
        <w:t xml:space="preserve"> (2024). </w:t>
      </w:r>
      <w:r w:rsidRPr="00BD5DFE">
        <w:rPr>
          <w:i/>
          <w:iCs/>
          <w:lang w:val="en-US"/>
        </w:rPr>
        <w:t>Charging ahead: navigating the dynamic evolution of the UK’s electric vehicle market in 2024 - Urban Science</w:t>
      </w:r>
      <w:r w:rsidRPr="00BD5DFE">
        <w:rPr>
          <w:lang w:val="en-US"/>
        </w:rPr>
        <w:t xml:space="preserve">. [online] Urban Science. Available at: </w:t>
      </w:r>
      <w:hyperlink r:id="rId6" w:history="1">
        <w:r w:rsidRPr="00BD5DFE">
          <w:rPr>
            <w:rStyle w:val="Hyperlink"/>
            <w:lang w:val="en-US"/>
          </w:rPr>
          <w:t>https://www.urbanscience.com/insightlab/charging-ahead-navigating-dynamic-evolution-uk-ev-market-2024/</w:t>
        </w:r>
      </w:hyperlink>
      <w:r w:rsidRPr="00BD5DFE">
        <w:rPr>
          <w:lang w:val="en-US"/>
        </w:rPr>
        <w:t>.</w:t>
      </w:r>
    </w:p>
    <w:p w14:paraId="25203F62" w14:textId="60C0694C" w:rsidR="00BD5DFE" w:rsidRDefault="00BD5DFE" w:rsidP="00BD5DFE">
      <w:pPr>
        <w:ind w:left="720" w:hanging="720"/>
        <w:rPr>
          <w:lang w:val="en-US"/>
        </w:rPr>
      </w:pPr>
      <w:proofErr w:type="spellStart"/>
      <w:r w:rsidRPr="00BD5DFE">
        <w:rPr>
          <w:lang w:val="en-US"/>
        </w:rPr>
        <w:t>Chinthaka</w:t>
      </w:r>
      <w:proofErr w:type="spellEnd"/>
      <w:r w:rsidRPr="00BD5DFE">
        <w:rPr>
          <w:lang w:val="en-US"/>
        </w:rPr>
        <w:t xml:space="preserve"> </w:t>
      </w:r>
      <w:proofErr w:type="spellStart"/>
      <w:r w:rsidRPr="00BD5DFE">
        <w:rPr>
          <w:lang w:val="en-US"/>
        </w:rPr>
        <w:t>Manoj</w:t>
      </w:r>
      <w:proofErr w:type="spellEnd"/>
      <w:r w:rsidRPr="00BD5DFE">
        <w:rPr>
          <w:lang w:val="en-US"/>
        </w:rPr>
        <w:t xml:space="preserve"> </w:t>
      </w:r>
      <w:proofErr w:type="spellStart"/>
      <w:r w:rsidRPr="00BD5DFE">
        <w:rPr>
          <w:lang w:val="en-US"/>
        </w:rPr>
        <w:t>Hewavidana</w:t>
      </w:r>
      <w:proofErr w:type="spellEnd"/>
      <w:r w:rsidRPr="00BD5DFE">
        <w:rPr>
          <w:lang w:val="en-US"/>
        </w:rPr>
        <w:t xml:space="preserve"> (2023). </w:t>
      </w:r>
      <w:r w:rsidRPr="00BD5DFE">
        <w:rPr>
          <w:i/>
          <w:iCs/>
          <w:lang w:val="en-US"/>
        </w:rPr>
        <w:t>Electric Vehicles Viability Report for United Kingdom</w:t>
      </w:r>
      <w:r w:rsidRPr="00BD5DFE">
        <w:rPr>
          <w:lang w:val="en-US"/>
        </w:rPr>
        <w:t xml:space="preserve">. [online] Research Gate. Available at: </w:t>
      </w:r>
      <w:hyperlink r:id="rId7" w:history="1">
        <w:r w:rsidRPr="00BD5DFE">
          <w:rPr>
            <w:rStyle w:val="Hyperlink"/>
            <w:lang w:val="en-US"/>
          </w:rPr>
          <w:t>https://www.researchgate.net/publication/371950429_Electric_Vehicles_Viability_Report_for_United_Kingdom</w:t>
        </w:r>
      </w:hyperlink>
      <w:r w:rsidRPr="00BD5DFE">
        <w:rPr>
          <w:lang w:val="en-US"/>
        </w:rPr>
        <w:t>.</w:t>
      </w:r>
    </w:p>
    <w:p w14:paraId="612C65D8" w14:textId="58EF044B" w:rsidR="00BD5DFE" w:rsidRDefault="00BD5DFE" w:rsidP="00BD5DFE">
      <w:pPr>
        <w:ind w:left="720" w:hanging="720"/>
        <w:rPr>
          <w:lang w:val="en-US"/>
        </w:rPr>
      </w:pPr>
      <w:r w:rsidRPr="00BD5DFE">
        <w:rPr>
          <w:lang w:val="en-US"/>
        </w:rPr>
        <w:t xml:space="preserve">Department for Transport (2025). </w:t>
      </w:r>
      <w:r w:rsidRPr="00BD5DFE">
        <w:rPr>
          <w:i/>
          <w:iCs/>
          <w:lang w:val="en-US"/>
        </w:rPr>
        <w:t>Vehicle licensing statistics, United Kingdom: 2024</w:t>
      </w:r>
      <w:r w:rsidRPr="00BD5DFE">
        <w:rPr>
          <w:lang w:val="en-US"/>
        </w:rPr>
        <w:t xml:space="preserve">. [online] GOV.UK. Available at: </w:t>
      </w:r>
      <w:hyperlink r:id="rId8" w:history="1">
        <w:r w:rsidRPr="00BD5DFE">
          <w:rPr>
            <w:rStyle w:val="Hyperlink"/>
            <w:lang w:val="en-US"/>
          </w:rPr>
          <w:t>https://www.gov.uk/government/statistics/vehicle-licensing-statistics-2024/vehicle-licensing-statistics-united-kingdom-2024</w:t>
        </w:r>
      </w:hyperlink>
      <w:r w:rsidRPr="00BD5DFE">
        <w:rPr>
          <w:lang w:val="en-US"/>
        </w:rPr>
        <w:t>.</w:t>
      </w:r>
    </w:p>
    <w:p w14:paraId="7F4C081A" w14:textId="6893B57E" w:rsidR="00BD5DFE" w:rsidRDefault="00BD5DFE" w:rsidP="00BD5DFE">
      <w:pPr>
        <w:ind w:left="720" w:hanging="720"/>
        <w:rPr>
          <w:lang w:val="en-US"/>
        </w:rPr>
      </w:pPr>
      <w:r w:rsidRPr="00BD5DFE">
        <w:rPr>
          <w:lang w:val="en-US"/>
        </w:rPr>
        <w:t xml:space="preserve">Environmental Defender Office (2023). </w:t>
      </w:r>
      <w:r w:rsidRPr="00BD5DFE">
        <w:rPr>
          <w:i/>
          <w:iCs/>
          <w:lang w:val="en-US"/>
        </w:rPr>
        <w:t>Driving Change or Just Filling the Tank? Unpacking the Greenwashing Tactics of the Automobile Industry (2023)</w:t>
      </w:r>
      <w:r w:rsidRPr="00BD5DFE">
        <w:rPr>
          <w:lang w:val="en-US"/>
        </w:rPr>
        <w:t xml:space="preserve">. [online] Available at: </w:t>
      </w:r>
      <w:hyperlink r:id="rId9" w:history="1">
        <w:r w:rsidRPr="00BD5DFE">
          <w:rPr>
            <w:rStyle w:val="Hyperlink"/>
            <w:lang w:val="en-US"/>
          </w:rPr>
          <w:t>https://www.edo.org.au/wp-content/uploads/2023/08/EDO_EV_GreenwashingReport_Web.pdf</w:t>
        </w:r>
      </w:hyperlink>
      <w:r w:rsidRPr="00BD5DFE">
        <w:rPr>
          <w:lang w:val="en-US"/>
        </w:rPr>
        <w:t>.</w:t>
      </w:r>
    </w:p>
    <w:p w14:paraId="22DFB838" w14:textId="6E16EF58" w:rsidR="00BD5DFE" w:rsidRDefault="00BD5DFE" w:rsidP="00BD5DFE">
      <w:pPr>
        <w:ind w:left="720" w:hanging="720"/>
        <w:rPr>
          <w:lang w:val="en-US"/>
        </w:rPr>
      </w:pPr>
      <w:r w:rsidRPr="00BD5DFE">
        <w:rPr>
          <w:lang w:val="en-US"/>
        </w:rPr>
        <w:t xml:space="preserve">Li, S., Mohamad and Huang, M. (2025). Green Marketing and Greenwashing Effects on Consumer Purchase of Electric Cars. </w:t>
      </w:r>
      <w:r w:rsidRPr="00BD5DFE">
        <w:rPr>
          <w:i/>
          <w:iCs/>
          <w:lang w:val="en-US"/>
        </w:rPr>
        <w:t>International Journal of Customer Relationship Marketing and Management</w:t>
      </w:r>
      <w:r w:rsidRPr="00BD5DFE">
        <w:rPr>
          <w:lang w:val="en-US"/>
        </w:rPr>
        <w:t xml:space="preserve">, [online] 16(1), pp.1–21. </w:t>
      </w:r>
      <w:proofErr w:type="spellStart"/>
      <w:r w:rsidRPr="00BD5DFE">
        <w:rPr>
          <w:lang w:val="en-US"/>
        </w:rPr>
        <w:t>doi</w:t>
      </w:r>
      <w:proofErr w:type="spellEnd"/>
      <w:r w:rsidRPr="00BD5DFE">
        <w:rPr>
          <w:lang w:val="en-US"/>
        </w:rPr>
        <w:t>:</w:t>
      </w:r>
      <w:r>
        <w:rPr>
          <w:lang w:val="en-US"/>
        </w:rPr>
        <w:t xml:space="preserve"> </w:t>
      </w:r>
      <w:hyperlink r:id="rId10" w:history="1">
        <w:r w:rsidRPr="00BD5DFE">
          <w:rPr>
            <w:rStyle w:val="Hyperlink"/>
            <w:lang w:val="en-US"/>
          </w:rPr>
          <w:t>https://doi.org/10.4018/ijcrmm.367599</w:t>
        </w:r>
      </w:hyperlink>
      <w:r w:rsidRPr="00BD5DFE">
        <w:rPr>
          <w:lang w:val="en-US"/>
        </w:rPr>
        <w:t>.</w:t>
      </w:r>
    </w:p>
    <w:p w14:paraId="7BAB1009" w14:textId="61302CD7" w:rsidR="00BD5DFE" w:rsidRDefault="00BD5DFE" w:rsidP="00BD5DFE">
      <w:pPr>
        <w:ind w:left="720" w:hanging="720"/>
        <w:rPr>
          <w:lang w:val="en-US"/>
        </w:rPr>
      </w:pPr>
      <w:r w:rsidRPr="00BD5DFE">
        <w:rPr>
          <w:lang w:val="en-US"/>
        </w:rPr>
        <w:t xml:space="preserve">Liao, Y. and Wu, L. (2024). The Influence of Brand Greenwashing on EV Purchase Intention: The Moderating Role of Consumer Innovativeness and Peer Brand Attitude. </w:t>
      </w:r>
      <w:r w:rsidRPr="00BD5DFE">
        <w:rPr>
          <w:i/>
          <w:iCs/>
          <w:lang w:val="en-US"/>
        </w:rPr>
        <w:t>World electric vehicle journal</w:t>
      </w:r>
      <w:r w:rsidRPr="00BD5DFE">
        <w:rPr>
          <w:lang w:val="en-US"/>
        </w:rPr>
        <w:t xml:space="preserve">, 15(7), pp.313–313. </w:t>
      </w:r>
      <w:proofErr w:type="spellStart"/>
      <w:r w:rsidRPr="00BD5DFE">
        <w:rPr>
          <w:lang w:val="en-US"/>
        </w:rPr>
        <w:t>doi</w:t>
      </w:r>
      <w:proofErr w:type="spellEnd"/>
      <w:r w:rsidRPr="00BD5DFE">
        <w:rPr>
          <w:lang w:val="en-US"/>
        </w:rPr>
        <w:t>:</w:t>
      </w:r>
      <w:r>
        <w:rPr>
          <w:lang w:val="en-US"/>
        </w:rPr>
        <w:t xml:space="preserve"> </w:t>
      </w:r>
      <w:hyperlink r:id="rId11" w:history="1">
        <w:r w:rsidRPr="00BD5DFE">
          <w:rPr>
            <w:rStyle w:val="Hyperlink"/>
            <w:lang w:val="en-US"/>
          </w:rPr>
          <w:t>https://doi.org/10.3390/wevj15070313</w:t>
        </w:r>
      </w:hyperlink>
      <w:r w:rsidRPr="00BD5DFE">
        <w:rPr>
          <w:lang w:val="en-US"/>
        </w:rPr>
        <w:t>.</w:t>
      </w:r>
    </w:p>
    <w:p w14:paraId="6C932559" w14:textId="704ADC8F" w:rsidR="00BD5DFE" w:rsidRDefault="00BD5DFE" w:rsidP="00BD5DFE">
      <w:pPr>
        <w:ind w:left="720" w:hanging="720"/>
        <w:rPr>
          <w:lang w:val="en-US"/>
        </w:rPr>
      </w:pPr>
      <w:r w:rsidRPr="00BD5DFE">
        <w:rPr>
          <w:lang w:val="en-US"/>
        </w:rPr>
        <w:t xml:space="preserve">Lin, W.L., Chong, S.C., </w:t>
      </w:r>
      <w:proofErr w:type="spellStart"/>
      <w:r w:rsidRPr="00BD5DFE">
        <w:rPr>
          <w:lang w:val="en-US"/>
        </w:rPr>
        <w:t>Pek</w:t>
      </w:r>
      <w:proofErr w:type="spellEnd"/>
      <w:r w:rsidRPr="00BD5DFE">
        <w:rPr>
          <w:lang w:val="en-US"/>
        </w:rPr>
        <w:t xml:space="preserve">, C.K., Yong, J.Y., Lee, K. and </w:t>
      </w:r>
      <w:proofErr w:type="spellStart"/>
      <w:r w:rsidRPr="00BD5DFE">
        <w:rPr>
          <w:lang w:val="en-US"/>
        </w:rPr>
        <w:t>Nelvin</w:t>
      </w:r>
      <w:proofErr w:type="spellEnd"/>
      <w:r w:rsidRPr="00BD5DFE">
        <w:rPr>
          <w:lang w:val="en-US"/>
        </w:rPr>
        <w:t xml:space="preserve"> </w:t>
      </w:r>
      <w:proofErr w:type="spellStart"/>
      <w:r w:rsidRPr="00BD5DFE">
        <w:rPr>
          <w:lang w:val="en-US"/>
        </w:rPr>
        <w:t>Leow</w:t>
      </w:r>
      <w:proofErr w:type="spellEnd"/>
      <w:r w:rsidRPr="00BD5DFE">
        <w:rPr>
          <w:lang w:val="en-US"/>
        </w:rPr>
        <w:t xml:space="preserve"> </w:t>
      </w:r>
      <w:proofErr w:type="spellStart"/>
      <w:r w:rsidRPr="00BD5DFE">
        <w:rPr>
          <w:lang w:val="en-US"/>
        </w:rPr>
        <w:t>XeChung</w:t>
      </w:r>
      <w:proofErr w:type="spellEnd"/>
      <w:r w:rsidRPr="00BD5DFE">
        <w:rPr>
          <w:lang w:val="en-US"/>
        </w:rPr>
        <w:t xml:space="preserve"> (2025). The Impact of Greenwashing: Risks and Implications for Corporate Performance and Stakeholder Trust. </w:t>
      </w:r>
      <w:r w:rsidRPr="00BD5DFE">
        <w:rPr>
          <w:i/>
          <w:iCs/>
          <w:lang w:val="en-US"/>
        </w:rPr>
        <w:t>Advances in Social Science, Education and Humanities Research/Advances in social science, education and humanities research</w:t>
      </w:r>
      <w:r w:rsidRPr="00BD5DFE">
        <w:rPr>
          <w:lang w:val="en-US"/>
        </w:rPr>
        <w:t xml:space="preserve">, pp.77–94. </w:t>
      </w:r>
      <w:proofErr w:type="spellStart"/>
      <w:r w:rsidRPr="00BD5DFE">
        <w:rPr>
          <w:lang w:val="en-US"/>
        </w:rPr>
        <w:t>doi</w:t>
      </w:r>
      <w:proofErr w:type="spellEnd"/>
      <w:r w:rsidRPr="00BD5DFE">
        <w:rPr>
          <w:lang w:val="en-US"/>
        </w:rPr>
        <w:t>:</w:t>
      </w:r>
      <w:r>
        <w:rPr>
          <w:lang w:val="en-US"/>
        </w:rPr>
        <w:t xml:space="preserve"> </w:t>
      </w:r>
      <w:hyperlink r:id="rId12" w:history="1">
        <w:r w:rsidRPr="00BD5DFE">
          <w:rPr>
            <w:rStyle w:val="Hyperlink"/>
            <w:lang w:val="en-US"/>
          </w:rPr>
          <w:t>https://doi.org/10.2991/978-2-38476-358-0_8</w:t>
        </w:r>
      </w:hyperlink>
      <w:r w:rsidRPr="00BD5DFE">
        <w:rPr>
          <w:lang w:val="en-US"/>
        </w:rPr>
        <w:t>.</w:t>
      </w:r>
    </w:p>
    <w:p w14:paraId="640CBFBD" w14:textId="7D7FD2B9" w:rsidR="00BD5DFE" w:rsidRDefault="00BD5DFE" w:rsidP="00BD5DFE">
      <w:pPr>
        <w:ind w:left="720" w:hanging="720"/>
        <w:rPr>
          <w:lang w:val="en-US"/>
        </w:rPr>
      </w:pPr>
      <w:r w:rsidRPr="00BD5DFE">
        <w:rPr>
          <w:lang w:val="en-US"/>
        </w:rPr>
        <w:t xml:space="preserve">Montgomery, A.W., Lyon, T.P. and </w:t>
      </w:r>
      <w:proofErr w:type="spellStart"/>
      <w:r w:rsidRPr="00BD5DFE">
        <w:rPr>
          <w:lang w:val="en-US"/>
        </w:rPr>
        <w:t>Barg</w:t>
      </w:r>
      <w:proofErr w:type="spellEnd"/>
      <w:r w:rsidRPr="00BD5DFE">
        <w:rPr>
          <w:lang w:val="en-US"/>
        </w:rPr>
        <w:t xml:space="preserve">, J. (2023). No End in Sight? A Greenwash Review and Research Agenda. </w:t>
      </w:r>
      <w:r w:rsidRPr="00BD5DFE">
        <w:rPr>
          <w:i/>
          <w:iCs/>
          <w:lang w:val="en-US"/>
        </w:rPr>
        <w:t>Organization &amp; Environment</w:t>
      </w:r>
      <w:r w:rsidRPr="00BD5DFE">
        <w:rPr>
          <w:lang w:val="en-US"/>
        </w:rPr>
        <w:t xml:space="preserve">, [online] 37(2), p.108602662311689-108602662311689. </w:t>
      </w:r>
      <w:proofErr w:type="spellStart"/>
      <w:r w:rsidRPr="00BD5DFE">
        <w:rPr>
          <w:lang w:val="en-US"/>
        </w:rPr>
        <w:t>doi</w:t>
      </w:r>
      <w:proofErr w:type="spellEnd"/>
      <w:r w:rsidRPr="00BD5DFE">
        <w:rPr>
          <w:lang w:val="en-US"/>
        </w:rPr>
        <w:t>:</w:t>
      </w:r>
      <w:r>
        <w:rPr>
          <w:lang w:val="en-US"/>
        </w:rPr>
        <w:t xml:space="preserve"> </w:t>
      </w:r>
      <w:hyperlink r:id="rId13" w:history="1">
        <w:r w:rsidRPr="00BD5DFE">
          <w:rPr>
            <w:rStyle w:val="Hyperlink"/>
            <w:lang w:val="en-US"/>
          </w:rPr>
          <w:t>https://doi.org/10.1177/10860266231168905</w:t>
        </w:r>
      </w:hyperlink>
      <w:r w:rsidRPr="00BD5DFE">
        <w:rPr>
          <w:lang w:val="en-US"/>
        </w:rPr>
        <w:t>.</w:t>
      </w:r>
    </w:p>
    <w:p w14:paraId="34C7ECB3" w14:textId="77777777" w:rsidR="00BD5DFE" w:rsidRPr="00BD5DFE" w:rsidRDefault="00BD5DFE" w:rsidP="00BD5DFE">
      <w:pPr>
        <w:ind w:left="720" w:hanging="720"/>
        <w:rPr>
          <w:lang w:val="en-US"/>
        </w:rPr>
      </w:pPr>
    </w:p>
    <w:p w14:paraId="6FA10D4C" w14:textId="445C4BD7" w:rsidR="00BD5DFE" w:rsidRDefault="00BD5DFE" w:rsidP="00BD5DFE">
      <w:pPr>
        <w:ind w:left="720" w:hanging="720"/>
        <w:rPr>
          <w:lang w:val="en-US"/>
        </w:rPr>
      </w:pPr>
      <w:r w:rsidRPr="00BD5DFE">
        <w:rPr>
          <w:lang w:val="en-US"/>
        </w:rPr>
        <w:t xml:space="preserve">Murad, M., Ali, M., Akhtar, M., </w:t>
      </w:r>
      <w:proofErr w:type="spellStart"/>
      <w:r w:rsidRPr="00BD5DFE">
        <w:rPr>
          <w:lang w:val="en-US"/>
        </w:rPr>
        <w:t>Shahzad</w:t>
      </w:r>
      <w:proofErr w:type="spellEnd"/>
      <w:r w:rsidRPr="00BD5DFE">
        <w:rPr>
          <w:lang w:val="en-US"/>
        </w:rPr>
        <w:t xml:space="preserve">, </w:t>
      </w:r>
      <w:proofErr w:type="spellStart"/>
      <w:r w:rsidRPr="00BD5DFE">
        <w:rPr>
          <w:lang w:val="en-US"/>
        </w:rPr>
        <w:t>khuram</w:t>
      </w:r>
      <w:proofErr w:type="spellEnd"/>
      <w:r w:rsidRPr="00BD5DFE">
        <w:rPr>
          <w:lang w:val="en-US"/>
        </w:rPr>
        <w:t xml:space="preserve"> and </w:t>
      </w:r>
      <w:proofErr w:type="spellStart"/>
      <w:r w:rsidRPr="00BD5DFE">
        <w:rPr>
          <w:lang w:val="en-US"/>
        </w:rPr>
        <w:t>Ul</w:t>
      </w:r>
      <w:proofErr w:type="spellEnd"/>
      <w:r w:rsidRPr="00BD5DFE">
        <w:rPr>
          <w:lang w:val="en-US"/>
        </w:rPr>
        <w:t xml:space="preserve"> Hameed, W. (2022). </w:t>
      </w:r>
      <w:r w:rsidRPr="00BD5DFE">
        <w:rPr>
          <w:i/>
          <w:iCs/>
          <w:lang w:val="en-US"/>
        </w:rPr>
        <w:t>Consumer’s Environmental Knowledge: Green Washing and Brand Hate</w:t>
      </w:r>
      <w:r w:rsidRPr="00BD5DFE">
        <w:rPr>
          <w:lang w:val="en-US"/>
        </w:rPr>
        <w:t xml:space="preserve">. [online] Cssrjournal.com. Available at: </w:t>
      </w:r>
      <w:hyperlink r:id="rId14" w:history="1">
        <w:r w:rsidRPr="00BD5DFE">
          <w:rPr>
            <w:rStyle w:val="Hyperlink"/>
            <w:lang w:val="en-US"/>
          </w:rPr>
          <w:t>https://cssrjournal.com/index.php/cssrjournal/article/view/419</w:t>
        </w:r>
      </w:hyperlink>
    </w:p>
    <w:p w14:paraId="12CC37AF" w14:textId="315B9DAC" w:rsidR="00BD5DFE" w:rsidRDefault="00BD5DFE" w:rsidP="00BD5DFE">
      <w:pPr>
        <w:ind w:left="720" w:hanging="720"/>
        <w:rPr>
          <w:lang w:val="en-US"/>
        </w:rPr>
      </w:pPr>
      <w:r w:rsidRPr="00BD5DFE">
        <w:rPr>
          <w:lang w:val="en-US"/>
        </w:rPr>
        <w:t xml:space="preserve">Reuters (2025). UK new car sales rise in 2024 but miss EV target, industry data shows. </w:t>
      </w:r>
      <w:r w:rsidRPr="00BD5DFE">
        <w:rPr>
          <w:i/>
          <w:iCs/>
          <w:lang w:val="en-US"/>
        </w:rPr>
        <w:t>Reuters</w:t>
      </w:r>
      <w:r w:rsidRPr="00BD5DFE">
        <w:rPr>
          <w:lang w:val="en-US"/>
        </w:rPr>
        <w:t xml:space="preserve">. [online] 6 Jan. Available at: </w:t>
      </w:r>
      <w:hyperlink r:id="rId15" w:history="1">
        <w:r w:rsidRPr="00BD5DFE">
          <w:rPr>
            <w:rStyle w:val="Hyperlink"/>
            <w:lang w:val="en-US"/>
          </w:rPr>
          <w:t>https://www.reuters.com/world/uk/uk-new-car-sales-rise-2024-industry-data-shows-2025-01-06/</w:t>
        </w:r>
      </w:hyperlink>
      <w:r w:rsidRPr="00BD5DFE">
        <w:rPr>
          <w:lang w:val="en-US"/>
        </w:rPr>
        <w:t>.</w:t>
      </w:r>
    </w:p>
    <w:p w14:paraId="3F80FE14" w14:textId="77616175" w:rsidR="00BD5DFE" w:rsidRDefault="00BD5DFE" w:rsidP="00BD5DFE">
      <w:pPr>
        <w:ind w:left="720" w:hanging="720"/>
        <w:rPr>
          <w:lang w:val="en-US"/>
        </w:rPr>
      </w:pPr>
      <w:proofErr w:type="spellStart"/>
      <w:r w:rsidRPr="00BD5DFE">
        <w:rPr>
          <w:lang w:val="en-US"/>
        </w:rPr>
        <w:t>Safdie</w:t>
      </w:r>
      <w:proofErr w:type="spellEnd"/>
      <w:r w:rsidRPr="00BD5DFE">
        <w:rPr>
          <w:lang w:val="en-US"/>
        </w:rPr>
        <w:t xml:space="preserve">, S. (2024). </w:t>
      </w:r>
      <w:r w:rsidRPr="00BD5DFE">
        <w:rPr>
          <w:i/>
          <w:iCs/>
          <w:lang w:val="en-US"/>
        </w:rPr>
        <w:t>What is greenwashing: all you need to know in 2023</w:t>
      </w:r>
      <w:r w:rsidRPr="00BD5DFE">
        <w:rPr>
          <w:lang w:val="en-US"/>
        </w:rPr>
        <w:t xml:space="preserve">. [online] </w:t>
      </w:r>
      <w:proofErr w:type="spellStart"/>
      <w:r w:rsidRPr="00BD5DFE">
        <w:rPr>
          <w:lang w:val="en-US"/>
        </w:rPr>
        <w:t>greenly.earth</w:t>
      </w:r>
      <w:proofErr w:type="spellEnd"/>
      <w:r w:rsidRPr="00BD5DFE">
        <w:rPr>
          <w:lang w:val="en-US"/>
        </w:rPr>
        <w:t xml:space="preserve">. Available at: </w:t>
      </w:r>
      <w:hyperlink r:id="rId16" w:history="1">
        <w:r w:rsidRPr="00BD5DFE">
          <w:rPr>
            <w:rStyle w:val="Hyperlink"/>
            <w:lang w:val="en-US"/>
          </w:rPr>
          <w:t>https://greenly.earth/en-gb/blog/company-guide/what-is-greenwashing-all-you-need-to-know-in-2022</w:t>
        </w:r>
      </w:hyperlink>
      <w:r w:rsidRPr="00BD5DFE">
        <w:rPr>
          <w:lang w:val="en-US"/>
        </w:rPr>
        <w:t>.</w:t>
      </w:r>
    </w:p>
    <w:p w14:paraId="52A0265F" w14:textId="471806DB" w:rsidR="00BD5DFE" w:rsidRDefault="00BD5DFE" w:rsidP="00BD5DFE">
      <w:pPr>
        <w:ind w:left="720" w:hanging="720"/>
        <w:rPr>
          <w:lang w:val="en-US"/>
        </w:rPr>
      </w:pPr>
      <w:r w:rsidRPr="00BD5DFE">
        <w:rPr>
          <w:lang w:val="en-US"/>
        </w:rPr>
        <w:t xml:space="preserve">Santos, C., Coelho, A. and </w:t>
      </w:r>
      <w:proofErr w:type="spellStart"/>
      <w:r w:rsidRPr="00BD5DFE">
        <w:rPr>
          <w:lang w:val="en-US"/>
        </w:rPr>
        <w:t>Cancela</w:t>
      </w:r>
      <w:proofErr w:type="spellEnd"/>
      <w:r w:rsidRPr="00BD5DFE">
        <w:rPr>
          <w:lang w:val="en-US"/>
        </w:rPr>
        <w:t xml:space="preserve">, B.L. (2024). The impact of greenwashing on sustainability through green supply chain integration: the moderating role of information sharing. </w:t>
      </w:r>
      <w:r w:rsidRPr="00BD5DFE">
        <w:rPr>
          <w:i/>
          <w:iCs/>
          <w:lang w:val="en-US"/>
        </w:rPr>
        <w:t>Environment, development and sustainability</w:t>
      </w:r>
      <w:r w:rsidRPr="00BD5DFE">
        <w:rPr>
          <w:lang w:val="en-US"/>
        </w:rPr>
        <w:t xml:space="preserve">. </w:t>
      </w:r>
      <w:proofErr w:type="spellStart"/>
      <w:r w:rsidRPr="00BD5DFE">
        <w:rPr>
          <w:lang w:val="en-US"/>
        </w:rPr>
        <w:t>doi</w:t>
      </w:r>
      <w:proofErr w:type="spellEnd"/>
      <w:r w:rsidRPr="00BD5DFE">
        <w:rPr>
          <w:lang w:val="en-US"/>
        </w:rPr>
        <w:t>:</w:t>
      </w:r>
      <w:r>
        <w:rPr>
          <w:lang w:val="en-US"/>
        </w:rPr>
        <w:t xml:space="preserve"> </w:t>
      </w:r>
      <w:hyperlink r:id="rId17" w:history="1">
        <w:r w:rsidRPr="00BD5DFE">
          <w:rPr>
            <w:rStyle w:val="Hyperlink"/>
            <w:lang w:val="en-US"/>
          </w:rPr>
          <w:t>https://doi.org/10.1007/s10668-024-05009-2</w:t>
        </w:r>
      </w:hyperlink>
      <w:r w:rsidRPr="00BD5DFE">
        <w:rPr>
          <w:lang w:val="en-US"/>
        </w:rPr>
        <w:t>.</w:t>
      </w:r>
    </w:p>
    <w:p w14:paraId="64ECF3EF" w14:textId="10C873B8" w:rsidR="00BD5DFE" w:rsidRDefault="00BD5DFE" w:rsidP="00BD5DFE">
      <w:pPr>
        <w:ind w:left="720" w:hanging="720"/>
        <w:rPr>
          <w:lang w:val="en-US"/>
        </w:rPr>
      </w:pPr>
      <w:r w:rsidRPr="00BD5DFE">
        <w:rPr>
          <w:lang w:val="en-US"/>
        </w:rPr>
        <w:t xml:space="preserve">SGS (2025). </w:t>
      </w:r>
      <w:r w:rsidRPr="00BD5DFE">
        <w:rPr>
          <w:i/>
          <w:iCs/>
          <w:lang w:val="en-US"/>
        </w:rPr>
        <w:t>Sustainability Reporting Trends in the Automotive Industry</w:t>
      </w:r>
      <w:r w:rsidRPr="00BD5DFE">
        <w:rPr>
          <w:lang w:val="en-US"/>
        </w:rPr>
        <w:t xml:space="preserve">. [online] </w:t>
      </w:r>
      <w:proofErr w:type="spellStart"/>
      <w:r w:rsidRPr="00BD5DFE">
        <w:rPr>
          <w:lang w:val="en-US"/>
        </w:rPr>
        <w:t>SGSCorp</w:t>
      </w:r>
      <w:proofErr w:type="spellEnd"/>
      <w:r w:rsidRPr="00BD5DFE">
        <w:rPr>
          <w:lang w:val="en-US"/>
        </w:rPr>
        <w:t xml:space="preserve">. Available at: </w:t>
      </w:r>
      <w:hyperlink r:id="rId18" w:history="1">
        <w:r w:rsidRPr="00BD5DFE">
          <w:rPr>
            <w:rStyle w:val="Hyperlink"/>
            <w:lang w:val="en-US"/>
          </w:rPr>
          <w:t>https://www.sgs.com/en/whitepapers/sustainability-reporting-trends-in-the-automotive-industry-form</w:t>
        </w:r>
      </w:hyperlink>
      <w:r w:rsidRPr="00BD5DFE">
        <w:rPr>
          <w:lang w:val="en-US"/>
        </w:rPr>
        <w:t>.</w:t>
      </w:r>
    </w:p>
    <w:p w14:paraId="71570777" w14:textId="7AA7A5B4" w:rsidR="00BD5DFE" w:rsidRDefault="00BD5DFE" w:rsidP="00BD5DFE">
      <w:pPr>
        <w:ind w:left="720" w:hanging="720"/>
        <w:rPr>
          <w:lang w:val="en-US"/>
        </w:rPr>
      </w:pPr>
      <w:r w:rsidRPr="00BD5DFE">
        <w:rPr>
          <w:lang w:val="en-US"/>
        </w:rPr>
        <w:t xml:space="preserve">Shu, J. (2022). </w:t>
      </w:r>
      <w:proofErr w:type="spellStart"/>
      <w:r w:rsidRPr="00BD5DFE">
        <w:rPr>
          <w:i/>
          <w:iCs/>
          <w:lang w:val="en-US"/>
        </w:rPr>
        <w:t>Analysing</w:t>
      </w:r>
      <w:proofErr w:type="spellEnd"/>
      <w:r w:rsidRPr="00BD5DFE">
        <w:rPr>
          <w:i/>
          <w:iCs/>
          <w:lang w:val="en-US"/>
        </w:rPr>
        <w:t xml:space="preserve"> on External Environment and Industrial Competition of High-tech Companies</w:t>
      </w:r>
      <w:r w:rsidRPr="00BD5DFE">
        <w:rPr>
          <w:lang w:val="en-US"/>
        </w:rPr>
        <w:t xml:space="preserve">. [online] www.atlantis-press.com. </w:t>
      </w:r>
      <w:proofErr w:type="spellStart"/>
      <w:r w:rsidRPr="00BD5DFE">
        <w:rPr>
          <w:lang w:val="en-US"/>
        </w:rPr>
        <w:t>doi</w:t>
      </w:r>
      <w:proofErr w:type="spellEnd"/>
      <w:r w:rsidRPr="00BD5DFE">
        <w:rPr>
          <w:lang w:val="en-US"/>
        </w:rPr>
        <w:t>:</w:t>
      </w:r>
      <w:r>
        <w:rPr>
          <w:lang w:val="en-US"/>
        </w:rPr>
        <w:t xml:space="preserve"> </w:t>
      </w:r>
      <w:hyperlink r:id="rId19" w:history="1">
        <w:r w:rsidRPr="00BD5DFE">
          <w:rPr>
            <w:rStyle w:val="Hyperlink"/>
            <w:lang w:val="en-US"/>
          </w:rPr>
          <w:t>https://doi.org/10.2991/aebmr.k.220405.015</w:t>
        </w:r>
      </w:hyperlink>
      <w:r w:rsidRPr="00BD5DFE">
        <w:rPr>
          <w:lang w:val="en-US"/>
        </w:rPr>
        <w:t>.</w:t>
      </w:r>
    </w:p>
    <w:p w14:paraId="32C652CC" w14:textId="761AC77E" w:rsidR="00BD5DFE" w:rsidRDefault="00BD5DFE" w:rsidP="00BD5DFE">
      <w:pPr>
        <w:ind w:left="720" w:hanging="720"/>
        <w:rPr>
          <w:lang w:val="en-US"/>
        </w:rPr>
      </w:pPr>
      <w:proofErr w:type="spellStart"/>
      <w:r w:rsidRPr="00BD5DFE">
        <w:rPr>
          <w:lang w:val="en-US"/>
        </w:rPr>
        <w:t>Topham</w:t>
      </w:r>
      <w:proofErr w:type="spellEnd"/>
      <w:r w:rsidRPr="00BD5DFE">
        <w:rPr>
          <w:lang w:val="en-US"/>
        </w:rPr>
        <w:t xml:space="preserve">, G. (2025). </w:t>
      </w:r>
      <w:r w:rsidRPr="00BD5DFE">
        <w:rPr>
          <w:i/>
          <w:iCs/>
          <w:lang w:val="en-US"/>
        </w:rPr>
        <w:t>Car industry urges UK government to create new EV incentives</w:t>
      </w:r>
      <w:r w:rsidRPr="00BD5DFE">
        <w:rPr>
          <w:lang w:val="en-US"/>
        </w:rPr>
        <w:t xml:space="preserve">. [online] the Guardian. Available at: </w:t>
      </w:r>
      <w:hyperlink r:id="rId20" w:history="1">
        <w:r w:rsidRPr="00BD5DFE">
          <w:rPr>
            <w:rStyle w:val="Hyperlink"/>
            <w:lang w:val="en-US"/>
          </w:rPr>
          <w:t>https://www.theguardian.com/environment/2025/mar/13/car-industry-urges-uk-government-to-create-new-ev-incentives</w:t>
        </w:r>
      </w:hyperlink>
      <w:r w:rsidRPr="00BD5DFE">
        <w:rPr>
          <w:lang w:val="en-US"/>
        </w:rPr>
        <w:t>.</w:t>
      </w:r>
    </w:p>
    <w:p w14:paraId="5512550E" w14:textId="77777777" w:rsidR="00BD5DFE" w:rsidRPr="00BD5DFE" w:rsidRDefault="00BD5DFE" w:rsidP="00BD5DFE">
      <w:pPr>
        <w:rPr>
          <w:lang w:val="en-US"/>
        </w:rPr>
      </w:pPr>
    </w:p>
    <w:p w14:paraId="5DF25925" w14:textId="77777777" w:rsidR="00761E40" w:rsidRPr="00761E40" w:rsidRDefault="00761E40" w:rsidP="00761E40">
      <w:pPr>
        <w:rPr>
          <w:lang w:val="en-US"/>
        </w:rPr>
      </w:pPr>
    </w:p>
    <w:p w14:paraId="67F391FC" w14:textId="77777777" w:rsidR="00761E40" w:rsidRPr="00761E40" w:rsidRDefault="00761E40" w:rsidP="00761E40">
      <w:pPr>
        <w:rPr>
          <w:lang w:val="en-US"/>
        </w:rPr>
      </w:pPr>
    </w:p>
    <w:p w14:paraId="4B3D9475" w14:textId="77777777" w:rsidR="00761E40" w:rsidRDefault="00761E40" w:rsidP="00761E40">
      <w:pPr>
        <w:rPr>
          <w:lang w:val="en-US"/>
        </w:rPr>
      </w:pPr>
    </w:p>
    <w:p w14:paraId="2831A369" w14:textId="77777777" w:rsidR="00761E40" w:rsidRPr="00761E40" w:rsidRDefault="00761E40" w:rsidP="00761E40">
      <w:pPr>
        <w:rPr>
          <w:lang w:val="en-US"/>
        </w:rPr>
      </w:pPr>
    </w:p>
    <w:p w14:paraId="79A8CDC1" w14:textId="77777777" w:rsidR="00761E40" w:rsidRPr="00761E40" w:rsidRDefault="00761E40" w:rsidP="00761E40">
      <w:pPr>
        <w:rPr>
          <w:lang w:val="en-US"/>
        </w:rPr>
      </w:pPr>
    </w:p>
    <w:p w14:paraId="23AB727F" w14:textId="77777777" w:rsidR="005D6544" w:rsidRDefault="005D6544"/>
    <w:sectPr w:rsidR="005D65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E40"/>
    <w:rsid w:val="00053940"/>
    <w:rsid w:val="000A6CDC"/>
    <w:rsid w:val="00145CC5"/>
    <w:rsid w:val="001B293B"/>
    <w:rsid w:val="002109EB"/>
    <w:rsid w:val="00297743"/>
    <w:rsid w:val="002D4A5A"/>
    <w:rsid w:val="002F2C0E"/>
    <w:rsid w:val="0033492D"/>
    <w:rsid w:val="003A7105"/>
    <w:rsid w:val="003D57AB"/>
    <w:rsid w:val="00422809"/>
    <w:rsid w:val="004B4005"/>
    <w:rsid w:val="005418BE"/>
    <w:rsid w:val="005D6544"/>
    <w:rsid w:val="00742659"/>
    <w:rsid w:val="00761E40"/>
    <w:rsid w:val="00783265"/>
    <w:rsid w:val="00807C88"/>
    <w:rsid w:val="008C6776"/>
    <w:rsid w:val="009648EB"/>
    <w:rsid w:val="00A050E1"/>
    <w:rsid w:val="00A819FD"/>
    <w:rsid w:val="00AE3D85"/>
    <w:rsid w:val="00B103D8"/>
    <w:rsid w:val="00B618A9"/>
    <w:rsid w:val="00BA0F16"/>
    <w:rsid w:val="00BA27D5"/>
    <w:rsid w:val="00BD5DFE"/>
    <w:rsid w:val="00CC1F46"/>
    <w:rsid w:val="00D051F8"/>
    <w:rsid w:val="00E6414F"/>
    <w:rsid w:val="00EA3A1C"/>
    <w:rsid w:val="00EE7CAA"/>
    <w:rsid w:val="00FB586E"/>
    <w:rsid w:val="00FC6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43C70"/>
  <w15:chartTrackingRefBased/>
  <w15:docId w15:val="{AF3E8A76-53A0-4BE9-92F2-A89D4CF66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776"/>
    <w:pPr>
      <w:spacing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0A6CDC"/>
    <w:pPr>
      <w:keepNext/>
      <w:keepLines/>
      <w:spacing w:line="480" w:lineRule="auto"/>
      <w:contextualSpacing/>
      <w:outlineLvl w:val="0"/>
    </w:pPr>
    <w:rPr>
      <w:rFonts w:eastAsiaTheme="majorEastAsia" w:cstheme="majorBidi"/>
      <w:b/>
      <w:color w:val="000000" w:themeColor="text1"/>
      <w:szCs w:val="40"/>
    </w:rPr>
  </w:style>
  <w:style w:type="paragraph" w:styleId="Heading2">
    <w:name w:val="heading 2"/>
    <w:basedOn w:val="Normal"/>
    <w:next w:val="Normal"/>
    <w:link w:val="Heading2Char"/>
    <w:autoRedefine/>
    <w:uiPriority w:val="9"/>
    <w:unhideWhenUsed/>
    <w:qFormat/>
    <w:rsid w:val="009648EB"/>
    <w:pPr>
      <w:keepNext/>
      <w:keepLines/>
      <w:spacing w:before="160" w:after="80"/>
      <w:jc w:val="left"/>
      <w:outlineLvl w:val="1"/>
    </w:pPr>
    <w:rPr>
      <w:rFonts w:eastAsiaTheme="majorEastAsia" w:cstheme="majorBidi"/>
      <w:b/>
      <w:i/>
      <w:color w:val="000000" w:themeColor="text1"/>
      <w:szCs w:val="32"/>
    </w:rPr>
  </w:style>
  <w:style w:type="paragraph" w:styleId="Heading3">
    <w:name w:val="heading 3"/>
    <w:basedOn w:val="Normal"/>
    <w:next w:val="Normal"/>
    <w:link w:val="Heading3Char"/>
    <w:autoRedefine/>
    <w:uiPriority w:val="9"/>
    <w:semiHidden/>
    <w:unhideWhenUsed/>
    <w:qFormat/>
    <w:rsid w:val="00783265"/>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761E4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61E4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61E4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61E4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61E4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61E4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CDC"/>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9648EB"/>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semiHidden/>
    <w:rsid w:val="00783265"/>
    <w:rPr>
      <w:rFonts w:ascii="Times New Roman" w:eastAsiaTheme="majorEastAsia" w:hAnsi="Times New Roman" w:cstheme="majorBidi"/>
      <w:i/>
      <w:szCs w:val="28"/>
    </w:rPr>
  </w:style>
  <w:style w:type="character" w:customStyle="1" w:styleId="Heading4Char">
    <w:name w:val="Heading 4 Char"/>
    <w:basedOn w:val="DefaultParagraphFont"/>
    <w:link w:val="Heading4"/>
    <w:uiPriority w:val="9"/>
    <w:semiHidden/>
    <w:rsid w:val="00761E40"/>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761E40"/>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761E4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61E4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61E4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61E4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61E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1E4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61E4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1E4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61E40"/>
    <w:pPr>
      <w:spacing w:before="160"/>
      <w:jc w:val="center"/>
    </w:pPr>
    <w:rPr>
      <w:i/>
      <w:iCs/>
      <w:color w:val="404040" w:themeColor="text1" w:themeTint="BF"/>
    </w:rPr>
  </w:style>
  <w:style w:type="character" w:customStyle="1" w:styleId="QuoteChar">
    <w:name w:val="Quote Char"/>
    <w:basedOn w:val="DefaultParagraphFont"/>
    <w:link w:val="Quote"/>
    <w:uiPriority w:val="29"/>
    <w:rsid w:val="00761E40"/>
    <w:rPr>
      <w:rFonts w:ascii="Times New Roman" w:hAnsi="Times New Roman"/>
      <w:i/>
      <w:iCs/>
      <w:color w:val="404040" w:themeColor="text1" w:themeTint="BF"/>
      <w:lang w:val="en-GB"/>
    </w:rPr>
  </w:style>
  <w:style w:type="paragraph" w:styleId="ListParagraph">
    <w:name w:val="List Paragraph"/>
    <w:basedOn w:val="Normal"/>
    <w:uiPriority w:val="34"/>
    <w:qFormat/>
    <w:rsid w:val="00761E40"/>
    <w:pPr>
      <w:ind w:left="720"/>
      <w:contextualSpacing/>
    </w:pPr>
  </w:style>
  <w:style w:type="character" w:styleId="IntenseEmphasis">
    <w:name w:val="Intense Emphasis"/>
    <w:basedOn w:val="DefaultParagraphFont"/>
    <w:uiPriority w:val="21"/>
    <w:qFormat/>
    <w:rsid w:val="00761E40"/>
    <w:rPr>
      <w:i/>
      <w:iCs/>
      <w:color w:val="2F5496" w:themeColor="accent1" w:themeShade="BF"/>
    </w:rPr>
  </w:style>
  <w:style w:type="paragraph" w:styleId="IntenseQuote">
    <w:name w:val="Intense Quote"/>
    <w:basedOn w:val="Normal"/>
    <w:next w:val="Normal"/>
    <w:link w:val="IntenseQuoteChar"/>
    <w:uiPriority w:val="30"/>
    <w:qFormat/>
    <w:rsid w:val="00761E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1E40"/>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761E40"/>
    <w:rPr>
      <w:b/>
      <w:bCs/>
      <w:smallCaps/>
      <w:color w:val="2F5496" w:themeColor="accent1" w:themeShade="BF"/>
      <w:spacing w:val="5"/>
    </w:rPr>
  </w:style>
  <w:style w:type="character" w:styleId="Hyperlink">
    <w:name w:val="Hyperlink"/>
    <w:basedOn w:val="DefaultParagraphFont"/>
    <w:uiPriority w:val="99"/>
    <w:unhideWhenUsed/>
    <w:rsid w:val="00BD5DFE"/>
    <w:rPr>
      <w:color w:val="0563C1" w:themeColor="hyperlink"/>
      <w:u w:val="single"/>
    </w:rPr>
  </w:style>
  <w:style w:type="character" w:styleId="UnresolvedMention">
    <w:name w:val="Unresolved Mention"/>
    <w:basedOn w:val="DefaultParagraphFont"/>
    <w:uiPriority w:val="99"/>
    <w:semiHidden/>
    <w:unhideWhenUsed/>
    <w:rsid w:val="00BD5DFE"/>
    <w:rPr>
      <w:color w:val="605E5C"/>
      <w:shd w:val="clear" w:color="auto" w:fill="E1DFDD"/>
    </w:rPr>
  </w:style>
  <w:style w:type="paragraph" w:styleId="TOCHeading">
    <w:name w:val="TOC Heading"/>
    <w:basedOn w:val="Heading1"/>
    <w:next w:val="Normal"/>
    <w:uiPriority w:val="39"/>
    <w:unhideWhenUsed/>
    <w:qFormat/>
    <w:rsid w:val="00742659"/>
    <w:pPr>
      <w:spacing w:before="240" w:after="0" w:line="259" w:lineRule="auto"/>
      <w:contextualSpacing w:val="0"/>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426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vehicle-licensing-statistics-2024/vehicle-licensing-statistics-united-kingdom-2024" TargetMode="External" /><Relationship Id="rId13" Type="http://schemas.openxmlformats.org/officeDocument/2006/relationships/hyperlink" Target="https://doi.org/10.1177/10860266231168905" TargetMode="External" /><Relationship Id="rId18" Type="http://schemas.openxmlformats.org/officeDocument/2006/relationships/hyperlink" Target="https://www.sgs.com/en/whitepapers/sustainability-reporting-trends-in-the-automotive-industry-form" TargetMode="Externa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hyperlink" Target="https://www.researchgate.net/publication/371950429_Electric_Vehicles_Viability_Report_for_United_Kingdom" TargetMode="External" /><Relationship Id="rId12" Type="http://schemas.openxmlformats.org/officeDocument/2006/relationships/hyperlink" Target="https://doi.org/10.2991/978-2-38476-358-0_8" TargetMode="External" /><Relationship Id="rId17" Type="http://schemas.openxmlformats.org/officeDocument/2006/relationships/hyperlink" Target="https://doi.org/10.1007/s10668-024-05009-2" TargetMode="External" /><Relationship Id="rId2" Type="http://schemas.openxmlformats.org/officeDocument/2006/relationships/styles" Target="styles.xml" /><Relationship Id="rId16" Type="http://schemas.openxmlformats.org/officeDocument/2006/relationships/hyperlink" Target="https://greenly.earth/en-gb/blog/company-guide/what-is-greenwashing-all-you-need-to-know-in-2022" TargetMode="External" /><Relationship Id="rId20" Type="http://schemas.openxmlformats.org/officeDocument/2006/relationships/hyperlink" Target="https://www.theguardian.com/environment/2025/mar/13/car-industry-urges-uk-government-to-create-new-ev-incentives" TargetMode="External" /><Relationship Id="rId1" Type="http://schemas.openxmlformats.org/officeDocument/2006/relationships/customXml" Target="../customXml/item1.xml" /><Relationship Id="rId6" Type="http://schemas.openxmlformats.org/officeDocument/2006/relationships/hyperlink" Target="https://www.urbanscience.com/insightlab/charging-ahead-navigating-dynamic-evolution-uk-ev-market-2024/" TargetMode="External" /><Relationship Id="rId11" Type="http://schemas.openxmlformats.org/officeDocument/2006/relationships/hyperlink" Target="https://doi.org/10.3390/wevj15070313" TargetMode="External" /><Relationship Id="rId5" Type="http://schemas.openxmlformats.org/officeDocument/2006/relationships/hyperlink" Target="https://doi.org/10.21833/ijaas.2025.07.021" TargetMode="External" /><Relationship Id="rId15" Type="http://schemas.openxmlformats.org/officeDocument/2006/relationships/hyperlink" Target="https://www.reuters.com/world/uk/uk-new-car-sales-rise-2024-industry-data-shows-2025-01-06/" TargetMode="External" /><Relationship Id="rId10" Type="http://schemas.openxmlformats.org/officeDocument/2006/relationships/hyperlink" Target="https://doi.org/10.4018/ijcrmm.367599" TargetMode="External" /><Relationship Id="rId19" Type="http://schemas.openxmlformats.org/officeDocument/2006/relationships/hyperlink" Target="https://doi.org/10.2991/aebmr.k.220405.015" TargetMode="External" /><Relationship Id="rId4" Type="http://schemas.openxmlformats.org/officeDocument/2006/relationships/webSettings" Target="webSettings.xml" /><Relationship Id="rId9" Type="http://schemas.openxmlformats.org/officeDocument/2006/relationships/hyperlink" Target="https://www.edo.org.au/wp-content/uploads/2023/08/EDO_EV_GreenwashingReport_Web.pdf" TargetMode="External" /><Relationship Id="rId14" Type="http://schemas.openxmlformats.org/officeDocument/2006/relationships/hyperlink" Target="https://cssrjournal.com/index.php/cssrjournal/article/view/419"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A7D0D0-557B-4F28-BD94-09D619CE94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2413</Words>
  <Characters>16270</Characters>
  <Application>Microsoft Office Word</Application>
  <DocSecurity>0</DocSecurity>
  <Lines>290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Kelly Harrington (2432981)</cp:lastModifiedBy>
  <cp:revision>8</cp:revision>
  <dcterms:created xsi:type="dcterms:W3CDTF">2025-11-26T00:21:00Z</dcterms:created>
  <dcterms:modified xsi:type="dcterms:W3CDTF">2025-11-30T13:01:00Z</dcterms:modified>
</cp:coreProperties>
</file>