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C124C" w14:textId="77777777" w:rsidR="00D5413C" w:rsidRPr="008F5366" w:rsidRDefault="00D5413C">
      <w:pPr>
        <w:pStyle w:val="Photo"/>
        <w:rPr>
          <w:rFonts w:ascii="Times New Roman" w:hAnsi="Times New Roman" w:cs="Times New Roman"/>
        </w:rPr>
      </w:pPr>
      <w:r w:rsidRPr="008F5366">
        <w:rPr>
          <w:rFonts w:ascii="Times New Roman" w:hAnsi="Times New Roman" w:cs="Times New Roman"/>
          <w:noProof/>
          <w:lang w:val="en-GB" w:bidi="en-GB"/>
        </w:rPr>
        <w:drawing>
          <wp:inline distT="0" distB="0" distL="0" distR="0" wp14:anchorId="5A46C133" wp14:editId="676EAC86">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0856D9CF" w14:textId="1C179FE1" w:rsidR="001638F6" w:rsidRPr="008F5366" w:rsidRDefault="008F5366" w:rsidP="00D5413C">
      <w:pPr>
        <w:pStyle w:val="Title"/>
        <w:rPr>
          <w:rFonts w:ascii="Times New Roman" w:hAnsi="Times New Roman" w:cs="Times New Roman"/>
          <w:color w:val="auto"/>
        </w:rPr>
      </w:pPr>
      <w:r w:rsidRPr="008F5366">
        <w:rPr>
          <w:rFonts w:ascii="Times New Roman" w:hAnsi="Times New Roman" w:cs="Times New Roman"/>
          <w:color w:val="auto"/>
        </w:rPr>
        <w:t>Criminal Law</w:t>
      </w:r>
    </w:p>
    <w:p w14:paraId="06EE98C5" w14:textId="36C0D62D" w:rsidR="001638F6" w:rsidRPr="008F5366" w:rsidRDefault="008F5366" w:rsidP="00D5413C">
      <w:pPr>
        <w:pStyle w:val="Subtitle"/>
        <w:rPr>
          <w:rFonts w:ascii="Times New Roman" w:hAnsi="Times New Roman" w:cs="Times New Roman"/>
          <w:color w:val="auto"/>
        </w:rPr>
      </w:pPr>
      <w:r w:rsidRPr="008F5366">
        <w:rPr>
          <w:rFonts w:ascii="Times New Roman" w:hAnsi="Times New Roman" w:cs="Times New Roman"/>
          <w:color w:val="auto"/>
        </w:rPr>
        <w:t>Assignment 2</w:t>
      </w:r>
    </w:p>
    <w:p w14:paraId="0A676462" w14:textId="3517FEB9" w:rsidR="003422FF" w:rsidRDefault="008F5366" w:rsidP="003422FF">
      <w:pPr>
        <w:pStyle w:val="ContactInfo"/>
      </w:pPr>
      <w:r w:rsidRPr="008F5366">
        <w:rPr>
          <w:rFonts w:ascii="Times New Roman" w:hAnsi="Times New Roman" w:cs="Times New Roman"/>
          <w:color w:val="auto"/>
        </w:rPr>
        <w:t>Patrick Dalea</w:t>
      </w:r>
      <w:r w:rsidR="00D5413C" w:rsidRPr="008F5366">
        <w:rPr>
          <w:rFonts w:ascii="Times New Roman" w:hAnsi="Times New Roman" w:cs="Times New Roman"/>
          <w:color w:val="auto"/>
          <w:lang w:val="en-GB" w:bidi="en-GB"/>
        </w:rPr>
        <w:t xml:space="preserve"> | </w:t>
      </w:r>
      <w:r w:rsidRPr="008F5366">
        <w:rPr>
          <w:rFonts w:ascii="Times New Roman" w:hAnsi="Times New Roman" w:cs="Times New Roman"/>
          <w:color w:val="auto"/>
        </w:rPr>
        <w:t>Professional Policing</w:t>
      </w:r>
      <w:r w:rsidR="00D5413C" w:rsidRPr="008F5366">
        <w:rPr>
          <w:rFonts w:ascii="Times New Roman" w:hAnsi="Times New Roman" w:cs="Times New Roman"/>
          <w:color w:val="auto"/>
          <w:lang w:val="en-GB" w:bidi="en-GB"/>
        </w:rPr>
        <w:t xml:space="preserve"> | </w:t>
      </w:r>
      <w:r w:rsidRPr="008F5366">
        <w:rPr>
          <w:rFonts w:ascii="Times New Roman" w:hAnsi="Times New Roman" w:cs="Times New Roman"/>
          <w:color w:val="auto"/>
        </w:rPr>
        <w:t>20.12.2022</w:t>
      </w:r>
      <w:r w:rsidR="003422FF">
        <w:rPr>
          <w:lang w:val="en-GB" w:bidi="en-GB"/>
        </w:rPr>
        <w:br w:type="page"/>
      </w:r>
    </w:p>
    <w:p w14:paraId="1A3C1BF0" w14:textId="56357DA4" w:rsidR="0032153D" w:rsidRDefault="008F5366" w:rsidP="007021DE">
      <w:r>
        <w:lastRenderedPageBreak/>
        <w:t xml:space="preserve">It will be approached the criminal offence in the first scenario given where Hadley stole from Ronan burning his house in the beginning and more offences happening. Firstly Hadley jumped over the fence of Ronan’s House and landed on a bench that broke when he landed which is classed as Criminal Damage according to Section 1 of the Criminal Damage Act 1971, </w:t>
      </w:r>
      <w:r w:rsidRPr="008F5366">
        <w:t> "A person who without lawful excuse destroys or damages any property belonging to another intending to destroy or damage any such property or being reckless as to whether any such property would be destroyed or damaged shall be guilty of an offence”</w:t>
      </w:r>
      <w:sdt>
        <w:sdtPr>
          <w:id w:val="954293141"/>
          <w:citation/>
        </w:sdtPr>
        <w:sdtContent>
          <w:r w:rsidR="006B5A72">
            <w:fldChar w:fldCharType="begin"/>
          </w:r>
          <w:r w:rsidR="006B5A72">
            <w:rPr>
              <w:lang w:val="en-GB"/>
            </w:rPr>
            <w:instrText xml:space="preserve"> CITATION UKG \l 2057 </w:instrText>
          </w:r>
          <w:r w:rsidR="006B5A72">
            <w:fldChar w:fldCharType="separate"/>
          </w:r>
          <w:r w:rsidR="006B5A72">
            <w:rPr>
              <w:noProof/>
              <w:lang w:val="en-GB"/>
            </w:rPr>
            <w:t xml:space="preserve"> </w:t>
          </w:r>
          <w:r w:rsidR="006B5A72" w:rsidRPr="006B5A72">
            <w:rPr>
              <w:noProof/>
              <w:lang w:val="en-GB"/>
            </w:rPr>
            <w:t>(UK Goverment, n.d.)</w:t>
          </w:r>
          <w:r w:rsidR="006B5A72">
            <w:fldChar w:fldCharType="end"/>
          </w:r>
        </w:sdtContent>
      </w:sdt>
      <w:r>
        <w:t xml:space="preserve">. There are different elements within Criminal Damage such as, “There is property belonging to another”, “Defendant’s Conduct, destroys or damages property belonging to another”, “Defendant does not have a lawful excuse for his actions” and “Defendant’s intent or recklessly causing damages or destroys the property”. In this scenario the elements of Criminal Damage are very clear due to the </w:t>
      </w:r>
      <w:proofErr w:type="spellStart"/>
      <w:r>
        <w:t>mens</w:t>
      </w:r>
      <w:proofErr w:type="spellEnd"/>
      <w:r>
        <w:t xml:space="preserve"> rea that was set up at the beginning even though the intention was not to break the bench creating the criminal damage he still did it due to his reckless actions of trying to break in and steal which it will be discussed </w:t>
      </w:r>
      <w:proofErr w:type="gramStart"/>
      <w:r>
        <w:t>later on</w:t>
      </w:r>
      <w:proofErr w:type="gramEnd"/>
      <w:r>
        <w:t xml:space="preserve">. But the elements of criminal damage in this scenario are the defendant’s conduct and the recklessness </w:t>
      </w:r>
      <w:r w:rsidR="006B5A72">
        <w:t xml:space="preserve">which diverted to a criminal damage action to a property belonging to another. One case where a few similarities can be taken into consideration is the case of [R v Miller 1983] where Mr. Miller went to sleep with a lit cigarette causing the </w:t>
      </w:r>
      <w:proofErr w:type="gramStart"/>
      <w:r w:rsidR="006B5A72">
        <w:t>house</w:t>
      </w:r>
      <w:proofErr w:type="gramEnd"/>
      <w:r w:rsidR="006B5A72">
        <w:t xml:space="preserve"> he was sleeping in to burn and creating damages worth over 800 British Pounds. Even though Mr. Miller intent was to just go to sleep and did not intent to create the damage, his reckless action of going to sleep with a lit cigarette is enough for him to get charged, same as in this scenario where even though Hadley did not have the intent of breaking the bench on Mr. Ronan’s Property his reckless action of trying to break in and trying the steal from Mr. Ronan’s Property is enough for him to get charged with Criminal Damage. Second offence committed by Hadley is him trying to get inside of the house using a bamboo stick that was found within the premises which he inserted through the cat flap to hook the keys from the inside for him to get access to the property. This offence is classed as Burglary according to Section 9,(1)(a) of the Theft Act 1968 where “A person is guilty of burglary if, </w:t>
      </w:r>
      <w:r w:rsidR="006B5A72" w:rsidRPr="006B5A72">
        <w:t>he enters any building or part of a building as a trespasser and with intent to commit any such offence as is mentioned in subsection (2) below; or</w:t>
      </w:r>
      <w:r w:rsidR="006B5A72">
        <w:t>”</w:t>
      </w:r>
      <w:sdt>
        <w:sdtPr>
          <w:id w:val="-1782717275"/>
          <w:citation/>
        </w:sdtPr>
        <w:sdtContent>
          <w:r w:rsidR="006B5A72">
            <w:fldChar w:fldCharType="begin"/>
          </w:r>
          <w:r w:rsidR="006B5A72">
            <w:rPr>
              <w:lang w:val="en-GB"/>
            </w:rPr>
            <w:instrText xml:space="preserve"> CITATION UKG1 \l 2057 </w:instrText>
          </w:r>
          <w:r w:rsidR="006B5A72">
            <w:fldChar w:fldCharType="separate"/>
          </w:r>
          <w:r w:rsidR="006B5A72">
            <w:rPr>
              <w:noProof/>
              <w:lang w:val="en-GB"/>
            </w:rPr>
            <w:t xml:space="preserve"> </w:t>
          </w:r>
          <w:r w:rsidR="006B5A72" w:rsidRPr="006B5A72">
            <w:rPr>
              <w:noProof/>
              <w:lang w:val="en-GB"/>
            </w:rPr>
            <w:t>(UK Goverment, n.d.)</w:t>
          </w:r>
          <w:r w:rsidR="006B5A72">
            <w:fldChar w:fldCharType="end"/>
          </w:r>
        </w:sdtContent>
      </w:sdt>
      <w:r w:rsidR="006B5A72">
        <w:t>.</w:t>
      </w:r>
      <w:r w:rsidR="00467872">
        <w:t xml:space="preserve"> Elements of Burglary are, “Entering a building or part of a building </w:t>
      </w:r>
      <w:r w:rsidR="002863E3">
        <w:t xml:space="preserve">with intent to commit theft, grievous bodily harm or criminal damage” and “having entered as a trespasser, stealing or inflicting/attempting to inflict grievous bodily harm”, in the given scenario Hadley entered as a trespasser with intent to commit theft and criminal damage </w:t>
      </w:r>
      <w:proofErr w:type="gramStart"/>
      <w:r w:rsidR="002863E3">
        <w:t>later on</w:t>
      </w:r>
      <w:proofErr w:type="gramEnd"/>
      <w:r w:rsidR="002863E3">
        <w:t xml:space="preserve">. The offence of burglary happened right at the beginning when Hadley inserted the bamboo stick inside the property, for a burglary offence it does not matter if the whole body entered the property </w:t>
      </w:r>
      <w:proofErr w:type="gramStart"/>
      <w:r w:rsidR="002863E3">
        <w:t>as long as</w:t>
      </w:r>
      <w:proofErr w:type="gramEnd"/>
      <w:r w:rsidR="002863E3">
        <w:t xml:space="preserve"> he gained access to it or stole something from it using an object or something that is attached to his body, in this case the bamboo stick. This offence somehow happened in the case of [R v Brown 1985] where the defendant broke into a shop, smashed the window enough for him get half of his body inside of the premises for him to steal from the tills same as in this case Hadley used a bamboo stick to gain access to the property so not his body but something that was attached to it and then entered with his whole body, it is a bit different but the same </w:t>
      </w:r>
      <w:r w:rsidR="002863E3">
        <w:lastRenderedPageBreak/>
        <w:t xml:space="preserve">concept. </w:t>
      </w:r>
      <w:r w:rsidR="00E53BC1">
        <w:t>Third offence that was committed by Hadley is after he got access to the house and was looking for a pair of “Bucci” trainers to steal but because he could not find them, he found a “</w:t>
      </w:r>
      <w:proofErr w:type="spellStart"/>
      <w:r w:rsidR="00E53BC1">
        <w:t>Kolex</w:t>
      </w:r>
      <w:proofErr w:type="spellEnd"/>
      <w:r w:rsidR="00E53BC1">
        <w:t>” watch instead and stole it. This offence is classed as theft according to Section 1 (1) of the Theft Act 1968 where “</w:t>
      </w:r>
      <w:r w:rsidR="00E53BC1" w:rsidRPr="00E53BC1">
        <w:t>A person is guilty of theft if he dishonestly appropriates property belonging to another with the intention of permanently depriving the other of it</w:t>
      </w:r>
      <w:r w:rsidR="00E53BC1">
        <w:t xml:space="preserve">” </w:t>
      </w:r>
      <w:sdt>
        <w:sdtPr>
          <w:id w:val="-2060781206"/>
          <w:citation/>
        </w:sdtPr>
        <w:sdtContent>
          <w:r w:rsidR="00E53BC1">
            <w:fldChar w:fldCharType="begin"/>
          </w:r>
          <w:r w:rsidR="00E53BC1">
            <w:rPr>
              <w:lang w:val="en-GB"/>
            </w:rPr>
            <w:instrText xml:space="preserve">CITATION UKG2 \l 2057 </w:instrText>
          </w:r>
          <w:r w:rsidR="00E53BC1">
            <w:fldChar w:fldCharType="separate"/>
          </w:r>
          <w:r w:rsidR="00E53BC1" w:rsidRPr="00E53BC1">
            <w:rPr>
              <w:noProof/>
              <w:lang w:val="en-GB"/>
            </w:rPr>
            <w:t>(UK Government, n.d.)</w:t>
          </w:r>
          <w:r w:rsidR="00E53BC1">
            <w:fldChar w:fldCharType="end"/>
          </w:r>
        </w:sdtContent>
      </w:sdt>
      <w:r w:rsidR="00E53BC1">
        <w:t xml:space="preserve">. There are different elements of theft such as “Defendant’s dishonesty”, “Appropriates”, “Property”, “Belonging to another” and “Intent of permanently depriving the other of it”. In this scenario all the elements can be found within Hadley’s actions, he set up his mind at the begging when he developed this plan in his head, the plan to steal from Mr. Ronan, he was going to steal the “Bucci” trainers but because he could not find </w:t>
      </w:r>
      <w:proofErr w:type="gramStart"/>
      <w:r w:rsidR="00E53BC1">
        <w:t>them</w:t>
      </w:r>
      <w:proofErr w:type="gramEnd"/>
      <w:r w:rsidR="00E53BC1">
        <w:t xml:space="preserve"> he stole a “</w:t>
      </w:r>
      <w:proofErr w:type="spellStart"/>
      <w:r w:rsidR="00E53BC1">
        <w:t>Kolex</w:t>
      </w:r>
      <w:proofErr w:type="spellEnd"/>
      <w:r w:rsidR="00E53BC1">
        <w:t xml:space="preserve">” watch instead and had the intent to permanently deprive Mr. Ronan of his watch. The whole incident can be tested using the Ghosh test in case it is needed or if there </w:t>
      </w:r>
      <w:proofErr w:type="gramStart"/>
      <w:r w:rsidR="00E53BC1">
        <w:t>is</w:t>
      </w:r>
      <w:proofErr w:type="gramEnd"/>
      <w:r w:rsidR="00E53BC1">
        <w:t xml:space="preserve"> any doubts but in this case the actions and the intent are quite obvious. </w:t>
      </w:r>
      <w:r w:rsidR="009349BD">
        <w:t xml:space="preserve">And the fourth offence committed is </w:t>
      </w:r>
      <w:r w:rsidR="0032153D">
        <w:t>the Arson he has done in the house. So, after Hadley took the “</w:t>
      </w:r>
      <w:proofErr w:type="spellStart"/>
      <w:r w:rsidR="0032153D">
        <w:t>Kolex</w:t>
      </w:r>
      <w:proofErr w:type="spellEnd"/>
      <w:r w:rsidR="0032153D">
        <w:t xml:space="preserve">” watch, he went to the dressing room where he poured some after shave in a bin and set it on fire which of course has done some damage to the house if not damage it all. This offence is classed as Criminal Damage due to Section 1 subsection 3 of the Criminal Damage Act 1971 which states, </w:t>
      </w:r>
      <w:r w:rsidR="0032153D" w:rsidRPr="0032153D">
        <w:t>“An offence committed under this section by destroying or damaging property by fire shall be charged as arson”</w:t>
      </w:r>
      <w:r w:rsidR="0032153D">
        <w:t xml:space="preserve"> </w:t>
      </w:r>
      <w:sdt>
        <w:sdtPr>
          <w:id w:val="383371083"/>
          <w:citation/>
        </w:sdtPr>
        <w:sdtContent>
          <w:r w:rsidR="0032153D">
            <w:fldChar w:fldCharType="begin"/>
          </w:r>
          <w:r w:rsidR="0032153D">
            <w:rPr>
              <w:lang w:val="en-GB"/>
            </w:rPr>
            <w:instrText xml:space="preserve"> CITATION UKG3 \l 2057 </w:instrText>
          </w:r>
          <w:r w:rsidR="0032153D">
            <w:fldChar w:fldCharType="separate"/>
          </w:r>
          <w:r w:rsidR="0032153D" w:rsidRPr="0032153D">
            <w:rPr>
              <w:noProof/>
              <w:lang w:val="en-GB"/>
            </w:rPr>
            <w:t>(UK Government, n.d.)</w:t>
          </w:r>
          <w:r w:rsidR="0032153D">
            <w:fldChar w:fldCharType="end"/>
          </w:r>
        </w:sdtContent>
      </w:sdt>
      <w:r w:rsidR="0032153D">
        <w:t xml:space="preserve">. The offence can’t be argued too much as this is the second count of criminal damage in this scenario and it was clearly due to his intent as he was aware of what he was doing due to the information provided. </w:t>
      </w:r>
    </w:p>
    <w:p w14:paraId="5D21D9F0" w14:textId="15B2509B" w:rsidR="0032153D" w:rsidRDefault="000957C7" w:rsidP="007021DE">
      <w:r>
        <w:t xml:space="preserve">In the second scenario it will be discussed about </w:t>
      </w:r>
      <w:r w:rsidR="0032153D">
        <w:t xml:space="preserve">Freya who got charged with </w:t>
      </w:r>
      <w:r w:rsidR="0032153D" w:rsidRPr="0032153D">
        <w:t>Assault occasioning Actual Bodily Harm</w:t>
      </w:r>
      <w:r w:rsidR="0032153D">
        <w:t xml:space="preserve"> under Section 47 of the Offences Against the Person Act 1861 which states “</w:t>
      </w:r>
      <w:r w:rsidR="008F3569" w:rsidRPr="008F3569">
        <w:t>The offence is committed when a person intentionally or recklessly assaults another, thereby causing Actual Bodily Harm. It must be proved that the assault (which includes “battery”) “occasioned” or caused the bodily harm”</w:t>
      </w:r>
      <w:r w:rsidR="008F3569">
        <w:t xml:space="preserve"> </w:t>
      </w:r>
      <w:sdt>
        <w:sdtPr>
          <w:id w:val="-1550904149"/>
          <w:citation/>
        </w:sdtPr>
        <w:sdtContent>
          <w:r w:rsidR="008F3569">
            <w:fldChar w:fldCharType="begin"/>
          </w:r>
          <w:r w:rsidR="008F3569">
            <w:rPr>
              <w:lang w:val="en-GB"/>
            </w:rPr>
            <w:instrText xml:space="preserve"> CITATION UKG4 \l 2057 </w:instrText>
          </w:r>
          <w:r w:rsidR="008F3569">
            <w:fldChar w:fldCharType="separate"/>
          </w:r>
          <w:r w:rsidR="008F3569" w:rsidRPr="008F3569">
            <w:rPr>
              <w:noProof/>
              <w:lang w:val="en-GB"/>
            </w:rPr>
            <w:t>(UK Government, n.d.)</w:t>
          </w:r>
          <w:r w:rsidR="008F3569">
            <w:fldChar w:fldCharType="end"/>
          </w:r>
        </w:sdtContent>
      </w:sdt>
      <w:r w:rsidR="008F3569">
        <w:t xml:space="preserve">. It is known that Freya was diagnosed with epilepsy which in this case can be classed as </w:t>
      </w:r>
      <w:r>
        <w:t>an</w:t>
      </w:r>
      <w:r w:rsidR="008F3569">
        <w:t xml:space="preserve"> Insanity because of her condition, even though it is stated she did not have a seizure or any more problems in the last 10 years and that she is not taking any medication anymore, which can be the result of her taking very good care of herself and keeping her away from things, actions or places that can trigger a seizure due to her condition. In that night she did consume </w:t>
      </w:r>
      <w:r>
        <w:t>alcohol,</w:t>
      </w:r>
      <w:r w:rsidR="008F3569">
        <w:t xml:space="preserve"> but it was only for her own pleasure she had no intent to create any harm to herself or others but </w:t>
      </w:r>
      <w:proofErr w:type="gramStart"/>
      <w:r w:rsidR="008F3569">
        <w:t>later on</w:t>
      </w:r>
      <w:proofErr w:type="gramEnd"/>
      <w:r w:rsidR="008F3569">
        <w:t xml:space="preserve"> she ended up on the floor having a seizure and punching her friend, due to the seizure that she had. First thing that will be argues is the fact that being diagnosed with epilepsy means that consuming alcohol can be a trigger for a seizure. A seizure is when the brain is transmitting a lot of electric</w:t>
      </w:r>
      <w:r w:rsidR="0001424E">
        <w:t>al</w:t>
      </w:r>
      <w:r w:rsidR="008F3569">
        <w:t xml:space="preserve"> pulses towards the muscles making them to move or shake uncontrollably</w:t>
      </w:r>
      <w:r w:rsidR="0001424E">
        <w:t xml:space="preserve"> and it can have an effect on consciousness as well</w:t>
      </w:r>
      <w:sdt>
        <w:sdtPr>
          <w:id w:val="724409513"/>
          <w:citation/>
        </w:sdtPr>
        <w:sdtContent>
          <w:r w:rsidR="0001424E">
            <w:fldChar w:fldCharType="begin"/>
          </w:r>
          <w:r w:rsidR="0001424E">
            <w:rPr>
              <w:lang w:val="en-GB"/>
            </w:rPr>
            <w:instrText xml:space="preserve"> CITATION Joh \l 2057 </w:instrText>
          </w:r>
          <w:r w:rsidR="0001424E">
            <w:fldChar w:fldCharType="separate"/>
          </w:r>
          <w:r w:rsidR="0001424E">
            <w:rPr>
              <w:noProof/>
              <w:lang w:val="en-GB"/>
            </w:rPr>
            <w:t xml:space="preserve"> </w:t>
          </w:r>
          <w:r w:rsidR="0001424E" w:rsidRPr="0001424E">
            <w:rPr>
              <w:noProof/>
              <w:lang w:val="en-GB"/>
            </w:rPr>
            <w:t>(John Hopkins Medicine, n.d.)</w:t>
          </w:r>
          <w:r w:rsidR="0001424E">
            <w:fldChar w:fldCharType="end"/>
          </w:r>
        </w:sdtContent>
      </w:sdt>
      <w:r w:rsidR="0001424E">
        <w:t xml:space="preserve">, </w:t>
      </w:r>
      <w:r w:rsidR="008F3569">
        <w:t>and being under the influence of alcohol can trigger a seizure a lot easier even after one or two alcoholic beverages</w:t>
      </w:r>
      <w:sdt>
        <w:sdtPr>
          <w:id w:val="1162744944"/>
          <w:citation/>
        </w:sdtPr>
        <w:sdtContent>
          <w:r w:rsidR="008F3569">
            <w:fldChar w:fldCharType="begin"/>
          </w:r>
          <w:r w:rsidR="008F3569">
            <w:rPr>
              <w:lang w:val="en-GB"/>
            </w:rPr>
            <w:instrText xml:space="preserve"> CITATION epi \l 2057 </w:instrText>
          </w:r>
          <w:r w:rsidR="008F3569">
            <w:fldChar w:fldCharType="separate"/>
          </w:r>
          <w:r w:rsidR="008F3569">
            <w:rPr>
              <w:noProof/>
              <w:lang w:val="en-GB"/>
            </w:rPr>
            <w:t xml:space="preserve"> </w:t>
          </w:r>
          <w:r w:rsidR="008F3569" w:rsidRPr="008F3569">
            <w:rPr>
              <w:noProof/>
              <w:lang w:val="en-GB"/>
            </w:rPr>
            <w:t>(epilepsysociety, n.d.)</w:t>
          </w:r>
          <w:r w:rsidR="008F3569">
            <w:fldChar w:fldCharType="end"/>
          </w:r>
        </w:sdtContent>
      </w:sdt>
      <w:r w:rsidR="008F3569">
        <w:t>.</w:t>
      </w:r>
      <w:r w:rsidR="0001424E">
        <w:t xml:space="preserve"> Elements of the </w:t>
      </w:r>
      <w:proofErr w:type="spellStart"/>
      <w:r w:rsidR="0001424E">
        <w:t>defence</w:t>
      </w:r>
      <w:proofErr w:type="spellEnd"/>
      <w:r w:rsidR="0001424E">
        <w:t xml:space="preserve"> are “D has a disease of mind”, “Which leads to a defect of reason” and “which in turn means that D does not know the nature and quality of his act, or that if he does, he does not know that the act is wrong”. In </w:t>
      </w:r>
      <w:r w:rsidR="0001424E">
        <w:lastRenderedPageBreak/>
        <w:t xml:space="preserve">this case, Freya does have a disease of mind which is Epilepsy which did lead to a defect of reason because of the seizure which cause the unwanted punch which turn means that Freya does not know the nature and quality of her act because of the state she was in. Besides this the legislation of Section 47 of the Offences Against the Person Act 1861 states that “the offence is committed when a person </w:t>
      </w:r>
      <w:r w:rsidR="0001424E" w:rsidRPr="0001424E">
        <w:rPr>
          <w:u w:val="single"/>
        </w:rPr>
        <w:t>intentionally</w:t>
      </w:r>
      <w:r w:rsidR="0001424E">
        <w:t xml:space="preserve"> assaults another”, Freya had no intention to assault her friend but because of her uncontrollably state she did hurt him while he was trying to help her.</w:t>
      </w:r>
      <w:r w:rsidR="00C82F0B">
        <w:t xml:space="preserve"> There is no motive for Freya to want to punch her friend and from this perspective that the scenario is given, if Freya was to be intoxicated and if she did not have a seizure there would have been no assault in place therefore Freya can rely on the Automatism Plea. Automatism is “</w:t>
      </w:r>
      <w:r w:rsidR="00C82F0B" w:rsidRPr="00C82F0B">
        <w:t>Automatism is </w:t>
      </w:r>
      <w:r w:rsidR="00C82F0B" w:rsidRPr="00C82F0B">
        <w:rPr>
          <w:b/>
          <w:bCs/>
        </w:rPr>
        <w:t>an act done by the muscles without any control by the mind</w:t>
      </w:r>
      <w:r w:rsidR="00C82F0B" w:rsidRPr="00C82F0B">
        <w:t xml:space="preserve">. It is a complete </w:t>
      </w:r>
      <w:proofErr w:type="spellStart"/>
      <w:r w:rsidR="00C82F0B" w:rsidRPr="00C82F0B">
        <w:t>defence</w:t>
      </w:r>
      <w:proofErr w:type="spellEnd"/>
      <w:r w:rsidR="00C82F0B" w:rsidRPr="00C82F0B">
        <w:t xml:space="preserve"> and the defendant is acquitted when found not guilty. This </w:t>
      </w:r>
      <w:proofErr w:type="spellStart"/>
      <w:r w:rsidR="00C82F0B" w:rsidRPr="00C82F0B">
        <w:t>defence</w:t>
      </w:r>
      <w:proofErr w:type="spellEnd"/>
      <w:r w:rsidR="00C82F0B" w:rsidRPr="00C82F0B">
        <w:t xml:space="preserve"> is available for defendants whose actus reus is done not voluntarily. And they are missing the required </w:t>
      </w:r>
      <w:proofErr w:type="spellStart"/>
      <w:r w:rsidR="00C82F0B" w:rsidRPr="00C82F0B">
        <w:t>mens</w:t>
      </w:r>
      <w:proofErr w:type="spellEnd"/>
      <w:r w:rsidR="00C82F0B" w:rsidRPr="00C82F0B">
        <w:t xml:space="preserve"> rea for the offence.</w:t>
      </w:r>
      <w:r w:rsidR="00C82F0B">
        <w:t xml:space="preserve">” </w:t>
      </w:r>
      <w:sdt>
        <w:sdtPr>
          <w:id w:val="-1124932633"/>
          <w:citation/>
        </w:sdtPr>
        <w:sdtContent>
          <w:r w:rsidR="00C82F0B">
            <w:fldChar w:fldCharType="begin"/>
          </w:r>
          <w:r w:rsidR="00C82F0B">
            <w:rPr>
              <w:lang w:val="en-GB"/>
            </w:rPr>
            <w:instrText xml:space="preserve"> CITATION Col14 \l 2057 </w:instrText>
          </w:r>
          <w:r w:rsidR="00C82F0B">
            <w:fldChar w:fldCharType="separate"/>
          </w:r>
          <w:r w:rsidR="00C82F0B" w:rsidRPr="00C82F0B">
            <w:rPr>
              <w:noProof/>
              <w:lang w:val="en-GB"/>
            </w:rPr>
            <w:t>(CollegeLaw, 2014)</w:t>
          </w:r>
          <w:r w:rsidR="00C82F0B">
            <w:fldChar w:fldCharType="end"/>
          </w:r>
        </w:sdtContent>
      </w:sdt>
      <w:r w:rsidR="00C82F0B">
        <w:t>.</w:t>
      </w:r>
    </w:p>
    <w:sdt>
      <w:sdtPr>
        <w:rPr>
          <w:lang w:val="en-GB"/>
        </w:rPr>
        <w:id w:val="-1117756914"/>
        <w:docPartObj>
          <w:docPartGallery w:val="Bibliographies"/>
          <w:docPartUnique/>
        </w:docPartObj>
      </w:sdtPr>
      <w:sdtEndPr>
        <w:rPr>
          <w:rFonts w:asciiTheme="minorHAnsi" w:eastAsiaTheme="minorEastAsia" w:hAnsiTheme="minorHAnsi" w:cstheme="minorBidi"/>
          <w:color w:val="4D322D" w:themeColor="text2"/>
          <w:sz w:val="22"/>
          <w:szCs w:val="22"/>
          <w:lang w:val="en-US"/>
        </w:rPr>
      </w:sdtEndPr>
      <w:sdtContent>
        <w:p w14:paraId="00A3D141" w14:textId="21BCAFC9" w:rsidR="00C82F0B" w:rsidRDefault="00C82F0B">
          <w:pPr>
            <w:pStyle w:val="Heading1"/>
          </w:pPr>
          <w:r>
            <w:rPr>
              <w:lang w:val="en-GB"/>
            </w:rPr>
            <w:t>References</w:t>
          </w:r>
        </w:p>
        <w:sdt>
          <w:sdtPr>
            <w:id w:val="-573587230"/>
            <w:bibliography/>
          </w:sdtPr>
          <w:sdtContent>
            <w:p w14:paraId="2B920C36" w14:textId="77777777" w:rsidR="00C82F0B" w:rsidRDefault="00C82F0B" w:rsidP="00C82F0B">
              <w:pPr>
                <w:pStyle w:val="Bibliography"/>
                <w:ind w:left="720" w:hanging="720"/>
                <w:rPr>
                  <w:noProof/>
                  <w:sz w:val="24"/>
                  <w:szCs w:val="24"/>
                </w:rPr>
              </w:pPr>
              <w:r>
                <w:fldChar w:fldCharType="begin"/>
              </w:r>
              <w:r>
                <w:instrText>BIBLIOGRAPHY</w:instrText>
              </w:r>
              <w:r>
                <w:fldChar w:fldCharType="separate"/>
              </w:r>
              <w:r>
                <w:rPr>
                  <w:noProof/>
                </w:rPr>
                <w:t xml:space="preserve">CollegeLaw. (2014). </w:t>
              </w:r>
              <w:r>
                <w:rPr>
                  <w:i/>
                  <w:iCs/>
                  <w:noProof/>
                </w:rPr>
                <w:t>Defence of Automatism</w:t>
              </w:r>
              <w:r>
                <w:rPr>
                  <w:noProof/>
                </w:rPr>
                <w:t>. Retrieved from CollegeLaw: https://www.collegelaw.co.uk/criminal-law/defence_of_automatism/index.html</w:t>
              </w:r>
            </w:p>
            <w:p w14:paraId="1CEB4CEF" w14:textId="77777777" w:rsidR="00C82F0B" w:rsidRDefault="00C82F0B" w:rsidP="00C82F0B">
              <w:pPr>
                <w:pStyle w:val="Bibliography"/>
                <w:ind w:left="720" w:hanging="720"/>
                <w:rPr>
                  <w:noProof/>
                </w:rPr>
              </w:pPr>
              <w:r>
                <w:rPr>
                  <w:noProof/>
                </w:rPr>
                <w:t xml:space="preserve">epilepsysociety. (n.d.). </w:t>
              </w:r>
              <w:r>
                <w:rPr>
                  <w:i/>
                  <w:iCs/>
                  <w:noProof/>
                </w:rPr>
                <w:t>Alcohol, drugs and epilepsy</w:t>
              </w:r>
              <w:r>
                <w:rPr>
                  <w:noProof/>
                </w:rPr>
                <w:t>. Retrieved from Epilepsy Society : https://epilepsysociety.org.uk/about-epilepsy/epileptic-seizures/seizure-triggers/alcohol-drugs-and-epilepsy</w:t>
              </w:r>
            </w:p>
            <w:p w14:paraId="09F33416" w14:textId="77777777" w:rsidR="00C82F0B" w:rsidRDefault="00C82F0B" w:rsidP="00C82F0B">
              <w:pPr>
                <w:pStyle w:val="Bibliography"/>
                <w:ind w:left="720" w:hanging="720"/>
                <w:rPr>
                  <w:noProof/>
                </w:rPr>
              </w:pPr>
              <w:r>
                <w:rPr>
                  <w:noProof/>
                </w:rPr>
                <w:t xml:space="preserve">John Hopkins Medicine. (n.d.). </w:t>
              </w:r>
              <w:r>
                <w:rPr>
                  <w:i/>
                  <w:iCs/>
                  <w:noProof/>
                </w:rPr>
                <w:t>Types of Seizures</w:t>
              </w:r>
              <w:r>
                <w:rPr>
                  <w:noProof/>
                </w:rPr>
                <w:t>. Retrieved from hopkinsmedicine: https://www.hopkinsmedicine.org/health/conditions-and-diseases/epilepsy/types-of-seizures</w:t>
              </w:r>
            </w:p>
            <w:p w14:paraId="5221D980" w14:textId="77777777" w:rsidR="00C82F0B" w:rsidRDefault="00C82F0B" w:rsidP="00C82F0B">
              <w:pPr>
                <w:pStyle w:val="Bibliography"/>
                <w:ind w:left="720" w:hanging="720"/>
                <w:rPr>
                  <w:noProof/>
                </w:rPr>
              </w:pPr>
              <w:r>
                <w:rPr>
                  <w:noProof/>
                </w:rPr>
                <w:t xml:space="preserve">UK Goverment. (n.d.). </w:t>
              </w:r>
              <w:r>
                <w:rPr>
                  <w:i/>
                  <w:iCs/>
                  <w:noProof/>
                </w:rPr>
                <w:t>legislationgovuk</w:t>
              </w:r>
              <w:r>
                <w:rPr>
                  <w:noProof/>
                </w:rPr>
                <w:t>. Retrieved from https://www.legislation.gov.uk/ukpga/1971/48/section/1</w:t>
              </w:r>
            </w:p>
            <w:p w14:paraId="77A1F576" w14:textId="77777777" w:rsidR="00C82F0B" w:rsidRDefault="00C82F0B" w:rsidP="00C82F0B">
              <w:pPr>
                <w:pStyle w:val="Bibliography"/>
                <w:ind w:left="720" w:hanging="720"/>
                <w:rPr>
                  <w:noProof/>
                </w:rPr>
              </w:pPr>
              <w:r>
                <w:rPr>
                  <w:noProof/>
                </w:rPr>
                <w:t xml:space="preserve">UK Goverment. (n.d.). </w:t>
              </w:r>
              <w:r>
                <w:rPr>
                  <w:i/>
                  <w:iCs/>
                  <w:noProof/>
                </w:rPr>
                <w:t>legislationgovuk</w:t>
              </w:r>
              <w:r>
                <w:rPr>
                  <w:noProof/>
                </w:rPr>
                <w:t>. Retrieved from https://www.legislation.gov.uk/ukpga/1968/60/section/9</w:t>
              </w:r>
            </w:p>
            <w:p w14:paraId="1B52BAA3" w14:textId="77777777" w:rsidR="00C82F0B" w:rsidRDefault="00C82F0B" w:rsidP="00C82F0B">
              <w:pPr>
                <w:pStyle w:val="Bibliography"/>
                <w:ind w:left="720" w:hanging="720"/>
                <w:rPr>
                  <w:noProof/>
                </w:rPr>
              </w:pPr>
              <w:r>
                <w:rPr>
                  <w:noProof/>
                </w:rPr>
                <w:t xml:space="preserve">UK Government. (n.d.). </w:t>
              </w:r>
              <w:r>
                <w:rPr>
                  <w:i/>
                  <w:iCs/>
                  <w:noProof/>
                </w:rPr>
                <w:t>legislationgovuk</w:t>
              </w:r>
              <w:r>
                <w:rPr>
                  <w:noProof/>
                </w:rPr>
                <w:t>. Retrieved from https://www.legislation.gov.uk/ukpga/1968/60/section/1</w:t>
              </w:r>
            </w:p>
            <w:p w14:paraId="4FCEC1FA" w14:textId="77777777" w:rsidR="00C82F0B" w:rsidRDefault="00C82F0B" w:rsidP="00C82F0B">
              <w:pPr>
                <w:pStyle w:val="Bibliography"/>
                <w:ind w:left="720" w:hanging="720"/>
                <w:rPr>
                  <w:noProof/>
                </w:rPr>
              </w:pPr>
              <w:r>
                <w:rPr>
                  <w:noProof/>
                </w:rPr>
                <w:t xml:space="preserve">UK Government. (n.d.). </w:t>
              </w:r>
              <w:r>
                <w:rPr>
                  <w:i/>
                  <w:iCs/>
                  <w:noProof/>
                </w:rPr>
                <w:t>legislationgovuk</w:t>
              </w:r>
              <w:r>
                <w:rPr>
                  <w:noProof/>
                </w:rPr>
                <w:t>. Retrieved from https://www.legislation.gov.uk/ukpga/1971/48</w:t>
              </w:r>
            </w:p>
            <w:p w14:paraId="49F46797" w14:textId="77777777" w:rsidR="00C82F0B" w:rsidRDefault="00C82F0B" w:rsidP="00C82F0B">
              <w:pPr>
                <w:pStyle w:val="Bibliography"/>
                <w:ind w:left="720" w:hanging="720"/>
                <w:rPr>
                  <w:noProof/>
                </w:rPr>
              </w:pPr>
              <w:r>
                <w:rPr>
                  <w:noProof/>
                </w:rPr>
                <w:t xml:space="preserve">UK Government. (n.d.). </w:t>
              </w:r>
              <w:r>
                <w:rPr>
                  <w:i/>
                  <w:iCs/>
                  <w:noProof/>
                </w:rPr>
                <w:t>legislationgovuk</w:t>
              </w:r>
              <w:r>
                <w:rPr>
                  <w:noProof/>
                </w:rPr>
                <w:t>. Retrieved from https://www.legislation.gov.uk/ukpga/Vict/24-25/100/section/47</w:t>
              </w:r>
            </w:p>
            <w:p w14:paraId="279F4F41" w14:textId="00C5077B" w:rsidR="00C82F0B" w:rsidRDefault="00C82F0B" w:rsidP="00C82F0B">
              <w:r>
                <w:rPr>
                  <w:b/>
                  <w:bCs/>
                </w:rPr>
                <w:fldChar w:fldCharType="end"/>
              </w:r>
            </w:p>
          </w:sdtContent>
        </w:sdt>
      </w:sdtContent>
    </w:sdt>
    <w:p w14:paraId="091E075F" w14:textId="77777777" w:rsidR="00C82F0B" w:rsidRPr="007021DE" w:rsidRDefault="00C82F0B" w:rsidP="007021DE"/>
    <w:sectPr w:rsidR="00C82F0B" w:rsidRPr="007021DE">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2B5F0" w14:textId="77777777" w:rsidR="00775C17" w:rsidRDefault="00775C17">
      <w:pPr>
        <w:spacing w:before="0" w:after="0" w:line="240" w:lineRule="auto"/>
      </w:pPr>
      <w:r>
        <w:separator/>
      </w:r>
    </w:p>
  </w:endnote>
  <w:endnote w:type="continuationSeparator" w:id="0">
    <w:p w14:paraId="7081F7AD" w14:textId="77777777" w:rsidR="00775C17" w:rsidRDefault="00775C1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43AA6"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53378" w14:textId="77777777" w:rsidR="00775C17" w:rsidRDefault="00775C17">
      <w:pPr>
        <w:spacing w:before="0" w:after="0" w:line="240" w:lineRule="auto"/>
      </w:pPr>
      <w:r>
        <w:separator/>
      </w:r>
    </w:p>
  </w:footnote>
  <w:footnote w:type="continuationSeparator" w:id="0">
    <w:p w14:paraId="73C111B6" w14:textId="77777777" w:rsidR="00775C17" w:rsidRDefault="00775C1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955135240">
    <w:abstractNumId w:val="9"/>
  </w:num>
  <w:num w:numId="2" w16cid:durableId="620841600">
    <w:abstractNumId w:val="9"/>
  </w:num>
  <w:num w:numId="3" w16cid:durableId="1952055555">
    <w:abstractNumId w:val="8"/>
  </w:num>
  <w:num w:numId="4" w16cid:durableId="1146974634">
    <w:abstractNumId w:val="8"/>
  </w:num>
  <w:num w:numId="5" w16cid:durableId="1190219054">
    <w:abstractNumId w:val="9"/>
  </w:num>
  <w:num w:numId="6" w16cid:durableId="1910725524">
    <w:abstractNumId w:val="8"/>
  </w:num>
  <w:num w:numId="7" w16cid:durableId="1967588102">
    <w:abstractNumId w:val="11"/>
  </w:num>
  <w:num w:numId="8" w16cid:durableId="1698463359">
    <w:abstractNumId w:val="10"/>
  </w:num>
  <w:num w:numId="9" w16cid:durableId="54210670">
    <w:abstractNumId w:val="13"/>
  </w:num>
  <w:num w:numId="10" w16cid:durableId="1979216066">
    <w:abstractNumId w:val="12"/>
  </w:num>
  <w:num w:numId="11" w16cid:durableId="1068848047">
    <w:abstractNumId w:val="15"/>
  </w:num>
  <w:num w:numId="12" w16cid:durableId="2041932755">
    <w:abstractNumId w:val="14"/>
  </w:num>
  <w:num w:numId="13" w16cid:durableId="305622142">
    <w:abstractNumId w:val="7"/>
  </w:num>
  <w:num w:numId="14" w16cid:durableId="1024746400">
    <w:abstractNumId w:val="6"/>
  </w:num>
  <w:num w:numId="15" w16cid:durableId="1946691013">
    <w:abstractNumId w:val="5"/>
  </w:num>
  <w:num w:numId="16" w16cid:durableId="1701200017">
    <w:abstractNumId w:val="4"/>
  </w:num>
  <w:num w:numId="17" w16cid:durableId="602037785">
    <w:abstractNumId w:val="3"/>
  </w:num>
  <w:num w:numId="18" w16cid:durableId="123736866">
    <w:abstractNumId w:val="2"/>
  </w:num>
  <w:num w:numId="19" w16cid:durableId="1540245264">
    <w:abstractNumId w:val="1"/>
  </w:num>
  <w:num w:numId="20" w16cid:durableId="455293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366"/>
    <w:rsid w:val="0001424E"/>
    <w:rsid w:val="000748AA"/>
    <w:rsid w:val="000957C7"/>
    <w:rsid w:val="001638F6"/>
    <w:rsid w:val="001A2000"/>
    <w:rsid w:val="002863E3"/>
    <w:rsid w:val="003209D6"/>
    <w:rsid w:val="0032153D"/>
    <w:rsid w:val="00334A73"/>
    <w:rsid w:val="003422FF"/>
    <w:rsid w:val="00467872"/>
    <w:rsid w:val="004952C4"/>
    <w:rsid w:val="005A1C5A"/>
    <w:rsid w:val="00690EFD"/>
    <w:rsid w:val="006B5A72"/>
    <w:rsid w:val="007021DE"/>
    <w:rsid w:val="00732607"/>
    <w:rsid w:val="00775C17"/>
    <w:rsid w:val="00844483"/>
    <w:rsid w:val="008F3569"/>
    <w:rsid w:val="008F5366"/>
    <w:rsid w:val="009349BD"/>
    <w:rsid w:val="00934F1C"/>
    <w:rsid w:val="009D2231"/>
    <w:rsid w:val="00A122DB"/>
    <w:rsid w:val="00AD165F"/>
    <w:rsid w:val="00B47B7A"/>
    <w:rsid w:val="00B646B8"/>
    <w:rsid w:val="00C80BD4"/>
    <w:rsid w:val="00C82F0B"/>
    <w:rsid w:val="00CF3A42"/>
    <w:rsid w:val="00D5413C"/>
    <w:rsid w:val="00DC07A3"/>
    <w:rsid w:val="00E11B8A"/>
    <w:rsid w:val="00E53BC1"/>
    <w:rsid w:val="00F677F9"/>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40ADF70"/>
  <w15:chartTrackingRefBased/>
  <w15:docId w15:val="{1629EEA3-228D-43A9-AA6D-AD550E4EF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93776">
      <w:bodyDiv w:val="1"/>
      <w:marLeft w:val="0"/>
      <w:marRight w:val="0"/>
      <w:marTop w:val="0"/>
      <w:marBottom w:val="0"/>
      <w:divBdr>
        <w:top w:val="none" w:sz="0" w:space="0" w:color="auto"/>
        <w:left w:val="none" w:sz="0" w:space="0" w:color="auto"/>
        <w:bottom w:val="none" w:sz="0" w:space="0" w:color="auto"/>
        <w:right w:val="none" w:sz="0" w:space="0" w:color="auto"/>
      </w:divBdr>
    </w:div>
    <w:div w:id="329406720">
      <w:bodyDiv w:val="1"/>
      <w:marLeft w:val="0"/>
      <w:marRight w:val="0"/>
      <w:marTop w:val="0"/>
      <w:marBottom w:val="0"/>
      <w:divBdr>
        <w:top w:val="none" w:sz="0" w:space="0" w:color="auto"/>
        <w:left w:val="none" w:sz="0" w:space="0" w:color="auto"/>
        <w:bottom w:val="none" w:sz="0" w:space="0" w:color="auto"/>
        <w:right w:val="none" w:sz="0" w:space="0" w:color="auto"/>
      </w:divBdr>
    </w:div>
    <w:div w:id="440295722">
      <w:bodyDiv w:val="1"/>
      <w:marLeft w:val="0"/>
      <w:marRight w:val="0"/>
      <w:marTop w:val="0"/>
      <w:marBottom w:val="0"/>
      <w:divBdr>
        <w:top w:val="none" w:sz="0" w:space="0" w:color="auto"/>
        <w:left w:val="none" w:sz="0" w:space="0" w:color="auto"/>
        <w:bottom w:val="none" w:sz="0" w:space="0" w:color="auto"/>
        <w:right w:val="none" w:sz="0" w:space="0" w:color="auto"/>
      </w:divBdr>
    </w:div>
    <w:div w:id="709304819">
      <w:bodyDiv w:val="1"/>
      <w:marLeft w:val="0"/>
      <w:marRight w:val="0"/>
      <w:marTop w:val="0"/>
      <w:marBottom w:val="0"/>
      <w:divBdr>
        <w:top w:val="none" w:sz="0" w:space="0" w:color="auto"/>
        <w:left w:val="none" w:sz="0" w:space="0" w:color="auto"/>
        <w:bottom w:val="none" w:sz="0" w:space="0" w:color="auto"/>
        <w:right w:val="none" w:sz="0" w:space="0" w:color="auto"/>
      </w:divBdr>
    </w:div>
    <w:div w:id="953709636">
      <w:bodyDiv w:val="1"/>
      <w:marLeft w:val="0"/>
      <w:marRight w:val="0"/>
      <w:marTop w:val="0"/>
      <w:marBottom w:val="0"/>
      <w:divBdr>
        <w:top w:val="none" w:sz="0" w:space="0" w:color="auto"/>
        <w:left w:val="none" w:sz="0" w:space="0" w:color="auto"/>
        <w:bottom w:val="none" w:sz="0" w:space="0" w:color="auto"/>
        <w:right w:val="none" w:sz="0" w:space="0" w:color="auto"/>
      </w:divBdr>
    </w:div>
    <w:div w:id="1116679973">
      <w:bodyDiv w:val="1"/>
      <w:marLeft w:val="0"/>
      <w:marRight w:val="0"/>
      <w:marTop w:val="0"/>
      <w:marBottom w:val="0"/>
      <w:divBdr>
        <w:top w:val="none" w:sz="0" w:space="0" w:color="auto"/>
        <w:left w:val="none" w:sz="0" w:space="0" w:color="auto"/>
        <w:bottom w:val="none" w:sz="0" w:space="0" w:color="auto"/>
        <w:right w:val="none" w:sz="0" w:space="0" w:color="auto"/>
      </w:divBdr>
    </w:div>
    <w:div w:id="1141191441">
      <w:bodyDiv w:val="1"/>
      <w:marLeft w:val="0"/>
      <w:marRight w:val="0"/>
      <w:marTop w:val="0"/>
      <w:marBottom w:val="0"/>
      <w:divBdr>
        <w:top w:val="none" w:sz="0" w:space="0" w:color="auto"/>
        <w:left w:val="none" w:sz="0" w:space="0" w:color="auto"/>
        <w:bottom w:val="none" w:sz="0" w:space="0" w:color="auto"/>
        <w:right w:val="none" w:sz="0" w:space="0" w:color="auto"/>
      </w:divBdr>
    </w:div>
    <w:div w:id="1227451467">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66640809">
      <w:bodyDiv w:val="1"/>
      <w:marLeft w:val="0"/>
      <w:marRight w:val="0"/>
      <w:marTop w:val="0"/>
      <w:marBottom w:val="0"/>
      <w:divBdr>
        <w:top w:val="none" w:sz="0" w:space="0" w:color="auto"/>
        <w:left w:val="none" w:sz="0" w:space="0" w:color="auto"/>
        <w:bottom w:val="none" w:sz="0" w:space="0" w:color="auto"/>
        <w:right w:val="none" w:sz="0" w:space="0" w:color="auto"/>
      </w:divBdr>
    </w:div>
    <w:div w:id="1437364884">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1859224">
      <w:bodyDiv w:val="1"/>
      <w:marLeft w:val="0"/>
      <w:marRight w:val="0"/>
      <w:marTop w:val="0"/>
      <w:marBottom w:val="0"/>
      <w:divBdr>
        <w:top w:val="none" w:sz="0" w:space="0" w:color="auto"/>
        <w:left w:val="none" w:sz="0" w:space="0" w:color="auto"/>
        <w:bottom w:val="none" w:sz="0" w:space="0" w:color="auto"/>
        <w:right w:val="none" w:sz="0" w:space="0" w:color="auto"/>
      </w:divBdr>
    </w:div>
    <w:div w:id="195520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ri\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UKG</b:Tag>
    <b:SourceType>InternetSite</b:SourceType>
    <b:Guid>{E6A04E91-ED3E-426F-A4BF-188225EDD3EA}</b:Guid>
    <b:Title>legislationgovuk</b:Title>
    <b:URL>https://www.legislation.gov.uk/ukpga/1971/48/section/1</b:URL>
    <b:Author>
      <b:Author>
        <b:Corporate>UK Goverment</b:Corporate>
      </b:Author>
    </b:Author>
    <b:RefOrder>1</b:RefOrder>
  </b:Source>
  <b:Source>
    <b:Tag>UKG1</b:Tag>
    <b:SourceType>InternetSite</b:SourceType>
    <b:Guid>{5BEFF1B8-CA87-48E0-BF01-96C6325C9ED2}</b:Guid>
    <b:Author>
      <b:Author>
        <b:Corporate>UK Goverment</b:Corporate>
      </b:Author>
    </b:Author>
    <b:Title>legislationgovuk</b:Title>
    <b:URL>https://www.legislation.gov.uk/ukpga/1968/60/section/9</b:URL>
    <b:RefOrder>2</b:RefOrder>
  </b:Source>
  <b:Source>
    <b:Tag>UKG2</b:Tag>
    <b:SourceType>InternetSite</b:SourceType>
    <b:Guid>{C36A7000-6D21-4F31-AF9D-D71CA9A6C3AC}</b:Guid>
    <b:Author>
      <b:Author>
        <b:Corporate>UK Government</b:Corporate>
      </b:Author>
    </b:Author>
    <b:Title>legislationgovuk</b:Title>
    <b:URL>https://www.legislation.gov.uk/ukpga/1968/60/section/1</b:URL>
    <b:RefOrder>3</b:RefOrder>
  </b:Source>
  <b:Source>
    <b:Tag>UKG3</b:Tag>
    <b:SourceType>InternetSite</b:SourceType>
    <b:Guid>{58ABB4DE-F184-44B7-9056-3C3910244661}</b:Guid>
    <b:Author>
      <b:Author>
        <b:Corporate>UK Government</b:Corporate>
      </b:Author>
    </b:Author>
    <b:Title>legislationgovuk</b:Title>
    <b:URL>https://www.legislation.gov.uk/ukpga/1971/48</b:URL>
    <b:RefOrder>4</b:RefOrder>
  </b:Source>
  <b:Source>
    <b:Tag>UKG4</b:Tag>
    <b:SourceType>InternetSite</b:SourceType>
    <b:Guid>{3E7FE23D-F9AC-4C89-AE43-E725F311EEDC}</b:Guid>
    <b:Author>
      <b:Author>
        <b:Corporate>UK Government</b:Corporate>
      </b:Author>
    </b:Author>
    <b:Title>legislationgovuk</b:Title>
    <b:URL>https://www.legislation.gov.uk/ukpga/Vict/24-25/100/section/47</b:URL>
    <b:RefOrder>5</b:RefOrder>
  </b:Source>
  <b:Source>
    <b:Tag>epi</b:Tag>
    <b:SourceType>InternetSite</b:SourceType>
    <b:Guid>{449FD027-DE37-4CD7-8113-11CF8B4E1537}</b:Guid>
    <b:Author>
      <b:Author>
        <b:Corporate>epilepsysociety</b:Corporate>
      </b:Author>
    </b:Author>
    <b:Title>Alcohol, drugs and epilepsy</b:Title>
    <b:InternetSiteTitle>Epilepsy Society </b:InternetSiteTitle>
    <b:URL>https://epilepsysociety.org.uk/about-epilepsy/epileptic-seizures/seizure-triggers/alcohol-drugs-and-epilepsy</b:URL>
    <b:RefOrder>7</b:RefOrder>
  </b:Source>
  <b:Source>
    <b:Tag>Joh</b:Tag>
    <b:SourceType>InternetSite</b:SourceType>
    <b:Guid>{65676675-F981-4CAD-ABCB-459A9217E5DE}</b:Guid>
    <b:Author>
      <b:Author>
        <b:Corporate>John Hopkins Medicine</b:Corporate>
      </b:Author>
    </b:Author>
    <b:Title>Types of Seizures</b:Title>
    <b:InternetSiteTitle>hopkinsmedicine</b:InternetSiteTitle>
    <b:URL>https://www.hopkinsmedicine.org/health/conditions-and-diseases/epilepsy/types-of-seizures</b:URL>
    <b:RefOrder>6</b:RefOrder>
  </b:Source>
  <b:Source>
    <b:Tag>Col14</b:Tag>
    <b:SourceType>InternetSite</b:SourceType>
    <b:Guid>{5AE78C62-0B5B-4740-84A6-6F35946EE274}</b:Guid>
    <b:Author>
      <b:Author>
        <b:Corporate>CollegeLaw</b:Corporate>
      </b:Author>
    </b:Author>
    <b:Title>Defence of Automatism</b:Title>
    <b:InternetSiteTitle>CollegeLaw</b:InternetSiteTitle>
    <b:Year>2014</b:Year>
    <b:URL>https://www.collegelaw.co.uk/criminal-law/defence_of_automatism/index.html</b:URL>
    <b:RefOrder>8</b:RefOrder>
  </b:Source>
</b:Sources>
</file>

<file path=customXml/itemProps1.xml><?xml version="1.0" encoding="utf-8"?>
<ds:datastoreItem xmlns:ds="http://schemas.openxmlformats.org/officeDocument/2006/customXml" ds:itemID="{89DB169A-571F-48D7-AD61-1F5DAA604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93</TotalTime>
  <Pages>4</Pages>
  <Words>1515</Words>
  <Characters>8639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Patrick Dalea</dc:creator>
  <cp:keywords/>
  <cp:lastModifiedBy>Patrick</cp:lastModifiedBy>
  <cp:revision>2</cp:revision>
  <dcterms:created xsi:type="dcterms:W3CDTF">2023-01-13T15:43:00Z</dcterms:created>
  <dcterms:modified xsi:type="dcterms:W3CDTF">2023-01-13T17:16:00Z</dcterms:modified>
  <cp:version/>
</cp:coreProperties>
</file>