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9A9AB8E" w14:paraId="59A6D261" wp14:textId="78C5C680">
      <w:pPr>
        <w:pStyle w:val="Heading1"/>
      </w:pPr>
      <w:r w:rsidRPr="09A9AB8E" w:rsidR="687AB600">
        <w:rPr>
          <w:rFonts w:ascii="Calibri Light" w:hAnsi="Calibri Light" w:eastAsia="Calibri Light" w:cs="Calibri Light"/>
          <w:b w:val="0"/>
          <w:bCs w:val="0"/>
          <w:noProof w:val="0"/>
          <w:color w:val="2F5496" w:themeColor="accent1" w:themeTint="FF" w:themeShade="BF"/>
          <w:sz w:val="28"/>
          <w:szCs w:val="28"/>
          <w:lang w:val="en-GB"/>
        </w:rPr>
        <w:t xml:space="preserve">An analysis and critical evaluation of the strategies, tactics and attack methods adopted by the Islamic State of Iraq and Syria (ISIS). </w:t>
      </w:r>
    </w:p>
    <w:p xmlns:wp14="http://schemas.microsoft.com/office/word/2010/wordml" w:rsidP="09A9AB8E" w14:paraId="7F196355" wp14:textId="0F8596F0">
      <w:pPr>
        <w:spacing w:line="360" w:lineRule="auto"/>
      </w:pPr>
      <w:r w:rsidRPr="09A9AB8E" w:rsidR="687AB600">
        <w:rPr>
          <w:rFonts w:ascii="Calibri" w:hAnsi="Calibri" w:eastAsia="Calibri" w:cs="Calibri"/>
          <w:noProof w:val="0"/>
          <w:sz w:val="22"/>
          <w:szCs w:val="22"/>
          <w:lang w:val="en-GB"/>
        </w:rPr>
        <w:t xml:space="preserve"> </w:t>
      </w:r>
    </w:p>
    <w:p xmlns:wp14="http://schemas.microsoft.com/office/word/2010/wordml" w:rsidP="09A9AB8E" w14:paraId="357D1CFA" wp14:textId="587B9676">
      <w:pPr>
        <w:spacing w:line="360" w:lineRule="auto"/>
      </w:pPr>
      <w:r w:rsidRPr="09A9AB8E" w:rsidR="687AB600">
        <w:rPr>
          <w:rFonts w:ascii="Calibri" w:hAnsi="Calibri" w:eastAsia="Calibri" w:cs="Calibri"/>
          <w:noProof w:val="0"/>
          <w:sz w:val="22"/>
          <w:szCs w:val="22"/>
          <w:lang w:val="en-GB"/>
        </w:rPr>
        <w:t xml:space="preserve"> </w:t>
      </w:r>
    </w:p>
    <w:p xmlns:wp14="http://schemas.microsoft.com/office/word/2010/wordml" w:rsidP="09A9AB8E" w14:paraId="185918BB" wp14:textId="0741C573">
      <w:pPr>
        <w:spacing w:line="360" w:lineRule="auto"/>
        <w:jc w:val="both"/>
      </w:pPr>
      <w:r w:rsidRPr="09A9AB8E" w:rsidR="687AB600">
        <w:rPr>
          <w:rFonts w:ascii="Calibri" w:hAnsi="Calibri" w:eastAsia="Calibri" w:cs="Calibri"/>
          <w:noProof w:val="0"/>
          <w:sz w:val="24"/>
          <w:szCs w:val="24"/>
          <w:lang w:val="en-GB"/>
        </w:rPr>
        <w:t xml:space="preserve">This paper will analyse and critically evaluate the strategies, tactics and attack methods adopted by the Islamic State of Iraq and Syria; the group will be referred to as ISIS throughout this paper. The term terrorism will be explored providing an insight into the type of actions that can be considered an act of terrorism. A brief introduction into the history of ISIS will be provided, followed by analysis of the media strategy that has been adopted by the group. This analysis will include the use of social media as a weapon, which has ensured that ISIS have been successful opponents during the “media war”, and the use of media to promote the ISIS brand and recruit new followers. The use of armed assaults as an attack method and suicide bombing will be discussed, with focus placed upon the use of females as a strategic military tactic for suicide bomber attacks. The economic impact of attack methods will also be examined and used to highlight the “ripple effect” within society caused by effective attack methods. </w:t>
      </w:r>
    </w:p>
    <w:p xmlns:wp14="http://schemas.microsoft.com/office/word/2010/wordml" w:rsidP="09A9AB8E" w14:paraId="3931E7B0" wp14:textId="2D648928">
      <w:pPr>
        <w:spacing w:line="360" w:lineRule="auto"/>
        <w:jc w:val="both"/>
      </w:pPr>
      <w:r w:rsidRPr="09A9AB8E" w:rsidR="687AB600">
        <w:rPr>
          <w:rFonts w:ascii="Calibri" w:hAnsi="Calibri" w:eastAsia="Calibri" w:cs="Calibri"/>
          <w:noProof w:val="0"/>
          <w:sz w:val="24"/>
          <w:szCs w:val="24"/>
          <w:lang w:val="en-GB"/>
        </w:rPr>
        <w:t xml:space="preserve">To analyse the strategies, tactics, and attack methods of any one individual terrorist group, the word terrorism itself needs to be explored. Rothenberger </w:t>
      </w:r>
      <w:r w:rsidRPr="09A9AB8E" w:rsidR="687AB600">
        <w:rPr>
          <w:rFonts w:ascii="Calibri" w:hAnsi="Calibri" w:eastAsia="Calibri" w:cs="Calibri"/>
          <w:i w:val="1"/>
          <w:iCs w:val="1"/>
          <w:noProof w:val="0"/>
          <w:sz w:val="24"/>
          <w:szCs w:val="24"/>
          <w:lang w:val="en-GB"/>
        </w:rPr>
        <w:t>et</w:t>
      </w:r>
      <w:r w:rsidRPr="09A9AB8E" w:rsidR="687AB600">
        <w:rPr>
          <w:rFonts w:ascii="Calibri" w:hAnsi="Calibri" w:eastAsia="Calibri" w:cs="Calibri"/>
          <w:noProof w:val="0"/>
          <w:sz w:val="24"/>
          <w:szCs w:val="24"/>
          <w:lang w:val="en-GB"/>
        </w:rPr>
        <w:t xml:space="preserve"> </w:t>
      </w:r>
      <w:r w:rsidRPr="09A9AB8E" w:rsidR="687AB600">
        <w:rPr>
          <w:rFonts w:ascii="Calibri" w:hAnsi="Calibri" w:eastAsia="Calibri" w:cs="Calibri"/>
          <w:i w:val="1"/>
          <w:iCs w:val="1"/>
          <w:noProof w:val="0"/>
          <w:sz w:val="24"/>
          <w:szCs w:val="24"/>
          <w:lang w:val="en-GB"/>
        </w:rPr>
        <w:t>al</w:t>
      </w:r>
      <w:r w:rsidRPr="09A9AB8E" w:rsidR="687AB600">
        <w:rPr>
          <w:rFonts w:ascii="Calibri" w:hAnsi="Calibri" w:eastAsia="Calibri" w:cs="Calibri"/>
          <w:noProof w:val="0"/>
          <w:sz w:val="24"/>
          <w:szCs w:val="24"/>
          <w:lang w:val="en-GB"/>
        </w:rPr>
        <w:t xml:space="preserve"> (2016) argue that terrorism is used to spread the messages of individual groups, using acts of violence to control populations, leading to the destruction of political and economic structures. The impact of terrorism has been felt in every corner of the globe; the Global Terrorism database documents 170,000 terrorist incidents for the period 1970 to 2019 (Global Terrorism Index, 2021). The UK definition of terrorism is used within the Terrorism Act 2006; the act outlines actions that are acts of terrorism. This includes actions that involve serious violence against a person or damage to property and actions that create a serious risk to the health and or safety of the public. These actions, or threat of such actions, are designed to influence the government or international government organisations (GOV.UK, 2006). There are 77 terrorist organisations listed within the Terrorism Act 2000. This includes the Islamic State of Iraq and Syria (ISIS) (GOV.UK, 2006). </w:t>
      </w:r>
    </w:p>
    <w:p xmlns:wp14="http://schemas.microsoft.com/office/word/2010/wordml" w:rsidP="09A9AB8E" w14:paraId="7BF88E57" wp14:textId="69AA95FD">
      <w:pPr>
        <w:spacing w:line="360" w:lineRule="auto"/>
        <w:jc w:val="both"/>
      </w:pPr>
      <w:r w:rsidRPr="09A9AB8E" w:rsidR="687AB600">
        <w:rPr>
          <w:rFonts w:ascii="Calibri" w:hAnsi="Calibri" w:eastAsia="Calibri" w:cs="Calibri"/>
          <w:noProof w:val="0"/>
          <w:sz w:val="24"/>
          <w:szCs w:val="24"/>
          <w:lang w:val="en-GB"/>
        </w:rPr>
        <w:t xml:space="preserve">The Islamic State of Iraq and Syria (ISIS) has also been known as Islamic State of Iraq (ISI) and Islamic State of Iraq and Levant (ISIL) amongst other names; for the purpose of this paper the group will be referred to as ISIS (Home Office, 2006). ISIS is a movement that is led by a generation of armed revolutionaries. They are contemporary and adaptable with the ability to use technology to advance both their military and political objectives (Khawaja and Khan, 2016).  ISIS follows an extreme interpretation of Islam, in which a strong anti-Western belief is upheld, and it was the third deadliest terrorist organisation in 2019 (Global Terrorism Index, 2021). </w:t>
      </w:r>
    </w:p>
    <w:p xmlns:wp14="http://schemas.microsoft.com/office/word/2010/wordml" w:rsidP="09A9AB8E" w14:paraId="67730156" wp14:textId="5C35E9FC">
      <w:pPr>
        <w:spacing w:line="360" w:lineRule="auto"/>
        <w:jc w:val="both"/>
      </w:pPr>
      <w:r w:rsidRPr="09A9AB8E" w:rsidR="687AB600">
        <w:rPr>
          <w:rFonts w:ascii="Calibri" w:hAnsi="Calibri" w:eastAsia="Calibri" w:cs="Calibri"/>
          <w:noProof w:val="0"/>
          <w:sz w:val="24"/>
          <w:szCs w:val="24"/>
          <w:lang w:val="en-GB"/>
        </w:rPr>
        <w:t xml:space="preserve">ISIS is one of the richest terrorist groups in history. It is financially supported by various sources, which include human trafficking, hostage ransom and the takeover of resources within areas under its control. This financial success led to the group achieving an annual revenue of 2.9 billion dollars (US) (Speckhard and Ellenberg, 2020, p 90). </w:t>
      </w:r>
    </w:p>
    <w:p xmlns:wp14="http://schemas.microsoft.com/office/word/2010/wordml" w:rsidP="09A9AB8E" w14:paraId="6D01BFEF" wp14:textId="4ACE16C2">
      <w:pPr>
        <w:spacing w:line="360" w:lineRule="auto"/>
        <w:jc w:val="both"/>
      </w:pPr>
      <w:r w:rsidRPr="09A9AB8E" w:rsidR="687AB600">
        <w:rPr>
          <w:rFonts w:ascii="Calibri" w:hAnsi="Calibri" w:eastAsia="Calibri" w:cs="Calibri"/>
          <w:noProof w:val="0"/>
          <w:sz w:val="24"/>
          <w:szCs w:val="24"/>
          <w:lang w:val="en-GB"/>
        </w:rPr>
        <w:t xml:space="preserve">The media strategy adopted by ISIS, in contrast to other terrorist organisations, is consistent and modern. Its objectives include the indoctrination of youth, to portray itself as an agent of change, and to spread its belief all over the word whilst threatening its enemies (Khawaja and Khan 2016). Shorer (2018) argues that the coordination and execution of radicalized Islamist-led attacks, such as the 2013 Westgate Mall in Nairobi, would not have been possible without the use of telecommunication and social networks by terrorist groups. In 1976, Clausewitz stated, “War is an instrument of policy” (Clausewitz, 1976, p.606). In contrast, Khawaja and Khan (2016) argue that in modern politics media has become the instrument of policy. This suggests that when used effectively the media is a powerful weapon. Yarchi (2019) states that ISIS uses several platforms to communicate its narrative, which suggests a clear understanding of the power of the media in manipulating perceptions. These platforms include Twitter, online magazines, and videos. During the first half of 2019 Twitter removed over 100,000 accounts which promoted terrorism (The Parliamentary Office of Science &amp; Technology, 2020). This statistic provides an insight into the scale of online extremism. </w:t>
      </w:r>
    </w:p>
    <w:p xmlns:wp14="http://schemas.microsoft.com/office/word/2010/wordml" w:rsidP="09A9AB8E" w14:paraId="1BB85F35" wp14:textId="3C6E8119">
      <w:pPr>
        <w:spacing w:line="360" w:lineRule="auto"/>
        <w:jc w:val="both"/>
      </w:pPr>
      <w:r w:rsidRPr="09A9AB8E" w:rsidR="687AB600">
        <w:rPr>
          <w:rFonts w:ascii="Calibri" w:hAnsi="Calibri" w:eastAsia="Calibri" w:cs="Calibri"/>
          <w:noProof w:val="0"/>
          <w:sz w:val="24"/>
          <w:szCs w:val="24"/>
          <w:lang w:val="en-GB"/>
        </w:rPr>
        <w:t xml:space="preserve">Arabic has been the dominant language used by ISIS within its media strategy; however, the group has also produced media products in 28 different languages (Milton, 2016, p.?). This supports the idea that ISIS is adaptable because of the group's ability to adjust its propaganda and media products to target specific audiences and maximise its impact. The power of social media and the desire for public exposure has been highlighted by the ISIS use of the 2014 “Message to America” video. The footage of kidnapped US citizen James Foley being beheaded by Mohamed Emwazi, also known as “Jihadi John”, reached a global audience (Krona and Pennington, 2019, p 1). </w:t>
      </w:r>
    </w:p>
    <w:p xmlns:wp14="http://schemas.microsoft.com/office/word/2010/wordml" w:rsidP="09A9AB8E" w14:paraId="3AFD328A" wp14:textId="79693B3C">
      <w:pPr>
        <w:spacing w:line="360" w:lineRule="auto"/>
        <w:jc w:val="both"/>
      </w:pPr>
      <w:r w:rsidRPr="09A9AB8E" w:rsidR="687AB600">
        <w:rPr>
          <w:rFonts w:ascii="Calibri" w:hAnsi="Calibri" w:eastAsia="Calibri" w:cs="Calibri"/>
          <w:noProof w:val="0"/>
          <w:sz w:val="24"/>
          <w:szCs w:val="24"/>
          <w:lang w:val="en-GB"/>
        </w:rPr>
        <w:t xml:space="preserve">The use of an English-speaking executioner within the 2014 “Message to America” video was a carefully choreographed use of visual imagery. Krona and Pennington (2019, p.6) argue that this was a planned strategy by ISIS to maximise the media attention the footage received and to send the message to the world that ISIS is a global power. Taking advantage of the digital age that we live in, the group were able to share the footage within minutes. It spread worldwide, with journalists and social media companies able to view the video magnifying its impact (Friis, 2015). ISIS also uses its media strategy to promote “brand awareness”; Khawaja and Khan (2016, p 104) argue that videos depicting the battle between good and evil present ISIS as a moral force fighting against the immoral West. These videos are then targeted at vulnerable groups and individuals using social media platforms. This argument is further supported by Ingram (2016, p 459) who describes the ISIS use of media as a “strategic communications campaign”, which owes its success to the use of professional production, shock tactics and effective use of social media. </w:t>
      </w:r>
    </w:p>
    <w:p xmlns:wp14="http://schemas.microsoft.com/office/word/2010/wordml" w:rsidP="09A9AB8E" w14:paraId="133A93DE" wp14:textId="04487021">
      <w:pPr>
        <w:spacing w:line="360" w:lineRule="auto"/>
        <w:jc w:val="both"/>
      </w:pPr>
      <w:r w:rsidRPr="09A9AB8E" w:rsidR="687AB600">
        <w:rPr>
          <w:rFonts w:ascii="Calibri" w:hAnsi="Calibri" w:eastAsia="Calibri" w:cs="Calibri"/>
          <w:noProof w:val="0"/>
          <w:sz w:val="24"/>
          <w:szCs w:val="24"/>
          <w:lang w:val="en-GB"/>
        </w:rPr>
        <w:t xml:space="preserve">The group's ability to adapt has been further highlighted by its formal statement issued in relation to the COVID-19 pandemic. The group has encouraged its followers to take advantage of the fatigued security and government forces and to launch attacks (Global Terrorism Index, 2021). </w:t>
      </w:r>
    </w:p>
    <w:p xmlns:wp14="http://schemas.microsoft.com/office/word/2010/wordml" w:rsidP="09A9AB8E" w14:paraId="2D14A9C9" wp14:textId="1DB83351">
      <w:pPr>
        <w:spacing w:line="360" w:lineRule="auto"/>
        <w:jc w:val="both"/>
      </w:pPr>
      <w:r w:rsidRPr="09A9AB8E" w:rsidR="687AB600">
        <w:rPr>
          <w:rFonts w:ascii="Calibri" w:hAnsi="Calibri" w:eastAsia="Calibri" w:cs="Calibri"/>
          <w:noProof w:val="0"/>
          <w:sz w:val="24"/>
          <w:szCs w:val="24"/>
          <w:lang w:val="en-GB"/>
        </w:rPr>
        <w:t xml:space="preserve">ISIS have proven themselves to be worthy opponents within the war of images; however, there has been an internet backlash seen with the use of simple hashtags such as #NO2ISIS. Pro-Iraq social media accounts have found that, to counteract the media strategy of ISIS, they need to develop their own media strategy (Thomas, 2014). </w:t>
      </w:r>
    </w:p>
    <w:p xmlns:wp14="http://schemas.microsoft.com/office/word/2010/wordml" w:rsidP="09A9AB8E" w14:paraId="07D5D724" wp14:textId="0F236B07">
      <w:pPr>
        <w:spacing w:line="360" w:lineRule="auto"/>
        <w:jc w:val="both"/>
      </w:pPr>
      <w:r w:rsidRPr="09A9AB8E" w:rsidR="687AB600">
        <w:rPr>
          <w:rFonts w:ascii="Calibri" w:hAnsi="Calibri" w:eastAsia="Calibri" w:cs="Calibri"/>
          <w:noProof w:val="0"/>
          <w:sz w:val="24"/>
          <w:szCs w:val="24"/>
          <w:lang w:val="en-GB"/>
        </w:rPr>
        <w:t xml:space="preserve">The use of social media and the internet has become an extremely valuable tool for the recruitment and radicalisation of new people to join ISIS. The use of social media by ISIS is perfectly suited for the “Millennial generation” Blacker (2015, p 1). Between January and February 2020, 96% of British households had internet access; this is comparable with 57% in 2006, which highlights the necessity for ISIS to have an effective media strategy and to take advantage of this potential audience (Office of National Statistics, 2020). ISIS can now infiltrate the comfort and safety of people's homes to spread its extremist ideology. </w:t>
      </w:r>
    </w:p>
    <w:p xmlns:wp14="http://schemas.microsoft.com/office/word/2010/wordml" w:rsidP="09A9AB8E" w14:paraId="3EF99AD9" wp14:textId="5D521C1D">
      <w:pPr>
        <w:spacing w:line="360" w:lineRule="auto"/>
        <w:jc w:val="both"/>
      </w:pPr>
      <w:r w:rsidRPr="09A9AB8E" w:rsidR="687AB600">
        <w:rPr>
          <w:rFonts w:ascii="Calibri" w:hAnsi="Calibri" w:eastAsia="Calibri" w:cs="Calibri"/>
          <w:noProof w:val="0"/>
          <w:sz w:val="24"/>
          <w:szCs w:val="24"/>
          <w:lang w:val="en-GB"/>
        </w:rPr>
        <w:t xml:space="preserve"> The Home Office has stated that in the year ending March 2020, there have been 6,287 referrals made to the Prevent programme. This is a 10% increase on the number of referrals made the previous year (Home Office, 2020). The aim of the Prevent programme is to identify and safeguard people who may be vulnerable to radicalisation (Counter Terrorism Policing, 2020). The Home Office report examining radicalisation in 2017 stated that the use of the internet to promote radicalisation is one of the greatest threats that countries, including the UK, face. There is a clear need for social media analysis to help provide governments with an insight into the methodologies used by terrorists to recruit and radicalise potential new members (Home Office, 2017). At the centre of the ISIS strategic use of media lies the recognition that the group needs to shape its target audiences' perceptions, which in turn encourages new supporters to act (Ingram, 2016). </w:t>
      </w:r>
    </w:p>
    <w:p xmlns:wp14="http://schemas.microsoft.com/office/word/2010/wordml" w:rsidP="09A9AB8E" w14:paraId="6C9ADE91" wp14:textId="54741353">
      <w:pPr>
        <w:spacing w:line="360" w:lineRule="auto"/>
        <w:jc w:val="both"/>
      </w:pPr>
      <w:r w:rsidRPr="09A9AB8E" w:rsidR="687AB600">
        <w:rPr>
          <w:rFonts w:ascii="Calibri" w:hAnsi="Calibri" w:eastAsia="Calibri" w:cs="Calibri"/>
          <w:noProof w:val="0"/>
          <w:sz w:val="24"/>
          <w:szCs w:val="24"/>
          <w:lang w:val="en-GB"/>
        </w:rPr>
        <w:t xml:space="preserve">The successful media strategy employed by ISIS has been used to maximise the impact of attack methods such as suicide bombings and close-quarter attacks, ensuring that the incidents are witnessed globally. </w:t>
      </w:r>
    </w:p>
    <w:p xmlns:wp14="http://schemas.microsoft.com/office/word/2010/wordml" w:rsidP="09A9AB8E" w14:paraId="3A13A4AF" wp14:textId="373B712D">
      <w:pPr>
        <w:spacing w:line="360" w:lineRule="auto"/>
        <w:jc w:val="both"/>
      </w:pPr>
      <w:r w:rsidRPr="09A9AB8E" w:rsidR="687AB600">
        <w:rPr>
          <w:rFonts w:ascii="Calibri" w:hAnsi="Calibri" w:eastAsia="Calibri" w:cs="Calibri"/>
          <w:noProof w:val="0"/>
          <w:sz w:val="24"/>
          <w:szCs w:val="24"/>
          <w:lang w:val="en-GB"/>
        </w:rPr>
        <w:t xml:space="preserve">Suicide bombings have been a successful method of attack used by ISIS since 2013. In 2019 suicide bombings accounted for 13% of all attacks by ISIS and 53% of the deaths contributed to the group (Global Terrorism Index, 2021). Howcroft (2016) argues that suicide bombings are highly effective; the use of a human to be able to get close to the target can be utilised to maximum effect. Readily available products such as fertilizer can be used to manufacture explosive devices making this attack method extremely popular. Combined with the use of remote detonation devices, this attack method is difficult to prevent and to detect prior to the event. </w:t>
      </w:r>
    </w:p>
    <w:p xmlns:wp14="http://schemas.microsoft.com/office/word/2010/wordml" w:rsidP="09A9AB8E" w14:paraId="29EBFCCC" wp14:textId="6E755D3B">
      <w:pPr>
        <w:spacing w:line="360" w:lineRule="auto"/>
        <w:jc w:val="both"/>
      </w:pPr>
      <w:r w:rsidRPr="09A9AB8E" w:rsidR="687AB600">
        <w:rPr>
          <w:rFonts w:ascii="Calibri" w:hAnsi="Calibri" w:eastAsia="Calibri" w:cs="Calibri"/>
          <w:noProof w:val="0"/>
          <w:sz w:val="24"/>
          <w:szCs w:val="24"/>
          <w:lang w:val="en-GB"/>
        </w:rPr>
        <w:t xml:space="preserve">The Manchester arena bombing in May 2017 is an example of the use of suicide bombings to maximum effect by ISIS. The attack claimed the lives of 22 people and seriously injured hundreds of others. Brothers Salman and Hashem Abedi were responsible for the events. Salman detonated a suicide bomb after carrying out a reconnaissance of the arena and concealing himself within a blind spot (Saunders, 2021). The tactic of using an explosive in a crowded area will mostly result in mass casualties. The ISIS strategic use of Improvised Explosive Devices (IEDs) has proven to be a highly effective tactic in addition to the initial blast. Debris displaced because of the detonation can cause further injury at considerable distances from an explosion’s epicentre. Further to the initial attack, the economic damage can take weeks if not years to recover from, ensuring the impact of attacks are long lasting (Home Office, 2020). Krugman (2004) has grouped the economic impact of terrorism into three categories. The first category is direct damage, which relates to lives lost and damage to infrastructure. The second is the direct financial pressures placed upon the public sector, which can include national security. The third category relates to the financial cost imposed on the private sector as people and businesses change the way they act following an attack. </w:t>
      </w:r>
    </w:p>
    <w:p xmlns:wp14="http://schemas.microsoft.com/office/word/2010/wordml" w:rsidP="09A9AB8E" w14:paraId="60A4408C" wp14:textId="51F5AE01">
      <w:pPr>
        <w:spacing w:line="360" w:lineRule="auto"/>
        <w:jc w:val="both"/>
      </w:pPr>
      <w:r w:rsidRPr="09A9AB8E" w:rsidR="687AB600">
        <w:rPr>
          <w:rFonts w:ascii="Calibri" w:hAnsi="Calibri" w:eastAsia="Calibri" w:cs="Calibri"/>
          <w:noProof w:val="0"/>
          <w:sz w:val="24"/>
          <w:szCs w:val="24"/>
          <w:lang w:val="en-GB"/>
        </w:rPr>
        <w:t xml:space="preserve">The economic impact of the Manchester arena bombing was highlighted by the UK government's response, which included a £24 million package of support. This included an £80,000 hardship fund for small businesses affected by the attack, £451,000 for social care costs, and £2.6 million for mental health support (Home office, 2018). The need for mental health support following an attack highlights the psychological impact a terrorist attack can have on individuals following the incident. Goodwin </w:t>
      </w:r>
      <w:r w:rsidRPr="09A9AB8E" w:rsidR="687AB600">
        <w:rPr>
          <w:rFonts w:ascii="Calibri" w:hAnsi="Calibri" w:eastAsia="Calibri" w:cs="Calibri"/>
          <w:i w:val="1"/>
          <w:iCs w:val="1"/>
          <w:noProof w:val="0"/>
          <w:sz w:val="24"/>
          <w:szCs w:val="24"/>
          <w:lang w:val="en-GB"/>
        </w:rPr>
        <w:t>et</w:t>
      </w:r>
      <w:r w:rsidRPr="09A9AB8E" w:rsidR="687AB600">
        <w:rPr>
          <w:rFonts w:ascii="Calibri" w:hAnsi="Calibri" w:eastAsia="Calibri" w:cs="Calibri"/>
          <w:noProof w:val="0"/>
          <w:sz w:val="24"/>
          <w:szCs w:val="24"/>
          <w:lang w:val="en-GB"/>
        </w:rPr>
        <w:t xml:space="preserve"> </w:t>
      </w:r>
      <w:r w:rsidRPr="09A9AB8E" w:rsidR="687AB600">
        <w:rPr>
          <w:rFonts w:ascii="Calibri" w:hAnsi="Calibri" w:eastAsia="Calibri" w:cs="Calibri"/>
          <w:i w:val="1"/>
          <w:iCs w:val="1"/>
          <w:noProof w:val="0"/>
          <w:sz w:val="24"/>
          <w:szCs w:val="24"/>
          <w:lang w:val="en-GB"/>
        </w:rPr>
        <w:t>al</w:t>
      </w:r>
      <w:r w:rsidRPr="09A9AB8E" w:rsidR="687AB600">
        <w:rPr>
          <w:rFonts w:ascii="Calibri" w:hAnsi="Calibri" w:eastAsia="Calibri" w:cs="Calibri"/>
          <w:noProof w:val="0"/>
          <w:sz w:val="24"/>
          <w:szCs w:val="24"/>
          <w:lang w:val="en-GB"/>
        </w:rPr>
        <w:t xml:space="preserve"> (2015, p.?) states that even individuals who are exposed virtually to a terrorist attack via the media can experience psychological distress. This shows that the ISIS media strategy works “hand in hand” with specific attack methods ensuring that maximum impact is achieved. </w:t>
      </w:r>
    </w:p>
    <w:p xmlns:wp14="http://schemas.microsoft.com/office/word/2010/wordml" w:rsidP="09A9AB8E" w14:paraId="183A8080" wp14:textId="4E161CB0">
      <w:pPr>
        <w:spacing w:line="360" w:lineRule="auto"/>
        <w:jc w:val="both"/>
      </w:pPr>
      <w:r w:rsidRPr="09A9AB8E" w:rsidR="687AB600">
        <w:rPr>
          <w:rFonts w:ascii="Calibri" w:hAnsi="Calibri" w:eastAsia="Calibri" w:cs="Calibri"/>
          <w:noProof w:val="0"/>
          <w:sz w:val="24"/>
          <w:szCs w:val="24"/>
          <w:lang w:val="en-GB"/>
        </w:rPr>
        <w:t xml:space="preserve">It can be argued that the attack method of suicide bombers causes a lasting “ripple effect” long after the initial blast and loss of life; the economic and social impact of the event will continue to cause damage to all areas of that society. The impact on the economy following an attack is a deliberate strategy. The aim is to interrupt society and reduce economic prosperity over both the short and the long term (Federation of Small Businesses, 2017). </w:t>
      </w:r>
    </w:p>
    <w:p xmlns:wp14="http://schemas.microsoft.com/office/word/2010/wordml" w:rsidP="09A9AB8E" w14:paraId="2ED2C7EB" wp14:textId="687B2219">
      <w:pPr>
        <w:spacing w:line="360" w:lineRule="auto"/>
        <w:jc w:val="both"/>
      </w:pPr>
      <w:r w:rsidRPr="09A9AB8E" w:rsidR="687AB600">
        <w:rPr>
          <w:rFonts w:ascii="Calibri" w:hAnsi="Calibri" w:eastAsia="Calibri" w:cs="Calibri"/>
          <w:noProof w:val="0"/>
          <w:sz w:val="24"/>
          <w:szCs w:val="24"/>
          <w:lang w:val="en-GB"/>
        </w:rPr>
        <w:t xml:space="preserve">ISIS have increased the tactical advantage that suicide bombings provide by using females as operatives. Bloom (2011) argues that the use of female recruits provides terrorist groups with an element of surprise. This strategy takes advantage of cultural norms, which shy away from the invasive searching of women. This strategy of using females goes hand in hand with the successful media strategy employed by ISIS with more of the group's propaganda aimed at the recruitment of females. A 2018 study carried out by the International Centre for the Study of Radicalisation found that 41,490 people travelled to join ISIS in Syria and Iraq, and 13% of these were females (Cook and Vale, 2018). </w:t>
      </w:r>
    </w:p>
    <w:p xmlns:wp14="http://schemas.microsoft.com/office/word/2010/wordml" w:rsidP="09A9AB8E" w14:paraId="5DBD84D8" wp14:textId="4BA6A92C">
      <w:pPr>
        <w:spacing w:line="360" w:lineRule="auto"/>
        <w:jc w:val="both"/>
      </w:pPr>
      <w:r w:rsidRPr="09A9AB8E" w:rsidR="687AB600">
        <w:rPr>
          <w:rFonts w:ascii="Calibri" w:hAnsi="Calibri" w:eastAsia="Calibri" w:cs="Calibri"/>
          <w:noProof w:val="0"/>
          <w:sz w:val="24"/>
          <w:szCs w:val="24"/>
          <w:lang w:val="en-GB"/>
        </w:rPr>
        <w:t xml:space="preserve"> Islamist-radicalised females have proven to be effective in both military and suicidal attacks (Shorer, 2018). In 2016 French police located a vehicle parked near the Notre Dame Cathedral, the vehicle contained seven gas cylinders and three cans of diesel. The vehicle had failed to detonate and following the failed terrorist attack three females were arrested (Chrisafis, 2016). Zafar (2018) argues that the failed Paris attack indicates that ISIS has trained international female terrorists to present deceiving appearances, with the ability to integrate themselves discreetly into society. </w:t>
      </w:r>
    </w:p>
    <w:p xmlns:wp14="http://schemas.microsoft.com/office/word/2010/wordml" w:rsidP="09A9AB8E" w14:paraId="14EDAB93" wp14:textId="64B99BAE">
      <w:pPr>
        <w:spacing w:line="360" w:lineRule="auto"/>
        <w:jc w:val="both"/>
      </w:pPr>
      <w:r w:rsidRPr="09A9AB8E" w:rsidR="687AB600">
        <w:rPr>
          <w:rFonts w:ascii="Calibri" w:hAnsi="Calibri" w:eastAsia="Calibri" w:cs="Calibri"/>
          <w:noProof w:val="0"/>
          <w:sz w:val="24"/>
          <w:szCs w:val="24"/>
          <w:lang w:val="en-GB"/>
        </w:rPr>
        <w:t xml:space="preserve">Eggert (2017) states that the use of females within even the most gender-biased extremist groups should not be overlooked, because those groups even with the most extreme gender ideology do not see the use of females as a barrier within combat if it provides a tactical advantage to achieve the desired outcome. The recruitment of female operatives can be linked to successful media strategy employed by ISIS. The group uses other females as online recruiters who portray a glamorous lifestyle offered by ISIS (Speckhard and Ellenberg, 2020). </w:t>
      </w:r>
    </w:p>
    <w:p xmlns:wp14="http://schemas.microsoft.com/office/word/2010/wordml" w:rsidP="09A9AB8E" w14:paraId="66E072DF" wp14:textId="15718BFF">
      <w:pPr>
        <w:spacing w:line="360" w:lineRule="auto"/>
        <w:jc w:val="both"/>
      </w:pPr>
      <w:r w:rsidRPr="09A9AB8E" w:rsidR="687AB600">
        <w:rPr>
          <w:rFonts w:ascii="Calibri" w:hAnsi="Calibri" w:eastAsia="Calibri" w:cs="Calibri"/>
          <w:noProof w:val="0"/>
          <w:sz w:val="24"/>
          <w:szCs w:val="24"/>
          <w:lang w:val="en-GB"/>
        </w:rPr>
        <w:t>Close quarter, also referred to as armed assaults, are another example of attack methods that have been utilised by ISIS. Howcroft (2016) describes this method as an extremely effective terrorist tactic, which can generate ISIS worldwide publicity. Armed assaults are one of the tactics favoured by ISIS, with armed attacks making up 21% of the group’s attacks in 2019 (Global Terrorism Index, 2021). The 2017 London Bridge attack is an example of this method being employed by ISIS. On 3</w:t>
      </w:r>
      <w:r w:rsidRPr="09A9AB8E" w:rsidR="687AB600">
        <w:rPr>
          <w:rFonts w:ascii="Calibri" w:hAnsi="Calibri" w:eastAsia="Calibri" w:cs="Calibri"/>
          <w:noProof w:val="0"/>
          <w:sz w:val="24"/>
          <w:szCs w:val="24"/>
          <w:vertAlign w:val="superscript"/>
          <w:lang w:val="en-GB"/>
        </w:rPr>
        <w:t>rd</w:t>
      </w:r>
      <w:r w:rsidRPr="09A9AB8E" w:rsidR="687AB600">
        <w:rPr>
          <w:rFonts w:ascii="Calibri" w:hAnsi="Calibri" w:eastAsia="Calibri" w:cs="Calibri"/>
          <w:noProof w:val="0"/>
          <w:sz w:val="24"/>
          <w:szCs w:val="24"/>
          <w:lang w:val="en-GB"/>
        </w:rPr>
        <w:t xml:space="preserve"> June 2017, three attackers hired a van and used it to strike pedestrians on London Bridge. After crashing the vehicle, the attackers, now armed with ceramic knives and wearing fake suicide vests, began to stab members of the public and the police. 11 people were killed during the attack including the three perpetrators (Lucraft, 2019). The 2017 London Bridge attack could be described as a tactical innovation, with ISIS operatives using a combination of different methods and weapons during an attack. The use of a vehicle as a weapon alongside knives helped to avoid detection (Kis-Benedek, 2017). </w:t>
      </w:r>
    </w:p>
    <w:p xmlns:wp14="http://schemas.microsoft.com/office/word/2010/wordml" w:rsidP="09A9AB8E" w14:paraId="074C21D6" wp14:textId="0A6611E7">
      <w:pPr>
        <w:spacing w:line="360" w:lineRule="auto"/>
        <w:jc w:val="both"/>
      </w:pPr>
      <w:r w:rsidRPr="09A9AB8E" w:rsidR="687AB600">
        <w:rPr>
          <w:rFonts w:ascii="Calibri" w:hAnsi="Calibri" w:eastAsia="Calibri" w:cs="Calibri"/>
          <w:noProof w:val="0"/>
          <w:sz w:val="24"/>
          <w:szCs w:val="24"/>
          <w:lang w:val="en-GB"/>
        </w:rPr>
        <w:t xml:space="preserve">The simplistic nature of the attack method used within the London Bridge attack mirrors that of the first ISIS attack in Jerusalem in January 2017. During this attack, a truck was deliberately driven into a group of soldiers. The incident resulted in the deaths of four soldiers, and many more were injured (Mahat-Shamir, 2018). </w:t>
      </w:r>
    </w:p>
    <w:p xmlns:wp14="http://schemas.microsoft.com/office/word/2010/wordml" w:rsidP="09A9AB8E" w14:paraId="06D0687D" wp14:textId="1430FE8A">
      <w:pPr>
        <w:spacing w:line="360" w:lineRule="auto"/>
        <w:jc w:val="both"/>
      </w:pPr>
      <w:r w:rsidRPr="09A9AB8E" w:rsidR="687AB600">
        <w:rPr>
          <w:rFonts w:ascii="Calibri" w:hAnsi="Calibri" w:eastAsia="Calibri" w:cs="Calibri"/>
          <w:noProof w:val="0"/>
          <w:sz w:val="24"/>
          <w:szCs w:val="24"/>
          <w:lang w:val="en-GB"/>
        </w:rPr>
        <w:t>The random nature of this type of attack is powerful because it takes place in urban areas and impacts the general population. This generates a feeling of vulnerability within a society in which the government appears to have failed to protect its people (Howcroft, 2016). The estimated short-term economic impact of the 2017 London Bridge attack is £1.4 million, which has been borne by smaller and medium sized businesses (Federation of Small Businesses, 2017). The advantage of attacks using basic weaponry and “lone actor” terrorists were also evident in the 2016 Leytonstone Tube terror attack. Muhaydin Mire, an ISIS sympathiser, targeted at random, stabbing three people during the incident (Dodd, 2015).</w:t>
      </w:r>
    </w:p>
    <w:p xmlns:wp14="http://schemas.microsoft.com/office/word/2010/wordml" w:rsidP="09A9AB8E" w14:paraId="1F783B5A" wp14:textId="319AD3BC">
      <w:pPr>
        <w:spacing w:line="360" w:lineRule="auto"/>
        <w:jc w:val="both"/>
      </w:pPr>
      <w:r w:rsidRPr="09A9AB8E" w:rsidR="687AB600">
        <w:rPr>
          <w:rFonts w:ascii="Calibri" w:hAnsi="Calibri" w:eastAsia="Calibri" w:cs="Calibri"/>
          <w:noProof w:val="0"/>
          <w:sz w:val="24"/>
          <w:szCs w:val="24"/>
          <w:lang w:val="en-GB"/>
        </w:rPr>
        <w:t xml:space="preserve">Radicalised individuals or groups that adopt the ideology of a terrorist organisation can be seen as “lone actors” or “lone wolves.” The individuals then carry out attacks without the support of the terrorist organisation (Atanasiu, 2020). However, “lone actor” attacks can be described as disorganised and not planned out fully. There has been an increase in monitoring of individuals who have accessed extremist material though the dark web and individuals who have voiced racial hatred (Atanasiu, 2020). In contrast, Harrison (2021) argues that ISIS has capitalised on the use of improved technologies by remotely inspiring attacks; these attacks require less planning and little training to ensure that they can be carried out by anyone, anywhere. The combined strategic use of improvised media communications and attack methods such as the use of close quarter has helped to make terrorism accessible to the masses. </w:t>
      </w:r>
    </w:p>
    <w:p xmlns:wp14="http://schemas.microsoft.com/office/word/2010/wordml" w:rsidP="09A9AB8E" w14:paraId="458D0022" wp14:textId="1CFE59D9">
      <w:pPr>
        <w:spacing w:line="360" w:lineRule="auto"/>
        <w:jc w:val="both"/>
      </w:pPr>
      <w:r w:rsidRPr="09A9AB8E" w:rsidR="687AB600">
        <w:rPr>
          <w:rFonts w:ascii="Calibri" w:hAnsi="Calibri" w:eastAsia="Calibri" w:cs="Calibri"/>
          <w:noProof w:val="0"/>
          <w:sz w:val="24"/>
          <w:szCs w:val="24"/>
          <w:lang w:val="en-GB"/>
        </w:rPr>
        <w:t xml:space="preserve">In conclusion, ISIS use a diverse range of weapons and tactics. The group is adaptable and willing to adopt new methods and take advantage of innovative technologies to achieve its goals. This is evident from the use of a successful media strategy, which has been used to continue the growth of ISIS with the recruitment and radicalisation of new members and ensuring that the “ISIS brand” and the ideology of ISIS are reaching a global audience. Following analysis of the media strategy adopted by ISIS, the group have taken advantage of modern digital tools, and have used them to successfully construct an ideology. This media strategy is a successful technique of war that has been adapted by the group when necessary (Sultan, 2016). </w:t>
      </w:r>
    </w:p>
    <w:p xmlns:wp14="http://schemas.microsoft.com/office/word/2010/wordml" w:rsidP="09A9AB8E" w14:paraId="6C7F672A" wp14:textId="2F87FB44">
      <w:pPr>
        <w:spacing w:line="360" w:lineRule="auto"/>
        <w:jc w:val="both"/>
      </w:pPr>
      <w:r w:rsidRPr="09A9AB8E" w:rsidR="687AB600">
        <w:rPr>
          <w:rFonts w:ascii="Calibri" w:hAnsi="Calibri" w:eastAsia="Calibri" w:cs="Calibri"/>
          <w:noProof w:val="0"/>
          <w:sz w:val="24"/>
          <w:szCs w:val="24"/>
          <w:lang w:val="en-GB"/>
        </w:rPr>
        <w:t xml:space="preserve">The attack methods of both suicide bombers and close quarter attacks have shown that there is a huge economic impact on society following the use of these methods. This is a deliberate strategy ensuring that the impact of the initial attack continues to be felt long after the incident and impacts a cross section of the population. The ISIS successful media strategy is the thread that runs through its current attack methods. Images of suicide bomb attacks and that of close quarter attacks are shared globally, which produces an underlying feeling of vulnerability within society. Harrison (2021, p 28) states that, as terrorists continue to use increasingly modern technologies, counter terrorism effects will need to adapt to address the threat. </w:t>
      </w:r>
    </w:p>
    <w:p xmlns:wp14="http://schemas.microsoft.com/office/word/2010/wordml" w:rsidP="09A9AB8E" w14:paraId="0FFA4F0E" wp14:textId="3F23E286">
      <w:pPr>
        <w:spacing w:line="360" w:lineRule="auto"/>
        <w:jc w:val="both"/>
      </w:pPr>
      <w:r w:rsidRPr="09A9AB8E" w:rsidR="687AB600">
        <w:rPr>
          <w:rFonts w:ascii="Calibri" w:hAnsi="Calibri" w:eastAsia="Calibri" w:cs="Calibri"/>
          <w:noProof w:val="0"/>
          <w:sz w:val="24"/>
          <w:szCs w:val="24"/>
          <w:lang w:val="en-GB"/>
        </w:rPr>
        <w:t xml:space="preserve"> </w:t>
      </w:r>
    </w:p>
    <w:p xmlns:wp14="http://schemas.microsoft.com/office/word/2010/wordml" w:rsidP="09A9AB8E" w14:paraId="414FCD55" wp14:textId="3CAED5D8">
      <w:pPr>
        <w:spacing w:line="360" w:lineRule="auto"/>
        <w:jc w:val="both"/>
      </w:pPr>
      <w:r w:rsidRPr="09A9AB8E" w:rsidR="687AB600">
        <w:rPr>
          <w:rFonts w:ascii="Calibri" w:hAnsi="Calibri" w:eastAsia="Calibri" w:cs="Calibri"/>
          <w:noProof w:val="0"/>
          <w:sz w:val="24"/>
          <w:szCs w:val="24"/>
          <w:lang w:val="en-GB"/>
        </w:rPr>
        <w:t>Word Count: 2959</w:t>
      </w:r>
    </w:p>
    <w:p xmlns:wp14="http://schemas.microsoft.com/office/word/2010/wordml" w:rsidP="09A9AB8E" w14:paraId="4CE4B71D" wp14:textId="25D74461">
      <w:pPr>
        <w:spacing w:line="360" w:lineRule="auto"/>
        <w:jc w:val="both"/>
      </w:pPr>
      <w:r w:rsidRPr="09A9AB8E" w:rsidR="687AB600">
        <w:rPr>
          <w:rFonts w:ascii="Calibri" w:hAnsi="Calibri" w:eastAsia="Calibri" w:cs="Calibri"/>
          <w:noProof w:val="0"/>
          <w:sz w:val="24"/>
          <w:szCs w:val="24"/>
          <w:lang w:val="en-GB"/>
        </w:rPr>
        <w:t xml:space="preserve"> </w:t>
      </w:r>
    </w:p>
    <w:p xmlns:wp14="http://schemas.microsoft.com/office/word/2010/wordml" w:rsidP="09A9AB8E" w14:paraId="35EE4AF7" wp14:textId="152E09C0">
      <w:pPr>
        <w:spacing w:line="360" w:lineRule="auto"/>
        <w:jc w:val="both"/>
      </w:pPr>
      <w:r w:rsidRPr="09A9AB8E" w:rsidR="687AB600">
        <w:rPr>
          <w:rFonts w:ascii="Calibri" w:hAnsi="Calibri" w:eastAsia="Calibri" w:cs="Calibri"/>
          <w:noProof w:val="0"/>
          <w:sz w:val="24"/>
          <w:szCs w:val="24"/>
          <w:lang w:val="en-GB"/>
        </w:rPr>
        <w:t xml:space="preserve"> </w:t>
      </w:r>
    </w:p>
    <w:p xmlns:wp14="http://schemas.microsoft.com/office/word/2010/wordml" w:rsidP="09A9AB8E" w14:paraId="40CEA35D" wp14:textId="34E5A304">
      <w:pPr>
        <w:spacing w:line="360" w:lineRule="auto"/>
        <w:jc w:val="both"/>
      </w:pPr>
      <w:r w:rsidRPr="09A9AB8E" w:rsidR="687AB600">
        <w:rPr>
          <w:rFonts w:ascii="Calibri" w:hAnsi="Calibri" w:eastAsia="Calibri" w:cs="Calibri"/>
          <w:noProof w:val="0"/>
          <w:sz w:val="24"/>
          <w:szCs w:val="24"/>
          <w:u w:val="single"/>
          <w:lang w:val="en-GB"/>
        </w:rPr>
        <w:t>Reference List</w:t>
      </w:r>
    </w:p>
    <w:p xmlns:wp14="http://schemas.microsoft.com/office/word/2010/wordml" w:rsidP="09A9AB8E" w14:paraId="78E310D9" wp14:textId="6121E691">
      <w:pPr>
        <w:spacing w:line="360" w:lineRule="auto"/>
        <w:jc w:val="both"/>
      </w:pPr>
      <w:r w:rsidRPr="09A9AB8E" w:rsidR="687AB600">
        <w:rPr>
          <w:rFonts w:ascii="Calibri" w:hAnsi="Calibri" w:eastAsia="Calibri" w:cs="Calibri"/>
          <w:noProof w:val="0"/>
          <w:sz w:val="24"/>
          <w:szCs w:val="24"/>
          <w:lang w:val="en-GB"/>
        </w:rPr>
        <w:t xml:space="preserve"> </w:t>
      </w:r>
    </w:p>
    <w:p xmlns:wp14="http://schemas.microsoft.com/office/word/2010/wordml" w:rsidP="09A9AB8E" w14:paraId="41B05256" wp14:textId="5495DF25">
      <w:pPr>
        <w:spacing w:line="257" w:lineRule="auto"/>
      </w:pPr>
      <w:r w:rsidRPr="09A9AB8E" w:rsidR="687AB600">
        <w:rPr>
          <w:rFonts w:ascii="Verdana" w:hAnsi="Verdana" w:eastAsia="Verdana" w:cs="Verdana"/>
          <w:noProof w:val="0"/>
          <w:color w:val="555555"/>
          <w:sz w:val="18"/>
          <w:szCs w:val="18"/>
          <w:lang w:val="en-GB"/>
        </w:rPr>
        <w:t>A</w:t>
      </w:r>
      <w:r w:rsidRPr="09A9AB8E" w:rsidR="687AB600">
        <w:rPr>
          <w:rFonts w:ascii="Calibri" w:hAnsi="Calibri" w:eastAsia="Calibri" w:cs="Calibri"/>
          <w:noProof w:val="0"/>
          <w:color w:val="555555"/>
          <w:sz w:val="24"/>
          <w:szCs w:val="24"/>
          <w:lang w:val="en-GB"/>
        </w:rPr>
        <w:t xml:space="preserve">tanasiu, M. (2020) ‘“Lone Wolf” Islamist Terrorists as non-state actors and their impact on security policy of the European Union’, </w:t>
      </w:r>
      <w:r w:rsidRPr="09A9AB8E" w:rsidR="687AB600">
        <w:rPr>
          <w:rFonts w:ascii="Calibri" w:hAnsi="Calibri" w:eastAsia="Calibri" w:cs="Calibri"/>
          <w:i w:val="1"/>
          <w:iCs w:val="1"/>
          <w:noProof w:val="0"/>
          <w:color w:val="555555"/>
          <w:sz w:val="24"/>
          <w:szCs w:val="24"/>
          <w:lang w:val="en-GB"/>
        </w:rPr>
        <w:t xml:space="preserve">Strategic Impact, </w:t>
      </w:r>
      <w:r w:rsidRPr="09A9AB8E" w:rsidR="687AB600">
        <w:rPr>
          <w:rFonts w:ascii="Calibri" w:hAnsi="Calibri" w:eastAsia="Calibri" w:cs="Calibri"/>
          <w:noProof w:val="0"/>
          <w:color w:val="555555"/>
          <w:sz w:val="24"/>
          <w:szCs w:val="24"/>
          <w:lang w:val="en-GB"/>
        </w:rPr>
        <w:t>(77), pp. 100-125.</w:t>
      </w:r>
    </w:p>
    <w:p xmlns:wp14="http://schemas.microsoft.com/office/word/2010/wordml" w:rsidP="09A9AB8E" w14:paraId="4192FDBD" wp14:textId="76535082">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48E597A7" wp14:textId="43DB68BE">
      <w:pPr>
        <w:spacing w:line="257" w:lineRule="auto"/>
      </w:pPr>
      <w:r w:rsidRPr="09A9AB8E" w:rsidR="687AB600">
        <w:rPr>
          <w:rFonts w:ascii="Calibri" w:hAnsi="Calibri" w:eastAsia="Calibri" w:cs="Calibri"/>
          <w:noProof w:val="0"/>
          <w:color w:val="3A3A3A"/>
          <w:sz w:val="24"/>
          <w:szCs w:val="24"/>
          <w:lang w:val="en-GB"/>
        </w:rPr>
        <w:t xml:space="preserve">Blacker, L. (2015) ‘The Islamic State’s Use of Online Social Media’, </w:t>
      </w:r>
      <w:r w:rsidRPr="09A9AB8E" w:rsidR="687AB600">
        <w:rPr>
          <w:rFonts w:ascii="Calibri" w:hAnsi="Calibri" w:eastAsia="Calibri" w:cs="Calibri"/>
          <w:i w:val="1"/>
          <w:iCs w:val="1"/>
          <w:noProof w:val="0"/>
          <w:color w:val="3A3A3A"/>
          <w:sz w:val="24"/>
          <w:szCs w:val="24"/>
          <w:lang w:val="en-GB"/>
        </w:rPr>
        <w:t>Military</w:t>
      </w:r>
      <w:r w:rsidRPr="09A9AB8E" w:rsidR="687AB600">
        <w:rPr>
          <w:rFonts w:ascii="Calibri" w:hAnsi="Calibri" w:eastAsia="Calibri" w:cs="Calibri"/>
          <w:noProof w:val="0"/>
          <w:color w:val="3A3A3A"/>
          <w:sz w:val="24"/>
          <w:szCs w:val="24"/>
          <w:lang w:val="en-GB"/>
        </w:rPr>
        <w:t xml:space="preserve"> </w:t>
      </w:r>
      <w:r w:rsidRPr="09A9AB8E" w:rsidR="687AB600">
        <w:rPr>
          <w:rFonts w:ascii="Calibri" w:hAnsi="Calibri" w:eastAsia="Calibri" w:cs="Calibri"/>
          <w:i w:val="1"/>
          <w:iCs w:val="1"/>
          <w:noProof w:val="0"/>
          <w:color w:val="3A3A3A"/>
          <w:sz w:val="24"/>
          <w:szCs w:val="24"/>
          <w:lang w:val="en-GB"/>
        </w:rPr>
        <w:t>Cyber</w:t>
      </w:r>
      <w:r w:rsidRPr="09A9AB8E" w:rsidR="687AB600">
        <w:rPr>
          <w:rFonts w:ascii="Calibri" w:hAnsi="Calibri" w:eastAsia="Calibri" w:cs="Calibri"/>
          <w:noProof w:val="0"/>
          <w:color w:val="3A3A3A"/>
          <w:sz w:val="24"/>
          <w:szCs w:val="24"/>
          <w:lang w:val="en-GB"/>
        </w:rPr>
        <w:t xml:space="preserve"> </w:t>
      </w:r>
      <w:r w:rsidRPr="09A9AB8E" w:rsidR="687AB600">
        <w:rPr>
          <w:rFonts w:ascii="Calibri" w:hAnsi="Calibri" w:eastAsia="Calibri" w:cs="Calibri"/>
          <w:i w:val="1"/>
          <w:iCs w:val="1"/>
          <w:noProof w:val="0"/>
          <w:color w:val="3A3A3A"/>
          <w:sz w:val="24"/>
          <w:szCs w:val="24"/>
          <w:lang w:val="en-GB"/>
        </w:rPr>
        <w:t>Affairs</w:t>
      </w:r>
      <w:r w:rsidRPr="09A9AB8E" w:rsidR="687AB600">
        <w:rPr>
          <w:rFonts w:ascii="Calibri" w:hAnsi="Calibri" w:eastAsia="Calibri" w:cs="Calibri"/>
          <w:noProof w:val="0"/>
          <w:color w:val="555555"/>
          <w:sz w:val="24"/>
          <w:szCs w:val="24"/>
          <w:lang w:val="en-GB"/>
        </w:rPr>
        <w:t xml:space="preserve"> DOI:</w:t>
      </w:r>
      <w:hyperlink r:id="Rb311f388944747c0">
        <w:r w:rsidRPr="09A9AB8E" w:rsidR="687AB600">
          <w:rPr>
            <w:rStyle w:val="Hyperlink"/>
            <w:rFonts w:ascii="Calibri" w:hAnsi="Calibri" w:eastAsia="Calibri" w:cs="Calibri"/>
            <w:strike w:val="0"/>
            <w:dstrike w:val="0"/>
            <w:noProof w:val="0"/>
            <w:sz w:val="24"/>
            <w:szCs w:val="24"/>
            <w:lang w:val="en-GB"/>
          </w:rPr>
          <w:t>10.5038/2378-0789.1.1.1004</w:t>
        </w:r>
      </w:hyperlink>
    </w:p>
    <w:p xmlns:wp14="http://schemas.microsoft.com/office/word/2010/wordml" w:rsidP="09A9AB8E" w14:paraId="63E3A951" wp14:textId="7374BFD1">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2FEA0FB5" wp14:textId="433A6F50">
      <w:pPr>
        <w:spacing w:line="257" w:lineRule="auto"/>
      </w:pPr>
      <w:r w:rsidRPr="09A9AB8E" w:rsidR="687AB600">
        <w:rPr>
          <w:rFonts w:ascii="Calibri" w:hAnsi="Calibri" w:eastAsia="Calibri" w:cs="Calibri"/>
          <w:noProof w:val="0"/>
          <w:color w:val="3A3A3A"/>
          <w:sz w:val="24"/>
          <w:szCs w:val="24"/>
          <w:lang w:val="en-GB"/>
        </w:rPr>
        <w:t xml:space="preserve">Bloom, M. (2011) ‘Bombshells: Women and Terror’, </w:t>
      </w:r>
      <w:r w:rsidRPr="09A9AB8E" w:rsidR="687AB600">
        <w:rPr>
          <w:rFonts w:ascii="Calibri" w:hAnsi="Calibri" w:eastAsia="Calibri" w:cs="Calibri"/>
          <w:i w:val="1"/>
          <w:iCs w:val="1"/>
          <w:noProof w:val="0"/>
          <w:color w:val="3A3A3A"/>
          <w:sz w:val="24"/>
          <w:szCs w:val="24"/>
          <w:lang w:val="en-GB"/>
        </w:rPr>
        <w:t>Gender Issues</w:t>
      </w:r>
      <w:r w:rsidRPr="09A9AB8E" w:rsidR="687AB600">
        <w:rPr>
          <w:rFonts w:ascii="Calibri" w:hAnsi="Calibri" w:eastAsia="Calibri" w:cs="Calibri"/>
          <w:noProof w:val="0"/>
          <w:color w:val="3A3A3A"/>
          <w:sz w:val="24"/>
          <w:szCs w:val="24"/>
          <w:lang w:val="en-GB"/>
        </w:rPr>
        <w:t xml:space="preserve">, </w:t>
      </w:r>
      <w:r w:rsidRPr="09A9AB8E" w:rsidR="687AB600">
        <w:rPr>
          <w:rFonts w:ascii="Calibri" w:hAnsi="Calibri" w:eastAsia="Calibri" w:cs="Calibri"/>
          <w:i w:val="1"/>
          <w:iCs w:val="1"/>
          <w:noProof w:val="0"/>
          <w:color w:val="3A3A3A"/>
          <w:sz w:val="24"/>
          <w:szCs w:val="24"/>
          <w:lang w:val="en-GB"/>
        </w:rPr>
        <w:t xml:space="preserve">28 </w:t>
      </w:r>
      <w:r w:rsidRPr="09A9AB8E" w:rsidR="687AB600">
        <w:rPr>
          <w:rFonts w:ascii="Calibri" w:hAnsi="Calibri" w:eastAsia="Calibri" w:cs="Calibri"/>
          <w:noProof w:val="0"/>
          <w:color w:val="3A3A3A"/>
          <w:sz w:val="24"/>
          <w:szCs w:val="24"/>
          <w:lang w:val="en-GB"/>
        </w:rPr>
        <w:t xml:space="preserve">(1), pp. 1–21. </w:t>
      </w:r>
      <w:hyperlink r:id="Rb6bfed80170d4374">
        <w:r w:rsidRPr="09A9AB8E" w:rsidR="687AB600">
          <w:rPr>
            <w:rStyle w:val="Hyperlink"/>
            <w:rFonts w:ascii="Calibri" w:hAnsi="Calibri" w:eastAsia="Calibri" w:cs="Calibri"/>
            <w:strike w:val="0"/>
            <w:dstrike w:val="0"/>
            <w:noProof w:val="0"/>
            <w:sz w:val="24"/>
            <w:szCs w:val="24"/>
            <w:lang w:val="en-GB"/>
          </w:rPr>
          <w:t>https://doi.org/10.1007/s12147-011-9098-z</w:t>
        </w:r>
      </w:hyperlink>
    </w:p>
    <w:p xmlns:wp14="http://schemas.microsoft.com/office/word/2010/wordml" w:rsidP="09A9AB8E" w14:paraId="57994983" wp14:textId="686F0002">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5AB90534" wp14:textId="3B99F6C3">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Chrisafis, A. (2016) ‘Women arrested in Paris had planned imminent attack on Gare De Lyon, say officials’, </w:t>
      </w:r>
      <w:r w:rsidRPr="09A9AB8E" w:rsidR="687AB600">
        <w:rPr>
          <w:rFonts w:ascii="Calibri" w:hAnsi="Calibri" w:eastAsia="Calibri" w:cs="Calibri"/>
          <w:i w:val="1"/>
          <w:iCs w:val="1"/>
          <w:noProof w:val="0"/>
          <w:color w:val="000000" w:themeColor="text1" w:themeTint="FF" w:themeShade="FF"/>
          <w:sz w:val="24"/>
          <w:szCs w:val="24"/>
          <w:lang w:val="en-GB"/>
        </w:rPr>
        <w:t>The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Guardian</w:t>
      </w:r>
      <w:r w:rsidRPr="09A9AB8E" w:rsidR="687AB600">
        <w:rPr>
          <w:rFonts w:ascii="Calibri" w:hAnsi="Calibri" w:eastAsia="Calibri" w:cs="Calibri"/>
          <w:noProof w:val="0"/>
          <w:color w:val="000000" w:themeColor="text1" w:themeTint="FF" w:themeShade="FF"/>
          <w:sz w:val="24"/>
          <w:szCs w:val="24"/>
          <w:lang w:val="en-GB"/>
        </w:rPr>
        <w:t>, 9</w:t>
      </w:r>
      <w:r w:rsidRPr="09A9AB8E" w:rsidR="687AB600">
        <w:rPr>
          <w:rFonts w:ascii="Calibri" w:hAnsi="Calibri" w:eastAsia="Calibri" w:cs="Calibri"/>
          <w:noProof w:val="0"/>
          <w:color w:val="000000" w:themeColor="text1" w:themeTint="FF" w:themeShade="FF"/>
          <w:sz w:val="24"/>
          <w:szCs w:val="24"/>
          <w:vertAlign w:val="superscript"/>
          <w:lang w:val="en-GB"/>
        </w:rPr>
        <w:t>th</w:t>
      </w:r>
      <w:r w:rsidRPr="09A9AB8E" w:rsidR="687AB600">
        <w:rPr>
          <w:rFonts w:ascii="Calibri" w:hAnsi="Calibri" w:eastAsia="Calibri" w:cs="Calibri"/>
          <w:noProof w:val="0"/>
          <w:color w:val="000000" w:themeColor="text1" w:themeTint="FF" w:themeShade="FF"/>
          <w:sz w:val="24"/>
          <w:szCs w:val="24"/>
          <w:lang w:val="en-GB"/>
        </w:rPr>
        <w:t xml:space="preserve"> September 2016. Available at: </w:t>
      </w:r>
      <w:hyperlink r:id="R18e89d6b441e4c14">
        <w:r w:rsidRPr="09A9AB8E" w:rsidR="687AB600">
          <w:rPr>
            <w:rStyle w:val="Hyperlink"/>
            <w:rFonts w:ascii="Calibri" w:hAnsi="Calibri" w:eastAsia="Calibri" w:cs="Calibri"/>
            <w:strike w:val="0"/>
            <w:dstrike w:val="0"/>
            <w:noProof w:val="0"/>
            <w:sz w:val="24"/>
            <w:szCs w:val="24"/>
            <w:lang w:val="en-GB"/>
          </w:rPr>
          <w:t>https://www.theguardian.com/world/2016/sep/09/paris-women-arrested-had-planned-imminent-attack-gare-de-ly</w:t>
        </w:r>
      </w:hyperlink>
      <w:r w:rsidRPr="09A9AB8E" w:rsidR="687AB600">
        <w:rPr>
          <w:rFonts w:ascii="Calibri" w:hAnsi="Calibri" w:eastAsia="Calibri" w:cs="Calibri"/>
          <w:noProof w:val="0"/>
          <w:color w:val="000000" w:themeColor="text1" w:themeTint="FF" w:themeShade="FF"/>
          <w:sz w:val="24"/>
          <w:szCs w:val="24"/>
          <w:lang w:val="en-GB"/>
        </w:rPr>
        <w:t xml:space="preserve"> (Accessed: 18 October 2021). </w:t>
      </w:r>
    </w:p>
    <w:p xmlns:wp14="http://schemas.microsoft.com/office/word/2010/wordml" w:rsidP="09A9AB8E" w14:paraId="3E4A08E6" wp14:textId="18811643">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42C0CECA" wp14:textId="42E1E397">
      <w:pPr>
        <w:spacing w:line="257" w:lineRule="auto"/>
      </w:pPr>
      <w:r w:rsidRPr="09A9AB8E" w:rsidR="687AB600">
        <w:rPr>
          <w:rFonts w:ascii="Calibri" w:hAnsi="Calibri" w:eastAsia="Calibri" w:cs="Calibri"/>
          <w:noProof w:val="0"/>
          <w:sz w:val="22"/>
          <w:szCs w:val="22"/>
          <w:lang w:val="en-GB"/>
        </w:rPr>
        <w:t>Clausewitz, C (1976) On War, eds./trans. Howard M &amp; Paret, P. Princeton: Princeton University Press, 606</w:t>
      </w:r>
    </w:p>
    <w:p xmlns:wp14="http://schemas.microsoft.com/office/word/2010/wordml" w:rsidP="09A9AB8E" w14:paraId="14822A9E" wp14:textId="17BFCB8E">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2FFBC30B" wp14:textId="23673131">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Cook, J and Vale, G. (2018) </w:t>
      </w:r>
      <w:r w:rsidRPr="09A9AB8E" w:rsidR="687AB600">
        <w:rPr>
          <w:rFonts w:ascii="Calibri" w:hAnsi="Calibri" w:eastAsia="Calibri" w:cs="Calibri"/>
          <w:i w:val="1"/>
          <w:iCs w:val="1"/>
          <w:noProof w:val="0"/>
          <w:color w:val="000000" w:themeColor="text1" w:themeTint="FF" w:themeShade="FF"/>
          <w:sz w:val="24"/>
          <w:szCs w:val="24"/>
          <w:lang w:val="en-GB"/>
        </w:rPr>
        <w:t xml:space="preserve">From Daesh to ‘Diaspora’ Tracing the Women and Minors of Islamic State, </w:t>
      </w:r>
      <w:r w:rsidRPr="09A9AB8E" w:rsidR="687AB600">
        <w:rPr>
          <w:rFonts w:ascii="Calibri" w:hAnsi="Calibri" w:eastAsia="Calibri" w:cs="Calibri"/>
          <w:noProof w:val="0"/>
          <w:color w:val="000000" w:themeColor="text1" w:themeTint="FF" w:themeShade="FF"/>
          <w:sz w:val="24"/>
          <w:szCs w:val="24"/>
          <w:lang w:val="en-GB"/>
        </w:rPr>
        <w:t xml:space="preserve">International Centre for the Study of Radicalisation. Available at: </w:t>
      </w:r>
      <w:hyperlink r:id="R01e1c5ab57b140d7">
        <w:r w:rsidRPr="09A9AB8E" w:rsidR="687AB600">
          <w:rPr>
            <w:rStyle w:val="Hyperlink"/>
            <w:rFonts w:ascii="Calibri" w:hAnsi="Calibri" w:eastAsia="Calibri" w:cs="Calibri"/>
            <w:strike w:val="0"/>
            <w:dstrike w:val="0"/>
            <w:noProof w:val="0"/>
            <w:sz w:val="24"/>
            <w:szCs w:val="24"/>
            <w:lang w:val="en-GB"/>
          </w:rPr>
          <w:t>https://icsr.info/wp-content/uploads/2018/07/Women-in-ISIS-report_20180719_web.pdf</w:t>
        </w:r>
      </w:hyperlink>
      <w:r w:rsidRPr="09A9AB8E" w:rsidR="687AB600">
        <w:rPr>
          <w:rFonts w:ascii="Calibri" w:hAnsi="Calibri" w:eastAsia="Calibri" w:cs="Calibri"/>
          <w:noProof w:val="0"/>
          <w:color w:val="000000" w:themeColor="text1" w:themeTint="FF" w:themeShade="FF"/>
          <w:sz w:val="24"/>
          <w:szCs w:val="24"/>
          <w:lang w:val="en-GB"/>
        </w:rPr>
        <w:t xml:space="preserve"> (Accessed: 17 October 2021). </w:t>
      </w:r>
    </w:p>
    <w:p xmlns:wp14="http://schemas.microsoft.com/office/word/2010/wordml" w:rsidP="09A9AB8E" w14:paraId="1E4F6EB2" wp14:textId="5286916B">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6168C052" wp14:textId="03A1800D">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Counter Terrorism Policing (2020) </w:t>
      </w:r>
      <w:r w:rsidRPr="09A9AB8E" w:rsidR="687AB600">
        <w:rPr>
          <w:rFonts w:ascii="Calibri" w:hAnsi="Calibri" w:eastAsia="Calibri" w:cs="Calibri"/>
          <w:i w:val="1"/>
          <w:iCs w:val="1"/>
          <w:noProof w:val="0"/>
          <w:color w:val="000000" w:themeColor="text1" w:themeTint="FF" w:themeShade="FF"/>
          <w:sz w:val="24"/>
          <w:szCs w:val="24"/>
          <w:lang w:val="en-GB"/>
        </w:rPr>
        <w:t>Prevent.</w:t>
      </w:r>
      <w:r w:rsidRPr="09A9AB8E" w:rsidR="687AB600">
        <w:rPr>
          <w:rFonts w:ascii="Calibri" w:hAnsi="Calibri" w:eastAsia="Calibri" w:cs="Calibri"/>
          <w:noProof w:val="0"/>
          <w:color w:val="000000" w:themeColor="text1" w:themeTint="FF" w:themeShade="FF"/>
          <w:sz w:val="24"/>
          <w:szCs w:val="24"/>
          <w:lang w:val="en-GB"/>
        </w:rPr>
        <w:t xml:space="preserve"> Available at: hittps://www.counterterrorism.police.uk/what-we-do/prevent/ (Accessed: 27</w:t>
      </w:r>
      <w:r w:rsidRPr="09A9AB8E" w:rsidR="687AB600">
        <w:rPr>
          <w:rFonts w:ascii="Calibri" w:hAnsi="Calibri" w:eastAsia="Calibri" w:cs="Calibri"/>
          <w:noProof w:val="0"/>
          <w:color w:val="000000" w:themeColor="text1" w:themeTint="FF" w:themeShade="FF"/>
          <w:sz w:val="24"/>
          <w:szCs w:val="24"/>
          <w:vertAlign w:val="superscript"/>
          <w:lang w:val="en-GB"/>
        </w:rPr>
        <w:t>th</w:t>
      </w:r>
      <w:r w:rsidRPr="09A9AB8E" w:rsidR="687AB600">
        <w:rPr>
          <w:rFonts w:ascii="Calibri" w:hAnsi="Calibri" w:eastAsia="Calibri" w:cs="Calibri"/>
          <w:noProof w:val="0"/>
          <w:color w:val="000000" w:themeColor="text1" w:themeTint="FF" w:themeShade="FF"/>
          <w:sz w:val="24"/>
          <w:szCs w:val="24"/>
          <w:lang w:val="en-GB"/>
        </w:rPr>
        <w:t xml:space="preserve"> September 2021). </w:t>
      </w:r>
    </w:p>
    <w:p xmlns:wp14="http://schemas.microsoft.com/office/word/2010/wordml" w:rsidP="09A9AB8E" w14:paraId="676FD5ED" wp14:textId="01C82112">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73EF290D" wp14:textId="03996DE2">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Dodd, V. (2015)  ‘Lone wolf” terror attacks hard to stop’, </w:t>
      </w:r>
      <w:r w:rsidRPr="09A9AB8E" w:rsidR="687AB600">
        <w:rPr>
          <w:rFonts w:ascii="Calibri" w:hAnsi="Calibri" w:eastAsia="Calibri" w:cs="Calibri"/>
          <w:i w:val="1"/>
          <w:iCs w:val="1"/>
          <w:noProof w:val="0"/>
          <w:color w:val="000000" w:themeColor="text1" w:themeTint="FF" w:themeShade="FF"/>
          <w:sz w:val="24"/>
          <w:szCs w:val="24"/>
          <w:lang w:val="en-GB"/>
        </w:rPr>
        <w:t>The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Guardian</w:t>
      </w:r>
      <w:r w:rsidRPr="09A9AB8E" w:rsidR="687AB600">
        <w:rPr>
          <w:rFonts w:ascii="Calibri" w:hAnsi="Calibri" w:eastAsia="Calibri" w:cs="Calibri"/>
          <w:noProof w:val="0"/>
          <w:color w:val="000000" w:themeColor="text1" w:themeTint="FF" w:themeShade="FF"/>
          <w:sz w:val="24"/>
          <w:szCs w:val="24"/>
          <w:lang w:val="en-GB"/>
        </w:rPr>
        <w:t xml:space="preserve">, 6th Dec 2015. Available at: </w:t>
      </w:r>
      <w:hyperlink r:id="R82ad778691d54120">
        <w:r w:rsidRPr="09A9AB8E" w:rsidR="687AB600">
          <w:rPr>
            <w:rStyle w:val="Hyperlink"/>
            <w:rFonts w:ascii="Calibri" w:hAnsi="Calibri" w:eastAsia="Calibri" w:cs="Calibri"/>
            <w:strike w:val="0"/>
            <w:dstrike w:val="0"/>
            <w:noProof w:val="0"/>
            <w:sz w:val="24"/>
            <w:szCs w:val="24"/>
            <w:lang w:val="en-GB"/>
          </w:rPr>
          <w:t>'Lone wolf' terror attacks hard to stop, says security expert | UK security and counter-terrorism | The Guardian</w:t>
        </w:r>
      </w:hyperlink>
      <w:r w:rsidRPr="09A9AB8E" w:rsidR="687AB600">
        <w:rPr>
          <w:rFonts w:ascii="Calibri" w:hAnsi="Calibri" w:eastAsia="Calibri" w:cs="Calibri"/>
          <w:strike w:val="0"/>
          <w:dstrike w:val="0"/>
          <w:noProof w:val="0"/>
          <w:color w:val="0563C1"/>
          <w:sz w:val="24"/>
          <w:szCs w:val="24"/>
          <w:u w:val="single"/>
          <w:lang w:val="en-GB"/>
        </w:rPr>
        <w:t xml:space="preserve">.  (Accessed: 17 October 2021).  </w:t>
      </w:r>
    </w:p>
    <w:p xmlns:wp14="http://schemas.microsoft.com/office/word/2010/wordml" w:rsidP="09A9AB8E" w14:paraId="0FB349C2" wp14:textId="79D3E584">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23526102" wp14:textId="0ED050A2">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Eggert, J P. (2017) </w:t>
      </w:r>
      <w:r w:rsidRPr="09A9AB8E" w:rsidR="687AB600">
        <w:rPr>
          <w:rFonts w:ascii="Calibri" w:hAnsi="Calibri" w:eastAsia="Calibri" w:cs="Calibri"/>
          <w:i w:val="1"/>
          <w:iCs w:val="1"/>
          <w:noProof w:val="0"/>
          <w:color w:val="000000" w:themeColor="text1" w:themeTint="FF" w:themeShade="FF"/>
          <w:sz w:val="24"/>
          <w:szCs w:val="24"/>
          <w:lang w:val="en-GB"/>
        </w:rPr>
        <w:t>Women in the Islamic State: Tactical Advantage Trumps Ideology</w:t>
      </w:r>
      <w:r w:rsidRPr="09A9AB8E" w:rsidR="687AB600">
        <w:rPr>
          <w:rFonts w:ascii="Calibri" w:hAnsi="Calibri" w:eastAsia="Calibri" w:cs="Calibri"/>
          <w:noProof w:val="0"/>
          <w:color w:val="000000" w:themeColor="text1" w:themeTint="FF" w:themeShade="FF"/>
          <w:sz w:val="24"/>
          <w:szCs w:val="24"/>
          <w:lang w:val="en-GB"/>
        </w:rPr>
        <w:t xml:space="preserve">. Available at: </w:t>
      </w:r>
      <w:hyperlink r:id="R8979dadd261e437b">
        <w:r w:rsidRPr="09A9AB8E" w:rsidR="687AB600">
          <w:rPr>
            <w:rStyle w:val="Hyperlink"/>
            <w:rFonts w:ascii="Calibri" w:hAnsi="Calibri" w:eastAsia="Calibri" w:cs="Calibri"/>
            <w:strike w:val="0"/>
            <w:dstrike w:val="0"/>
            <w:noProof w:val="0"/>
            <w:sz w:val="24"/>
            <w:szCs w:val="24"/>
            <w:lang w:val="en-GB"/>
          </w:rPr>
          <w:t>https://theglobalobservatory.org/2017/08/isis-women-ideology-mosul/</w:t>
        </w:r>
      </w:hyperlink>
      <w:r w:rsidRPr="09A9AB8E" w:rsidR="687AB600">
        <w:rPr>
          <w:rFonts w:ascii="Calibri" w:hAnsi="Calibri" w:eastAsia="Calibri" w:cs="Calibri"/>
          <w:noProof w:val="0"/>
          <w:color w:val="000000" w:themeColor="text1" w:themeTint="FF" w:themeShade="FF"/>
          <w:sz w:val="24"/>
          <w:szCs w:val="24"/>
          <w:lang w:val="en-GB"/>
        </w:rPr>
        <w:t xml:space="preserve"> (Accessed: 27</w:t>
      </w:r>
      <w:r w:rsidRPr="09A9AB8E" w:rsidR="687AB600">
        <w:rPr>
          <w:rFonts w:ascii="Calibri" w:hAnsi="Calibri" w:eastAsia="Calibri" w:cs="Calibri"/>
          <w:noProof w:val="0"/>
          <w:color w:val="000000" w:themeColor="text1" w:themeTint="FF" w:themeShade="FF"/>
          <w:sz w:val="24"/>
          <w:szCs w:val="24"/>
          <w:vertAlign w:val="superscript"/>
          <w:lang w:val="en-GB"/>
        </w:rPr>
        <w:t>th</w:t>
      </w:r>
      <w:r w:rsidRPr="09A9AB8E" w:rsidR="687AB600">
        <w:rPr>
          <w:rFonts w:ascii="Calibri" w:hAnsi="Calibri" w:eastAsia="Calibri" w:cs="Calibri"/>
          <w:noProof w:val="0"/>
          <w:color w:val="000000" w:themeColor="text1" w:themeTint="FF" w:themeShade="FF"/>
          <w:sz w:val="24"/>
          <w:szCs w:val="24"/>
          <w:lang w:val="en-GB"/>
        </w:rPr>
        <w:t xml:space="preserve"> September 2021). </w:t>
      </w:r>
    </w:p>
    <w:p xmlns:wp14="http://schemas.microsoft.com/office/word/2010/wordml" w:rsidP="09A9AB8E" w14:paraId="614AA89B" wp14:textId="0396984D">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564B57DA" wp14:textId="4C85A697">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Federation of Small Businesses (2007) </w:t>
      </w:r>
      <w:r w:rsidRPr="09A9AB8E" w:rsidR="687AB600">
        <w:rPr>
          <w:rFonts w:ascii="Calibri" w:hAnsi="Calibri" w:eastAsia="Calibri" w:cs="Calibri"/>
          <w:i w:val="1"/>
          <w:iCs w:val="1"/>
          <w:noProof w:val="0"/>
          <w:color w:val="000000" w:themeColor="text1" w:themeTint="FF" w:themeShade="FF"/>
          <w:sz w:val="24"/>
          <w:szCs w:val="24"/>
          <w:lang w:val="en-GB"/>
        </w:rPr>
        <w:t>Small</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Business</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as</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Usual</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strengthening</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resilience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against</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21</w:t>
      </w:r>
      <w:r w:rsidRPr="09A9AB8E" w:rsidR="687AB600">
        <w:rPr>
          <w:rFonts w:ascii="Calibri" w:hAnsi="Calibri" w:eastAsia="Calibri" w:cs="Calibri"/>
          <w:i w:val="1"/>
          <w:iCs w:val="1"/>
          <w:noProof w:val="0"/>
          <w:color w:val="000000" w:themeColor="text1" w:themeTint="FF" w:themeShade="FF"/>
          <w:sz w:val="24"/>
          <w:szCs w:val="24"/>
          <w:vertAlign w:val="superscript"/>
          <w:lang w:val="en-GB"/>
        </w:rPr>
        <w:t>ST</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Century</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Terrorism</w:t>
      </w:r>
      <w:r w:rsidRPr="09A9AB8E" w:rsidR="687AB600">
        <w:rPr>
          <w:rFonts w:ascii="Calibri" w:hAnsi="Calibri" w:eastAsia="Calibri" w:cs="Calibri"/>
          <w:noProof w:val="0"/>
          <w:color w:val="000000" w:themeColor="text1" w:themeTint="FF" w:themeShade="FF"/>
          <w:sz w:val="24"/>
          <w:szCs w:val="24"/>
          <w:lang w:val="en-GB"/>
        </w:rPr>
        <w:t xml:space="preserve">. Available at:  </w:t>
      </w:r>
      <w:hyperlink r:id="Rbf99fab459f54abc">
        <w:r w:rsidRPr="09A9AB8E" w:rsidR="687AB600">
          <w:rPr>
            <w:rStyle w:val="Hyperlink"/>
            <w:rFonts w:ascii="Calibri" w:hAnsi="Calibri" w:eastAsia="Calibri" w:cs="Calibri"/>
            <w:strike w:val="0"/>
            <w:dstrike w:val="0"/>
            <w:noProof w:val="0"/>
            <w:sz w:val="24"/>
            <w:szCs w:val="24"/>
            <w:lang w:val="en-GB"/>
          </w:rPr>
          <w:t>FSB paper Small business as usual.pdf</w:t>
        </w:r>
      </w:hyperlink>
      <w:r w:rsidRPr="09A9AB8E" w:rsidR="687AB600">
        <w:rPr>
          <w:rFonts w:ascii="Calibri" w:hAnsi="Calibri" w:eastAsia="Calibri" w:cs="Calibri"/>
          <w:noProof w:val="0"/>
          <w:color w:val="000000" w:themeColor="text1" w:themeTint="FF" w:themeShade="FF"/>
          <w:sz w:val="24"/>
          <w:szCs w:val="24"/>
          <w:lang w:val="en-GB"/>
        </w:rPr>
        <w:t xml:space="preserve"> (Accessed: 15 October 2021). </w:t>
      </w:r>
    </w:p>
    <w:p xmlns:wp14="http://schemas.microsoft.com/office/word/2010/wordml" w:rsidP="09A9AB8E" w14:paraId="17C7DD87" wp14:textId="1442AF90">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46D56D88" wp14:textId="212DA49F">
      <w:pPr>
        <w:spacing w:line="257" w:lineRule="auto"/>
      </w:pPr>
      <w:r w:rsidRPr="09A9AB8E" w:rsidR="687AB600">
        <w:rPr>
          <w:rFonts w:ascii="Calibri" w:hAnsi="Calibri" w:eastAsia="Calibri" w:cs="Calibri"/>
          <w:noProof w:val="0"/>
          <w:color w:val="3A3A3A"/>
          <w:sz w:val="24"/>
          <w:szCs w:val="24"/>
          <w:lang w:val="en-GB"/>
        </w:rPr>
        <w:t xml:space="preserve">Friis, S. M. (2015) ‘Beyond anything we have ever seen’: beheading videos and the visibility of violence in the war against ISIS, </w:t>
      </w:r>
      <w:r w:rsidRPr="09A9AB8E" w:rsidR="687AB600">
        <w:rPr>
          <w:rFonts w:ascii="Calibri" w:hAnsi="Calibri" w:eastAsia="Calibri" w:cs="Calibri"/>
          <w:i w:val="1"/>
          <w:iCs w:val="1"/>
          <w:noProof w:val="0"/>
          <w:color w:val="3A3A3A"/>
          <w:sz w:val="24"/>
          <w:szCs w:val="24"/>
          <w:lang w:val="en-GB"/>
        </w:rPr>
        <w:t>International affairs (London)</w:t>
      </w:r>
      <w:r w:rsidRPr="09A9AB8E" w:rsidR="687AB600">
        <w:rPr>
          <w:rFonts w:ascii="Calibri" w:hAnsi="Calibri" w:eastAsia="Calibri" w:cs="Calibri"/>
          <w:noProof w:val="0"/>
          <w:color w:val="3A3A3A"/>
          <w:sz w:val="24"/>
          <w:szCs w:val="24"/>
          <w:lang w:val="en-GB"/>
        </w:rPr>
        <w:t>. 91 (4), 725–746.</w:t>
      </w:r>
    </w:p>
    <w:p xmlns:wp14="http://schemas.microsoft.com/office/word/2010/wordml" w:rsidP="09A9AB8E" w14:paraId="06B1297E" wp14:textId="2369C75E">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2234269B" wp14:textId="2C001CD3">
      <w:pPr>
        <w:spacing w:line="257" w:lineRule="auto"/>
      </w:pPr>
      <w:r w:rsidRPr="09A9AB8E" w:rsidR="687AB600">
        <w:rPr>
          <w:rFonts w:ascii="Calibri" w:hAnsi="Calibri" w:eastAsia="Calibri" w:cs="Calibri"/>
          <w:noProof w:val="0"/>
          <w:color w:val="323232"/>
          <w:sz w:val="24"/>
          <w:szCs w:val="24"/>
          <w:lang w:val="en-GB"/>
        </w:rPr>
        <w:t>Goodwin, R, et al. (2015) ‘Association between media use, acute stress disorder and psychological distress’</w:t>
      </w:r>
      <w:r w:rsidRPr="09A9AB8E" w:rsidR="687AB600">
        <w:rPr>
          <w:rFonts w:ascii="Calibri" w:hAnsi="Calibri" w:eastAsia="Calibri" w:cs="Calibri"/>
          <w:i w:val="1"/>
          <w:iCs w:val="1"/>
          <w:noProof w:val="0"/>
          <w:color w:val="323232"/>
          <w:sz w:val="24"/>
          <w:szCs w:val="24"/>
          <w:lang w:val="en-GB"/>
        </w:rPr>
        <w:t xml:space="preserve">. </w:t>
      </w:r>
      <w:r w:rsidRPr="09A9AB8E" w:rsidR="687AB600">
        <w:rPr>
          <w:rFonts w:ascii="Calibri" w:hAnsi="Calibri" w:eastAsia="Calibri" w:cs="Calibri"/>
          <w:noProof w:val="0"/>
          <w:color w:val="323232"/>
          <w:sz w:val="24"/>
          <w:szCs w:val="24"/>
          <w:lang w:val="en-GB"/>
        </w:rPr>
        <w:t>DOI:</w:t>
      </w:r>
      <w:r w:rsidRPr="09A9AB8E" w:rsidR="687AB600">
        <w:rPr>
          <w:rFonts w:ascii="Calibri" w:hAnsi="Calibri" w:eastAsia="Calibri" w:cs="Calibri"/>
          <w:i w:val="1"/>
          <w:iCs w:val="1"/>
          <w:noProof w:val="0"/>
          <w:color w:val="323232"/>
          <w:sz w:val="24"/>
          <w:szCs w:val="24"/>
          <w:lang w:val="en-GB"/>
        </w:rPr>
        <w:t xml:space="preserve"> </w:t>
      </w:r>
      <w:hyperlink r:id="R0235ffe62413402b">
        <w:r w:rsidRPr="09A9AB8E" w:rsidR="687AB600">
          <w:rPr>
            <w:rStyle w:val="Hyperlink"/>
            <w:rFonts w:ascii="Calibri" w:hAnsi="Calibri" w:eastAsia="Calibri" w:cs="Calibri"/>
            <w:strike w:val="0"/>
            <w:dstrike w:val="0"/>
            <w:noProof w:val="0"/>
            <w:sz w:val="24"/>
            <w:szCs w:val="24"/>
            <w:lang w:val="en-GB"/>
          </w:rPr>
          <w:t>doi-org.ezproxy.uwtsd.ac.uk/10.1159/000377706</w:t>
        </w:r>
      </w:hyperlink>
    </w:p>
    <w:p xmlns:wp14="http://schemas.microsoft.com/office/word/2010/wordml" w:rsidP="09A9AB8E" w14:paraId="5BFBC02D" wp14:textId="25D6E0F1">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261E51FC" wp14:textId="488957B5">
      <w:pPr>
        <w:spacing w:line="257" w:lineRule="auto"/>
      </w:pPr>
      <w:r w:rsidRPr="09A9AB8E" w:rsidR="687AB600">
        <w:rPr>
          <w:rFonts w:ascii="Calibri" w:hAnsi="Calibri" w:eastAsia="Calibri" w:cs="Calibri"/>
          <w:noProof w:val="0"/>
          <w:color w:val="555555"/>
          <w:sz w:val="24"/>
          <w:szCs w:val="24"/>
          <w:lang w:val="en-GB"/>
        </w:rPr>
        <w:t xml:space="preserve">Harrison, S. (2021) </w:t>
      </w:r>
      <w:r w:rsidRPr="09A9AB8E" w:rsidR="687AB600">
        <w:rPr>
          <w:rFonts w:ascii="Calibri" w:hAnsi="Calibri" w:eastAsia="Calibri" w:cs="Calibri"/>
          <w:i w:val="1"/>
          <w:iCs w:val="1"/>
          <w:noProof w:val="0"/>
          <w:color w:val="555555"/>
          <w:sz w:val="24"/>
          <w:szCs w:val="24"/>
          <w:lang w:val="en-GB"/>
        </w:rPr>
        <w:t>Evolving</w:t>
      </w:r>
      <w:r w:rsidRPr="09A9AB8E" w:rsidR="687AB600">
        <w:rPr>
          <w:rFonts w:ascii="Calibri" w:hAnsi="Calibri" w:eastAsia="Calibri" w:cs="Calibri"/>
          <w:noProof w:val="0"/>
          <w:color w:val="555555"/>
          <w:sz w:val="24"/>
          <w:szCs w:val="24"/>
          <w:lang w:val="en-GB"/>
        </w:rPr>
        <w:t xml:space="preserve"> </w:t>
      </w:r>
      <w:r w:rsidRPr="09A9AB8E" w:rsidR="687AB600">
        <w:rPr>
          <w:rFonts w:ascii="Calibri" w:hAnsi="Calibri" w:eastAsia="Calibri" w:cs="Calibri"/>
          <w:i w:val="1"/>
          <w:iCs w:val="1"/>
          <w:noProof w:val="0"/>
          <w:color w:val="555555"/>
          <w:sz w:val="24"/>
          <w:szCs w:val="24"/>
          <w:lang w:val="en-GB"/>
        </w:rPr>
        <w:t>tact</w:t>
      </w:r>
      <w:r w:rsidRPr="09A9AB8E" w:rsidR="687AB600">
        <w:rPr>
          <w:rFonts w:ascii="Calibri" w:hAnsi="Calibri" w:eastAsia="Calibri" w:cs="Calibri"/>
          <w:noProof w:val="0"/>
          <w:color w:val="555555"/>
          <w:sz w:val="24"/>
          <w:szCs w:val="24"/>
          <w:lang w:val="en-GB"/>
        </w:rPr>
        <w:t xml:space="preserve">, </w:t>
      </w:r>
      <w:r w:rsidRPr="09A9AB8E" w:rsidR="687AB600">
        <w:rPr>
          <w:rFonts w:ascii="Calibri" w:hAnsi="Calibri" w:eastAsia="Calibri" w:cs="Calibri"/>
          <w:i w:val="1"/>
          <w:iCs w:val="1"/>
          <w:noProof w:val="0"/>
          <w:color w:val="555555"/>
          <w:sz w:val="24"/>
          <w:szCs w:val="24"/>
          <w:lang w:val="en-GB"/>
        </w:rPr>
        <w:t>evolving</w:t>
      </w:r>
      <w:r w:rsidRPr="09A9AB8E" w:rsidR="687AB600">
        <w:rPr>
          <w:rFonts w:ascii="Calibri" w:hAnsi="Calibri" w:eastAsia="Calibri" w:cs="Calibri"/>
          <w:noProof w:val="0"/>
          <w:color w:val="555555"/>
          <w:sz w:val="24"/>
          <w:szCs w:val="24"/>
          <w:lang w:val="en-GB"/>
        </w:rPr>
        <w:t xml:space="preserve"> </w:t>
      </w:r>
      <w:r w:rsidRPr="09A9AB8E" w:rsidR="687AB600">
        <w:rPr>
          <w:rFonts w:ascii="Calibri" w:hAnsi="Calibri" w:eastAsia="Calibri" w:cs="Calibri"/>
          <w:i w:val="1"/>
          <w:iCs w:val="1"/>
          <w:noProof w:val="0"/>
          <w:color w:val="555555"/>
          <w:sz w:val="24"/>
          <w:szCs w:val="24"/>
          <w:lang w:val="en-GB"/>
        </w:rPr>
        <w:t>terror</w:t>
      </w:r>
      <w:r w:rsidRPr="09A9AB8E" w:rsidR="687AB600">
        <w:rPr>
          <w:rFonts w:ascii="Calibri" w:hAnsi="Calibri" w:eastAsia="Calibri" w:cs="Calibri"/>
          <w:noProof w:val="0"/>
          <w:color w:val="555555"/>
          <w:sz w:val="24"/>
          <w:szCs w:val="24"/>
          <w:lang w:val="en-GB"/>
        </w:rPr>
        <w:t xml:space="preserve">. Available at: </w:t>
      </w:r>
      <w:hyperlink r:id="R6ac21a89e38648e8">
        <w:r w:rsidRPr="09A9AB8E" w:rsidR="687AB600">
          <w:rPr>
            <w:rStyle w:val="Hyperlink"/>
            <w:rFonts w:ascii="Calibri" w:hAnsi="Calibri" w:eastAsia="Calibri" w:cs="Calibri"/>
            <w:strike w:val="0"/>
            <w:dstrike w:val="0"/>
            <w:noProof w:val="0"/>
            <w:sz w:val="24"/>
            <w:szCs w:val="24"/>
            <w:lang w:val="en-GB"/>
          </w:rPr>
          <w:t>Evolving Tech, Evolving Terror | Centre for Strategic and International Studies (csis.org)</w:t>
        </w:r>
      </w:hyperlink>
      <w:r w:rsidRPr="09A9AB8E" w:rsidR="687AB600">
        <w:rPr>
          <w:rFonts w:ascii="Calibri" w:hAnsi="Calibri" w:eastAsia="Calibri" w:cs="Calibri"/>
          <w:noProof w:val="0"/>
          <w:color w:val="000000" w:themeColor="text1" w:themeTint="FF" w:themeShade="FF"/>
          <w:sz w:val="24"/>
          <w:szCs w:val="24"/>
          <w:lang w:val="en-GB"/>
        </w:rPr>
        <w:t xml:space="preserve"> (Accessed: 17th October 2021). </w:t>
      </w:r>
    </w:p>
    <w:p xmlns:wp14="http://schemas.microsoft.com/office/word/2010/wordml" w:rsidP="09A9AB8E" w14:paraId="04EEDF43" wp14:textId="7EEAE7D0">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1290635D" wp14:textId="2380AECF">
      <w:pPr>
        <w:spacing w:line="257" w:lineRule="auto"/>
      </w:pPr>
      <w:r w:rsidRPr="09A9AB8E" w:rsidR="687AB600">
        <w:rPr>
          <w:rFonts w:ascii="Calibri" w:hAnsi="Calibri" w:eastAsia="Calibri" w:cs="Calibri"/>
          <w:noProof w:val="0"/>
          <w:color w:val="3A3A3A"/>
          <w:sz w:val="24"/>
          <w:szCs w:val="24"/>
          <w:lang w:val="en-GB"/>
        </w:rPr>
        <w:t xml:space="preserve">Home Office (2020) </w:t>
      </w:r>
      <w:r w:rsidRPr="09A9AB8E" w:rsidR="687AB600">
        <w:rPr>
          <w:rFonts w:ascii="Calibri" w:hAnsi="Calibri" w:eastAsia="Calibri" w:cs="Calibri"/>
          <w:i w:val="1"/>
          <w:iCs w:val="1"/>
          <w:noProof w:val="0"/>
          <w:color w:val="3A3A3A"/>
          <w:sz w:val="24"/>
          <w:szCs w:val="24"/>
          <w:lang w:val="en-GB"/>
        </w:rPr>
        <w:t>Individuals referred to and supported through the Prevent Programme, April 2019 to March 2020.</w:t>
      </w:r>
      <w:r w:rsidRPr="09A9AB8E" w:rsidR="687AB600">
        <w:rPr>
          <w:rFonts w:ascii="Calibri" w:hAnsi="Calibri" w:eastAsia="Calibri" w:cs="Calibri"/>
          <w:noProof w:val="0"/>
          <w:color w:val="3A3A3A"/>
          <w:sz w:val="24"/>
          <w:szCs w:val="24"/>
          <w:lang w:val="en-GB"/>
        </w:rPr>
        <w:t xml:space="preserve"> Available at: </w:t>
      </w:r>
      <w:hyperlink r:id="R488b17c2f4944652">
        <w:r w:rsidRPr="09A9AB8E" w:rsidR="687AB600">
          <w:rPr>
            <w:rStyle w:val="Hyperlink"/>
            <w:rFonts w:ascii="Calibri" w:hAnsi="Calibri" w:eastAsia="Calibri" w:cs="Calibri"/>
            <w:strike w:val="0"/>
            <w:dstrike w:val="0"/>
            <w:noProof w:val="0"/>
            <w:sz w:val="24"/>
            <w:szCs w:val="24"/>
            <w:lang w:val="en-GB"/>
          </w:rPr>
          <w:t>Individuals referred to and supported through the Prevent Programme, April 2019 to March 2020 - GOV.UK (www.gov.uk)</w:t>
        </w:r>
      </w:hyperlink>
      <w:r w:rsidRPr="09A9AB8E" w:rsidR="687AB600">
        <w:rPr>
          <w:rFonts w:ascii="Calibri" w:hAnsi="Calibri" w:eastAsia="Calibri" w:cs="Calibri"/>
          <w:noProof w:val="0"/>
          <w:color w:val="000000" w:themeColor="text1" w:themeTint="FF" w:themeShade="FF"/>
          <w:sz w:val="24"/>
          <w:szCs w:val="24"/>
          <w:lang w:val="en-GB"/>
        </w:rPr>
        <w:t xml:space="preserve"> (Accessed: 26</w:t>
      </w:r>
      <w:r w:rsidRPr="09A9AB8E" w:rsidR="687AB600">
        <w:rPr>
          <w:rFonts w:ascii="Calibri" w:hAnsi="Calibri" w:eastAsia="Calibri" w:cs="Calibri"/>
          <w:noProof w:val="0"/>
          <w:color w:val="000000" w:themeColor="text1" w:themeTint="FF" w:themeShade="FF"/>
          <w:sz w:val="24"/>
          <w:szCs w:val="24"/>
          <w:vertAlign w:val="superscript"/>
          <w:lang w:val="en-GB"/>
        </w:rPr>
        <w:t>th</w:t>
      </w:r>
      <w:r w:rsidRPr="09A9AB8E" w:rsidR="687AB600">
        <w:rPr>
          <w:rFonts w:ascii="Calibri" w:hAnsi="Calibri" w:eastAsia="Calibri" w:cs="Calibri"/>
          <w:noProof w:val="0"/>
          <w:color w:val="000000" w:themeColor="text1" w:themeTint="FF" w:themeShade="FF"/>
          <w:sz w:val="24"/>
          <w:szCs w:val="24"/>
          <w:lang w:val="en-GB"/>
        </w:rPr>
        <w:t xml:space="preserve"> September 2021). </w:t>
      </w:r>
    </w:p>
    <w:p xmlns:wp14="http://schemas.microsoft.com/office/word/2010/wordml" w:rsidP="09A9AB8E" w14:paraId="7BEBA4FF" wp14:textId="37B1D06E">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7A0BF2AC" wp14:textId="1DE8AEDE">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Home Office (2015) </w:t>
      </w:r>
      <w:r w:rsidRPr="09A9AB8E" w:rsidR="687AB600">
        <w:rPr>
          <w:rFonts w:ascii="Calibri" w:hAnsi="Calibri" w:eastAsia="Calibri" w:cs="Calibri"/>
          <w:i w:val="1"/>
          <w:iCs w:val="1"/>
          <w:noProof w:val="0"/>
          <w:color w:val="000000" w:themeColor="text1" w:themeTint="FF" w:themeShade="FF"/>
          <w:sz w:val="24"/>
          <w:szCs w:val="24"/>
          <w:lang w:val="en-GB"/>
        </w:rPr>
        <w:t>Guidance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Online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Radicalisation</w:t>
      </w:r>
      <w:r w:rsidRPr="09A9AB8E" w:rsidR="687AB600">
        <w:rPr>
          <w:rFonts w:ascii="Calibri" w:hAnsi="Calibri" w:eastAsia="Calibri" w:cs="Calibri"/>
          <w:noProof w:val="0"/>
          <w:color w:val="000000" w:themeColor="text1" w:themeTint="FF" w:themeShade="FF"/>
          <w:sz w:val="24"/>
          <w:szCs w:val="24"/>
          <w:lang w:val="en-GB"/>
        </w:rPr>
        <w:t xml:space="preserve">. Available at: </w:t>
      </w:r>
      <w:hyperlink r:id="R242f24e759074cd4">
        <w:r w:rsidRPr="09A9AB8E" w:rsidR="687AB600">
          <w:rPr>
            <w:rStyle w:val="Hyperlink"/>
            <w:rFonts w:ascii="Calibri" w:hAnsi="Calibri" w:eastAsia="Calibri" w:cs="Calibri"/>
            <w:strike w:val="0"/>
            <w:dstrike w:val="0"/>
            <w:noProof w:val="0"/>
            <w:sz w:val="24"/>
            <w:szCs w:val="24"/>
            <w:lang w:val="en-GB"/>
          </w:rPr>
          <w:t>https://www.gov.uk/goverment/publications/online-radicalisation/online-radicalisation</w:t>
        </w:r>
      </w:hyperlink>
      <w:r w:rsidRPr="09A9AB8E" w:rsidR="687AB600">
        <w:rPr>
          <w:rFonts w:ascii="Calibri" w:hAnsi="Calibri" w:eastAsia="Calibri" w:cs="Calibri"/>
          <w:noProof w:val="0"/>
          <w:color w:val="000000" w:themeColor="text1" w:themeTint="FF" w:themeShade="FF"/>
          <w:sz w:val="24"/>
          <w:szCs w:val="24"/>
          <w:lang w:val="en-GB"/>
        </w:rPr>
        <w:t xml:space="preserve"> (Accessed: 29 September 2021). </w:t>
      </w:r>
    </w:p>
    <w:p xmlns:wp14="http://schemas.microsoft.com/office/word/2010/wordml" w:rsidP="09A9AB8E" w14:paraId="0376DA5F" wp14:textId="6FF4E187">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63065B96" wp14:textId="058CF695">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Home Office (2015) </w:t>
      </w:r>
      <w:r w:rsidRPr="09A9AB8E" w:rsidR="687AB600">
        <w:rPr>
          <w:rFonts w:ascii="Calibri" w:hAnsi="Calibri" w:eastAsia="Calibri" w:cs="Calibri"/>
          <w:i w:val="1"/>
          <w:iCs w:val="1"/>
          <w:noProof w:val="0"/>
          <w:color w:val="000000" w:themeColor="text1" w:themeTint="FF" w:themeShade="FF"/>
          <w:sz w:val="24"/>
          <w:szCs w:val="24"/>
          <w:lang w:val="en-GB"/>
        </w:rPr>
        <w:t>The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use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of</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social</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media</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for</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online</w:t>
      </w:r>
      <w:r w:rsidRPr="09A9AB8E" w:rsidR="687AB600">
        <w:rPr>
          <w:rFonts w:ascii="Calibri" w:hAnsi="Calibri" w:eastAsia="Calibri" w:cs="Calibri"/>
          <w:noProof w:val="0"/>
          <w:color w:val="000000" w:themeColor="text1" w:themeTint="FF" w:themeShade="FF"/>
          <w:sz w:val="24"/>
          <w:szCs w:val="24"/>
          <w:lang w:val="en-GB"/>
        </w:rPr>
        <w:t xml:space="preserve"> </w:t>
      </w:r>
      <w:r w:rsidRPr="09A9AB8E" w:rsidR="687AB600">
        <w:rPr>
          <w:rFonts w:ascii="Calibri" w:hAnsi="Calibri" w:eastAsia="Calibri" w:cs="Calibri"/>
          <w:i w:val="1"/>
          <w:iCs w:val="1"/>
          <w:noProof w:val="0"/>
          <w:color w:val="000000" w:themeColor="text1" w:themeTint="FF" w:themeShade="FF"/>
          <w:sz w:val="24"/>
          <w:szCs w:val="24"/>
          <w:lang w:val="en-GB"/>
        </w:rPr>
        <w:t>radicalisation</w:t>
      </w:r>
      <w:r w:rsidRPr="09A9AB8E" w:rsidR="687AB600">
        <w:rPr>
          <w:rFonts w:ascii="Calibri" w:hAnsi="Calibri" w:eastAsia="Calibri" w:cs="Calibri"/>
          <w:noProof w:val="0"/>
          <w:color w:val="000000" w:themeColor="text1" w:themeTint="FF" w:themeShade="FF"/>
          <w:sz w:val="24"/>
          <w:szCs w:val="24"/>
          <w:lang w:val="en-GB"/>
        </w:rPr>
        <w:t xml:space="preserve">. Available at: </w:t>
      </w:r>
      <w:hyperlink r:id="R90d2126d27734f77">
        <w:r w:rsidRPr="09A9AB8E" w:rsidR="687AB600">
          <w:rPr>
            <w:rStyle w:val="Hyperlink"/>
            <w:rFonts w:ascii="Calibri" w:hAnsi="Calibri" w:eastAsia="Calibri" w:cs="Calibri"/>
            <w:strike w:val="0"/>
            <w:dstrike w:val="0"/>
            <w:noProof w:val="0"/>
            <w:sz w:val="24"/>
            <w:szCs w:val="24"/>
            <w:lang w:val="en-GB"/>
          </w:rPr>
          <w:t>https://www.gov.uk/goverment/publications/the-use-of-social-media-for-online-radicalisation</w:t>
        </w:r>
      </w:hyperlink>
      <w:r w:rsidRPr="09A9AB8E" w:rsidR="687AB600">
        <w:rPr>
          <w:rFonts w:ascii="Calibri" w:hAnsi="Calibri" w:eastAsia="Calibri" w:cs="Calibri"/>
          <w:noProof w:val="0"/>
          <w:color w:val="000000" w:themeColor="text1" w:themeTint="FF" w:themeShade="FF"/>
          <w:sz w:val="24"/>
          <w:szCs w:val="24"/>
          <w:lang w:val="en-GB"/>
        </w:rPr>
        <w:t xml:space="preserve"> (Accessed: 30 September 2021). </w:t>
      </w:r>
    </w:p>
    <w:p xmlns:wp14="http://schemas.microsoft.com/office/word/2010/wordml" w:rsidP="09A9AB8E" w14:paraId="11E71A92" wp14:textId="3ADF32F7">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30863EC1" wp14:textId="4DD9D215">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Home Office (2017) </w:t>
      </w:r>
      <w:r w:rsidRPr="09A9AB8E" w:rsidR="687AB600">
        <w:rPr>
          <w:rFonts w:ascii="Calibri" w:hAnsi="Calibri" w:eastAsia="Calibri" w:cs="Calibri"/>
          <w:i w:val="1"/>
          <w:iCs w:val="1"/>
          <w:noProof w:val="0"/>
          <w:color w:val="000000" w:themeColor="text1" w:themeTint="FF" w:themeShade="FF"/>
          <w:sz w:val="24"/>
          <w:szCs w:val="24"/>
          <w:lang w:val="en-GB"/>
        </w:rPr>
        <w:t xml:space="preserve">Radicalisation: the counter narrative and identifying the tipping point. </w:t>
      </w:r>
      <w:r w:rsidRPr="09A9AB8E" w:rsidR="687AB600">
        <w:rPr>
          <w:rFonts w:ascii="Calibri" w:hAnsi="Calibri" w:eastAsia="Calibri" w:cs="Calibri"/>
          <w:noProof w:val="0"/>
          <w:color w:val="000000" w:themeColor="text1" w:themeTint="FF" w:themeShade="FF"/>
          <w:sz w:val="24"/>
          <w:szCs w:val="24"/>
          <w:lang w:val="en-GB"/>
        </w:rPr>
        <w:t xml:space="preserve">Available at: </w:t>
      </w:r>
      <w:hyperlink r:id="Rf6a0023112e744c6">
        <w:r w:rsidRPr="09A9AB8E" w:rsidR="687AB600">
          <w:rPr>
            <w:rStyle w:val="Hyperlink"/>
            <w:rFonts w:ascii="Calibri" w:hAnsi="Calibri" w:eastAsia="Calibri" w:cs="Calibri"/>
            <w:strike w:val="0"/>
            <w:dstrike w:val="0"/>
            <w:noProof w:val="0"/>
            <w:sz w:val="24"/>
            <w:szCs w:val="24"/>
            <w:lang w:val="en-GB"/>
          </w:rPr>
          <w:t>https://www.bing.com/search?q=Cm+9555%2C+Radicalisation%3A+the+counter-narrative+and+identifying+the+tipping+point</w:t>
        </w:r>
      </w:hyperlink>
      <w:r w:rsidRPr="09A9AB8E" w:rsidR="687AB600">
        <w:rPr>
          <w:rFonts w:ascii="Calibri" w:hAnsi="Calibri" w:eastAsia="Calibri" w:cs="Calibri"/>
          <w:noProof w:val="0"/>
          <w:color w:val="000000" w:themeColor="text1" w:themeTint="FF" w:themeShade="FF"/>
          <w:sz w:val="24"/>
          <w:szCs w:val="24"/>
          <w:lang w:val="en-GB"/>
        </w:rPr>
        <w:t xml:space="preserve"> (Accessed: 1 October 2021). </w:t>
      </w:r>
    </w:p>
    <w:p xmlns:wp14="http://schemas.microsoft.com/office/word/2010/wordml" w:rsidP="09A9AB8E" w14:paraId="78980199" wp14:textId="5ECA3B81">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3CCAF38D" wp14:textId="5DB2B965">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Howcroft, J (2016) ‘The Strategy and Tactics of Terrorism’, in Wither, J.K and Mullins, S. (ed.) </w:t>
      </w:r>
      <w:r w:rsidRPr="09A9AB8E" w:rsidR="687AB600">
        <w:rPr>
          <w:rFonts w:ascii="Calibri" w:hAnsi="Calibri" w:eastAsia="Calibri" w:cs="Calibri"/>
          <w:i w:val="1"/>
          <w:iCs w:val="1"/>
          <w:noProof w:val="0"/>
          <w:color w:val="000000" w:themeColor="text1" w:themeTint="FF" w:themeShade="FF"/>
          <w:sz w:val="24"/>
          <w:szCs w:val="24"/>
          <w:lang w:val="en-GB"/>
        </w:rPr>
        <w:t xml:space="preserve">Combating Transnational Terrorism. </w:t>
      </w:r>
      <w:r w:rsidRPr="09A9AB8E" w:rsidR="687AB600">
        <w:rPr>
          <w:rFonts w:ascii="Calibri" w:hAnsi="Calibri" w:eastAsia="Calibri" w:cs="Calibri"/>
          <w:noProof w:val="0"/>
          <w:color w:val="000000" w:themeColor="text1" w:themeTint="FF" w:themeShade="FF"/>
          <w:sz w:val="24"/>
          <w:szCs w:val="24"/>
          <w:lang w:val="en-GB"/>
        </w:rPr>
        <w:t xml:space="preserve">Bulgaria: Procon Ltd. </w:t>
      </w:r>
    </w:p>
    <w:p xmlns:wp14="http://schemas.microsoft.com/office/word/2010/wordml" w:rsidP="09A9AB8E" w14:paraId="46B1B51F" wp14:textId="72157DF1">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3D48D74C" wp14:textId="3607B6D3">
      <w:pPr>
        <w:spacing w:line="257" w:lineRule="auto"/>
      </w:pPr>
      <w:r w:rsidRPr="09A9AB8E" w:rsidR="687AB600">
        <w:rPr>
          <w:rFonts w:ascii="Calibri" w:hAnsi="Calibri" w:eastAsia="Calibri" w:cs="Calibri"/>
          <w:noProof w:val="0"/>
          <w:color w:val="3A3A3A"/>
          <w:sz w:val="24"/>
          <w:szCs w:val="24"/>
          <w:lang w:val="en-GB"/>
        </w:rPr>
        <w:t xml:space="preserve">Institute for Economics and Peace (2021) </w:t>
      </w:r>
      <w:r w:rsidRPr="09A9AB8E" w:rsidR="687AB600">
        <w:rPr>
          <w:rFonts w:ascii="Calibri" w:hAnsi="Calibri" w:eastAsia="Calibri" w:cs="Calibri"/>
          <w:i w:val="1"/>
          <w:iCs w:val="1"/>
          <w:noProof w:val="0"/>
          <w:color w:val="3A3A3A"/>
          <w:sz w:val="24"/>
          <w:szCs w:val="24"/>
          <w:lang w:val="en-GB"/>
        </w:rPr>
        <w:t>Global Terrorism Index 2020, Measuring the impact of Terrorism</w:t>
      </w:r>
      <w:r w:rsidRPr="09A9AB8E" w:rsidR="687AB600">
        <w:rPr>
          <w:rFonts w:ascii="Calibri" w:hAnsi="Calibri" w:eastAsia="Calibri" w:cs="Calibri"/>
          <w:noProof w:val="0"/>
          <w:color w:val="3A3A3A"/>
          <w:sz w:val="24"/>
          <w:szCs w:val="24"/>
          <w:lang w:val="en-GB"/>
        </w:rPr>
        <w:t xml:space="preserve">. Available at: </w:t>
      </w:r>
      <w:hyperlink r:id="R514508240fdb4d88">
        <w:r w:rsidRPr="09A9AB8E" w:rsidR="687AB600">
          <w:rPr>
            <w:rStyle w:val="Hyperlink"/>
            <w:rFonts w:ascii="Calibri" w:hAnsi="Calibri" w:eastAsia="Calibri" w:cs="Calibri"/>
            <w:strike w:val="0"/>
            <w:dstrike w:val="0"/>
            <w:noProof w:val="0"/>
            <w:sz w:val="24"/>
            <w:szCs w:val="24"/>
            <w:lang w:val="en-GB"/>
          </w:rPr>
          <w:t>https://visionofhumanity.org/wp-content/uploads/2020/11/GTI-2020-web-1.pdf</w:t>
        </w:r>
      </w:hyperlink>
      <w:r w:rsidRPr="09A9AB8E" w:rsidR="687AB600">
        <w:rPr>
          <w:rFonts w:ascii="Calibri" w:hAnsi="Calibri" w:eastAsia="Calibri" w:cs="Calibri"/>
          <w:noProof w:val="0"/>
          <w:color w:val="000000" w:themeColor="text1" w:themeTint="FF" w:themeShade="FF"/>
          <w:sz w:val="24"/>
          <w:szCs w:val="24"/>
          <w:lang w:val="en-GB"/>
        </w:rPr>
        <w:t xml:space="preserve"> (Accessed: 27</w:t>
      </w:r>
      <w:r w:rsidRPr="09A9AB8E" w:rsidR="687AB600">
        <w:rPr>
          <w:rFonts w:ascii="Calibri" w:hAnsi="Calibri" w:eastAsia="Calibri" w:cs="Calibri"/>
          <w:noProof w:val="0"/>
          <w:color w:val="000000" w:themeColor="text1" w:themeTint="FF" w:themeShade="FF"/>
          <w:sz w:val="24"/>
          <w:szCs w:val="24"/>
          <w:vertAlign w:val="superscript"/>
          <w:lang w:val="en-GB"/>
        </w:rPr>
        <w:t xml:space="preserve">th </w:t>
      </w:r>
      <w:r w:rsidRPr="09A9AB8E" w:rsidR="687AB600">
        <w:rPr>
          <w:rFonts w:ascii="Calibri" w:hAnsi="Calibri" w:eastAsia="Calibri" w:cs="Calibri"/>
          <w:noProof w:val="0"/>
          <w:color w:val="000000" w:themeColor="text1" w:themeTint="FF" w:themeShade="FF"/>
          <w:sz w:val="24"/>
          <w:szCs w:val="24"/>
          <w:lang w:val="en-GB"/>
        </w:rPr>
        <w:t xml:space="preserve">September 2021). </w:t>
      </w:r>
    </w:p>
    <w:p xmlns:wp14="http://schemas.microsoft.com/office/word/2010/wordml" w:rsidP="09A9AB8E" w14:paraId="3E30ABE6" wp14:textId="54876169">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1B8262A3" wp14:textId="72B1BAD3">
      <w:pPr>
        <w:spacing w:line="257" w:lineRule="auto"/>
      </w:pPr>
      <w:r w:rsidRPr="09A9AB8E" w:rsidR="687AB600">
        <w:rPr>
          <w:rFonts w:ascii="Calibri" w:hAnsi="Calibri" w:eastAsia="Calibri" w:cs="Calibri"/>
          <w:noProof w:val="0"/>
          <w:color w:val="3A3A3A"/>
          <w:sz w:val="24"/>
          <w:szCs w:val="24"/>
          <w:lang w:val="en-GB"/>
        </w:rPr>
        <w:t xml:space="preserve">Ingram, H. J. (2016) ‘An analysis of Islamic State’s Dabiq magazine.’ </w:t>
      </w:r>
      <w:r w:rsidRPr="09A9AB8E" w:rsidR="687AB600">
        <w:rPr>
          <w:rFonts w:ascii="Calibri" w:hAnsi="Calibri" w:eastAsia="Calibri" w:cs="Calibri"/>
          <w:i w:val="1"/>
          <w:iCs w:val="1"/>
          <w:noProof w:val="0"/>
          <w:color w:val="3A3A3A"/>
          <w:sz w:val="24"/>
          <w:szCs w:val="24"/>
          <w:lang w:val="en-GB"/>
        </w:rPr>
        <w:t>Australian journal of political science</w:t>
      </w:r>
      <w:r w:rsidRPr="09A9AB8E" w:rsidR="687AB600">
        <w:rPr>
          <w:rFonts w:ascii="Calibri" w:hAnsi="Calibri" w:eastAsia="Calibri" w:cs="Calibri"/>
          <w:noProof w:val="0"/>
          <w:color w:val="3A3A3A"/>
          <w:sz w:val="24"/>
          <w:szCs w:val="24"/>
          <w:lang w:val="en-GB"/>
        </w:rPr>
        <w:t>. 51 (3), 458–477.</w:t>
      </w:r>
    </w:p>
    <w:p xmlns:wp14="http://schemas.microsoft.com/office/word/2010/wordml" w:rsidP="09A9AB8E" w14:paraId="1D62509B" wp14:textId="04A63082">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5D6C9845" wp14:textId="65284D33">
      <w:pPr>
        <w:spacing w:line="257" w:lineRule="auto"/>
      </w:pPr>
      <w:r w:rsidRPr="09A9AB8E" w:rsidR="687AB600">
        <w:rPr>
          <w:rFonts w:ascii="Calibri" w:hAnsi="Calibri" w:eastAsia="Calibri" w:cs="Calibri"/>
          <w:noProof w:val="0"/>
          <w:color w:val="3A3A3A"/>
          <w:sz w:val="24"/>
          <w:szCs w:val="24"/>
          <w:lang w:val="en-GB"/>
        </w:rPr>
        <w:t xml:space="preserve">Khalid Sultan (2016) The ‘ISIS’ Online Media War: A Construction of Ideology through Terrorism. </w:t>
      </w:r>
      <w:r w:rsidRPr="09A9AB8E" w:rsidR="687AB600">
        <w:rPr>
          <w:rFonts w:ascii="Calibri" w:hAnsi="Calibri" w:eastAsia="Calibri" w:cs="Calibri"/>
          <w:i w:val="1"/>
          <w:iCs w:val="1"/>
          <w:noProof w:val="0"/>
          <w:color w:val="3A3A3A"/>
          <w:sz w:val="24"/>
          <w:szCs w:val="24"/>
          <w:lang w:val="en-GB"/>
        </w:rPr>
        <w:t>Pakistan Journal of Peace and Conflict Studies</w:t>
      </w:r>
      <w:r w:rsidRPr="09A9AB8E" w:rsidR="687AB600">
        <w:rPr>
          <w:rFonts w:ascii="Calibri" w:hAnsi="Calibri" w:eastAsia="Calibri" w:cs="Calibri"/>
          <w:noProof w:val="0"/>
          <w:color w:val="3A3A3A"/>
          <w:sz w:val="24"/>
          <w:szCs w:val="24"/>
          <w:lang w:val="en-GB"/>
        </w:rPr>
        <w:t>. 1 (2), 1–14.</w:t>
      </w:r>
    </w:p>
    <w:p xmlns:wp14="http://schemas.microsoft.com/office/word/2010/wordml" w:rsidP="09A9AB8E" w14:paraId="3009F6D7" wp14:textId="1760D7A6">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3A69C7D8" wp14:textId="1F02FDBF">
      <w:pPr>
        <w:spacing w:line="257" w:lineRule="auto"/>
      </w:pPr>
      <w:r w:rsidRPr="09A9AB8E" w:rsidR="687AB600">
        <w:rPr>
          <w:rFonts w:ascii="Calibri" w:hAnsi="Calibri" w:eastAsia="Calibri" w:cs="Calibri"/>
          <w:noProof w:val="0"/>
          <w:color w:val="3A3A3A"/>
          <w:sz w:val="24"/>
          <w:szCs w:val="24"/>
          <w:lang w:val="en-GB"/>
        </w:rPr>
        <w:t>Khawaja, A S. &amp; Khan, A. (2016) ‘Media Strategy of ISIS: An Analysis’, Strategic</w:t>
      </w:r>
      <w:r w:rsidRPr="09A9AB8E" w:rsidR="687AB600">
        <w:rPr>
          <w:rFonts w:ascii="Calibri" w:hAnsi="Calibri" w:eastAsia="Calibri" w:cs="Calibri"/>
          <w:i w:val="1"/>
          <w:iCs w:val="1"/>
          <w:noProof w:val="0"/>
          <w:color w:val="3A3A3A"/>
          <w:sz w:val="24"/>
          <w:szCs w:val="24"/>
          <w:lang w:val="en-GB"/>
        </w:rPr>
        <w:t xml:space="preserve"> studies</w:t>
      </w:r>
      <w:r w:rsidRPr="09A9AB8E" w:rsidR="687AB600">
        <w:rPr>
          <w:rFonts w:ascii="Calibri" w:hAnsi="Calibri" w:eastAsia="Calibri" w:cs="Calibri"/>
          <w:noProof w:val="0"/>
          <w:color w:val="3A3A3A"/>
          <w:sz w:val="24"/>
          <w:szCs w:val="24"/>
          <w:lang w:val="en-GB"/>
        </w:rPr>
        <w:t>. 36 (2), 104–121.</w:t>
      </w:r>
    </w:p>
    <w:p xmlns:wp14="http://schemas.microsoft.com/office/word/2010/wordml" w:rsidP="09A9AB8E" w14:paraId="632662E7" wp14:textId="50F32D88">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27F77BAD" wp14:textId="3AD67C73">
      <w:pPr>
        <w:spacing w:line="257" w:lineRule="auto"/>
      </w:pPr>
      <w:r w:rsidRPr="09A9AB8E" w:rsidR="687AB600">
        <w:rPr>
          <w:rFonts w:ascii="Calibri" w:hAnsi="Calibri" w:eastAsia="Calibri" w:cs="Calibri"/>
          <w:noProof w:val="0"/>
          <w:color w:val="3A3A3A"/>
          <w:sz w:val="24"/>
          <w:szCs w:val="24"/>
          <w:lang w:val="en-GB"/>
        </w:rPr>
        <w:t xml:space="preserve">Krona, M., &amp; Pennington, R. (2019). </w:t>
      </w:r>
      <w:r w:rsidRPr="09A9AB8E" w:rsidR="687AB600">
        <w:rPr>
          <w:rFonts w:ascii="Calibri" w:hAnsi="Calibri" w:eastAsia="Calibri" w:cs="Calibri"/>
          <w:i w:val="1"/>
          <w:iCs w:val="1"/>
          <w:noProof w:val="0"/>
          <w:color w:val="3A3A3A"/>
          <w:sz w:val="24"/>
          <w:szCs w:val="24"/>
          <w:lang w:val="en-GB"/>
        </w:rPr>
        <w:t>The media world of ISIS</w:t>
      </w:r>
      <w:r w:rsidRPr="09A9AB8E" w:rsidR="687AB600">
        <w:rPr>
          <w:rFonts w:ascii="Calibri" w:hAnsi="Calibri" w:eastAsia="Calibri" w:cs="Calibri"/>
          <w:noProof w:val="0"/>
          <w:color w:val="3A3A3A"/>
          <w:sz w:val="24"/>
          <w:szCs w:val="24"/>
          <w:lang w:val="en-GB"/>
        </w:rPr>
        <w:t>. Indiana University Press.</w:t>
      </w:r>
    </w:p>
    <w:p xmlns:wp14="http://schemas.microsoft.com/office/word/2010/wordml" w:rsidP="09A9AB8E" w14:paraId="36A30D75" wp14:textId="1CC6F31D">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408F80E9" wp14:textId="5623392C">
      <w:pPr>
        <w:spacing w:line="257" w:lineRule="auto"/>
      </w:pPr>
      <w:r w:rsidRPr="09A9AB8E" w:rsidR="687AB600">
        <w:rPr>
          <w:rFonts w:ascii="Source Sans Pro" w:hAnsi="Source Sans Pro" w:eastAsia="Source Sans Pro" w:cs="Source Sans Pro"/>
          <w:noProof w:val="0"/>
          <w:color w:val="000000" w:themeColor="text1" w:themeTint="FF" w:themeShade="FF"/>
          <w:sz w:val="22"/>
          <w:szCs w:val="22"/>
          <w:lang w:val="en-GB"/>
        </w:rPr>
        <w:t>Krugman, P. (2004).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The</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Costs</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of</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Terrorism</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What</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do</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we</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w:t>
      </w:r>
      <w:r w:rsidRPr="09A9AB8E" w:rsidR="687AB600">
        <w:rPr>
          <w:rFonts w:ascii="Source Sans Pro" w:hAnsi="Source Sans Pro" w:eastAsia="Source Sans Pro" w:cs="Source Sans Pro"/>
          <w:i w:val="1"/>
          <w:iCs w:val="1"/>
          <w:noProof w:val="0"/>
          <w:color w:val="000000" w:themeColor="text1" w:themeTint="FF" w:themeShade="FF"/>
          <w:sz w:val="22"/>
          <w:szCs w:val="22"/>
          <w:lang w:val="en-GB"/>
        </w:rPr>
        <w:t>know</w:t>
      </w:r>
      <w:r w:rsidRPr="09A9AB8E" w:rsidR="687AB600">
        <w:rPr>
          <w:rFonts w:ascii="Source Sans Pro" w:hAnsi="Source Sans Pro" w:eastAsia="Source Sans Pro" w:cs="Source Sans Pro"/>
          <w:noProof w:val="0"/>
          <w:color w:val="000000" w:themeColor="text1" w:themeTint="FF" w:themeShade="FF"/>
          <w:sz w:val="22"/>
          <w:szCs w:val="22"/>
          <w:lang w:val="en-GB"/>
        </w:rPr>
        <w:t xml:space="preserve">?’ The Princeton Project on National Security. Available at: </w:t>
      </w:r>
      <w:hyperlink r:id="Rff52aebf73464091">
        <w:r w:rsidRPr="09A9AB8E" w:rsidR="687AB600">
          <w:rPr>
            <w:rStyle w:val="Hyperlink"/>
            <w:rFonts w:ascii="Source Sans Pro" w:hAnsi="Source Sans Pro" w:eastAsia="Source Sans Pro" w:cs="Source Sans Pro"/>
            <w:strike w:val="0"/>
            <w:dstrike w:val="0"/>
            <w:noProof w:val="0"/>
            <w:sz w:val="22"/>
            <w:szCs w:val="22"/>
            <w:lang w:val="en-GB"/>
          </w:rPr>
          <w:t>https://www.uvic.ca/research/centres/globalstudies/assets</w:t>
        </w:r>
      </w:hyperlink>
      <w:r w:rsidRPr="09A9AB8E" w:rsidR="687AB600">
        <w:rPr>
          <w:rFonts w:ascii="Source Sans Pro" w:hAnsi="Source Sans Pro" w:eastAsia="Source Sans Pro" w:cs="Source Sans Pro"/>
          <w:noProof w:val="0"/>
          <w:color w:val="000000" w:themeColor="text1" w:themeTint="FF" w:themeShade="FF"/>
          <w:sz w:val="22"/>
          <w:szCs w:val="22"/>
          <w:lang w:val="en-GB"/>
        </w:rPr>
        <w:t xml:space="preserve"> /docs/publications/l20/the-costs-of-terrorist.pdf. (Accessed: 15 October 2021). </w:t>
      </w:r>
    </w:p>
    <w:p xmlns:wp14="http://schemas.microsoft.com/office/word/2010/wordml" w:rsidP="09A9AB8E" w14:paraId="0DE1D56A" wp14:textId="5FC92450">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0000E127" wp14:textId="2BE9F981">
      <w:pPr>
        <w:spacing w:line="257" w:lineRule="auto"/>
      </w:pPr>
      <w:r w:rsidRPr="09A9AB8E" w:rsidR="687AB600">
        <w:rPr>
          <w:rFonts w:ascii="Calibri" w:hAnsi="Calibri" w:eastAsia="Calibri" w:cs="Calibri"/>
          <w:noProof w:val="0"/>
          <w:color w:val="3A3A3A"/>
          <w:sz w:val="24"/>
          <w:szCs w:val="24"/>
          <w:lang w:val="en-GB"/>
        </w:rPr>
        <w:t xml:space="preserve">Kis-Benedek, J. (2017) The ISIS and the Global Terrorism. </w:t>
      </w:r>
      <w:r w:rsidRPr="09A9AB8E" w:rsidR="687AB600">
        <w:rPr>
          <w:rFonts w:ascii="Calibri" w:hAnsi="Calibri" w:eastAsia="Calibri" w:cs="Calibri"/>
          <w:i w:val="1"/>
          <w:iCs w:val="1"/>
          <w:noProof w:val="0"/>
          <w:color w:val="3A3A3A"/>
          <w:sz w:val="24"/>
          <w:szCs w:val="24"/>
          <w:lang w:val="en-GB"/>
        </w:rPr>
        <w:t>Science &amp; Military Journal</w:t>
      </w:r>
      <w:r w:rsidRPr="09A9AB8E" w:rsidR="687AB600">
        <w:rPr>
          <w:rFonts w:ascii="Calibri" w:hAnsi="Calibri" w:eastAsia="Calibri" w:cs="Calibri"/>
          <w:noProof w:val="0"/>
          <w:color w:val="3A3A3A"/>
          <w:sz w:val="24"/>
          <w:szCs w:val="24"/>
          <w:lang w:val="en-GB"/>
        </w:rPr>
        <w:t>. 12 (2), 5–10.</w:t>
      </w:r>
    </w:p>
    <w:p xmlns:wp14="http://schemas.microsoft.com/office/word/2010/wordml" w:rsidP="09A9AB8E" w14:paraId="1DB4E36F" wp14:textId="356D4121">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24541119" wp14:textId="734871A5">
      <w:pPr>
        <w:spacing w:line="257" w:lineRule="auto"/>
      </w:pPr>
      <w:r w:rsidRPr="09A9AB8E" w:rsidR="687AB600">
        <w:rPr>
          <w:rFonts w:ascii="Calibri" w:hAnsi="Calibri" w:eastAsia="Calibri" w:cs="Calibri"/>
          <w:noProof w:val="0"/>
          <w:color w:val="3A3A3A"/>
          <w:sz w:val="24"/>
          <w:szCs w:val="24"/>
          <w:lang w:val="en-GB"/>
        </w:rPr>
        <w:t xml:space="preserve">Lucraft, M. (2019) </w:t>
      </w:r>
      <w:r w:rsidRPr="09A9AB8E" w:rsidR="687AB600">
        <w:rPr>
          <w:rFonts w:ascii="Calibri" w:hAnsi="Calibri" w:eastAsia="Calibri" w:cs="Calibri"/>
          <w:i w:val="1"/>
          <w:iCs w:val="1"/>
          <w:noProof w:val="0"/>
          <w:color w:val="3A3A3A"/>
          <w:sz w:val="24"/>
          <w:szCs w:val="24"/>
          <w:lang w:val="en-GB"/>
        </w:rPr>
        <w:t xml:space="preserve">London Bridge &amp; Borough Market Terror Attack. </w:t>
      </w:r>
      <w:r w:rsidRPr="09A9AB8E" w:rsidR="687AB600">
        <w:rPr>
          <w:rFonts w:ascii="Calibri" w:hAnsi="Calibri" w:eastAsia="Calibri" w:cs="Calibri"/>
          <w:noProof w:val="0"/>
          <w:color w:val="3A3A3A"/>
          <w:sz w:val="24"/>
          <w:szCs w:val="24"/>
          <w:lang w:val="en-GB"/>
        </w:rPr>
        <w:t xml:space="preserve">Available at: at: </w:t>
      </w:r>
      <w:hyperlink r:id="R09f85902428a4dec">
        <w:r w:rsidRPr="09A9AB8E" w:rsidR="687AB600">
          <w:rPr>
            <w:rStyle w:val="Hyperlink"/>
            <w:rFonts w:ascii="Calibri" w:hAnsi="Calibri" w:eastAsia="Calibri" w:cs="Calibri"/>
            <w:strike w:val="0"/>
            <w:dstrike w:val="0"/>
            <w:noProof w:val="0"/>
            <w:sz w:val="24"/>
            <w:szCs w:val="24"/>
            <w:lang w:val="en-GB"/>
          </w:rPr>
          <w:t>https://www.judiciary.uk/publications/london-bridge-borough-market-terror-attack/</w:t>
        </w:r>
      </w:hyperlink>
      <w:r w:rsidRPr="09A9AB8E" w:rsidR="687AB600">
        <w:rPr>
          <w:rFonts w:ascii="Calibri" w:hAnsi="Calibri" w:eastAsia="Calibri" w:cs="Calibri"/>
          <w:noProof w:val="0"/>
          <w:color w:val="000000" w:themeColor="text1" w:themeTint="FF" w:themeShade="FF"/>
          <w:sz w:val="24"/>
          <w:szCs w:val="24"/>
          <w:lang w:val="en-GB"/>
        </w:rPr>
        <w:t xml:space="preserve"> (Accessed: 17 October 2021). </w:t>
      </w:r>
    </w:p>
    <w:p xmlns:wp14="http://schemas.microsoft.com/office/word/2010/wordml" w:rsidP="09A9AB8E" w14:paraId="18EC16D8" wp14:textId="71A87FDB">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46105C26" wp14:textId="0DEB6468">
      <w:pPr>
        <w:spacing w:line="257" w:lineRule="auto"/>
      </w:pPr>
      <w:r w:rsidRPr="09A9AB8E" w:rsidR="687AB600">
        <w:rPr>
          <w:rFonts w:ascii="Calibri" w:hAnsi="Calibri" w:eastAsia="Calibri" w:cs="Calibri"/>
          <w:noProof w:val="0"/>
          <w:color w:val="3A3A3A"/>
          <w:sz w:val="24"/>
          <w:szCs w:val="24"/>
          <w:lang w:val="en-GB"/>
        </w:rPr>
        <w:t xml:space="preserve">Mahat-Shamir, M, et al. (2018) ‘Truck attack: Fear of ISIS and reminder of truck attacks in Europe as associated with psychological distress and PTSD symptoms’. </w:t>
      </w:r>
      <w:r w:rsidRPr="09A9AB8E" w:rsidR="687AB600">
        <w:rPr>
          <w:rFonts w:ascii="Calibri" w:hAnsi="Calibri" w:eastAsia="Calibri" w:cs="Calibri"/>
          <w:i w:val="1"/>
          <w:iCs w:val="1"/>
          <w:noProof w:val="0"/>
          <w:color w:val="3A3A3A"/>
          <w:sz w:val="24"/>
          <w:szCs w:val="24"/>
          <w:lang w:val="en-GB"/>
        </w:rPr>
        <w:t>Psychiatry Research</w:t>
      </w:r>
      <w:r w:rsidRPr="09A9AB8E" w:rsidR="687AB600">
        <w:rPr>
          <w:rFonts w:ascii="Calibri" w:hAnsi="Calibri" w:eastAsia="Calibri" w:cs="Calibri"/>
          <w:noProof w:val="0"/>
          <w:color w:val="3A3A3A"/>
          <w:sz w:val="24"/>
          <w:szCs w:val="24"/>
          <w:lang w:val="en-GB"/>
        </w:rPr>
        <w:t xml:space="preserve">, </w:t>
      </w:r>
      <w:r w:rsidRPr="09A9AB8E" w:rsidR="687AB600">
        <w:rPr>
          <w:rFonts w:ascii="Calibri" w:hAnsi="Calibri" w:eastAsia="Calibri" w:cs="Calibri"/>
          <w:i w:val="1"/>
          <w:iCs w:val="1"/>
          <w:noProof w:val="0"/>
          <w:color w:val="3A3A3A"/>
          <w:sz w:val="24"/>
          <w:szCs w:val="24"/>
          <w:lang w:val="en-GB"/>
        </w:rPr>
        <w:t>267</w:t>
      </w:r>
      <w:r w:rsidRPr="09A9AB8E" w:rsidR="687AB600">
        <w:rPr>
          <w:rFonts w:ascii="Calibri" w:hAnsi="Calibri" w:eastAsia="Calibri" w:cs="Calibri"/>
          <w:noProof w:val="0"/>
          <w:color w:val="3A3A3A"/>
          <w:sz w:val="24"/>
          <w:szCs w:val="24"/>
          <w:lang w:val="en-GB"/>
        </w:rPr>
        <w:t xml:space="preserve">, 306–312. </w:t>
      </w:r>
      <w:hyperlink r:id="Rafffb533ef3047e4">
        <w:r w:rsidRPr="09A9AB8E" w:rsidR="687AB600">
          <w:rPr>
            <w:rStyle w:val="Hyperlink"/>
            <w:rFonts w:ascii="Calibri" w:hAnsi="Calibri" w:eastAsia="Calibri" w:cs="Calibri"/>
            <w:strike w:val="0"/>
            <w:dstrike w:val="0"/>
            <w:noProof w:val="0"/>
            <w:sz w:val="24"/>
            <w:szCs w:val="24"/>
            <w:lang w:val="en-GB"/>
          </w:rPr>
          <w:t>doi.org/10.1016/j.psychres.2018.06.021</w:t>
        </w:r>
      </w:hyperlink>
    </w:p>
    <w:p xmlns:wp14="http://schemas.microsoft.com/office/word/2010/wordml" w:rsidP="09A9AB8E" w14:paraId="1F9D2E54" wp14:textId="79625D16">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5EC09F84" wp14:textId="5B5BA37D">
      <w:pPr>
        <w:spacing w:line="257" w:lineRule="auto"/>
      </w:pPr>
      <w:r w:rsidRPr="09A9AB8E" w:rsidR="687AB600">
        <w:rPr>
          <w:rFonts w:ascii="Calibri" w:hAnsi="Calibri" w:eastAsia="Calibri" w:cs="Calibri"/>
          <w:noProof w:val="0"/>
          <w:color w:val="3A3A3A"/>
          <w:sz w:val="24"/>
          <w:szCs w:val="24"/>
          <w:lang w:val="en-GB"/>
        </w:rPr>
        <w:t xml:space="preserve">Office for National Statistics (2020) </w:t>
      </w:r>
      <w:r w:rsidRPr="09A9AB8E" w:rsidR="687AB600">
        <w:rPr>
          <w:rFonts w:ascii="Calibri" w:hAnsi="Calibri" w:eastAsia="Calibri" w:cs="Calibri"/>
          <w:i w:val="1"/>
          <w:iCs w:val="1"/>
          <w:noProof w:val="0"/>
          <w:color w:val="3A3A3A"/>
          <w:sz w:val="24"/>
          <w:szCs w:val="24"/>
          <w:lang w:val="en-GB"/>
        </w:rPr>
        <w:t>Internet access- households and individuals Great Britain</w:t>
      </w:r>
      <w:r w:rsidRPr="09A9AB8E" w:rsidR="687AB600">
        <w:rPr>
          <w:rFonts w:ascii="Calibri" w:hAnsi="Calibri" w:eastAsia="Calibri" w:cs="Calibri"/>
          <w:noProof w:val="0"/>
          <w:color w:val="3A3A3A"/>
          <w:sz w:val="24"/>
          <w:szCs w:val="24"/>
          <w:lang w:val="en-GB"/>
        </w:rPr>
        <w:t xml:space="preserve">: 2020. Available at: </w:t>
      </w:r>
      <w:hyperlink r:id="Rd47c83aee7e94ab7">
        <w:r w:rsidRPr="09A9AB8E" w:rsidR="687AB600">
          <w:rPr>
            <w:rStyle w:val="Hyperlink"/>
            <w:rFonts w:ascii="Calibri" w:hAnsi="Calibri" w:eastAsia="Calibri" w:cs="Calibri"/>
            <w:strike w:val="0"/>
            <w:dstrike w:val="0"/>
            <w:noProof w:val="0"/>
            <w:sz w:val="24"/>
            <w:szCs w:val="24"/>
            <w:lang w:val="en-GB"/>
          </w:rPr>
          <w:t>https://www.ons.gov.uk/</w:t>
        </w:r>
      </w:hyperlink>
      <w:r w:rsidRPr="09A9AB8E" w:rsidR="687AB600">
        <w:rPr>
          <w:rFonts w:ascii="Calibri" w:hAnsi="Calibri" w:eastAsia="Calibri" w:cs="Calibri"/>
          <w:noProof w:val="0"/>
          <w:color w:val="3A3A3A"/>
          <w:sz w:val="24"/>
          <w:szCs w:val="24"/>
          <w:lang w:val="en-GB"/>
        </w:rPr>
        <w:t xml:space="preserve"> (Accessed: 27 September 2021). </w:t>
      </w:r>
    </w:p>
    <w:p xmlns:wp14="http://schemas.microsoft.com/office/word/2010/wordml" w:rsidP="09A9AB8E" w14:paraId="012E7A1D" wp14:textId="1E4C6E4F">
      <w:pPr>
        <w:spacing w:line="257" w:lineRule="auto"/>
      </w:pPr>
      <w:r w:rsidRPr="09A9AB8E" w:rsidR="687AB600">
        <w:rPr>
          <w:rFonts w:ascii="Calibri" w:hAnsi="Calibri" w:eastAsia="Calibri" w:cs="Calibri"/>
          <w:noProof w:val="0"/>
          <w:color w:val="3A3A3A"/>
          <w:sz w:val="24"/>
          <w:szCs w:val="24"/>
          <w:lang w:val="en-GB"/>
        </w:rPr>
        <w:t xml:space="preserve"> </w:t>
      </w:r>
    </w:p>
    <w:p xmlns:wp14="http://schemas.microsoft.com/office/word/2010/wordml" w:rsidP="09A9AB8E" w14:paraId="7B8F3FAB" wp14:textId="6F4DFD4C">
      <w:pPr>
        <w:spacing w:line="257" w:lineRule="auto"/>
      </w:pPr>
      <w:r w:rsidRPr="09A9AB8E" w:rsidR="687AB600">
        <w:rPr>
          <w:rFonts w:ascii="Calibri" w:hAnsi="Calibri" w:eastAsia="Calibri" w:cs="Calibri"/>
          <w:noProof w:val="0"/>
          <w:color w:val="3A3A3A"/>
          <w:sz w:val="24"/>
          <w:szCs w:val="24"/>
          <w:lang w:val="en-GB"/>
        </w:rPr>
        <w:t xml:space="preserve">Rothenberger, L. Et al. (2018) ‘The Discursive Construction of Terrorist Group Identity’, </w:t>
      </w:r>
      <w:r w:rsidRPr="09A9AB8E" w:rsidR="687AB600">
        <w:rPr>
          <w:rFonts w:ascii="Calibri" w:hAnsi="Calibri" w:eastAsia="Calibri" w:cs="Calibri"/>
          <w:i w:val="1"/>
          <w:iCs w:val="1"/>
          <w:noProof w:val="0"/>
          <w:color w:val="3A3A3A"/>
          <w:sz w:val="24"/>
          <w:szCs w:val="24"/>
          <w:lang w:val="en-GB"/>
        </w:rPr>
        <w:t>Terrorism and Political Violence</w:t>
      </w:r>
      <w:r w:rsidRPr="09A9AB8E" w:rsidR="687AB600">
        <w:rPr>
          <w:rFonts w:ascii="Calibri" w:hAnsi="Calibri" w:eastAsia="Calibri" w:cs="Calibri"/>
          <w:noProof w:val="0"/>
          <w:color w:val="3A3A3A"/>
          <w:sz w:val="24"/>
          <w:szCs w:val="24"/>
          <w:lang w:val="en-GB"/>
        </w:rPr>
        <w:t xml:space="preserve">, </w:t>
      </w:r>
      <w:r w:rsidRPr="09A9AB8E" w:rsidR="687AB600">
        <w:rPr>
          <w:rFonts w:ascii="Calibri" w:hAnsi="Calibri" w:eastAsia="Calibri" w:cs="Calibri"/>
          <w:i w:val="1"/>
          <w:iCs w:val="1"/>
          <w:noProof w:val="0"/>
          <w:color w:val="3A3A3A"/>
          <w:sz w:val="24"/>
          <w:szCs w:val="24"/>
          <w:lang w:val="en-GB"/>
        </w:rPr>
        <w:t>30</w:t>
      </w:r>
      <w:r w:rsidRPr="09A9AB8E" w:rsidR="687AB600">
        <w:rPr>
          <w:rFonts w:ascii="Calibri" w:hAnsi="Calibri" w:eastAsia="Calibri" w:cs="Calibri"/>
          <w:noProof w:val="0"/>
          <w:color w:val="3A3A3A"/>
          <w:sz w:val="24"/>
          <w:szCs w:val="24"/>
          <w:lang w:val="en-GB"/>
        </w:rPr>
        <w:t xml:space="preserve">(3), 428–453. </w:t>
      </w:r>
      <w:hyperlink r:id="R0bae5ea193ba42de">
        <w:r w:rsidRPr="09A9AB8E" w:rsidR="687AB600">
          <w:rPr>
            <w:rStyle w:val="Hyperlink"/>
            <w:rFonts w:ascii="Calibri" w:hAnsi="Calibri" w:eastAsia="Calibri" w:cs="Calibri"/>
            <w:strike w:val="0"/>
            <w:dstrike w:val="0"/>
            <w:noProof w:val="0"/>
            <w:sz w:val="24"/>
            <w:szCs w:val="24"/>
            <w:lang w:val="en-GB"/>
          </w:rPr>
          <w:t>https://doi.org/10.1080/09546553.2016.1180288</w:t>
        </w:r>
      </w:hyperlink>
    </w:p>
    <w:p xmlns:wp14="http://schemas.microsoft.com/office/word/2010/wordml" w:rsidP="09A9AB8E" w14:paraId="0527360D" wp14:textId="3A57B339">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2C971182" wp14:textId="7843AA9F">
      <w:pPr>
        <w:spacing w:line="257" w:lineRule="auto"/>
      </w:pPr>
      <w:r w:rsidRPr="09A9AB8E" w:rsidR="687AB600">
        <w:rPr>
          <w:rFonts w:ascii="Calibri" w:hAnsi="Calibri" w:eastAsia="Calibri" w:cs="Calibri"/>
          <w:noProof w:val="0"/>
          <w:color w:val="555555"/>
          <w:sz w:val="24"/>
          <w:szCs w:val="24"/>
          <w:lang w:val="en-GB"/>
        </w:rPr>
        <w:t xml:space="preserve">Saunders, J. (2021) </w:t>
      </w:r>
      <w:r w:rsidRPr="09A9AB8E" w:rsidR="687AB600">
        <w:rPr>
          <w:rFonts w:ascii="Calibri" w:hAnsi="Calibri" w:eastAsia="Calibri" w:cs="Calibri"/>
          <w:i w:val="1"/>
          <w:iCs w:val="1"/>
          <w:noProof w:val="0"/>
          <w:color w:val="555555"/>
          <w:sz w:val="24"/>
          <w:szCs w:val="24"/>
          <w:lang w:val="en-GB"/>
        </w:rPr>
        <w:t xml:space="preserve">Manchester Arena Inquiry Volume 1: Security for the Arena. Available at: </w:t>
      </w:r>
      <w:hyperlink r:id="Reb85e7177fe64bcd">
        <w:r w:rsidRPr="09A9AB8E" w:rsidR="687AB600">
          <w:rPr>
            <w:rStyle w:val="Hyperlink"/>
            <w:rFonts w:ascii="Calibri" w:hAnsi="Calibri" w:eastAsia="Calibri" w:cs="Calibri"/>
            <w:i w:val="1"/>
            <w:iCs w:val="1"/>
            <w:strike w:val="0"/>
            <w:dstrike w:val="0"/>
            <w:noProof w:val="0"/>
            <w:sz w:val="24"/>
            <w:szCs w:val="24"/>
            <w:lang w:val="en-GB"/>
          </w:rPr>
          <w:t>https://assests.publishing.service.gov.uk</w:t>
        </w:r>
      </w:hyperlink>
      <w:r w:rsidRPr="09A9AB8E" w:rsidR="687AB600">
        <w:rPr>
          <w:rFonts w:ascii="Calibri" w:hAnsi="Calibri" w:eastAsia="Calibri" w:cs="Calibri"/>
          <w:i w:val="1"/>
          <w:iCs w:val="1"/>
          <w:noProof w:val="0"/>
          <w:color w:val="555555"/>
          <w:sz w:val="24"/>
          <w:szCs w:val="24"/>
          <w:lang w:val="en-GB"/>
        </w:rPr>
        <w:t xml:space="preserve"> (</w:t>
      </w:r>
      <w:r w:rsidRPr="09A9AB8E" w:rsidR="687AB600">
        <w:rPr>
          <w:rFonts w:ascii="Calibri" w:hAnsi="Calibri" w:eastAsia="Calibri" w:cs="Calibri"/>
          <w:noProof w:val="0"/>
          <w:color w:val="555555"/>
          <w:sz w:val="24"/>
          <w:szCs w:val="24"/>
          <w:lang w:val="en-GB"/>
        </w:rPr>
        <w:t xml:space="preserve">Accessed: 28 September 2021). </w:t>
      </w:r>
    </w:p>
    <w:p xmlns:wp14="http://schemas.microsoft.com/office/word/2010/wordml" w:rsidP="09A9AB8E" w14:paraId="16141FCE" wp14:textId="0B82FBC6">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337D2120" wp14:textId="674EEB60">
      <w:pPr>
        <w:spacing w:line="257" w:lineRule="auto"/>
      </w:pPr>
      <w:r w:rsidRPr="09A9AB8E" w:rsidR="687AB600">
        <w:rPr>
          <w:rFonts w:ascii="Calibri" w:hAnsi="Calibri" w:eastAsia="Calibri" w:cs="Calibri"/>
          <w:noProof w:val="0"/>
          <w:color w:val="555555"/>
          <w:sz w:val="24"/>
          <w:szCs w:val="24"/>
          <w:lang w:val="en-GB"/>
        </w:rPr>
        <w:t xml:space="preserve">Shorer, M. (2018) ‘Mobilization of Women to Terrorism: Tools and Methods of ISIS’, </w:t>
      </w:r>
      <w:r w:rsidRPr="09A9AB8E" w:rsidR="687AB600">
        <w:rPr>
          <w:rFonts w:ascii="Calibri" w:hAnsi="Calibri" w:eastAsia="Calibri" w:cs="Calibri"/>
          <w:i w:val="1"/>
          <w:iCs w:val="1"/>
          <w:noProof w:val="0"/>
          <w:color w:val="555555"/>
          <w:sz w:val="24"/>
          <w:szCs w:val="24"/>
          <w:lang w:val="en-GB"/>
        </w:rPr>
        <w:t xml:space="preserve">International Annals of Criminology, </w:t>
      </w:r>
      <w:r w:rsidRPr="09A9AB8E" w:rsidR="687AB600">
        <w:rPr>
          <w:rFonts w:ascii="Calibri" w:hAnsi="Calibri" w:eastAsia="Calibri" w:cs="Calibri"/>
          <w:noProof w:val="0"/>
          <w:color w:val="555555"/>
          <w:sz w:val="24"/>
          <w:szCs w:val="24"/>
          <w:lang w:val="en-GB"/>
        </w:rPr>
        <w:t>56(1-2), pp. 93-104.</w:t>
      </w:r>
    </w:p>
    <w:p xmlns:wp14="http://schemas.microsoft.com/office/word/2010/wordml" w:rsidP="09A9AB8E" w14:paraId="3D288ACA" wp14:textId="7E6ACDDF">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5D638789" wp14:textId="4E06E407">
      <w:pPr>
        <w:spacing w:line="257" w:lineRule="auto"/>
      </w:pPr>
      <w:r w:rsidRPr="09A9AB8E" w:rsidR="687AB600">
        <w:rPr>
          <w:rFonts w:ascii="Calibri" w:hAnsi="Calibri" w:eastAsia="Calibri" w:cs="Calibri"/>
          <w:noProof w:val="0"/>
          <w:color w:val="555555"/>
          <w:sz w:val="24"/>
          <w:szCs w:val="24"/>
          <w:lang w:val="en-GB"/>
        </w:rPr>
        <w:t xml:space="preserve">Speckhard, A. and ELLENBERG, M.D. (2020) ‘ISIS in Their Own Words: Recruitment History, Motivations for Joining, Travel, Experiences in ISIS, and Disillusionment over Time – Analysis of 220 In-depth Interviews of ISIS Returnees, Defectors and Prisoners’. </w:t>
      </w:r>
      <w:r w:rsidRPr="09A9AB8E" w:rsidR="687AB600">
        <w:rPr>
          <w:rFonts w:ascii="Calibri" w:hAnsi="Calibri" w:eastAsia="Calibri" w:cs="Calibri"/>
          <w:i w:val="1"/>
          <w:iCs w:val="1"/>
          <w:noProof w:val="0"/>
          <w:color w:val="555555"/>
          <w:sz w:val="24"/>
          <w:szCs w:val="24"/>
          <w:lang w:val="en-GB"/>
        </w:rPr>
        <w:t xml:space="preserve">Journal of Strategic Security, </w:t>
      </w:r>
      <w:r w:rsidRPr="09A9AB8E" w:rsidR="687AB600">
        <w:rPr>
          <w:rFonts w:ascii="Calibri" w:hAnsi="Calibri" w:eastAsia="Calibri" w:cs="Calibri"/>
          <w:noProof w:val="0"/>
          <w:color w:val="555555"/>
          <w:sz w:val="24"/>
          <w:szCs w:val="24"/>
          <w:lang w:val="en-GB"/>
        </w:rPr>
        <w:t>13(1), pp. 82-127.</w:t>
      </w:r>
    </w:p>
    <w:p xmlns:wp14="http://schemas.microsoft.com/office/word/2010/wordml" w:rsidP="09A9AB8E" w14:paraId="5A372D1D" wp14:textId="31025315">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34C7ACC6" wp14:textId="0F455220">
      <w:pPr>
        <w:spacing w:line="257" w:lineRule="auto"/>
      </w:pPr>
      <w:r w:rsidRPr="09A9AB8E" w:rsidR="687AB600">
        <w:rPr>
          <w:rFonts w:ascii="Calibri" w:hAnsi="Calibri" w:eastAsia="Calibri" w:cs="Calibri"/>
          <w:noProof w:val="0"/>
          <w:color w:val="555555"/>
          <w:sz w:val="24"/>
          <w:szCs w:val="24"/>
          <w:lang w:val="en-GB"/>
        </w:rPr>
        <w:t>The Parliamentary Office of Science and Technology (2020) Online Extremism. Available at:</w:t>
      </w:r>
      <w:r w:rsidRPr="09A9AB8E" w:rsidR="687AB600">
        <w:rPr>
          <w:rFonts w:ascii="Calibri" w:hAnsi="Calibri" w:eastAsia="Calibri" w:cs="Calibri"/>
          <w:noProof w:val="0"/>
          <w:sz w:val="22"/>
          <w:szCs w:val="22"/>
          <w:lang w:val="en-GB"/>
        </w:rPr>
        <w:t xml:space="preserve"> </w:t>
      </w:r>
      <w:hyperlink r:id="Rc2f4f7eed31f441e">
        <w:r w:rsidRPr="09A9AB8E" w:rsidR="687AB600">
          <w:rPr>
            <w:rStyle w:val="Hyperlink"/>
            <w:rFonts w:ascii="Calibri" w:hAnsi="Calibri" w:eastAsia="Calibri" w:cs="Calibri"/>
            <w:strike w:val="0"/>
            <w:dstrike w:val="0"/>
            <w:noProof w:val="0"/>
            <w:sz w:val="24"/>
            <w:szCs w:val="24"/>
            <w:lang w:val="en-GB"/>
          </w:rPr>
          <w:t>https://researchbriefings.files.parliament.uk/documents/POST-PN-0622.pdf</w:t>
        </w:r>
      </w:hyperlink>
      <w:r w:rsidRPr="09A9AB8E" w:rsidR="687AB600">
        <w:rPr>
          <w:rFonts w:ascii="Calibri" w:hAnsi="Calibri" w:eastAsia="Calibri" w:cs="Calibri"/>
          <w:noProof w:val="0"/>
          <w:color w:val="555555"/>
          <w:sz w:val="24"/>
          <w:szCs w:val="24"/>
          <w:lang w:val="en-GB"/>
        </w:rPr>
        <w:t xml:space="preserve"> (Accessed: 14 October 2021). </w:t>
      </w:r>
    </w:p>
    <w:p xmlns:wp14="http://schemas.microsoft.com/office/word/2010/wordml" w:rsidP="09A9AB8E" w14:paraId="7EAB0DE1" wp14:textId="2B7B6CB9">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0D8FEBB3" wp14:textId="4E3954E2">
      <w:pPr>
        <w:spacing w:line="257" w:lineRule="auto"/>
      </w:pPr>
      <w:r w:rsidRPr="09A9AB8E" w:rsidR="687AB600">
        <w:rPr>
          <w:rFonts w:ascii="Calibri" w:hAnsi="Calibri" w:eastAsia="Calibri" w:cs="Calibri"/>
          <w:noProof w:val="0"/>
          <w:color w:val="3A3A3A"/>
          <w:sz w:val="24"/>
          <w:szCs w:val="24"/>
          <w:lang w:val="en-GB"/>
        </w:rPr>
        <w:t xml:space="preserve">Thomas Gibbons-Neff (2014) </w:t>
      </w:r>
      <w:r w:rsidRPr="09A9AB8E" w:rsidR="687AB600">
        <w:rPr>
          <w:rFonts w:ascii="Calibri" w:hAnsi="Calibri" w:eastAsia="Calibri" w:cs="Calibri"/>
          <w:i w:val="1"/>
          <w:iCs w:val="1"/>
          <w:noProof w:val="0"/>
          <w:color w:val="3A3A3A"/>
          <w:sz w:val="24"/>
          <w:szCs w:val="24"/>
          <w:lang w:val="en-GB"/>
        </w:rPr>
        <w:t>Iraq and ISIS: Waging war with hashtags</w:t>
      </w:r>
      <w:r w:rsidRPr="09A9AB8E" w:rsidR="687AB600">
        <w:rPr>
          <w:rFonts w:ascii="Calibri" w:hAnsi="Calibri" w:eastAsia="Calibri" w:cs="Calibri"/>
          <w:noProof w:val="0"/>
          <w:color w:val="3A3A3A"/>
          <w:sz w:val="24"/>
          <w:szCs w:val="24"/>
          <w:lang w:val="en-GB"/>
        </w:rPr>
        <w:t>. Washington: WP Company LLC d/b/a The Washington Post.</w:t>
      </w:r>
    </w:p>
    <w:p xmlns:wp14="http://schemas.microsoft.com/office/word/2010/wordml" w:rsidP="09A9AB8E" w14:paraId="732D510A" wp14:textId="316C1D6A">
      <w:pPr>
        <w:spacing w:line="257" w:lineRule="auto"/>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0CF7E1A6" wp14:textId="473EE4FF">
      <w:pPr>
        <w:spacing w:line="257" w:lineRule="auto"/>
      </w:pPr>
      <w:r w:rsidRPr="09A9AB8E" w:rsidR="687AB600">
        <w:rPr>
          <w:rFonts w:ascii="Calibri" w:hAnsi="Calibri" w:eastAsia="Calibri" w:cs="Calibri"/>
          <w:noProof w:val="0"/>
          <w:color w:val="333333"/>
          <w:sz w:val="24"/>
          <w:szCs w:val="24"/>
          <w:lang w:val="en-GB"/>
        </w:rPr>
        <w:t xml:space="preserve">Yarchi, M. (2019) ‘ISIS’s media strategy as image warfare: Strategic messaging over time and across platforms’, </w:t>
      </w:r>
      <w:r w:rsidRPr="09A9AB8E" w:rsidR="687AB600">
        <w:rPr>
          <w:rFonts w:ascii="Calibri" w:hAnsi="Calibri" w:eastAsia="Calibri" w:cs="Calibri"/>
          <w:i w:val="1"/>
          <w:iCs w:val="1"/>
          <w:noProof w:val="0"/>
          <w:color w:val="333333"/>
          <w:sz w:val="24"/>
          <w:szCs w:val="24"/>
          <w:lang w:val="en-GB"/>
        </w:rPr>
        <w:t>Communication and the Public</w:t>
      </w:r>
      <w:r w:rsidRPr="09A9AB8E" w:rsidR="687AB600">
        <w:rPr>
          <w:rFonts w:ascii="Calibri" w:hAnsi="Calibri" w:eastAsia="Calibri" w:cs="Calibri"/>
          <w:noProof w:val="0"/>
          <w:color w:val="333333"/>
          <w:sz w:val="24"/>
          <w:szCs w:val="24"/>
          <w:lang w:val="en-GB"/>
        </w:rPr>
        <w:t xml:space="preserve">, 4(1), pp. 53–67. DOI: </w:t>
      </w:r>
      <w:hyperlink r:id="R2f95dfbf00aa4984">
        <w:r w:rsidRPr="09A9AB8E" w:rsidR="687AB600">
          <w:rPr>
            <w:rStyle w:val="Hyperlink"/>
            <w:rFonts w:ascii="Calibri" w:hAnsi="Calibri" w:eastAsia="Calibri" w:cs="Calibri"/>
            <w:strike w:val="0"/>
            <w:dstrike w:val="0"/>
            <w:noProof w:val="0"/>
            <w:sz w:val="24"/>
            <w:szCs w:val="24"/>
            <w:lang w:val="en-GB"/>
          </w:rPr>
          <w:t>10.1177/2057047319829587</w:t>
        </w:r>
      </w:hyperlink>
      <w:r w:rsidRPr="09A9AB8E" w:rsidR="687AB600">
        <w:rPr>
          <w:rFonts w:ascii="Calibri" w:hAnsi="Calibri" w:eastAsia="Calibri" w:cs="Calibri"/>
          <w:noProof w:val="0"/>
          <w:color w:val="333333"/>
          <w:sz w:val="24"/>
          <w:szCs w:val="24"/>
          <w:lang w:val="en-GB"/>
        </w:rPr>
        <w:t>.</w:t>
      </w:r>
    </w:p>
    <w:p xmlns:wp14="http://schemas.microsoft.com/office/word/2010/wordml" w:rsidP="09A9AB8E" w14:paraId="2A547A71" wp14:textId="78DDD73E">
      <w:pPr>
        <w:spacing w:line="257" w:lineRule="auto"/>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1CCCE4F1" wp14:textId="2905F14D">
      <w:pPr>
        <w:spacing w:line="257" w:lineRule="auto"/>
      </w:pPr>
      <w:r w:rsidRPr="09A9AB8E" w:rsidR="687AB600">
        <w:rPr>
          <w:rFonts w:ascii="Calibri" w:hAnsi="Calibri" w:eastAsia="Calibri" w:cs="Calibri"/>
          <w:noProof w:val="0"/>
          <w:color w:val="3A3A3A"/>
          <w:sz w:val="24"/>
          <w:szCs w:val="24"/>
          <w:lang w:val="en-GB"/>
        </w:rPr>
        <w:t xml:space="preserve">Zafar, A. (2018) ‘Female Immigration to ISIS: Unlocking Motives to Turn the Tide’, </w:t>
      </w:r>
      <w:r w:rsidRPr="09A9AB8E" w:rsidR="687AB600">
        <w:rPr>
          <w:rFonts w:ascii="Calibri" w:hAnsi="Calibri" w:eastAsia="Calibri" w:cs="Calibri"/>
          <w:i w:val="1"/>
          <w:iCs w:val="1"/>
          <w:noProof w:val="0"/>
          <w:color w:val="3A3A3A"/>
          <w:sz w:val="24"/>
          <w:szCs w:val="24"/>
          <w:lang w:val="en-GB"/>
        </w:rPr>
        <w:t>Annales internationales de criminologie</w:t>
      </w:r>
      <w:r w:rsidRPr="09A9AB8E" w:rsidR="687AB600">
        <w:rPr>
          <w:rFonts w:ascii="Calibri" w:hAnsi="Calibri" w:eastAsia="Calibri" w:cs="Calibri"/>
          <w:noProof w:val="0"/>
          <w:color w:val="3A3A3A"/>
          <w:sz w:val="24"/>
          <w:szCs w:val="24"/>
          <w:lang w:val="en-GB"/>
        </w:rPr>
        <w:t>. 56 (1-2), 11–22.</w:t>
      </w:r>
    </w:p>
    <w:p xmlns:wp14="http://schemas.microsoft.com/office/word/2010/wordml" w:rsidP="09A9AB8E" w14:paraId="14C377EB" wp14:textId="3DD7A80B">
      <w:pPr>
        <w:spacing w:line="257" w:lineRule="auto"/>
        <w:jc w:val="both"/>
      </w:pPr>
      <w:r w:rsidRPr="09A9AB8E" w:rsidR="687AB600">
        <w:rPr>
          <w:rFonts w:ascii="Calibri" w:hAnsi="Calibri" w:eastAsia="Calibri" w:cs="Calibri"/>
          <w:noProof w:val="0"/>
          <w:color w:val="555555"/>
          <w:sz w:val="24"/>
          <w:szCs w:val="24"/>
          <w:lang w:val="en-GB"/>
        </w:rPr>
        <w:t xml:space="preserve"> </w:t>
      </w:r>
    </w:p>
    <w:p xmlns:wp14="http://schemas.microsoft.com/office/word/2010/wordml" w:rsidP="09A9AB8E" w14:paraId="36FF2E97" wp14:textId="0F9BB0A6">
      <w:pPr>
        <w:spacing w:line="257" w:lineRule="auto"/>
        <w:jc w:val="both"/>
      </w:pPr>
      <w:r w:rsidRPr="09A9AB8E" w:rsidR="687AB600">
        <w:rPr>
          <w:rFonts w:ascii="Calibri" w:hAnsi="Calibri" w:eastAsia="Calibri" w:cs="Calibri"/>
          <w:noProof w:val="0"/>
          <w:color w:val="000000" w:themeColor="text1" w:themeTint="FF" w:themeShade="FF"/>
          <w:sz w:val="24"/>
          <w:szCs w:val="24"/>
          <w:lang w:val="en-GB"/>
        </w:rPr>
        <w:t xml:space="preserve"> </w:t>
      </w:r>
    </w:p>
    <w:p xmlns:wp14="http://schemas.microsoft.com/office/word/2010/wordml" w:rsidP="09A9AB8E" w14:paraId="5DBD9E38" wp14:textId="081F57B3">
      <w:pPr>
        <w:spacing w:line="360" w:lineRule="auto"/>
        <w:jc w:val="both"/>
      </w:pPr>
      <w:r w:rsidRPr="09A9AB8E" w:rsidR="687AB600">
        <w:rPr>
          <w:rFonts w:ascii="Calibri" w:hAnsi="Calibri" w:eastAsia="Calibri" w:cs="Calibri"/>
          <w:noProof w:val="0"/>
          <w:sz w:val="24"/>
          <w:szCs w:val="24"/>
          <w:lang w:val="en-GB"/>
        </w:rPr>
        <w:t xml:space="preserve"> </w:t>
      </w:r>
    </w:p>
    <w:p xmlns:wp14="http://schemas.microsoft.com/office/word/2010/wordml" w:rsidP="09A9AB8E" w14:paraId="6DA5328C" wp14:textId="3E335F0C">
      <w:pPr>
        <w:spacing w:line="360" w:lineRule="auto"/>
      </w:pPr>
      <w:r w:rsidRPr="09A9AB8E" w:rsidR="687AB600">
        <w:rPr>
          <w:rFonts w:ascii="Calibri" w:hAnsi="Calibri" w:eastAsia="Calibri" w:cs="Calibri"/>
          <w:noProof w:val="0"/>
          <w:sz w:val="24"/>
          <w:szCs w:val="24"/>
          <w:lang w:val="en-GB"/>
        </w:rPr>
        <w:t xml:space="preserve"> </w:t>
      </w:r>
    </w:p>
    <w:p xmlns:wp14="http://schemas.microsoft.com/office/word/2010/wordml" w:rsidP="09A9AB8E" w14:paraId="146BFDCD" wp14:textId="65F20616">
      <w:pPr>
        <w:spacing w:line="257" w:lineRule="auto"/>
      </w:pPr>
      <w:r w:rsidRPr="09A9AB8E" w:rsidR="687AB600">
        <w:rPr>
          <w:rFonts w:ascii="Calibri" w:hAnsi="Calibri" w:eastAsia="Calibri" w:cs="Calibri"/>
          <w:noProof w:val="0"/>
          <w:sz w:val="24"/>
          <w:szCs w:val="24"/>
          <w:lang w:val="en-GB"/>
        </w:rPr>
        <w:t xml:space="preserve"> </w:t>
      </w:r>
    </w:p>
    <w:p xmlns:wp14="http://schemas.microsoft.com/office/word/2010/wordml" w:rsidP="09A9AB8E" w14:paraId="6C455B45" wp14:textId="6F805BD3">
      <w:pPr>
        <w:spacing w:line="257" w:lineRule="auto"/>
      </w:pPr>
      <w:r w:rsidRPr="09A9AB8E" w:rsidR="687AB600">
        <w:rPr>
          <w:rFonts w:ascii="Calibri" w:hAnsi="Calibri" w:eastAsia="Calibri" w:cs="Calibri"/>
          <w:noProof w:val="0"/>
          <w:sz w:val="24"/>
          <w:szCs w:val="24"/>
          <w:lang w:val="en-GB"/>
        </w:rPr>
        <w:t xml:space="preserve"> </w:t>
      </w:r>
    </w:p>
    <w:p xmlns:wp14="http://schemas.microsoft.com/office/word/2010/wordml" w:rsidP="09A9AB8E" w14:paraId="76C1E2AB" wp14:textId="1BCE3D22">
      <w:pPr>
        <w:spacing w:line="257" w:lineRule="auto"/>
      </w:pPr>
      <w:r w:rsidRPr="09A9AB8E" w:rsidR="687AB600">
        <w:rPr>
          <w:rFonts w:ascii="Calibri" w:hAnsi="Calibri" w:eastAsia="Calibri" w:cs="Calibri"/>
          <w:noProof w:val="0"/>
          <w:sz w:val="24"/>
          <w:szCs w:val="24"/>
          <w:lang w:val="en-GB"/>
        </w:rPr>
        <w:t xml:space="preserve"> </w:t>
      </w:r>
    </w:p>
    <w:p xmlns:wp14="http://schemas.microsoft.com/office/word/2010/wordml" w14:paraId="1C0F9468" wp14:textId="6150902B">
      <w:r>
        <w:br/>
      </w:r>
    </w:p>
    <w:p xmlns:wp14="http://schemas.microsoft.com/office/word/2010/wordml" w:rsidP="09A9AB8E" w14:paraId="5E5787A5" wp14:textId="6DE886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XZuaRs2ahoJOdO" id="ObKscegP"/>
    <int:WordHash hashCode="qRDCponXkhGhF6" id="wfvH1uk6"/>
    <int:WordHash hashCode="lYXxch1TaVeI8V" id="uV1QVsUB"/>
    <int:WordHash hashCode="69qAXMa7VGfE1G" id="UyA2rhHA"/>
  </int:Manifest>
  <int:Observations>
    <int:Content id="ObKscegP">
      <int:Rejection type="LegacyProofing"/>
    </int:Content>
    <int:Content id="wfvH1uk6">
      <int:Rejection type="LegacyProofing"/>
    </int:Content>
    <int:Content id="uV1QVsUB">
      <int:Rejection type="LegacyProofing"/>
    </int:Content>
    <int:Content id="UyA2rhH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B7B933"/>
    <w:rsid w:val="09A9AB8E"/>
    <w:rsid w:val="687AB600"/>
    <w:rsid w:val="6CB7B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7B933"/>
  <w15:chartTrackingRefBased/>
  <w15:docId w15:val="{B5E14969-88A2-4292-8EA5-52F6F00BD5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dx.doi.org/10.5038/2378-0789.1.1.1004" TargetMode="External" Id="Rb311f388944747c0" /><Relationship Type="http://schemas.openxmlformats.org/officeDocument/2006/relationships/hyperlink" Target="https://doi.org/10.1007/s12147-011-9098-z" TargetMode="External" Id="Rb6bfed80170d4374" /><Relationship Type="http://schemas.openxmlformats.org/officeDocument/2006/relationships/hyperlink" Target="https://www.theguardian.com/world/2016/sep/09/paris-women-arrested-had-planned-imminent-attack-gare-de-ly" TargetMode="External" Id="R18e89d6b441e4c14" /><Relationship Type="http://schemas.openxmlformats.org/officeDocument/2006/relationships/hyperlink" Target="https://icsr.info/wp-content/uploads/2018/07/Women-in-ISIS-report_20180719_web.pdf" TargetMode="External" Id="R01e1c5ab57b140d7" /><Relationship Type="http://schemas.openxmlformats.org/officeDocument/2006/relationships/hyperlink" Target="https://www.theguardian.com/uk-news/2015/dec/06/lone-wolf-terror-attacks-impossible-to-stop-says-security-expert" TargetMode="External" Id="R82ad778691d54120" /><Relationship Type="http://schemas.openxmlformats.org/officeDocument/2006/relationships/hyperlink" Target="https://theglobalobservatory.org/2017/08/isis-women-ideology-mosul/" TargetMode="External" Id="R8979dadd261e437b" /><Relationship Type="http://schemas.openxmlformats.org/officeDocument/2006/relationships/hyperlink" Target="file:///C:/Users/k.andrews.UNI/Downloads/FSB%20paper%20Small%20business%20as%20usual.pdf" TargetMode="External" Id="Rbf99fab459f54abc" /><Relationship Type="http://schemas.openxmlformats.org/officeDocument/2006/relationships/hyperlink" Target="https://doi-org.ezproxy.uwtsd.ac.uk/10.1159/000377706" TargetMode="External" Id="R0235ffe62413402b" /><Relationship Type="http://schemas.openxmlformats.org/officeDocument/2006/relationships/hyperlink" Target="https://www.csis.org/npfp/evolving-tech-evolving-terror" TargetMode="External" Id="R6ac21a89e38648e8" /><Relationship Type="http://schemas.openxmlformats.org/officeDocument/2006/relationships/hyperlink" Target="https://www.gov.uk/government/statistics/individuals-referred-to-and-supported-through-the-prevent-programme-april-2019-to-march-2020/individuals-referred-to-and-supported-through-the-prevent-programme-april-2019-to-march-2020" TargetMode="External" Id="R488b17c2f4944652" /><Relationship Type="http://schemas.openxmlformats.org/officeDocument/2006/relationships/hyperlink" Target="https://www.gov.uk/goverment/publications/online-radicalisation/online-radicalisation" TargetMode="External" Id="R242f24e759074cd4" /><Relationship Type="http://schemas.openxmlformats.org/officeDocument/2006/relationships/hyperlink" Target="https://www.gov.uk/goverment/publications/the-use-of-social-media-for-online-radicalisation" TargetMode="External" Id="R90d2126d27734f77" /><Relationship Type="http://schemas.openxmlformats.org/officeDocument/2006/relationships/hyperlink" Target="https://www.bing.com/search?q=Cm+9555%2C+Radicalisation%3A+the+counter-narrative+and+identifying+the+tipping+point" TargetMode="External" Id="Rf6a0023112e744c6" /><Relationship Type="http://schemas.openxmlformats.org/officeDocument/2006/relationships/hyperlink" Target="https://visionofhumanity.org/wp-content/uploads/2020/11/GTI-2020-web-1.pdf" TargetMode="External" Id="R514508240fdb4d88" /><Relationship Type="http://schemas.openxmlformats.org/officeDocument/2006/relationships/hyperlink" Target="https://www.uvic.ca/research/centres/globalstudies/assets" TargetMode="External" Id="Rff52aebf73464091" /><Relationship Type="http://schemas.openxmlformats.org/officeDocument/2006/relationships/hyperlink" Target="https://www.judiciary.uk/publications/london-bridge-borough-market-terror-attack/" TargetMode="External" Id="R09f85902428a4dec" /><Relationship Type="http://schemas.openxmlformats.org/officeDocument/2006/relationships/hyperlink" Target="https://doi.org/10.1016/j.psychres.2018.06.021" TargetMode="External" Id="Rafffb533ef3047e4" /><Relationship Type="http://schemas.openxmlformats.org/officeDocument/2006/relationships/hyperlink" Target="https://www.ons.gov.uk/" TargetMode="External" Id="Rd47c83aee7e94ab7" /><Relationship Type="http://schemas.openxmlformats.org/officeDocument/2006/relationships/hyperlink" Target="https://doi.org/10.1080/09546553.2016.1180288" TargetMode="External" Id="R0bae5ea193ba42de" /><Relationship Type="http://schemas.openxmlformats.org/officeDocument/2006/relationships/hyperlink" Target="https://assests.publishing.service.gov.uk/" TargetMode="External" Id="Reb85e7177fe64bcd" /><Relationship Type="http://schemas.openxmlformats.org/officeDocument/2006/relationships/hyperlink" Target="https://researchbriefings.files.parliament.uk/documents/POST-PN-0622.pdf" TargetMode="External" Id="Rc2f4f7eed31f441e" /><Relationship Type="http://schemas.openxmlformats.org/officeDocument/2006/relationships/hyperlink" Target="https://doi.org/10.1177/2057047319829587" TargetMode="External" Id="R2f95dfbf00aa4984" /><Relationship Type="http://schemas.microsoft.com/office/2019/09/relationships/intelligence" Target="/word/intelligence.xml" Id="Rbc5a90d6ec5643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 (2023951)</dc:creator>
  <keywords/>
  <dc:description/>
  <lastModifiedBy>Kelly Andrews (2023951)</lastModifiedBy>
  <revision>2</revision>
  <dcterms:created xsi:type="dcterms:W3CDTF">2021-11-02T16:11:57.2621901Z</dcterms:created>
  <dcterms:modified xsi:type="dcterms:W3CDTF">2021-11-02T16:12:38.2429166Z</dcterms:modified>
</coreProperties>
</file>