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4F7C99DC" w:rsidR="00ED1049" w:rsidRPr="00ED1049" w:rsidRDefault="00C31D85" w:rsidP="00ED1049">
      <w:pPr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253CFB" w14:textId="2DFFF591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B9C9B98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216E92B4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 xml:space="preserve">Methods and Search Strategy Academic Poster </w:t>
      </w:r>
    </w:p>
    <w:p w14:paraId="2C135EB3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630B5F3A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3260C959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461920A4" w14:textId="5C9C4C5D" w:rsidR="00C31D85" w:rsidRPr="005279BF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en-GB"/>
        </w:rPr>
      </w:pPr>
      <w:r w:rsidRPr="005279BF">
        <w:rPr>
          <w:rFonts w:ascii="Aptos" w:hAnsi="Aptos" w:cs="Arial"/>
          <w:b/>
          <w:bCs/>
          <w:sz w:val="28"/>
          <w:szCs w:val="28"/>
          <w:lang w:val="en-GB"/>
        </w:rPr>
        <w:t>Student name</w:t>
      </w:r>
      <w:r w:rsidRPr="005279BF">
        <w:rPr>
          <w:rFonts w:ascii="Aptos" w:hAnsi="Aptos" w:cs="Arial"/>
          <w:sz w:val="28"/>
          <w:szCs w:val="28"/>
          <w:lang w:val="en-GB"/>
        </w:rPr>
        <w:t>:</w:t>
      </w:r>
      <w:r w:rsidR="005279BF" w:rsidRPr="005279BF">
        <w:rPr>
          <w:rFonts w:ascii="Aptos" w:hAnsi="Aptos" w:cs="Arial"/>
          <w:sz w:val="28"/>
          <w:szCs w:val="28"/>
          <w:lang w:val="en-GB"/>
        </w:rPr>
        <w:t xml:space="preserve"> Mehwish A</w:t>
      </w:r>
      <w:r w:rsidR="005279BF">
        <w:rPr>
          <w:rFonts w:ascii="Aptos" w:hAnsi="Aptos" w:cs="Arial"/>
          <w:sz w:val="28"/>
          <w:szCs w:val="28"/>
          <w:lang w:val="en-GB"/>
        </w:rPr>
        <w:t>rshad</w:t>
      </w:r>
    </w:p>
    <w:p w14:paraId="4D060E17" w14:textId="54CCAC3A" w:rsidR="00C31D85" w:rsidRPr="005279BF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en-GB"/>
        </w:rPr>
      </w:pPr>
      <w:r w:rsidRPr="005279BF">
        <w:rPr>
          <w:rFonts w:ascii="Aptos" w:hAnsi="Aptos" w:cs="Arial"/>
          <w:b/>
          <w:bCs/>
          <w:sz w:val="28"/>
          <w:szCs w:val="28"/>
          <w:lang w:val="en-GB"/>
        </w:rPr>
        <w:t>Student ID</w:t>
      </w:r>
      <w:r w:rsidRPr="005279BF">
        <w:rPr>
          <w:rFonts w:ascii="Aptos" w:hAnsi="Aptos" w:cs="Arial"/>
          <w:sz w:val="28"/>
          <w:szCs w:val="28"/>
          <w:lang w:val="en-GB"/>
        </w:rPr>
        <w:t>:</w:t>
      </w:r>
      <w:r w:rsidR="005279BF">
        <w:rPr>
          <w:rFonts w:ascii="Aptos" w:hAnsi="Aptos" w:cs="Arial"/>
          <w:sz w:val="28"/>
          <w:szCs w:val="28"/>
          <w:lang w:val="en-GB"/>
        </w:rPr>
        <w:t xml:space="preserve"> 2312904</w:t>
      </w:r>
    </w:p>
    <w:p w14:paraId="7C577260" w14:textId="77777777" w:rsidR="00C31D85" w:rsidRPr="005279BF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en-GB"/>
        </w:rPr>
      </w:pPr>
    </w:p>
    <w:p w14:paraId="41CBCDE7" w14:textId="4AD99461" w:rsidR="00C31D85" w:rsidRPr="00FD5D28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en-GB"/>
        </w:rPr>
      </w:pPr>
      <w:r w:rsidRPr="005279BF">
        <w:rPr>
          <w:rFonts w:ascii="Aptos" w:hAnsi="Aptos" w:cs="Arial"/>
          <w:b/>
          <w:bCs/>
          <w:sz w:val="28"/>
          <w:szCs w:val="28"/>
          <w:lang w:val="en-GB"/>
        </w:rPr>
        <w:t>Module name</w:t>
      </w:r>
      <w:r w:rsidRPr="005279BF">
        <w:rPr>
          <w:rFonts w:ascii="Aptos" w:hAnsi="Aptos" w:cs="Arial"/>
          <w:sz w:val="28"/>
          <w:szCs w:val="28"/>
          <w:lang w:val="en-GB"/>
        </w:rPr>
        <w:t xml:space="preserve">: </w:t>
      </w:r>
      <w:r w:rsidR="00FD5D28" w:rsidRPr="00FD5D28">
        <w:rPr>
          <w:rFonts w:ascii="Aptos" w:hAnsi="Aptos" w:cs="Arial"/>
          <w:sz w:val="28"/>
          <w:szCs w:val="28"/>
          <w:lang w:val="en-GB"/>
        </w:rPr>
        <w:t>Independent Project</w:t>
      </w:r>
    </w:p>
    <w:p w14:paraId="0602DF44" w14:textId="77777777" w:rsidR="00FD5D28" w:rsidRPr="00FD5D28" w:rsidRDefault="00C31D85" w:rsidP="00FD5D28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en-GB"/>
        </w:rPr>
      </w:pPr>
      <w:r w:rsidRPr="00C31D85">
        <w:rPr>
          <w:rFonts w:ascii="Aptos" w:hAnsi="Aptos" w:cs="Arial"/>
          <w:b/>
          <w:bCs/>
          <w:sz w:val="28"/>
          <w:szCs w:val="28"/>
        </w:rPr>
        <w:t>Module code</w:t>
      </w:r>
      <w:r w:rsidRPr="00C31D85">
        <w:rPr>
          <w:rFonts w:ascii="Aptos" w:hAnsi="Aptos" w:cs="Arial"/>
          <w:sz w:val="28"/>
          <w:szCs w:val="28"/>
        </w:rPr>
        <w:t>:</w:t>
      </w:r>
      <w:r w:rsidR="00FD5D28">
        <w:rPr>
          <w:rFonts w:ascii="Aptos" w:hAnsi="Aptos" w:cs="Arial"/>
          <w:sz w:val="28"/>
          <w:szCs w:val="28"/>
        </w:rPr>
        <w:t xml:space="preserve"> </w:t>
      </w:r>
      <w:r w:rsidR="00FD5D28" w:rsidRPr="00FD5D28">
        <w:rPr>
          <w:rFonts w:ascii="Aptos" w:hAnsi="Aptos" w:cs="Arial"/>
          <w:sz w:val="28"/>
          <w:szCs w:val="28"/>
          <w:lang w:val="en-GB"/>
        </w:rPr>
        <w:t>(BMHP6020_BIRM)</w:t>
      </w:r>
    </w:p>
    <w:p w14:paraId="42A6E8AA" w14:textId="373BD845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</w:rPr>
      </w:pPr>
    </w:p>
    <w:p w14:paraId="6842E518" w14:textId="37717FE1" w:rsidR="003F7690" w:rsidRPr="003F7690" w:rsidRDefault="00CC0A8F" w:rsidP="003F7690">
      <w:pPr>
        <w:jc w:val="center"/>
        <w:rPr>
          <w:rFonts w:ascii="Aptos" w:hAnsi="Aptos"/>
          <w:b/>
          <w:bCs/>
          <w:lang w:val="en-GB"/>
        </w:rPr>
      </w:pPr>
      <w:r w:rsidRPr="00C31D85">
        <w:rPr>
          <w:rFonts w:ascii="Aptos" w:hAnsi="Aptos"/>
          <w:b/>
          <w:bCs/>
        </w:rPr>
        <w:br w:type="page"/>
      </w:r>
      <w:r w:rsidR="003F7690" w:rsidRPr="003F7690">
        <w:rPr>
          <w:rFonts w:ascii="Aptos" w:hAnsi="Aptos"/>
          <w:b/>
          <w:bCs/>
          <w:noProof/>
          <w:lang w:val="en-GB"/>
        </w:rPr>
        <w:lastRenderedPageBreak/>
        <w:drawing>
          <wp:inline distT="0" distB="0" distL="0" distR="0" wp14:anchorId="3037D068" wp14:editId="6B23FD93">
            <wp:extent cx="6465570" cy="9144000"/>
            <wp:effectExtent l="0" t="0" r="0" b="0"/>
            <wp:docPr id="14916391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57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4DC93" w14:textId="695BB636" w:rsidR="00C31D85" w:rsidRPr="00C31D85" w:rsidRDefault="00C31D85" w:rsidP="00C31D85">
      <w:pPr>
        <w:jc w:val="center"/>
        <w:rPr>
          <w:rFonts w:ascii="Aptos" w:hAnsi="Aptos"/>
          <w:b/>
          <w:bCs/>
        </w:rPr>
        <w:sectPr w:rsidR="00C31D85" w:rsidRPr="00C31D85" w:rsidSect="00C31D85">
          <w:headerReference w:type="default" r:id="rId13"/>
          <w:headerReference w:type="first" r:id="rId14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</w:p>
    <w:p w14:paraId="0C400A40" w14:textId="48E4E9BB" w:rsidR="0048578D" w:rsidRPr="0048578D" w:rsidRDefault="0048578D" w:rsidP="0048578D">
      <w:pPr>
        <w:rPr>
          <w:lang w:val="en-GB"/>
        </w:rPr>
      </w:pPr>
      <w:r w:rsidRPr="0048578D">
        <w:rPr>
          <w:noProof/>
          <w:lang w:val="en-GB"/>
        </w:rPr>
        <w:lastRenderedPageBreak/>
        <w:drawing>
          <wp:inline distT="0" distB="0" distL="0" distR="0" wp14:anchorId="10E78B98" wp14:editId="0CE6A280">
            <wp:extent cx="6835140" cy="9197340"/>
            <wp:effectExtent l="0" t="0" r="3810" b="3810"/>
            <wp:docPr id="1714882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882522" name=""/>
                    <pic:cNvPicPr/>
                  </pic:nvPicPr>
                  <pic:blipFill rotWithShape="1">
                    <a:blip r:embed="rId15"/>
                    <a:srcRect l="30817" r="29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140" cy="9197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76E2C9" w14:textId="0CD351ED" w:rsidR="0048578D" w:rsidRPr="0048578D" w:rsidRDefault="0048578D" w:rsidP="0048578D">
      <w:pPr>
        <w:rPr>
          <w:lang w:val="en-GB"/>
        </w:rPr>
      </w:pPr>
    </w:p>
    <w:p w14:paraId="5B7B9125" w14:textId="56F52F46" w:rsidR="003F7690" w:rsidRDefault="00FD5D28" w:rsidP="003F7690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51415C88" w14:textId="77777777" w:rsidR="00FD5D28" w:rsidRDefault="00FD5D28" w:rsidP="00FD5D2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2CC5C45" w14:textId="7F7F49DB" w:rsidR="00FD5D28" w:rsidRPr="00FD5D28" w:rsidRDefault="00FD5D28" w:rsidP="00FD5D28">
      <w:pPr>
        <w:spacing w:line="360" w:lineRule="auto"/>
        <w:jc w:val="both"/>
        <w:rPr>
          <w:rFonts w:ascii="Aptos" w:hAnsi="Aptos"/>
        </w:rPr>
      </w:pPr>
      <w:r w:rsidRPr="00FD5D28">
        <w:rPr>
          <w:rFonts w:ascii="Aptos" w:hAnsi="Aptos"/>
        </w:rPr>
        <w:t xml:space="preserve">Aveyard, H. (2014) </w:t>
      </w:r>
      <w:r w:rsidRPr="00FD5D28">
        <w:rPr>
          <w:rFonts w:ascii="Aptos" w:hAnsi="Aptos"/>
          <w:i/>
          <w:iCs/>
        </w:rPr>
        <w:t>Doing a literature review in health and social care: a practical guide.</w:t>
      </w:r>
      <w:r w:rsidRPr="00FD5D28">
        <w:rPr>
          <w:rFonts w:ascii="Aptos" w:hAnsi="Aptos"/>
        </w:rPr>
        <w:t xml:space="preserve"> Maidenhead: Open University Press, pp. 143–156.</w:t>
      </w:r>
    </w:p>
    <w:p w14:paraId="77FC90BF" w14:textId="106939C2" w:rsidR="009E21E5" w:rsidRPr="00FD5D28" w:rsidRDefault="009E21E5" w:rsidP="00FD5D28">
      <w:pPr>
        <w:spacing w:line="360" w:lineRule="auto"/>
        <w:jc w:val="both"/>
        <w:rPr>
          <w:rFonts w:ascii="Aptos" w:hAnsi="Aptos"/>
          <w:lang w:val="en-GB"/>
        </w:rPr>
      </w:pPr>
      <w:r w:rsidRPr="009E21E5">
        <w:rPr>
          <w:rFonts w:ascii="Aptos" w:hAnsi="Aptos"/>
        </w:rPr>
        <w:t xml:space="preserve">Braun, V. and Clarke, V. (2006) 'Using thematic analysis in psychology', </w:t>
      </w:r>
      <w:r w:rsidRPr="009E21E5">
        <w:rPr>
          <w:rFonts w:ascii="Aptos" w:hAnsi="Aptos"/>
          <w:i/>
          <w:iCs/>
        </w:rPr>
        <w:t>Qualitative Research in Psychology</w:t>
      </w:r>
      <w:r w:rsidRPr="009E21E5">
        <w:rPr>
          <w:rFonts w:ascii="Aptos" w:hAnsi="Aptos"/>
        </w:rPr>
        <w:t xml:space="preserve">, 3(2), pp. 77–101. Available at: </w:t>
      </w:r>
      <w:hyperlink r:id="rId16" w:tgtFrame="_new" w:history="1">
        <w:r w:rsidRPr="009E21E5">
          <w:rPr>
            <w:rStyle w:val="Hyperlink"/>
            <w:rFonts w:ascii="Aptos" w:hAnsi="Aptos"/>
          </w:rPr>
          <w:t>https://doi.org/10.1191/1478088706qp063oa</w:t>
        </w:r>
      </w:hyperlink>
      <w:r w:rsidR="006F74B8">
        <w:t xml:space="preserve"> </w:t>
      </w:r>
      <w:r w:rsidR="006F74B8" w:rsidRPr="00FD5D28">
        <w:rPr>
          <w:rFonts w:ascii="Aptos" w:hAnsi="Aptos"/>
        </w:rPr>
        <w:t>(Accessed: 9 June 2026).</w:t>
      </w:r>
    </w:p>
    <w:p w14:paraId="13FAC892" w14:textId="4E89F074" w:rsidR="00FD5D28" w:rsidRPr="006F74B8" w:rsidRDefault="00FD5D28" w:rsidP="006F74B8">
      <w:pPr>
        <w:rPr>
          <w:rFonts w:ascii="Aptos" w:hAnsi="Aptos"/>
        </w:rPr>
      </w:pPr>
      <w:r w:rsidRPr="006F74B8">
        <w:rPr>
          <w:rFonts w:ascii="Aptos" w:hAnsi="Aptos"/>
        </w:rPr>
        <w:t>Chalkley, A. (2024) ‘Making the most of libraries, part 5: evaluating information using the CRAAP Test’</w:t>
      </w:r>
      <w:r w:rsidRPr="006F74B8">
        <w:rPr>
          <w:rFonts w:ascii="Aptos" w:hAnsi="Aptos"/>
          <w:i/>
          <w:iCs/>
        </w:rPr>
        <w:t>, British Journal of Healthcare Assistants</w:t>
      </w:r>
      <w:r w:rsidRPr="006F74B8">
        <w:rPr>
          <w:rFonts w:ascii="Aptos" w:hAnsi="Aptos"/>
        </w:rPr>
        <w:t xml:space="preserve">, 18(7), pp. 284–286. Available at: </w:t>
      </w:r>
      <w:hyperlink r:id="rId17" w:history="1">
        <w:r w:rsidR="006F74B8" w:rsidRPr="006F74B8">
          <w:rPr>
            <w:rStyle w:val="Hyperlink"/>
            <w:rFonts w:ascii="Aptos" w:hAnsi="Aptos"/>
          </w:rPr>
          <w:t>https://www.magonlinelibrary.com/doi/abs/10.12968/bjha.2024.18.7.284</w:t>
        </w:r>
      </w:hyperlink>
      <w:r w:rsidRPr="006F74B8">
        <w:rPr>
          <w:rFonts w:ascii="Aptos" w:hAnsi="Aptos"/>
        </w:rPr>
        <w:t xml:space="preserve"> (Accessed: 9 June 2026).</w:t>
      </w:r>
    </w:p>
    <w:p w14:paraId="39C75BF6" w14:textId="77777777" w:rsidR="006F74B8" w:rsidRPr="00FD5D28" w:rsidRDefault="006F74B8" w:rsidP="006F74B8"/>
    <w:p w14:paraId="16ED45CF" w14:textId="77777777" w:rsidR="00FD5D28" w:rsidRPr="004F2344" w:rsidRDefault="00FD5D28" w:rsidP="004F2344">
      <w:pPr>
        <w:rPr>
          <w:rFonts w:ascii="Aptos" w:hAnsi="Aptos"/>
        </w:rPr>
      </w:pPr>
      <w:r w:rsidRPr="004F2344">
        <w:rPr>
          <w:rFonts w:ascii="Aptos" w:hAnsi="Aptos"/>
        </w:rPr>
        <w:t>Cottrell, S. (2017</w:t>
      </w:r>
      <w:r w:rsidRPr="004F2344">
        <w:rPr>
          <w:rFonts w:ascii="Aptos" w:hAnsi="Aptos"/>
          <w:i/>
          <w:iCs/>
        </w:rPr>
        <w:t>) Critical thinking skills: effective analysis, argument and reflection</w:t>
      </w:r>
      <w:r w:rsidRPr="004F2344">
        <w:rPr>
          <w:rFonts w:ascii="Aptos" w:hAnsi="Aptos"/>
        </w:rPr>
        <w:t xml:space="preserve">. 3rd edn. London: Bloomsbury. Available at: </w:t>
      </w:r>
      <w:hyperlink r:id="rId18" w:history="1">
        <w:r w:rsidRPr="004F2344">
          <w:rPr>
            <w:rStyle w:val="Hyperlink"/>
            <w:rFonts w:ascii="Aptos" w:hAnsi="Aptos"/>
          </w:rPr>
          <w:t>https://ebookcentral.proquest.com/lib/trinity/detail.action?docID=6234915</w:t>
        </w:r>
      </w:hyperlink>
      <w:r w:rsidRPr="004F2344">
        <w:rPr>
          <w:rFonts w:ascii="Aptos" w:hAnsi="Aptos"/>
        </w:rPr>
        <w:t xml:space="preserve"> (Accessed: 9 June  2026).</w:t>
      </w:r>
    </w:p>
    <w:p w14:paraId="279BD597" w14:textId="77777777" w:rsidR="00FD5D28" w:rsidRPr="004F2344" w:rsidRDefault="00FD5D28" w:rsidP="004F2344">
      <w:pPr>
        <w:rPr>
          <w:rFonts w:ascii="Aptos" w:hAnsi="Aptos"/>
        </w:rPr>
      </w:pPr>
      <w:r w:rsidRPr="004F2344">
        <w:rPr>
          <w:rFonts w:ascii="Aptos" w:hAnsi="Aptos"/>
          <w:i/>
          <w:iCs/>
        </w:rPr>
        <w:t>Data Protection Act 2018</w:t>
      </w:r>
      <w:r w:rsidRPr="004F2344">
        <w:rPr>
          <w:rFonts w:ascii="Aptos" w:hAnsi="Aptos"/>
        </w:rPr>
        <w:t xml:space="preserve">, c. 12. London: The Stationery Office. Available at: </w:t>
      </w:r>
      <w:hyperlink r:id="rId19" w:tgtFrame="_new" w:history="1">
        <w:r w:rsidRPr="004F2344">
          <w:rPr>
            <w:rStyle w:val="Hyperlink"/>
            <w:rFonts w:ascii="Aptos" w:hAnsi="Aptos"/>
          </w:rPr>
          <w:t>https://www.legislation.gov.uk/ukpga/2018/12/contents</w:t>
        </w:r>
      </w:hyperlink>
      <w:r w:rsidRPr="004F2344">
        <w:rPr>
          <w:rFonts w:ascii="Aptos" w:hAnsi="Aptos"/>
        </w:rPr>
        <w:t xml:space="preserve"> (Accessed: 9 June 2026).</w:t>
      </w:r>
    </w:p>
    <w:p w14:paraId="205DCEF5" w14:textId="135CD6FA" w:rsidR="00FD5D28" w:rsidRPr="00FD5D28" w:rsidRDefault="00FD5D28" w:rsidP="00FD5D28">
      <w:pPr>
        <w:spacing w:line="360" w:lineRule="auto"/>
        <w:jc w:val="both"/>
        <w:rPr>
          <w:rFonts w:ascii="Aptos" w:hAnsi="Aptos"/>
        </w:rPr>
      </w:pPr>
      <w:r w:rsidRPr="00FD5D28">
        <w:rPr>
          <w:rFonts w:ascii="Aptos" w:hAnsi="Aptos"/>
        </w:rPr>
        <w:t xml:space="preserve">National Autistic Society (2026) </w:t>
      </w:r>
      <w:r w:rsidRPr="00A21E84">
        <w:rPr>
          <w:rFonts w:ascii="Aptos" w:hAnsi="Aptos"/>
          <w:i/>
          <w:iCs/>
        </w:rPr>
        <w:t>What is autism?</w:t>
      </w:r>
      <w:r w:rsidRPr="00FD5D28">
        <w:rPr>
          <w:rFonts w:ascii="Aptos" w:hAnsi="Aptos"/>
        </w:rPr>
        <w:t xml:space="preserve"> Available at:</w:t>
      </w:r>
      <w:r w:rsidR="00FC2A68">
        <w:rPr>
          <w:rFonts w:ascii="Aptos" w:hAnsi="Aptos"/>
        </w:rPr>
        <w:t xml:space="preserve"> </w:t>
      </w:r>
      <w:hyperlink r:id="rId20" w:history="1">
        <w:r w:rsidR="00FC2A68" w:rsidRPr="00295D3F">
          <w:rPr>
            <w:rStyle w:val="Hyperlink"/>
            <w:rFonts w:ascii="Aptos" w:hAnsi="Aptos"/>
          </w:rPr>
          <w:t>https://www.autism.org.uk/advice-and-guidance/what-is-autism</w:t>
        </w:r>
      </w:hyperlink>
      <w:r w:rsidRPr="00FD5D28">
        <w:rPr>
          <w:rFonts w:ascii="Aptos" w:hAnsi="Aptos"/>
        </w:rPr>
        <w:t xml:space="preserve"> (Accessed: 18 June 2026).</w:t>
      </w:r>
    </w:p>
    <w:p w14:paraId="49D96352" w14:textId="3D4E19B2" w:rsidR="00FD5D28" w:rsidRPr="00FD5D28" w:rsidRDefault="00FD5D28" w:rsidP="00FD5D28">
      <w:pPr>
        <w:spacing w:line="360" w:lineRule="auto"/>
        <w:jc w:val="both"/>
        <w:rPr>
          <w:rFonts w:ascii="Aptos" w:hAnsi="Aptos"/>
        </w:rPr>
      </w:pPr>
      <w:r w:rsidRPr="00FD5D28">
        <w:rPr>
          <w:rFonts w:ascii="Aptos" w:hAnsi="Aptos"/>
        </w:rPr>
        <w:t xml:space="preserve">National Data Guardian (2024) </w:t>
      </w:r>
      <w:r w:rsidRPr="00FD5D28">
        <w:rPr>
          <w:rFonts w:ascii="Aptos" w:hAnsi="Aptos"/>
          <w:i/>
          <w:iCs/>
        </w:rPr>
        <w:t>National Data Guardian 2023-2024 report</w:t>
      </w:r>
      <w:r w:rsidRPr="00FD5D28">
        <w:rPr>
          <w:rFonts w:ascii="Aptos" w:hAnsi="Aptos"/>
        </w:rPr>
        <w:t xml:space="preserve">. London: GOV.UK. Available at: </w:t>
      </w:r>
      <w:hyperlink r:id="rId21" w:history="1">
        <w:r w:rsidR="00FC2A68">
          <w:rPr>
            <w:rStyle w:val="Hyperlink"/>
            <w:rFonts w:ascii="Aptos" w:hAnsi="Aptos"/>
          </w:rPr>
          <w:t>https://www.gov.uk/government/publications/national-data-guardian-2023-2024-report/national-data-guardian-2023-2024-report</w:t>
        </w:r>
      </w:hyperlink>
      <w:r w:rsidR="00FC2A68">
        <w:rPr>
          <w:rFonts w:ascii="Aptos" w:hAnsi="Aptos"/>
        </w:rPr>
        <w:t xml:space="preserve"> </w:t>
      </w:r>
      <w:r w:rsidRPr="00FD5D28">
        <w:rPr>
          <w:rFonts w:ascii="Aptos" w:hAnsi="Aptos"/>
        </w:rPr>
        <w:t>(Accessed: 9 June  2026).</w:t>
      </w:r>
    </w:p>
    <w:p w14:paraId="5682D2AA" w14:textId="7771370C" w:rsidR="00C31D85" w:rsidRPr="009E21E5" w:rsidRDefault="00FD5D28" w:rsidP="009E21E5">
      <w:pPr>
        <w:spacing w:line="360" w:lineRule="auto"/>
        <w:jc w:val="both"/>
        <w:rPr>
          <w:rFonts w:ascii="Aptos" w:hAnsi="Aptos"/>
          <w:b/>
          <w:bCs/>
          <w:lang w:val="en-GB"/>
        </w:rPr>
      </w:pPr>
      <w:r w:rsidRPr="00FD5D28">
        <w:rPr>
          <w:rFonts w:ascii="Aptos" w:hAnsi="Aptos"/>
        </w:rPr>
        <w:t xml:space="preserve">Rydzewska, E., Hughes-McCormack, L.A., </w:t>
      </w:r>
      <w:proofErr w:type="spellStart"/>
      <w:r w:rsidRPr="00FD5D28">
        <w:rPr>
          <w:rFonts w:ascii="Aptos" w:hAnsi="Aptos"/>
        </w:rPr>
        <w:t>Gillberg</w:t>
      </w:r>
      <w:proofErr w:type="spellEnd"/>
      <w:r w:rsidRPr="00FD5D28">
        <w:rPr>
          <w:rFonts w:ascii="Aptos" w:hAnsi="Aptos"/>
        </w:rPr>
        <w:t xml:space="preserve">, C., Henderson, A., MacIntyre, C., Rintoul, J. and Cooper, S.A. (2019) ‘Age at identification, prevalence and general health of children with autism: observational study of a whole country population’, </w:t>
      </w:r>
      <w:r w:rsidRPr="00A21E84">
        <w:rPr>
          <w:rFonts w:ascii="Aptos" w:hAnsi="Aptos"/>
          <w:i/>
          <w:iCs/>
        </w:rPr>
        <w:t>BMJ Open</w:t>
      </w:r>
      <w:r w:rsidRPr="00FD5D28">
        <w:rPr>
          <w:rFonts w:ascii="Aptos" w:hAnsi="Aptos"/>
        </w:rPr>
        <w:t>, 9(7), e025904. Available at: </w:t>
      </w:r>
      <w:hyperlink r:id="rId22" w:history="1">
        <w:r w:rsidR="009E21E5" w:rsidRPr="0079666D">
          <w:rPr>
            <w:rStyle w:val="Hyperlink"/>
            <w:rFonts w:ascii="Aptos" w:hAnsi="Aptos"/>
            <w:lang w:val="en-GB"/>
          </w:rPr>
          <w:t>https://doi.org/10.1136/bmjopen-2018-025904</w:t>
        </w:r>
      </w:hyperlink>
      <w:r w:rsidR="009E21E5" w:rsidRPr="0079666D">
        <w:rPr>
          <w:rFonts w:ascii="Aptos" w:hAnsi="Aptos"/>
          <w:lang w:val="en-GB"/>
        </w:rPr>
        <w:t xml:space="preserve"> </w:t>
      </w:r>
      <w:r w:rsidRPr="00FD5D28">
        <w:rPr>
          <w:rFonts w:ascii="Aptos" w:hAnsi="Aptos"/>
        </w:rPr>
        <w:t>(Accessed: 9 June 2026).</w:t>
      </w:r>
    </w:p>
    <w:p w14:paraId="53F82A21" w14:textId="40F65C0B" w:rsidR="009E21E5" w:rsidRPr="009E21E5" w:rsidRDefault="009E21E5" w:rsidP="009E21E5">
      <w:pPr>
        <w:spacing w:line="360" w:lineRule="auto"/>
        <w:jc w:val="both"/>
        <w:rPr>
          <w:rFonts w:ascii="Aptos" w:hAnsi="Aptos"/>
        </w:rPr>
        <w:sectPr w:rsidR="009E21E5" w:rsidRPr="009E21E5" w:rsidSect="003F7690">
          <w:pgSz w:w="12240" w:h="15840" w:code="1"/>
          <w:pgMar w:top="720" w:right="578" w:bottom="720" w:left="720" w:header="431" w:footer="289" w:gutter="0"/>
          <w:cols w:space="720"/>
          <w:titlePg/>
          <w:docGrid w:linePitch="360"/>
        </w:sectPr>
      </w:pPr>
      <w:r w:rsidRPr="009E21E5">
        <w:rPr>
          <w:rFonts w:ascii="Aptos" w:hAnsi="Aptos"/>
        </w:rPr>
        <w:t xml:space="preserve">Saunders, M. and Lewis, P. (2017) </w:t>
      </w:r>
      <w:r w:rsidRPr="009E21E5">
        <w:rPr>
          <w:rFonts w:ascii="Aptos" w:hAnsi="Aptos"/>
          <w:i/>
          <w:iCs/>
        </w:rPr>
        <w:t>Doing research in business and management</w:t>
      </w:r>
      <w:r w:rsidRPr="009E21E5">
        <w:rPr>
          <w:rFonts w:ascii="Aptos" w:hAnsi="Aptos"/>
        </w:rPr>
        <w:t>. 2nd edn. Harlow: Pearson.</w:t>
      </w:r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</w:t>
      </w: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0217A54B" w:rsidR="00EB6F36" w:rsidRDefault="00846694" w:rsidP="00C46111">
      <w:pPr>
        <w:rPr>
          <w:noProof/>
        </w:rPr>
      </w:pPr>
      <w:r w:rsidRPr="00846694">
        <w:rPr>
          <w:noProof/>
        </w:rPr>
        <w:t xml:space="preserve"> </w:t>
      </w:r>
    </w:p>
    <w:p w14:paraId="1117C621" w14:textId="77777777" w:rsidR="005F7D75" w:rsidRDefault="005F7D75" w:rsidP="00C46111">
      <w:pPr>
        <w:rPr>
          <w:noProof/>
        </w:rPr>
      </w:pPr>
    </w:p>
    <w:p w14:paraId="403780EA" w14:textId="77777777" w:rsidR="005F7D75" w:rsidRDefault="005F7D75" w:rsidP="00C46111">
      <w:pPr>
        <w:rPr>
          <w:noProof/>
        </w:rPr>
      </w:pPr>
    </w:p>
    <w:p w14:paraId="7C20071D" w14:textId="77777777" w:rsidR="005F7D75" w:rsidRDefault="005F7D75" w:rsidP="00C46111">
      <w:pPr>
        <w:rPr>
          <w:noProof/>
        </w:rPr>
      </w:pPr>
    </w:p>
    <w:p w14:paraId="579172ED" w14:textId="77777777" w:rsidR="005F7D75" w:rsidRDefault="005F7D75" w:rsidP="00C46111">
      <w:pPr>
        <w:rPr>
          <w:noProof/>
        </w:rPr>
      </w:pPr>
    </w:p>
    <w:p w14:paraId="59F89357" w14:textId="77777777" w:rsidR="005F7D75" w:rsidRDefault="005F7D75" w:rsidP="00C46111">
      <w:pPr>
        <w:rPr>
          <w:noProof/>
        </w:rPr>
      </w:pPr>
    </w:p>
    <w:p w14:paraId="241FFB1B" w14:textId="77777777" w:rsidR="005F7D75" w:rsidRDefault="005F7D75" w:rsidP="00C46111">
      <w:pPr>
        <w:rPr>
          <w:noProof/>
        </w:rPr>
      </w:pPr>
    </w:p>
    <w:p w14:paraId="2B1D5641" w14:textId="77777777" w:rsidR="005F7D75" w:rsidRDefault="005F7D75" w:rsidP="00C46111">
      <w:pPr>
        <w:rPr>
          <w:noProof/>
        </w:rPr>
      </w:pPr>
    </w:p>
    <w:p w14:paraId="75B17DEF" w14:textId="77777777" w:rsidR="005F7D75" w:rsidRDefault="005F7D75" w:rsidP="00C46111">
      <w:pPr>
        <w:rPr>
          <w:noProof/>
        </w:rPr>
      </w:pPr>
    </w:p>
    <w:p w14:paraId="704E6675" w14:textId="77777777" w:rsidR="005F7D75" w:rsidRDefault="005F7D75" w:rsidP="00C46111">
      <w:pPr>
        <w:rPr>
          <w:noProof/>
        </w:rPr>
      </w:pPr>
    </w:p>
    <w:p w14:paraId="03F0D60E" w14:textId="5715CBC6" w:rsidR="00582081" w:rsidRPr="003D0853" w:rsidRDefault="00582081" w:rsidP="003D0853">
      <w:pPr>
        <w:spacing w:line="360" w:lineRule="auto"/>
        <w:rPr>
          <w:rFonts w:ascii="Aptos" w:hAnsi="Aptos"/>
          <w:noProof/>
          <w:sz w:val="28"/>
          <w:szCs w:val="28"/>
        </w:rPr>
      </w:pPr>
    </w:p>
    <w:sectPr w:rsidR="00582081" w:rsidRPr="003D0853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A5353" w14:textId="77777777" w:rsidR="00843344" w:rsidRDefault="00843344" w:rsidP="00D210FA">
      <w:pPr>
        <w:spacing w:after="0"/>
      </w:pPr>
      <w:r>
        <w:separator/>
      </w:r>
    </w:p>
  </w:endnote>
  <w:endnote w:type="continuationSeparator" w:id="0">
    <w:p w14:paraId="6DADF4B7" w14:textId="77777777" w:rsidR="00843344" w:rsidRDefault="00843344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AB9DB" w14:textId="77777777" w:rsidR="00843344" w:rsidRDefault="00843344" w:rsidP="00D210FA">
      <w:pPr>
        <w:spacing w:after="0"/>
      </w:pPr>
      <w:r>
        <w:separator/>
      </w:r>
    </w:p>
  </w:footnote>
  <w:footnote w:type="continuationSeparator" w:id="0">
    <w:p w14:paraId="5EAF3874" w14:textId="77777777" w:rsidR="00843344" w:rsidRDefault="00843344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4"/>
  </w:num>
  <w:num w:numId="2" w16cid:durableId="66732129">
    <w:abstractNumId w:val="3"/>
  </w:num>
  <w:num w:numId="3" w16cid:durableId="1791968620">
    <w:abstractNumId w:val="11"/>
  </w:num>
  <w:num w:numId="4" w16cid:durableId="67852329">
    <w:abstractNumId w:val="12"/>
  </w:num>
  <w:num w:numId="5" w16cid:durableId="825783799">
    <w:abstractNumId w:val="7"/>
  </w:num>
  <w:num w:numId="6" w16cid:durableId="1203637911">
    <w:abstractNumId w:val="6"/>
  </w:num>
  <w:num w:numId="7" w16cid:durableId="1393117886">
    <w:abstractNumId w:val="9"/>
  </w:num>
  <w:num w:numId="8" w16cid:durableId="546726307">
    <w:abstractNumId w:val="8"/>
  </w:num>
  <w:num w:numId="9" w16cid:durableId="1142770867">
    <w:abstractNumId w:val="2"/>
  </w:num>
  <w:num w:numId="10" w16cid:durableId="1077478685">
    <w:abstractNumId w:val="0"/>
  </w:num>
  <w:num w:numId="11" w16cid:durableId="366024991">
    <w:abstractNumId w:val="5"/>
  </w:num>
  <w:num w:numId="12" w16cid:durableId="212468278">
    <w:abstractNumId w:val="1"/>
  </w:num>
  <w:num w:numId="13" w16cid:durableId="5371336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63B85"/>
    <w:rsid w:val="0008782A"/>
    <w:rsid w:val="000A065A"/>
    <w:rsid w:val="000E56ED"/>
    <w:rsid w:val="00106FC5"/>
    <w:rsid w:val="00120DEC"/>
    <w:rsid w:val="00123C19"/>
    <w:rsid w:val="001A2DAB"/>
    <w:rsid w:val="001C55B6"/>
    <w:rsid w:val="001D6CC4"/>
    <w:rsid w:val="00206405"/>
    <w:rsid w:val="002341AD"/>
    <w:rsid w:val="00253267"/>
    <w:rsid w:val="002823CD"/>
    <w:rsid w:val="00287787"/>
    <w:rsid w:val="00291685"/>
    <w:rsid w:val="0029329C"/>
    <w:rsid w:val="002B0A3D"/>
    <w:rsid w:val="002F26AB"/>
    <w:rsid w:val="003007A7"/>
    <w:rsid w:val="003257E1"/>
    <w:rsid w:val="00325DEC"/>
    <w:rsid w:val="00346FFA"/>
    <w:rsid w:val="00385494"/>
    <w:rsid w:val="00392F4B"/>
    <w:rsid w:val="003A3069"/>
    <w:rsid w:val="003C20B5"/>
    <w:rsid w:val="003D0853"/>
    <w:rsid w:val="003E545F"/>
    <w:rsid w:val="003F03D2"/>
    <w:rsid w:val="003F1E1A"/>
    <w:rsid w:val="003F7690"/>
    <w:rsid w:val="004045E5"/>
    <w:rsid w:val="00421496"/>
    <w:rsid w:val="00422C27"/>
    <w:rsid w:val="0043294D"/>
    <w:rsid w:val="0044367C"/>
    <w:rsid w:val="0044412C"/>
    <w:rsid w:val="004642F0"/>
    <w:rsid w:val="0048578D"/>
    <w:rsid w:val="004F2344"/>
    <w:rsid w:val="00500564"/>
    <w:rsid w:val="0051102B"/>
    <w:rsid w:val="00516CC0"/>
    <w:rsid w:val="005279BF"/>
    <w:rsid w:val="005475F0"/>
    <w:rsid w:val="005819F6"/>
    <w:rsid w:val="00582081"/>
    <w:rsid w:val="005838BC"/>
    <w:rsid w:val="005B57E1"/>
    <w:rsid w:val="005E61E0"/>
    <w:rsid w:val="005F0F31"/>
    <w:rsid w:val="005F7D75"/>
    <w:rsid w:val="006024ED"/>
    <w:rsid w:val="0061793F"/>
    <w:rsid w:val="0062123A"/>
    <w:rsid w:val="0064015C"/>
    <w:rsid w:val="006605F8"/>
    <w:rsid w:val="006676A1"/>
    <w:rsid w:val="006833BD"/>
    <w:rsid w:val="006D2642"/>
    <w:rsid w:val="006E2D42"/>
    <w:rsid w:val="006F74B8"/>
    <w:rsid w:val="00720FEE"/>
    <w:rsid w:val="00764B6F"/>
    <w:rsid w:val="0079666D"/>
    <w:rsid w:val="007C7319"/>
    <w:rsid w:val="007D43B3"/>
    <w:rsid w:val="007F20B4"/>
    <w:rsid w:val="007F525E"/>
    <w:rsid w:val="00802FF1"/>
    <w:rsid w:val="0082695D"/>
    <w:rsid w:val="0083044C"/>
    <w:rsid w:val="00843344"/>
    <w:rsid w:val="00846694"/>
    <w:rsid w:val="0085182D"/>
    <w:rsid w:val="00867E5F"/>
    <w:rsid w:val="008709F5"/>
    <w:rsid w:val="00877A91"/>
    <w:rsid w:val="00884E86"/>
    <w:rsid w:val="00890534"/>
    <w:rsid w:val="00891124"/>
    <w:rsid w:val="008927FF"/>
    <w:rsid w:val="008B0F18"/>
    <w:rsid w:val="008C1616"/>
    <w:rsid w:val="008E3921"/>
    <w:rsid w:val="0090027B"/>
    <w:rsid w:val="00905238"/>
    <w:rsid w:val="0094702A"/>
    <w:rsid w:val="00967DAB"/>
    <w:rsid w:val="00990E76"/>
    <w:rsid w:val="00991A53"/>
    <w:rsid w:val="00996F4E"/>
    <w:rsid w:val="009E21E5"/>
    <w:rsid w:val="009F71FE"/>
    <w:rsid w:val="00A21E84"/>
    <w:rsid w:val="00A27D8D"/>
    <w:rsid w:val="00A31F33"/>
    <w:rsid w:val="00A70A62"/>
    <w:rsid w:val="00A71DA8"/>
    <w:rsid w:val="00A90A7A"/>
    <w:rsid w:val="00AB1210"/>
    <w:rsid w:val="00AB5409"/>
    <w:rsid w:val="00AB770D"/>
    <w:rsid w:val="00AF2088"/>
    <w:rsid w:val="00AF5FB0"/>
    <w:rsid w:val="00B0080A"/>
    <w:rsid w:val="00B0538C"/>
    <w:rsid w:val="00B25FB5"/>
    <w:rsid w:val="00B376E4"/>
    <w:rsid w:val="00B37AB8"/>
    <w:rsid w:val="00B418DE"/>
    <w:rsid w:val="00B47FE7"/>
    <w:rsid w:val="00B67824"/>
    <w:rsid w:val="00BE15BA"/>
    <w:rsid w:val="00C20ED0"/>
    <w:rsid w:val="00C31D85"/>
    <w:rsid w:val="00C348A8"/>
    <w:rsid w:val="00C34FA0"/>
    <w:rsid w:val="00C46111"/>
    <w:rsid w:val="00C47DCC"/>
    <w:rsid w:val="00C83332"/>
    <w:rsid w:val="00C95E04"/>
    <w:rsid w:val="00CA1144"/>
    <w:rsid w:val="00CC0A8F"/>
    <w:rsid w:val="00CC24B6"/>
    <w:rsid w:val="00CD3A64"/>
    <w:rsid w:val="00CE08CD"/>
    <w:rsid w:val="00D0664A"/>
    <w:rsid w:val="00D17E3E"/>
    <w:rsid w:val="00D210FA"/>
    <w:rsid w:val="00D30F1D"/>
    <w:rsid w:val="00D57231"/>
    <w:rsid w:val="00D87B48"/>
    <w:rsid w:val="00D87BD5"/>
    <w:rsid w:val="00D91203"/>
    <w:rsid w:val="00D94FD1"/>
    <w:rsid w:val="00E41692"/>
    <w:rsid w:val="00E55D74"/>
    <w:rsid w:val="00E776C4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F2042E"/>
    <w:rsid w:val="00F37523"/>
    <w:rsid w:val="00F50168"/>
    <w:rsid w:val="00F50D34"/>
    <w:rsid w:val="00F52F83"/>
    <w:rsid w:val="00F61360"/>
    <w:rsid w:val="00FC2A68"/>
    <w:rsid w:val="00FC538A"/>
    <w:rsid w:val="00FD5D28"/>
    <w:rsid w:val="00FE2B9F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semiHidden/>
    <w:unhideWhenUsed/>
    <w:rsid w:val="003F7690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D5D2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E21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hyperlink" Target="https://ebookcentral.proquest.com/lib/trinity/detail.action?docID=6234915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overnment/publications/national-data-guardian-2023-2024-report/national-data-guardian-2023-2024-report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magonlinelibrary.com/doi/abs/10.12968/bjha.2024.18.7.28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91/1478088706qp063oa" TargetMode="External"/><Relationship Id="rId20" Type="http://schemas.openxmlformats.org/officeDocument/2006/relationships/hyperlink" Target="https://www.autism.org.uk/advice-and-guidance/what-is-autis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ww.legislation.gov.uk/ukpga/2018/12/content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hyperlink" Target="https://doi.org/10.1136/bmjopen-2018-02590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2026-07-25T18:57:00Z</dcterms:created>
  <dcterms:modified xsi:type="dcterms:W3CDTF">2026-07-25T19:06:00Z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f43875eb-1f3e-4d89-bca0-fbc5070bd518</vt:lpwstr>
  </property>
</Properties>
</file>