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DC0F897" wp14:paraId="66CC7DFA" wp14:textId="2C3ABDA0">
      <w:pPr>
        <w:rPr>
          <w:rFonts w:ascii="Aptos" w:hAnsi="Aptos" w:eastAsia="Aptos" w:cs="Aptos"/>
          <w:b w:val="0"/>
          <w:bCs w:val="0"/>
          <w:i w:val="0"/>
          <w:iCs w:val="0"/>
          <w:caps w:val="0"/>
          <w:smallCaps w:val="0"/>
          <w:noProof w:val="0"/>
          <w:color w:val="000000" w:themeColor="text1" w:themeTint="FF" w:themeShade="FF"/>
          <w:sz w:val="24"/>
          <w:szCs w:val="24"/>
          <w:lang w:val="en-GB"/>
        </w:rPr>
      </w:pPr>
      <w:r w:rsidRPr="4DC0F897" w:rsidR="14087CA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Q: Disscuss the advantages and disadvantages of The Separation of Powers Theory</w:t>
      </w:r>
    </w:p>
    <w:p xmlns:wp14="http://schemas.microsoft.com/office/word/2010/wordml" w:rsidP="4DC0F897" wp14:paraId="255722E0" wp14:textId="45664D84">
      <w:pPr>
        <w:spacing w:before="240" w:beforeAutospacing="off" w:after="240" w:afterAutospacing="off"/>
      </w:pPr>
      <w:r w:rsidRPr="4DC0F897" w:rsidR="2FC799A1">
        <w:rPr>
          <w:rFonts w:ascii="Aptos" w:hAnsi="Aptos" w:eastAsia="Aptos" w:cs="Aptos"/>
          <w:noProof w:val="0"/>
          <w:sz w:val="24"/>
          <w:szCs w:val="24"/>
          <w:lang w:val="en-GB"/>
        </w:rPr>
        <w:t>In relevance to the Separation of Powers Theory, the state has a certainty of collaboration with it due to the individual sectors that make the state up. The 3 sectors are Parliament, Government, and the Judiciary. A brief overview of the main functions of the UK Parliament is to challenge the work of the government, make and change laws, debate important issues, and check that the government is being responsible with how they spend their money. For example, the UK’s budget and taxes (UK Parliament, 2019). The government is responsible for managing how the country is run and managing day-to-day operations. For example, the government determines how to allocate public money, set taxes, etc. While many government powers have been delegated to the devolved institutions in Scotland, Wales, and Northern Ireland, only the UK government can speak on behalf of the entire UK and represent the country abroad (UK Parliament, 2023). The judiciary as a whole is made up of a range of different departments, such as judges, magistrates, tribunal members, and coroners. Together, they uphold the rule of law. For example, judges and other members of the judiciary oversee cases in different types of courts and tribunals and in different areas of law across the country (Courts and Tribunals Judiciary, 2019).</w:t>
      </w:r>
    </w:p>
    <w:p xmlns:wp14="http://schemas.microsoft.com/office/word/2010/wordml" w:rsidP="4DC0F897" wp14:paraId="0C9126B4" wp14:textId="4DB1608A">
      <w:pPr>
        <w:spacing w:before="240" w:beforeAutospacing="off" w:after="240" w:afterAutospacing="off"/>
        <w:jc w:val="left"/>
      </w:pPr>
      <w:r w:rsidRPr="4DC0F897" w:rsidR="2FC799A1">
        <w:rPr>
          <w:rFonts w:ascii="Aptos" w:hAnsi="Aptos" w:eastAsia="Aptos" w:cs="Aptos"/>
          <w:noProof w:val="0"/>
          <w:sz w:val="24"/>
          <w:szCs w:val="24"/>
          <w:lang w:val="en-GB"/>
        </w:rPr>
        <w:t>The Separation of Powers theory is the separation between all 3 sectors of the state: parliament, government, and the judiciary. The idea of the Separation of Powers theory is that all 3 of their roles should be separate and not overlap one another and that they should all be independent of each other. According to Venkat (2018, pp. 507-527), the overlap of the three sectors is significant, and the British constitution has evolved over many centuries, and the arrangement of powers has undergone a carefully planned, gradual transformation. The origin of the Separation of Powers Theory stems from the fourth century BC when writings were featured in the Greek philosopher Aristotle. The idea of the separation of powers theory has a lot of different opinions on how the separation of powers should look. Some theorists argue that there should be a complete separation. For example, Montesquieu believed that the rule of law could be best achieved by assigning different governmental functions to separate functions. Montesquieu was proven wrong as his conclusion rested on two errors. The first one was theoretical, and the second was both empirical and theoretical (Laurence, 2005, p. 419-451). A different theorist, John Locke, believes that they should be separate to an extent. Locke argues that sovereignty is divided into “potential” and “actual” based on the ‘divine covenant with God.’. Locke also argues that the community is formed fundamentally through a singular contract, which is then split into two parts: “society,” which is responsible for legislation and represents the potential sovereignty of the community to develop common law, and “government,” which is tasked with enforcement and represents the actual sovereignty of the King, ensuring the execution of common law to promote the common good (Bendri, 2010, pg. 323-339).</w:t>
      </w:r>
    </w:p>
    <w:p xmlns:wp14="http://schemas.microsoft.com/office/word/2010/wordml" w:rsidP="4DC0F897" wp14:paraId="714A6743" wp14:textId="7B8B66AB">
      <w:pPr>
        <w:spacing w:before="240" w:beforeAutospacing="off" w:after="240" w:afterAutospacing="off"/>
        <w:jc w:val="left"/>
      </w:pPr>
      <w:r w:rsidRPr="4DC0F897" w:rsidR="2FC799A1">
        <w:rPr>
          <w:rFonts w:ascii="Aptos" w:hAnsi="Aptos" w:eastAsia="Aptos" w:cs="Aptos"/>
          <w:noProof w:val="0"/>
          <w:sz w:val="24"/>
          <w:szCs w:val="24"/>
          <w:lang w:val="en-GB"/>
        </w:rPr>
        <w:t xml:space="preserve">Before 2005, due to the Constitutional Reform Act 2005, the Lord Chancellor was involved with all three institutions (parliament, government, and judiciary). The rule of law of the Constitutional Reform Act 2005 is that the act does not affect the existing constitutional principle of law or the Lord Chancellor’s existing role in relation to that principle. Under the Constitutional Reform Act 2005, a person is only recommended for appointment as Lord Chancellor if the Prime Minister believes they are qualified by experience. The Prime Minister can consider various qualifications, including experience as a Minister of the Crown, a member of either House of Parliament, a qualifying practitioner, a law teacher at a university, or any other relevant experience. A “qualifying practitioner” refers to someone with a senior courts qualification, an advocate or solicitor in Scotland with rights to appear in certain courts, or a member of the Bar or a solicitor in Northern Ireland. Within this act, it was a House of Lords Court, and the government set the amount of time people who were serving a life sentence needed to serve before being eligible for release. Now, this power is with the judiciary because of the Criminal Justice and Court Services Act 2000. </w:t>
      </w:r>
    </w:p>
    <w:p xmlns:wp14="http://schemas.microsoft.com/office/word/2010/wordml" w:rsidP="4DC0F897" wp14:paraId="031A19EE" wp14:textId="3837D903">
      <w:pPr>
        <w:spacing w:before="240" w:beforeAutospacing="off" w:after="240" w:afterAutospacing="off"/>
        <w:jc w:val="left"/>
      </w:pPr>
      <w:r w:rsidRPr="4DC0F897" w:rsidR="2FC799A1">
        <w:rPr>
          <w:rFonts w:ascii="Aptos" w:hAnsi="Aptos" w:eastAsia="Aptos" w:cs="Aptos"/>
          <w:noProof w:val="0"/>
          <w:sz w:val="24"/>
          <w:szCs w:val="24"/>
          <w:lang w:val="en-GB"/>
        </w:rPr>
        <w:t>An advantage of the Separation of Powers Theory is if all 3 sectors of the state were separate, then it would prevent a potential abuse of power. An example of a potential abuse of power before 2005 would be from the Lord Chancellor. The change of the Constitutional Reform Act 2005 no longer gives the Lord Chancellor an advantage over the whole state. If the Constitutional Reform Act 2005 stated the same, then this could potentially lead to no self-regulation being done in any of the sectors. By separating them, no single sector can operate unchecked. They can all hold each other accountable and prevent overreach or corruption. A disadvantage of the Separation of Powers Theory is that there is a lot of confusion and overlap within the 3 sectors. Some examples of the overlaps that are within parliament, government, and judiciary are that MPs are a part of the government and parliament, judges can create laws, and judges can put forward a declaration of incompatibility. Due to all of them overlapping, sometimes, it can come across not as clear as they might want it to be. A way to solve this could be by codifying them all to ensure no confusion or overlap takes place. A clear point that was expressed by the House of Commons (2014) was that making an established codified constitution would give the people a role for the first time in determining the central principles of the constitution of the United Kingdom, on which they have never been fully consulted.</w:t>
      </w:r>
    </w:p>
    <w:p xmlns:wp14="http://schemas.microsoft.com/office/word/2010/wordml" w:rsidP="4DC0F897" wp14:paraId="1BA32E86" wp14:textId="2E5BF173">
      <w:pPr>
        <w:spacing w:before="240" w:beforeAutospacing="off" w:after="240" w:afterAutospacing="off"/>
        <w:jc w:val="left"/>
      </w:pPr>
      <w:r w:rsidRPr="4DC0F897" w:rsidR="2FC799A1">
        <w:rPr>
          <w:rFonts w:ascii="Aptos" w:hAnsi="Aptos" w:eastAsia="Aptos" w:cs="Aptos"/>
          <w:noProof w:val="0"/>
          <w:sz w:val="24"/>
          <w:szCs w:val="24"/>
          <w:lang w:val="en-GB"/>
        </w:rPr>
        <w:t>A reform suggestion for the Separation of Power theory is having a codified constitution. The United Kingdom currently operates under an unwritten/uncodified constitution, meaning the rules governing parliament, government, and the judiciary are not contained in one solid written document. Due to this, significant overlap and confusion happen, which could potentially define the powers and boundaries of each of the 3 sectors. There is already a significant portion of the United Kingdom's constitution that is already codified. In recent years, there has been a large expansion in both the length of the United Kingdom's constitutional text and the number of topics covered by it (Department of Political Science, 2015). If there is already a large part of the constitution that has been codified, then that shows us there needs to be a clear shift within the separation of powers theory to make it more understandable and more approachable for people.</w:t>
      </w:r>
    </w:p>
    <w:p xmlns:wp14="http://schemas.microsoft.com/office/word/2010/wordml" w:rsidP="4DC0F897" wp14:paraId="4FF55F0F" wp14:textId="387F18E6">
      <w:pPr>
        <w:spacing w:before="240" w:beforeAutospacing="off" w:after="240" w:afterAutospacing="off"/>
        <w:jc w:val="left"/>
      </w:pPr>
      <w:r w:rsidRPr="4DC0F897" w:rsidR="2FC799A1">
        <w:rPr>
          <w:rFonts w:ascii="Aptos" w:hAnsi="Aptos" w:eastAsia="Aptos" w:cs="Aptos"/>
          <w:noProof w:val="0"/>
          <w:sz w:val="24"/>
          <w:szCs w:val="24"/>
          <w:lang w:val="en-GB"/>
        </w:rPr>
        <w:t>In conclusion, the Separation of Powers Theory does highlight the importance and understanding of why parliament, government, and the judiciary should be kept separate. The advantage to them being kept separate is that it ensures there is no or limited possibility of any abuse of powers happening, which in the past we can see could have potentially happened with the Lord Chancellor. But due to the Constitutional Reform Act 2005 changing, there will be a limited chance of abuse of powers happening. But there is a clear overlap between all 3 of them, which can cause serious confusion for everyone else. By them putting a codified constitution in place, hopefully, it will lead to less overlap and confusion, as a large part of the United Kingdom constitution has been codified and seems to have no confusion at all.</w:t>
      </w:r>
    </w:p>
    <w:p xmlns:wp14="http://schemas.microsoft.com/office/word/2010/wordml" wp14:paraId="5E5787A5" wp14:textId="7881D39E"/>
    <w:p w:rsidR="51CB05E9" w:rsidP="4DC0F897" w:rsidRDefault="51CB05E9" w14:paraId="02343970" w14:textId="1CB81913">
      <w:pPr>
        <w:rPr>
          <w:u w:val="single"/>
        </w:rPr>
      </w:pPr>
      <w:r w:rsidRPr="4DC0F897" w:rsidR="51CB05E9">
        <w:rPr>
          <w:u w:val="single"/>
        </w:rPr>
        <w:t>Reference List</w:t>
      </w:r>
    </w:p>
    <w:p w:rsidR="51CB05E9" w:rsidP="4DC0F897" w:rsidRDefault="51CB05E9" w14:paraId="50502BD4" w14:textId="684F0587">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Bendri, G. (2010) ‘Sovereignty and the Separation of Powers in John Locke’ Routledge; The European Legacy, toward new paradigms. Vol 15 (3), p.323-339. Available at: </w:t>
      </w:r>
      <w:hyperlink r:id="Ra04005aac2d54b83">
        <w:r w:rsidRPr="4DC0F897" w:rsidR="51CB05E9">
          <w:rPr>
            <w:rStyle w:val="Hyperlink"/>
            <w:rFonts w:ascii="Aptos" w:hAnsi="Aptos" w:eastAsia="Aptos" w:cs="Aptos"/>
            <w:noProof w:val="0"/>
            <w:sz w:val="24"/>
            <w:szCs w:val="24"/>
            <w:lang w:val="en-GB"/>
          </w:rPr>
          <w:t>https://www-tandfonline-com.ezproxy.uwtsd.ac.uk/doi/full/10.1080/10848771003783611</w:t>
        </w:r>
      </w:hyperlink>
      <w:r w:rsidRPr="4DC0F897" w:rsidR="51CB05E9">
        <w:rPr>
          <w:rFonts w:ascii="Aptos" w:hAnsi="Aptos" w:eastAsia="Aptos" w:cs="Aptos"/>
          <w:noProof w:val="0"/>
          <w:sz w:val="24"/>
          <w:szCs w:val="24"/>
          <w:lang w:val="en-GB"/>
        </w:rPr>
        <w:t xml:space="preserve"> (Accessed: 04/03/2025)</w:t>
      </w:r>
    </w:p>
    <w:p w:rsidR="51CB05E9" w:rsidP="4DC0F897" w:rsidRDefault="51CB05E9" w14:paraId="09E219B0" w14:textId="3F80E340">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Constitutional Reform Act 2005, c. 4. Available at: </w:t>
      </w:r>
      <w:hyperlink r:id="R010bfc19cc4747ef">
        <w:r w:rsidRPr="4DC0F897" w:rsidR="51CB05E9">
          <w:rPr>
            <w:rStyle w:val="Hyperlink"/>
            <w:rFonts w:ascii="Aptos" w:hAnsi="Aptos" w:eastAsia="Aptos" w:cs="Aptos"/>
            <w:noProof w:val="0"/>
            <w:sz w:val="24"/>
            <w:szCs w:val="24"/>
            <w:lang w:val="en-GB"/>
          </w:rPr>
          <w:t>https://www.legislation.gov.uk/ukpga/2005/4/section/1</w:t>
        </w:r>
      </w:hyperlink>
      <w:r w:rsidRPr="4DC0F897" w:rsidR="51CB05E9">
        <w:rPr>
          <w:rFonts w:ascii="Aptos" w:hAnsi="Aptos" w:eastAsia="Aptos" w:cs="Aptos"/>
          <w:noProof w:val="0"/>
          <w:sz w:val="24"/>
          <w:szCs w:val="24"/>
          <w:lang w:val="en-GB"/>
        </w:rPr>
        <w:t xml:space="preserve"> (Accessed: 04/03/2025)</w:t>
      </w:r>
    </w:p>
    <w:p w:rsidR="51CB05E9" w:rsidP="4DC0F897" w:rsidRDefault="51CB05E9" w14:paraId="167C5214" w14:textId="227DC82E">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Courts and Tribunals Judiciary (2019). Who are the Judiciary? Available at: </w:t>
      </w:r>
      <w:hyperlink r:id="Rc1aa70c2b9fe418d">
        <w:r w:rsidRPr="4DC0F897" w:rsidR="51CB05E9">
          <w:rPr>
            <w:rStyle w:val="Hyperlink"/>
            <w:rFonts w:ascii="Aptos" w:hAnsi="Aptos" w:eastAsia="Aptos" w:cs="Aptos"/>
            <w:noProof w:val="0"/>
            <w:sz w:val="24"/>
            <w:szCs w:val="24"/>
            <w:lang w:val="en-GB"/>
          </w:rPr>
          <w:t>https://www.judiciary.uk/</w:t>
        </w:r>
      </w:hyperlink>
      <w:r w:rsidRPr="4DC0F897" w:rsidR="51CB05E9">
        <w:rPr>
          <w:rFonts w:ascii="Aptos" w:hAnsi="Aptos" w:eastAsia="Aptos" w:cs="Aptos"/>
          <w:noProof w:val="0"/>
          <w:sz w:val="24"/>
          <w:szCs w:val="24"/>
          <w:lang w:val="en-GB"/>
        </w:rPr>
        <w:t xml:space="preserve"> (Accessed: 03/03/2025)</w:t>
      </w:r>
    </w:p>
    <w:p w:rsidR="51CB05E9" w:rsidP="4DC0F897" w:rsidRDefault="51CB05E9" w14:paraId="7851BA33" w14:textId="01C89151">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Criminal Justice and Court Services Act 2000, c. 43. Available at: </w:t>
      </w:r>
      <w:hyperlink r:id="Rdc67dff61692499e">
        <w:r w:rsidRPr="4DC0F897" w:rsidR="51CB05E9">
          <w:rPr>
            <w:rStyle w:val="Hyperlink"/>
            <w:rFonts w:ascii="Aptos" w:hAnsi="Aptos" w:eastAsia="Aptos" w:cs="Aptos"/>
            <w:noProof w:val="0"/>
            <w:sz w:val="24"/>
            <w:szCs w:val="24"/>
            <w:lang w:val="en-GB"/>
          </w:rPr>
          <w:t>https://www.legislation.gov.uk/ukpga/2000/43/section/2</w:t>
        </w:r>
      </w:hyperlink>
      <w:r w:rsidRPr="4DC0F897" w:rsidR="51CB05E9">
        <w:rPr>
          <w:rFonts w:ascii="Aptos" w:hAnsi="Aptos" w:eastAsia="Aptos" w:cs="Aptos"/>
          <w:noProof w:val="0"/>
          <w:sz w:val="24"/>
          <w:szCs w:val="24"/>
          <w:lang w:val="en-GB"/>
        </w:rPr>
        <w:t xml:space="preserve"> (Accessed: 04/03/2025)</w:t>
      </w:r>
    </w:p>
    <w:p w:rsidR="51CB05E9" w:rsidP="4DC0F897" w:rsidRDefault="51CB05E9" w14:paraId="1D951092" w14:textId="0381E854">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House of Commons (2014) ‘A new magna Carta?- Political and constitutional reform contents’. Available at: </w:t>
      </w:r>
      <w:hyperlink r:id="Rbf5d6551ef4e4d53">
        <w:r w:rsidRPr="4DC0F897" w:rsidR="51CB05E9">
          <w:rPr>
            <w:rStyle w:val="Hyperlink"/>
            <w:rFonts w:ascii="Aptos" w:hAnsi="Aptos" w:eastAsia="Aptos" w:cs="Aptos"/>
            <w:noProof w:val="0"/>
            <w:sz w:val="24"/>
            <w:szCs w:val="24"/>
            <w:lang w:val="en-GB"/>
          </w:rPr>
          <w:t>https://publications.parliament.uk/pa/cm201415/cmselect/cmpolcon/463/46308.htm</w:t>
        </w:r>
      </w:hyperlink>
      <w:r w:rsidRPr="4DC0F897" w:rsidR="51CB05E9">
        <w:rPr>
          <w:rFonts w:ascii="Aptos" w:hAnsi="Aptos" w:eastAsia="Aptos" w:cs="Aptos"/>
          <w:noProof w:val="0"/>
          <w:sz w:val="24"/>
          <w:szCs w:val="24"/>
          <w:lang w:val="en-GB"/>
        </w:rPr>
        <w:t xml:space="preserve"> (Accessed: 05/03/2025)</w:t>
      </w:r>
    </w:p>
    <w:p w:rsidR="51CB05E9" w:rsidP="4DC0F897" w:rsidRDefault="51CB05E9" w14:paraId="4B6B7BAE" w14:textId="39E7BA3F">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Laurence, C. (2005) ‘Montesquieu’s Mistakes and the True Meaning of Separation’ Oxford: Oxford University Press; Oxford Journal of Legal Studies. Vol. 25 (3), p. 419-451. Available at: </w:t>
      </w:r>
      <w:hyperlink r:id="R6dfbd8f539194249">
        <w:r w:rsidRPr="4DC0F897" w:rsidR="51CB05E9">
          <w:rPr>
            <w:rStyle w:val="Hyperlink"/>
            <w:rFonts w:ascii="Aptos" w:hAnsi="Aptos" w:eastAsia="Aptos" w:cs="Aptos"/>
            <w:noProof w:val="0"/>
            <w:sz w:val="24"/>
            <w:szCs w:val="24"/>
            <w:lang w:val="en-GB"/>
          </w:rPr>
          <w:t>https://www-jstor-org.ezproxy.uwtsd.ac.uk/stable/3600677?seq=1</w:t>
        </w:r>
      </w:hyperlink>
      <w:r w:rsidRPr="4DC0F897" w:rsidR="51CB05E9">
        <w:rPr>
          <w:rFonts w:ascii="Aptos" w:hAnsi="Aptos" w:eastAsia="Aptos" w:cs="Aptos"/>
          <w:noProof w:val="0"/>
          <w:sz w:val="24"/>
          <w:szCs w:val="24"/>
          <w:lang w:val="en-GB"/>
        </w:rPr>
        <w:t xml:space="preserve"> (Accessed: 03/03/2025)</w:t>
      </w:r>
    </w:p>
    <w:p w:rsidR="51CB05E9" w:rsidP="4DC0F897" w:rsidRDefault="51CB05E9" w14:paraId="7BAC0903" w14:textId="5B7DCBFA">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Melton, J., Stuart, C., Helen, D. (2015) To codify or not to codify? Lessons from consolidating the United Kingdom’s constitutional statutes. Available at: </w:t>
      </w:r>
      <w:hyperlink r:id="R5335a0db2c4c4e9c">
        <w:r w:rsidRPr="4DC0F897" w:rsidR="51CB05E9">
          <w:rPr>
            <w:rStyle w:val="Hyperlink"/>
            <w:rFonts w:ascii="Aptos" w:hAnsi="Aptos" w:eastAsia="Aptos" w:cs="Aptos"/>
            <w:noProof w:val="0"/>
            <w:sz w:val="24"/>
            <w:szCs w:val="24"/>
            <w:lang w:val="en-GB"/>
          </w:rPr>
          <w:t>https://www.ucl.ac.uk/constitution-unit/sites/constitution-unit/files/162.pdf</w:t>
        </w:r>
      </w:hyperlink>
      <w:r w:rsidRPr="4DC0F897" w:rsidR="51CB05E9">
        <w:rPr>
          <w:rFonts w:ascii="Aptos" w:hAnsi="Aptos" w:eastAsia="Aptos" w:cs="Aptos"/>
          <w:noProof w:val="0"/>
          <w:sz w:val="24"/>
          <w:szCs w:val="24"/>
          <w:lang w:val="en-GB"/>
        </w:rPr>
        <w:t xml:space="preserve"> (Accessed: 05/03/2025)</w:t>
      </w:r>
    </w:p>
    <w:p w:rsidR="51CB05E9" w:rsidP="4DC0F897" w:rsidRDefault="51CB05E9" w14:paraId="54D47FA5" w14:textId="1D4F1785">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UK Parliament (2019). What is the role of parliament? Available at: </w:t>
      </w:r>
      <w:hyperlink r:id="Rc5bb304aed444463">
        <w:r w:rsidRPr="4DC0F897" w:rsidR="51CB05E9">
          <w:rPr>
            <w:rStyle w:val="Hyperlink"/>
            <w:rFonts w:ascii="Aptos" w:hAnsi="Aptos" w:eastAsia="Aptos" w:cs="Aptos"/>
            <w:noProof w:val="0"/>
            <w:sz w:val="24"/>
            <w:szCs w:val="24"/>
            <w:lang w:val="en-GB"/>
          </w:rPr>
          <w:t>https://www.parliament.uk/about/how/role/</w:t>
        </w:r>
      </w:hyperlink>
      <w:r w:rsidRPr="4DC0F897" w:rsidR="51CB05E9">
        <w:rPr>
          <w:rFonts w:ascii="Aptos" w:hAnsi="Aptos" w:eastAsia="Aptos" w:cs="Aptos"/>
          <w:noProof w:val="0"/>
          <w:sz w:val="24"/>
          <w:szCs w:val="24"/>
          <w:lang w:val="en-GB"/>
        </w:rPr>
        <w:t xml:space="preserve"> (Accessed: 03/03/2025)</w:t>
      </w:r>
    </w:p>
    <w:p w:rsidR="51CB05E9" w:rsidP="4DC0F897" w:rsidRDefault="51CB05E9" w14:paraId="1B0C38C4" w14:textId="1A801DC2">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UK Parliament (2023). Parliament and the Government. Available at: </w:t>
      </w:r>
      <w:hyperlink r:id="R04b36285cd4e48b4">
        <w:r w:rsidRPr="4DC0F897" w:rsidR="51CB05E9">
          <w:rPr>
            <w:rStyle w:val="Hyperlink"/>
            <w:rFonts w:ascii="Aptos" w:hAnsi="Aptos" w:eastAsia="Aptos" w:cs="Aptos"/>
            <w:noProof w:val="0"/>
            <w:sz w:val="24"/>
            <w:szCs w:val="24"/>
            <w:lang w:val="en-GB"/>
          </w:rPr>
          <w:t>https://www.parliament.uk/about/how/role/relations-with-other-institutions/parliament-government/</w:t>
        </w:r>
      </w:hyperlink>
      <w:r w:rsidRPr="4DC0F897" w:rsidR="51CB05E9">
        <w:rPr>
          <w:rFonts w:ascii="Aptos" w:hAnsi="Aptos" w:eastAsia="Aptos" w:cs="Aptos"/>
          <w:noProof w:val="0"/>
          <w:sz w:val="24"/>
          <w:szCs w:val="24"/>
          <w:lang w:val="en-GB"/>
        </w:rPr>
        <w:t xml:space="preserve"> (Accessed: 03/03/2025)</w:t>
      </w:r>
    </w:p>
    <w:p w:rsidR="51CB05E9" w:rsidP="4DC0F897" w:rsidRDefault="51CB05E9" w14:paraId="6EC729F0" w14:textId="1B818466">
      <w:pPr>
        <w:pStyle w:val="ListParagraph"/>
        <w:numPr>
          <w:ilvl w:val="0"/>
          <w:numId w:val="1"/>
        </w:numPr>
        <w:spacing w:before="0" w:beforeAutospacing="off" w:after="0" w:afterAutospacing="off"/>
        <w:rPr>
          <w:rFonts w:ascii="Aptos" w:hAnsi="Aptos" w:eastAsia="Aptos" w:cs="Aptos"/>
          <w:noProof w:val="0"/>
          <w:sz w:val="24"/>
          <w:szCs w:val="24"/>
          <w:lang w:val="en-GB"/>
        </w:rPr>
      </w:pPr>
      <w:r w:rsidRPr="4DC0F897" w:rsidR="51CB05E9">
        <w:rPr>
          <w:rFonts w:ascii="Aptos" w:hAnsi="Aptos" w:eastAsia="Aptos" w:cs="Aptos"/>
          <w:noProof w:val="0"/>
          <w:sz w:val="24"/>
          <w:szCs w:val="24"/>
          <w:lang w:val="en-GB"/>
        </w:rPr>
        <w:t xml:space="preserve">Venkat, I. (2018) ‘Separation of Powers: The UK Experience’ Journal of International and Comparative Law, Vol 5 (2), p. 507-527. Available at: </w:t>
      </w:r>
      <w:hyperlink r:id="R7287a766da8c4d47">
        <w:r w:rsidRPr="4DC0F897" w:rsidR="51CB05E9">
          <w:rPr>
            <w:rStyle w:val="Hyperlink"/>
            <w:rFonts w:ascii="Aptos" w:hAnsi="Aptos" w:eastAsia="Aptos" w:cs="Aptos"/>
            <w:noProof w:val="0"/>
            <w:sz w:val="24"/>
            <w:szCs w:val="24"/>
            <w:lang w:val="en-GB"/>
          </w:rPr>
          <w:t>https://www.proquest.com/docview/2215488197?accountid=130472&amp;parentSessionId=xHFG92Qg%2BXo1OA6xxGea9xQ7j7ZwY2L%2F79o6OqAQRHk%3D&amp;pq-origsite=primo&amp;sourcetype=Scholarly%20Journals</w:t>
        </w:r>
      </w:hyperlink>
      <w:r w:rsidRPr="4DC0F897" w:rsidR="51CB05E9">
        <w:rPr>
          <w:rFonts w:ascii="Aptos" w:hAnsi="Aptos" w:eastAsia="Aptos" w:cs="Aptos"/>
          <w:noProof w:val="0"/>
          <w:sz w:val="24"/>
          <w:szCs w:val="24"/>
          <w:lang w:val="en-GB"/>
        </w:rPr>
        <w:t xml:space="preserve"> (Accessed: 03/03/2025)</w:t>
      </w:r>
    </w:p>
    <w:p w:rsidR="4DC0F897" w:rsidRDefault="4DC0F897" w14:paraId="5F8EB55A" w14:textId="5A1B0A6A">
      <w:pPr>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9971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EEB07F"/>
    <w:rsid w:val="14087CAD"/>
    <w:rsid w:val="2FC799A1"/>
    <w:rsid w:val="33EEB07F"/>
    <w:rsid w:val="43C6C8AB"/>
    <w:rsid w:val="4DC0F897"/>
    <w:rsid w:val="5180A68A"/>
    <w:rsid w:val="51CB05E9"/>
    <w:rsid w:val="709E3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EB07F"/>
  <w15:chartTrackingRefBased/>
  <w15:docId w15:val="{3519FD36-74B7-4AE0-9548-15276DFBBA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DC0F897"/>
    <w:pPr>
      <w:spacing/>
      <w:ind w:left="720"/>
      <w:contextualSpacing/>
    </w:pPr>
  </w:style>
  <w:style w:type="character" w:styleId="Hyperlink">
    <w:uiPriority w:val="99"/>
    <w:name w:val="Hyperlink"/>
    <w:basedOn w:val="DefaultParagraphFont"/>
    <w:unhideWhenUsed/>
    <w:rsid w:val="4DC0F8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ezproxy.uwtsd.ac.uk/doi/full/10.1080/10848771003783611" TargetMode="External" Id="Ra04005aac2d54b83" /><Relationship Type="http://schemas.openxmlformats.org/officeDocument/2006/relationships/hyperlink" Target="https://www.legislation.gov.uk/ukpga/2005/4/section/1" TargetMode="External" Id="R010bfc19cc4747ef" /><Relationship Type="http://schemas.openxmlformats.org/officeDocument/2006/relationships/hyperlink" Target="https://www.judiciary.uk/" TargetMode="External" Id="Rc1aa70c2b9fe418d" /><Relationship Type="http://schemas.openxmlformats.org/officeDocument/2006/relationships/hyperlink" Target="https://www.legislation.gov.uk/ukpga/2000/43/section/2" TargetMode="External" Id="Rdc67dff61692499e" /><Relationship Type="http://schemas.openxmlformats.org/officeDocument/2006/relationships/hyperlink" Target="https://publications.parliament.uk/pa/cm201415/cmselect/cmpolcon/463/46308.htm" TargetMode="External" Id="Rbf5d6551ef4e4d53" /><Relationship Type="http://schemas.openxmlformats.org/officeDocument/2006/relationships/hyperlink" Target="https://www-jstor-org.ezproxy.uwtsd.ac.uk/stable/3600677?seq=1" TargetMode="External" Id="R6dfbd8f539194249" /><Relationship Type="http://schemas.openxmlformats.org/officeDocument/2006/relationships/hyperlink" Target="https://www.ucl.ac.uk/constitution-unit/sites/constitution-unit/files/162.pdf" TargetMode="External" Id="R5335a0db2c4c4e9c" /><Relationship Type="http://schemas.openxmlformats.org/officeDocument/2006/relationships/hyperlink" Target="https://www.parliament.uk/about/how/role/" TargetMode="External" Id="Rc5bb304aed444463" /><Relationship Type="http://schemas.openxmlformats.org/officeDocument/2006/relationships/hyperlink" Target="https://www.parliament.uk/about/how/role/relations-with-other-institutions/parliament-government/" TargetMode="External" Id="R04b36285cd4e48b4" /><Relationship Type="http://schemas.openxmlformats.org/officeDocument/2006/relationships/hyperlink" Target="https://www.proquest.com/docview/2215488197?accountid=130472&amp;parentSessionId=xHFG92Qg%2BXo1OA6xxGea9xQ7j7ZwY2L%2F79o6OqAQRHk%3D&amp;pq-origsite=primo&amp;sourcetype=Scholarly%20Journals" TargetMode="External" Id="R7287a766da8c4d47" /><Relationship Type="http://schemas.openxmlformats.org/officeDocument/2006/relationships/numbering" Target="/word/numbering.xml" Id="Ra2e75f297bc94f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Lilly Mainwaring (2416930)</dc:creator>
  <keywords/>
  <dc:description/>
  <lastModifiedBy>Lilly Mainwaring (2416930)</lastModifiedBy>
  <revision>2</revision>
  <dcterms:created xsi:type="dcterms:W3CDTF">2025-03-07T23:20:27.4198639Z</dcterms:created>
  <dcterms:modified xsi:type="dcterms:W3CDTF">2025-03-07T23:25:29.7696893Z</dcterms:modified>
</coreProperties>
</file>