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A3D3C" w14:textId="77777777" w:rsidR="00AF4702" w:rsidRPr="00AF4702" w:rsidRDefault="00AF4702" w:rsidP="00AF4702">
      <w:pPr>
        <w:widowControl/>
        <w:spacing w:before="120" w:after="120" w:line="480" w:lineRule="auto"/>
        <w:contextualSpacing/>
        <w:jc w:val="center"/>
        <w:rPr>
          <w:rFonts w:ascii="Times New Roman" w:eastAsia="Times New Roman" w:hAnsi="Times New Roman" w:cs="Times New Roman"/>
          <w:b/>
          <w:bCs/>
          <w:kern w:val="0"/>
          <w:sz w:val="24"/>
          <w:lang w:val="en-GB" w:eastAsia="en-US"/>
          <w14:ligatures w14:val="none"/>
        </w:rPr>
      </w:pPr>
    </w:p>
    <w:p w14:paraId="052BF83F" w14:textId="77777777" w:rsidR="00AF4702" w:rsidRPr="00AF4702" w:rsidRDefault="00AF4702" w:rsidP="00AF4702">
      <w:pPr>
        <w:widowControl/>
        <w:spacing w:before="120" w:after="120" w:line="480" w:lineRule="auto"/>
        <w:contextualSpacing/>
        <w:jc w:val="center"/>
        <w:rPr>
          <w:rFonts w:ascii="Times New Roman" w:eastAsia="Times New Roman" w:hAnsi="Times New Roman" w:cs="Times New Roman"/>
          <w:b/>
          <w:bCs/>
          <w:kern w:val="0"/>
          <w:sz w:val="24"/>
          <w:lang w:val="en-GB" w:eastAsia="en-US"/>
          <w14:ligatures w14:val="none"/>
        </w:rPr>
      </w:pPr>
    </w:p>
    <w:p w14:paraId="02DF4D60" w14:textId="77777777" w:rsidR="00AF4702" w:rsidRPr="00AF4702" w:rsidRDefault="00AF4702" w:rsidP="00AF4702">
      <w:pPr>
        <w:widowControl/>
        <w:spacing w:before="120" w:after="120" w:line="480" w:lineRule="auto"/>
        <w:contextualSpacing/>
        <w:jc w:val="center"/>
        <w:rPr>
          <w:rFonts w:ascii="Times New Roman" w:eastAsia="Times New Roman" w:hAnsi="Times New Roman" w:cs="Times New Roman"/>
          <w:b/>
          <w:bCs/>
          <w:kern w:val="0"/>
          <w:sz w:val="24"/>
          <w:lang w:val="en-GB" w:eastAsia="en-US"/>
          <w14:ligatures w14:val="none"/>
        </w:rPr>
      </w:pPr>
    </w:p>
    <w:p w14:paraId="4BA8101A" w14:textId="77777777" w:rsidR="00AF4702" w:rsidRPr="00AF4702" w:rsidRDefault="00AF4702" w:rsidP="00AF4702">
      <w:pPr>
        <w:widowControl/>
        <w:spacing w:before="120" w:after="120" w:line="480" w:lineRule="auto"/>
        <w:contextualSpacing/>
        <w:jc w:val="center"/>
        <w:rPr>
          <w:rFonts w:ascii="Times New Roman" w:eastAsia="Times New Roman" w:hAnsi="Times New Roman" w:cs="Times New Roman"/>
          <w:b/>
          <w:bCs/>
          <w:kern w:val="0"/>
          <w:sz w:val="24"/>
          <w:lang w:val="en-GB" w:eastAsia="en-US"/>
          <w14:ligatures w14:val="none"/>
        </w:rPr>
      </w:pPr>
    </w:p>
    <w:p w14:paraId="097E8014" w14:textId="77777777" w:rsidR="00AF4702" w:rsidRPr="00AF4702" w:rsidRDefault="00AF4702" w:rsidP="00AF4702">
      <w:pPr>
        <w:widowControl/>
        <w:spacing w:before="120" w:after="120" w:line="480" w:lineRule="auto"/>
        <w:contextualSpacing/>
        <w:jc w:val="center"/>
        <w:rPr>
          <w:rFonts w:ascii="Times New Roman" w:eastAsia="Times New Roman" w:hAnsi="Times New Roman" w:cs="Times New Roman"/>
          <w:b/>
          <w:bCs/>
          <w:kern w:val="0"/>
          <w:sz w:val="24"/>
          <w:lang w:val="en-GB" w:eastAsia="en-US"/>
          <w14:ligatures w14:val="none"/>
        </w:rPr>
      </w:pPr>
    </w:p>
    <w:p w14:paraId="55044672" w14:textId="77777777" w:rsidR="00AF4702" w:rsidRPr="00AF4702" w:rsidRDefault="00AF4702" w:rsidP="00AF4702">
      <w:pPr>
        <w:widowControl/>
        <w:spacing w:before="120" w:after="120" w:line="480" w:lineRule="auto"/>
        <w:contextualSpacing/>
        <w:jc w:val="center"/>
        <w:rPr>
          <w:rFonts w:ascii="Times New Roman" w:eastAsia="Times New Roman" w:hAnsi="Times New Roman" w:cs="Times New Roman"/>
          <w:b/>
          <w:bCs/>
          <w:kern w:val="0"/>
          <w:sz w:val="24"/>
          <w:lang w:val="en-GB" w:eastAsia="en-US"/>
          <w14:ligatures w14:val="none"/>
        </w:rPr>
      </w:pPr>
      <w:r w:rsidRPr="00AF4702">
        <w:rPr>
          <w:rFonts w:ascii="Times New Roman" w:eastAsia="Times New Roman" w:hAnsi="Times New Roman" w:cs="Times New Roman"/>
          <w:b/>
          <w:bCs/>
          <w:kern w:val="0"/>
          <w:sz w:val="24"/>
          <w:lang w:val="en-GB" w:eastAsia="en-US"/>
          <w14:ligatures w14:val="none"/>
        </w:rPr>
        <w:t>Mechanism-Focused School Mental Health Practice in Jiangsu High Schools: A Qualitative Multi-Case Study of Teachers’ Decision-Making from Acute Stabilization to Long-Term Capacity Building</w:t>
      </w:r>
    </w:p>
    <w:p w14:paraId="200F72AF" w14:textId="23FE9C15" w:rsidR="00AF4702" w:rsidRPr="00AF4702" w:rsidRDefault="00AF4702" w:rsidP="00AF4702">
      <w:pPr>
        <w:widowControl/>
        <w:spacing w:before="120" w:after="120" w:line="480" w:lineRule="auto"/>
        <w:contextualSpacing/>
        <w:jc w:val="center"/>
        <w:rPr>
          <w:rFonts w:ascii="Times New Roman" w:eastAsia="Times New Roman" w:hAnsi="Times New Roman" w:cs="Times New Roman"/>
          <w:kern w:val="0"/>
          <w:sz w:val="24"/>
          <w:lang w:val="en-GB"/>
          <w14:ligatures w14:val="none"/>
        </w:rPr>
      </w:pPr>
      <w:r w:rsidRPr="00AF4702">
        <w:rPr>
          <w:rFonts w:ascii="Times New Roman" w:eastAsia="Times New Roman" w:hAnsi="Times New Roman" w:cs="Times New Roman"/>
          <w:kern w:val="0"/>
          <w:sz w:val="24"/>
          <w:lang w:val="en-GB" w:eastAsia="en-US"/>
          <w14:ligatures w14:val="none"/>
        </w:rPr>
        <w:t>Name</w:t>
      </w:r>
      <w:r w:rsidR="002A226A">
        <w:rPr>
          <w:rFonts w:ascii="Times New Roman" w:hAnsi="Times New Roman" w:cs="Times New Roman" w:hint="eastAsia"/>
          <w:kern w:val="0"/>
          <w:sz w:val="24"/>
          <w:lang w:val="en-GB"/>
          <w14:ligatures w14:val="none"/>
        </w:rPr>
        <w:t>: Yuhao Qiu</w:t>
      </w:r>
    </w:p>
    <w:p w14:paraId="0BAF734D" w14:textId="77777777" w:rsidR="00AF4702" w:rsidRPr="00AF4702" w:rsidRDefault="00AF4702" w:rsidP="00AF4702">
      <w:pPr>
        <w:widowControl/>
        <w:spacing w:before="120" w:after="120" w:line="480" w:lineRule="auto"/>
        <w:contextualSpacing/>
        <w:jc w:val="center"/>
        <w:rPr>
          <w:rFonts w:ascii="Times New Roman" w:eastAsia="Times New Roman" w:hAnsi="Times New Roman" w:cs="Times New Roman"/>
          <w:kern w:val="0"/>
          <w:sz w:val="24"/>
          <w:lang w:val="en-GB" w:eastAsia="en-US"/>
          <w14:ligatures w14:val="none"/>
        </w:rPr>
      </w:pPr>
    </w:p>
    <w:p w14:paraId="64E70EA3" w14:textId="77777777" w:rsidR="00AF4702" w:rsidRPr="00AF4702" w:rsidRDefault="00AF4702" w:rsidP="00AF4702">
      <w:pPr>
        <w:widowControl/>
        <w:spacing w:before="120" w:after="120" w:line="480" w:lineRule="auto"/>
        <w:contextualSpacing/>
        <w:jc w:val="center"/>
        <w:rPr>
          <w:rFonts w:ascii="Times New Roman" w:eastAsia="Times New Roman" w:hAnsi="Times New Roman" w:cs="Times New Roman"/>
          <w:kern w:val="0"/>
          <w:sz w:val="24"/>
          <w:lang w:val="en-GB" w:eastAsia="en-US"/>
          <w14:ligatures w14:val="none"/>
        </w:rPr>
      </w:pPr>
    </w:p>
    <w:p w14:paraId="0F296FDD" w14:textId="77777777" w:rsidR="00AF4702" w:rsidRPr="00AF4702" w:rsidRDefault="00AF4702" w:rsidP="00AF4702">
      <w:pPr>
        <w:widowControl/>
        <w:spacing w:before="120" w:after="120" w:line="480" w:lineRule="auto"/>
        <w:contextualSpacing/>
        <w:jc w:val="center"/>
        <w:rPr>
          <w:rFonts w:ascii="Times New Roman" w:eastAsia="Times New Roman" w:hAnsi="Times New Roman" w:cs="Times New Roman"/>
          <w:kern w:val="0"/>
          <w:sz w:val="24"/>
          <w:lang w:val="en-GB" w:eastAsia="en-US"/>
          <w14:ligatures w14:val="none"/>
        </w:rPr>
      </w:pPr>
    </w:p>
    <w:p w14:paraId="43B5334C" w14:textId="77777777" w:rsidR="00AF4702" w:rsidRPr="00AF4702" w:rsidRDefault="00AF4702" w:rsidP="00AF4702">
      <w:pPr>
        <w:widowControl/>
        <w:spacing w:before="120" w:after="120" w:line="480" w:lineRule="auto"/>
        <w:contextualSpacing/>
        <w:jc w:val="center"/>
        <w:rPr>
          <w:rFonts w:ascii="Times New Roman" w:eastAsia="Times New Roman" w:hAnsi="Times New Roman" w:cs="Times New Roman"/>
          <w:kern w:val="0"/>
          <w:sz w:val="24"/>
          <w:lang w:val="en-GB" w:eastAsia="en-US"/>
          <w14:ligatures w14:val="none"/>
        </w:rPr>
      </w:pPr>
    </w:p>
    <w:p w14:paraId="197DC56D" w14:textId="46B5F24A" w:rsidR="00AF4702" w:rsidRPr="00AF4702" w:rsidRDefault="00AF4702" w:rsidP="00AF4702">
      <w:pPr>
        <w:widowControl/>
        <w:spacing w:before="120" w:after="120" w:line="480" w:lineRule="auto"/>
        <w:contextualSpacing/>
        <w:jc w:val="center"/>
        <w:rPr>
          <w:rFonts w:ascii="Times New Roman" w:hAnsi="Times New Roman" w:cs="Times New Roman"/>
          <w:kern w:val="0"/>
          <w:sz w:val="24"/>
          <w:lang w:val="en-GB"/>
          <w14:ligatures w14:val="none"/>
        </w:rPr>
      </w:pPr>
      <w:r w:rsidRPr="00AF4702">
        <w:rPr>
          <w:rFonts w:ascii="Times New Roman" w:eastAsia="Times New Roman" w:hAnsi="Times New Roman" w:cs="Times New Roman"/>
          <w:kern w:val="0"/>
          <w:sz w:val="24"/>
          <w:lang w:val="en-GB" w:eastAsia="en-US"/>
          <w14:ligatures w14:val="none"/>
        </w:rPr>
        <w:t>Course Title</w:t>
      </w:r>
      <w:r w:rsidR="002A226A">
        <w:rPr>
          <w:rFonts w:ascii="Times New Roman" w:hAnsi="Times New Roman" w:cs="Times New Roman" w:hint="eastAsia"/>
          <w:kern w:val="0"/>
          <w:sz w:val="24"/>
          <w:lang w:val="en-GB"/>
          <w14:ligatures w14:val="none"/>
        </w:rPr>
        <w:t>:</w:t>
      </w:r>
      <w:r w:rsidR="00CD6906" w:rsidRPr="00CD6906">
        <w:t xml:space="preserve"> </w:t>
      </w:r>
      <w:r w:rsidR="00CD6906" w:rsidRPr="00CD6906">
        <w:rPr>
          <w:rFonts w:ascii="Times New Roman" w:hAnsi="Times New Roman" w:cs="Times New Roman"/>
          <w:kern w:val="0"/>
          <w:sz w:val="24"/>
          <w:lang w:val="en-GB"/>
          <w14:ligatures w14:val="none"/>
        </w:rPr>
        <w:t>ECDE7021</w:t>
      </w:r>
    </w:p>
    <w:p w14:paraId="090B9FC6" w14:textId="06337D35" w:rsidR="00AF4702" w:rsidRPr="00AF4702" w:rsidRDefault="00AF4702" w:rsidP="005630D5">
      <w:pPr>
        <w:widowControl/>
        <w:spacing w:before="120" w:after="120" w:line="480" w:lineRule="auto"/>
        <w:contextualSpacing/>
        <w:jc w:val="center"/>
        <w:rPr>
          <w:rFonts w:ascii="Times New Roman" w:hAnsi="Times New Roman" w:cs="Times New Roman"/>
          <w:kern w:val="0"/>
          <w:sz w:val="24"/>
          <w:lang w:val="en-GB"/>
          <w14:ligatures w14:val="none"/>
        </w:rPr>
      </w:pPr>
      <w:r w:rsidRPr="00AF4702">
        <w:rPr>
          <w:rFonts w:ascii="Times New Roman" w:eastAsia="Times New Roman" w:hAnsi="Times New Roman" w:cs="Times New Roman"/>
          <w:kern w:val="0"/>
          <w:sz w:val="24"/>
          <w:lang w:val="en-GB" w:eastAsia="en-US"/>
          <w14:ligatures w14:val="none"/>
        </w:rPr>
        <w:t>Professor Name</w:t>
      </w:r>
      <w:r w:rsidR="007B4A2F">
        <w:rPr>
          <w:rFonts w:ascii="Times New Roman" w:hAnsi="Times New Roman" w:cs="Times New Roman" w:hint="eastAsia"/>
          <w:kern w:val="0"/>
          <w:sz w:val="24"/>
          <w:lang w:val="en-GB"/>
          <w14:ligatures w14:val="none"/>
        </w:rPr>
        <w:t>:</w:t>
      </w:r>
      <w:r w:rsidR="005630D5">
        <w:rPr>
          <w:rFonts w:ascii="Times New Roman" w:hAnsi="Times New Roman" w:cs="Times New Roman" w:hint="eastAsia"/>
          <w:kern w:val="0"/>
          <w:sz w:val="24"/>
          <w:lang w:val="en-GB"/>
          <w14:ligatures w14:val="none"/>
        </w:rPr>
        <w:t xml:space="preserve"> </w:t>
      </w:r>
      <w:r w:rsidR="005630D5" w:rsidRPr="005630D5">
        <w:rPr>
          <w:rFonts w:ascii="Times New Roman" w:hAnsi="Times New Roman" w:cs="Times New Roman"/>
          <w:kern w:val="0"/>
          <w:sz w:val="24"/>
          <w:lang w:val="en-GB"/>
          <w14:ligatures w14:val="none"/>
        </w:rPr>
        <w:t>Dr. Julia Holloway</w:t>
      </w:r>
    </w:p>
    <w:p w14:paraId="1DFD12BF" w14:textId="7A95700C" w:rsidR="00AF4702" w:rsidRPr="00AF4702" w:rsidRDefault="00AF4702" w:rsidP="00AF4702">
      <w:pPr>
        <w:widowControl/>
        <w:spacing w:before="120" w:after="120" w:line="480" w:lineRule="auto"/>
        <w:contextualSpacing/>
        <w:jc w:val="center"/>
        <w:rPr>
          <w:rFonts w:ascii="Times New Roman" w:hAnsi="Times New Roman" w:cs="Times New Roman"/>
          <w:kern w:val="0"/>
          <w:sz w:val="24"/>
          <w:lang w:val="en-GB"/>
          <w14:ligatures w14:val="none"/>
        </w:rPr>
      </w:pPr>
      <w:r w:rsidRPr="00AF4702">
        <w:rPr>
          <w:rFonts w:ascii="Times New Roman" w:eastAsia="Times New Roman" w:hAnsi="Times New Roman" w:cs="Times New Roman"/>
          <w:kern w:val="0"/>
          <w:sz w:val="24"/>
          <w:lang w:val="en-GB" w:eastAsia="en-US"/>
          <w14:ligatures w14:val="none"/>
        </w:rPr>
        <w:t>Institutional Affiliation</w:t>
      </w:r>
      <w:r w:rsidR="007B4A2F">
        <w:rPr>
          <w:rFonts w:ascii="Times New Roman" w:hAnsi="Times New Roman" w:cs="Times New Roman" w:hint="eastAsia"/>
          <w:kern w:val="0"/>
          <w:sz w:val="24"/>
          <w:lang w:val="en-GB"/>
          <w14:ligatures w14:val="none"/>
        </w:rPr>
        <w:t>: University of Wales Trinity Saint David</w:t>
      </w:r>
    </w:p>
    <w:p w14:paraId="10C4FC7C" w14:textId="2AFB8188" w:rsidR="00AF4702" w:rsidRPr="00AF4702" w:rsidRDefault="00AF4702" w:rsidP="00AF4702">
      <w:pPr>
        <w:widowControl/>
        <w:spacing w:before="120" w:after="120" w:line="480" w:lineRule="auto"/>
        <w:contextualSpacing/>
        <w:jc w:val="center"/>
        <w:rPr>
          <w:rFonts w:ascii="Times New Roman" w:eastAsia="Times New Roman" w:hAnsi="Times New Roman" w:cs="Times New Roman"/>
          <w:kern w:val="0"/>
          <w:sz w:val="24"/>
          <w:lang w:val="en-GB" w:eastAsia="en-US"/>
          <w14:ligatures w14:val="none"/>
        </w:rPr>
      </w:pPr>
      <w:r w:rsidRPr="00AF4702">
        <w:rPr>
          <w:rFonts w:ascii="Times New Roman" w:eastAsia="Times New Roman" w:hAnsi="Times New Roman" w:cs="Times New Roman"/>
          <w:kern w:val="0"/>
          <w:sz w:val="24"/>
          <w:lang w:val="en-GB" w:eastAsia="en-US"/>
          <w14:ligatures w14:val="none"/>
        </w:rPr>
        <w:t>Date</w:t>
      </w:r>
      <w:r w:rsidR="002A226A">
        <w:rPr>
          <w:rFonts w:ascii="Times New Roman" w:hAnsi="Times New Roman" w:cs="Times New Roman" w:hint="eastAsia"/>
          <w:kern w:val="0"/>
          <w:sz w:val="24"/>
          <w:lang w:val="en-GB"/>
          <w14:ligatures w14:val="none"/>
        </w:rPr>
        <w:t>: 4/</w:t>
      </w:r>
      <w:r w:rsidR="007B4A2F">
        <w:rPr>
          <w:rFonts w:ascii="Times New Roman" w:hAnsi="Times New Roman" w:cs="Times New Roman" w:hint="eastAsia"/>
          <w:kern w:val="0"/>
          <w:sz w:val="24"/>
          <w:lang w:val="en-GB"/>
          <w14:ligatures w14:val="none"/>
        </w:rPr>
        <w:t>20/2026</w:t>
      </w:r>
      <w:r w:rsidRPr="00AF4702">
        <w:rPr>
          <w:rFonts w:ascii="Times New Roman" w:eastAsia="Times New Roman" w:hAnsi="Times New Roman" w:cs="Times New Roman"/>
          <w:kern w:val="0"/>
          <w:sz w:val="24"/>
          <w:lang w:val="en-GB" w:eastAsia="en-US"/>
          <w14:ligatures w14:val="none"/>
        </w:rPr>
        <w:br w:type="page"/>
      </w:r>
    </w:p>
    <w:p w14:paraId="414CE61E" w14:textId="77777777" w:rsidR="00F02A69" w:rsidRPr="00F02A69" w:rsidRDefault="00F02A69" w:rsidP="00F02A69">
      <w:pPr>
        <w:keepNext/>
        <w:keepLines/>
        <w:widowControl/>
        <w:spacing w:before="120" w:after="120" w:line="480" w:lineRule="auto"/>
        <w:contextualSpacing/>
        <w:jc w:val="center"/>
        <w:outlineLvl w:val="0"/>
        <w:rPr>
          <w:rFonts w:ascii="Times New Roman" w:eastAsia="等线 Light" w:hAnsi="Times New Roman" w:cs="Times New Roman"/>
          <w:b/>
          <w:kern w:val="0"/>
          <w:sz w:val="24"/>
          <w:lang w:val="en-GB" w:eastAsia="en-US"/>
          <w14:ligatures w14:val="none"/>
        </w:rPr>
      </w:pPr>
      <w:bookmarkStart w:id="0" w:name="_Toc226463524"/>
      <w:r w:rsidRPr="00F02A69">
        <w:rPr>
          <w:rFonts w:ascii="Times New Roman" w:eastAsia="等线 Light" w:hAnsi="Times New Roman" w:cs="Times New Roman"/>
          <w:b/>
          <w:kern w:val="0"/>
          <w:sz w:val="24"/>
          <w:lang w:val="en-GB" w:eastAsia="en-US"/>
          <w14:ligatures w14:val="none"/>
        </w:rPr>
        <w:lastRenderedPageBreak/>
        <w:t>Abstract</w:t>
      </w:r>
      <w:bookmarkEnd w:id="0"/>
      <w:r w:rsidRPr="00F02A69">
        <w:rPr>
          <w:rFonts w:ascii="Times New Roman" w:eastAsia="等线 Light" w:hAnsi="Times New Roman" w:cs="Times New Roman"/>
          <w:b/>
          <w:kern w:val="0"/>
          <w:sz w:val="24"/>
          <w:lang w:val="en-GB" w:eastAsia="en-US"/>
          <w14:ligatures w14:val="none"/>
        </w:rPr>
        <w:t xml:space="preserve"> </w:t>
      </w:r>
    </w:p>
    <w:p w14:paraId="3E24D3EE"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This study examined interventions selected by school-based mental health practitioners in Jiangsu high schools among students with exam-related anxiety, specifically mechanism-based rationale, circumstantial constraints, and short-term stabilisation versus long-term capacity building. Although there is an emerging policy focus on mental health provision in schools, there have been few studies examining how school-based practitioners make decisions in real-life situations under high-stakes educational circumstances. The study adopts an interpretivist qualitative multiple-case study design, drawing on semi-structured interviews and de-identified institutional documents from 18 practitioners across six diverse high schools in Jiangsu. Thematic analysis was employed with framework mapping in order to relate practitioner actions to the underlying psychological processes and functional objectives. Five themes emerged. First, practitioners varied in how they recognised and described anxiety-related mechanisms, with disparities linked to differences in professional training. Second, examination timing strongly oriented practitioners towards short-term stabilisation at the expense of longer-term developmental work. Third, the type of school influenced the perception of what was deemed an appropriate intervention. Fourth, responses of parents were critical to supporting or restricting support. Fifth, there was substantial</w:t>
      </w:r>
      <w:r w:rsidRPr="00F02A69">
        <w:rPr>
          <w:rFonts w:ascii="Times New Roman" w:eastAsia="等线" w:hAnsi="Times New Roman" w:cs="Times New Roman" w:hint="eastAsia"/>
          <w:kern w:val="0"/>
          <w:sz w:val="24"/>
          <w:lang w:val="en-GB"/>
          <w14:ligatures w14:val="none"/>
        </w:rPr>
        <w:t xml:space="preserve"> </w:t>
      </w:r>
      <w:r w:rsidRPr="00F02A69">
        <w:rPr>
          <w:rFonts w:ascii="Times New Roman" w:eastAsia="Times New Roman" w:hAnsi="Times New Roman" w:cs="Times New Roman"/>
          <w:kern w:val="0"/>
          <w:sz w:val="24"/>
          <w:lang w:val="en-GB" w:eastAsia="en-US"/>
          <w14:ligatures w14:val="none"/>
        </w:rPr>
        <w:t xml:space="preserve">variation in the training of the practitioners, their confidence, and the definition of their roles. The given study advances the body of scholarship in mental health related to schools by being able to predict a practitioner level decision making and also providing a new concept, practical mechanism recognition, practitioner capacity to recognize underlying psychological processes, without necessarily having recourse to formal clinical language. It also draws attention to the structural constraints of high-stakes examination systems </w:t>
      </w:r>
      <w:r w:rsidRPr="00F02A69">
        <w:rPr>
          <w:rFonts w:ascii="Times New Roman" w:eastAsia="Times New Roman" w:hAnsi="Times New Roman" w:cs="Times New Roman"/>
          <w:kern w:val="0"/>
          <w:sz w:val="24"/>
          <w:lang w:val="en-GB" w:eastAsia="en-US"/>
          <w14:ligatures w14:val="none"/>
        </w:rPr>
        <w:lastRenderedPageBreak/>
        <w:t>and provides applicative implications on practitioner education, referral channels and parent-school interactions in diverse educational communication levels.</w:t>
      </w:r>
    </w:p>
    <w:p w14:paraId="25E332CB"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i/>
          <w:iCs/>
          <w:kern w:val="0"/>
          <w:sz w:val="24"/>
          <w:lang w:val="en-GB" w:eastAsia="en-US"/>
          <w14:ligatures w14:val="none"/>
        </w:rPr>
        <w:t>Keywords</w:t>
      </w:r>
      <w:r w:rsidRPr="00F02A69">
        <w:rPr>
          <w:rFonts w:ascii="Times New Roman" w:eastAsia="Times New Roman" w:hAnsi="Times New Roman" w:cs="Times New Roman"/>
          <w:kern w:val="0"/>
          <w:sz w:val="24"/>
          <w:lang w:val="en-GB" w:eastAsia="en-US"/>
          <w14:ligatures w14:val="none"/>
        </w:rPr>
        <w:t xml:space="preserve">: exam anxiety, school mental health, practitioner decision-making, qualitative research, Jiangsu, China, mechanism-focused practice, multiple-case study </w:t>
      </w:r>
    </w:p>
    <w:p w14:paraId="18206DB7"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p>
    <w:p w14:paraId="2F1DC266"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br w:type="page"/>
      </w:r>
    </w:p>
    <w:sdt>
      <w:sdtPr>
        <w:rPr>
          <w:rFonts w:ascii="Times New Roman" w:eastAsia="Times New Roman" w:hAnsi="Times New Roman" w:cs="Times New Roman"/>
          <w:kern w:val="0"/>
          <w:sz w:val="24"/>
          <w:lang w:val="en-GB" w:eastAsia="en-US"/>
          <w14:ligatures w14:val="none"/>
        </w:rPr>
        <w:id w:val="-1417777212"/>
        <w:docPartObj>
          <w:docPartGallery w:val="Table of Contents"/>
          <w:docPartUnique/>
        </w:docPartObj>
      </w:sdtPr>
      <w:sdtEndPr>
        <w:rPr>
          <w:b/>
          <w:bCs/>
        </w:rPr>
      </w:sdtEndPr>
      <w:sdtContent>
        <w:p w14:paraId="23B79062" w14:textId="77777777" w:rsidR="00F02A69" w:rsidRPr="00F02A69" w:rsidRDefault="00F02A69" w:rsidP="00F02A69">
          <w:pPr>
            <w:keepNext/>
            <w:keepLines/>
            <w:widowControl/>
            <w:spacing w:before="120" w:after="120" w:line="480" w:lineRule="auto"/>
            <w:contextualSpacing/>
            <w:rPr>
              <w:rFonts w:ascii="Times New Roman" w:eastAsia="等线 Light" w:hAnsi="Times New Roman" w:cs="Times New Roman"/>
              <w:color w:val="2F5496"/>
              <w:kern w:val="0"/>
              <w:sz w:val="24"/>
              <w:lang w:val="en-GB" w:eastAsia="en-US"/>
              <w14:ligatures w14:val="none"/>
            </w:rPr>
          </w:pPr>
          <w:r w:rsidRPr="00F02A69">
            <w:rPr>
              <w:rFonts w:ascii="Times New Roman" w:eastAsia="等线 Light" w:hAnsi="Times New Roman" w:cs="Times New Roman"/>
              <w:color w:val="2F5496"/>
              <w:kern w:val="0"/>
              <w:sz w:val="24"/>
              <w:lang w:val="en-GB" w:eastAsia="en-US"/>
              <w14:ligatures w14:val="none"/>
            </w:rPr>
            <w:t>Table of Contents</w:t>
          </w:r>
        </w:p>
        <w:p w14:paraId="542AC476" w14:textId="77777777" w:rsidR="00F02A69" w:rsidRPr="00F02A69" w:rsidRDefault="00F02A69" w:rsidP="00F02A69">
          <w:pPr>
            <w:widowControl/>
            <w:tabs>
              <w:tab w:val="right" w:leader="dot" w:pos="9350"/>
            </w:tabs>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fldChar w:fldCharType="begin"/>
          </w:r>
          <w:r w:rsidRPr="00F02A69">
            <w:rPr>
              <w:rFonts w:ascii="Times New Roman" w:eastAsia="Times New Roman" w:hAnsi="Times New Roman" w:cs="Times New Roman"/>
              <w:kern w:val="0"/>
              <w:sz w:val="24"/>
              <w:lang w:val="en-GB" w:eastAsia="en-US"/>
              <w14:ligatures w14:val="none"/>
            </w:rPr>
            <w:instrText xml:space="preserve"> TOC \o "1-3" \h \z \u </w:instrText>
          </w:r>
          <w:r w:rsidRPr="00F02A69">
            <w:rPr>
              <w:rFonts w:ascii="Times New Roman" w:eastAsia="Times New Roman" w:hAnsi="Times New Roman" w:cs="Times New Roman"/>
              <w:kern w:val="0"/>
              <w:sz w:val="24"/>
              <w:lang w:val="en-GB" w:eastAsia="en-US"/>
              <w14:ligatures w14:val="none"/>
            </w:rPr>
            <w:fldChar w:fldCharType="separate"/>
          </w:r>
          <w:hyperlink w:anchor="_Toc226463524" w:history="1">
            <w:r w:rsidRPr="00F02A69">
              <w:rPr>
                <w:rFonts w:ascii="Times New Roman" w:eastAsia="Times New Roman" w:hAnsi="Times New Roman" w:cs="Times New Roman"/>
                <w:color w:val="0563C1"/>
                <w:kern w:val="0"/>
                <w:sz w:val="24"/>
                <w:u w:val="single"/>
                <w:lang w:val="en-GB" w:eastAsia="en-US"/>
                <w14:ligatures w14:val="none"/>
              </w:rPr>
              <w:t>Abstract</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_Toc226463524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w:t>
            </w:r>
            <w:r w:rsidRPr="00F02A69">
              <w:rPr>
                <w:rFonts w:ascii="Times New Roman" w:eastAsia="Times New Roman" w:hAnsi="Times New Roman" w:cs="Times New Roman"/>
                <w:webHidden/>
                <w:kern w:val="0"/>
                <w:sz w:val="24"/>
                <w:lang w:val="en-GB" w:eastAsia="en-US"/>
                <w14:ligatures w14:val="none"/>
              </w:rPr>
              <w:fldChar w:fldCharType="end"/>
            </w:r>
          </w:hyperlink>
        </w:p>
        <w:p w14:paraId="07BFB9F0" w14:textId="77777777" w:rsidR="00F02A69" w:rsidRPr="00F02A69" w:rsidRDefault="00F02A69" w:rsidP="00F02A69">
          <w:pPr>
            <w:widowControl/>
            <w:tabs>
              <w:tab w:val="right" w:leader="dot" w:pos="9350"/>
            </w:tabs>
            <w:spacing w:before="120" w:after="120" w:line="480" w:lineRule="auto"/>
            <w:contextualSpacing/>
            <w:rPr>
              <w:rFonts w:ascii="Times New Roman" w:eastAsia="Times New Roman" w:hAnsi="Times New Roman" w:cs="Times New Roman"/>
              <w:kern w:val="0"/>
              <w:sz w:val="24"/>
              <w:lang w:val="en-GB" w:eastAsia="en-US"/>
              <w14:ligatures w14:val="none"/>
            </w:rPr>
          </w:pPr>
          <w:hyperlink w:anchor="_Toc226463525" w:history="1">
            <w:r w:rsidRPr="00F02A69">
              <w:rPr>
                <w:rFonts w:ascii="Times New Roman" w:eastAsia="Times New Roman" w:hAnsi="Times New Roman" w:cs="Times New Roman"/>
                <w:color w:val="0563C1"/>
                <w:kern w:val="0"/>
                <w:sz w:val="24"/>
                <w:u w:val="single"/>
                <w:lang w:val="en-GB" w:eastAsia="en-US"/>
                <w14:ligatures w14:val="none"/>
              </w:rPr>
              <w:t>Chapter 1: Introduction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_Toc226463525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5</w:t>
            </w:r>
            <w:r w:rsidRPr="00F02A69">
              <w:rPr>
                <w:rFonts w:ascii="Times New Roman" w:eastAsia="Times New Roman" w:hAnsi="Times New Roman" w:cs="Times New Roman"/>
                <w:webHidden/>
                <w:kern w:val="0"/>
                <w:sz w:val="24"/>
                <w:lang w:val="en-GB" w:eastAsia="en-US"/>
                <w14:ligatures w14:val="none"/>
              </w:rPr>
              <w:fldChar w:fldCharType="end"/>
            </w:r>
          </w:hyperlink>
        </w:p>
        <w:p w14:paraId="614CE236"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26" w:history="1">
            <w:r w:rsidRPr="00F02A69">
              <w:rPr>
                <w:rFonts w:ascii="Times New Roman" w:eastAsia="Times New Roman" w:hAnsi="Times New Roman" w:cs="Times New Roman"/>
                <w:color w:val="0563C1"/>
                <w:kern w:val="0"/>
                <w:sz w:val="24"/>
                <w:u w:val="single"/>
                <w:lang w:val="en-GB" w:eastAsia="en-US"/>
                <w14:ligatures w14:val="none"/>
              </w:rPr>
              <w:t>1.1 Background to the Study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_Toc226463526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5</w:t>
            </w:r>
            <w:r w:rsidRPr="00F02A69">
              <w:rPr>
                <w:rFonts w:ascii="Times New Roman" w:eastAsia="Times New Roman" w:hAnsi="Times New Roman" w:cs="Times New Roman"/>
                <w:webHidden/>
                <w:kern w:val="0"/>
                <w:sz w:val="24"/>
                <w:lang w:val="en-GB" w:eastAsia="en-US"/>
                <w14:ligatures w14:val="none"/>
              </w:rPr>
              <w:fldChar w:fldCharType="end"/>
            </w:r>
          </w:hyperlink>
        </w:p>
        <w:p w14:paraId="5D8F0A08"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27" w:history="1">
            <w:r w:rsidRPr="00F02A69">
              <w:rPr>
                <w:rFonts w:ascii="Times New Roman" w:eastAsia="Times New Roman" w:hAnsi="Times New Roman" w:cs="Times New Roman"/>
                <w:color w:val="0563C1"/>
                <w:kern w:val="0"/>
                <w:sz w:val="24"/>
                <w:u w:val="single"/>
                <w:lang w:val="en-GB" w:eastAsia="en-US"/>
                <w14:ligatures w14:val="none"/>
              </w:rPr>
              <w:t>1.2 The Chinese and Jiangsu Context</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_Toc226463527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5</w:t>
            </w:r>
            <w:r w:rsidRPr="00F02A69">
              <w:rPr>
                <w:rFonts w:ascii="Times New Roman" w:eastAsia="Times New Roman" w:hAnsi="Times New Roman" w:cs="Times New Roman"/>
                <w:webHidden/>
                <w:kern w:val="0"/>
                <w:sz w:val="24"/>
                <w:lang w:val="en-GB" w:eastAsia="en-US"/>
                <w14:ligatures w14:val="none"/>
              </w:rPr>
              <w:fldChar w:fldCharType="end"/>
            </w:r>
          </w:hyperlink>
        </w:p>
        <w:p w14:paraId="5380BBA2"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28" w:history="1">
            <w:r w:rsidRPr="00F02A69">
              <w:rPr>
                <w:rFonts w:ascii="Times New Roman" w:eastAsia="Times New Roman" w:hAnsi="Times New Roman" w:cs="Times New Roman"/>
                <w:color w:val="0563C1"/>
                <w:kern w:val="0"/>
                <w:sz w:val="24"/>
                <w:u w:val="single"/>
                <w:lang w:val="en-GB" w:eastAsia="en-US"/>
                <w14:ligatures w14:val="none"/>
              </w:rPr>
              <w:t>1.3 Problem Statement</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_Toc226463528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6</w:t>
            </w:r>
            <w:r w:rsidRPr="00F02A69">
              <w:rPr>
                <w:rFonts w:ascii="Times New Roman" w:eastAsia="Times New Roman" w:hAnsi="Times New Roman" w:cs="Times New Roman"/>
                <w:webHidden/>
                <w:kern w:val="0"/>
                <w:sz w:val="24"/>
                <w:lang w:val="en-GB" w:eastAsia="en-US"/>
                <w14:ligatures w14:val="none"/>
              </w:rPr>
              <w:fldChar w:fldCharType="end"/>
            </w:r>
          </w:hyperlink>
        </w:p>
        <w:p w14:paraId="0CAB10D1"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29" w:history="1">
            <w:r w:rsidRPr="00F02A69">
              <w:rPr>
                <w:rFonts w:ascii="Times New Roman" w:eastAsia="Times New Roman" w:hAnsi="Times New Roman" w:cs="Times New Roman"/>
                <w:color w:val="0563C1"/>
                <w:kern w:val="0"/>
                <w:sz w:val="24"/>
                <w:u w:val="single"/>
                <w:lang w:val="en-GB" w:eastAsia="en-US"/>
                <w14:ligatures w14:val="none"/>
              </w:rPr>
              <w:t>1.4 Research Gap</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_Toc226463529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6</w:t>
            </w:r>
            <w:r w:rsidRPr="00F02A69">
              <w:rPr>
                <w:rFonts w:ascii="Times New Roman" w:eastAsia="Times New Roman" w:hAnsi="Times New Roman" w:cs="Times New Roman"/>
                <w:webHidden/>
                <w:kern w:val="0"/>
                <w:sz w:val="24"/>
                <w:lang w:val="en-GB" w:eastAsia="en-US"/>
                <w14:ligatures w14:val="none"/>
              </w:rPr>
              <w:fldChar w:fldCharType="end"/>
            </w:r>
          </w:hyperlink>
        </w:p>
        <w:p w14:paraId="19B0E909"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30" w:history="1">
            <w:r w:rsidRPr="00F02A69">
              <w:rPr>
                <w:rFonts w:ascii="Times New Roman" w:eastAsia="Times New Roman" w:hAnsi="Times New Roman" w:cs="Times New Roman"/>
                <w:color w:val="0563C1"/>
                <w:kern w:val="0"/>
                <w:sz w:val="24"/>
                <w:u w:val="single"/>
                <w:lang w:val="en-GB" w:eastAsia="en-US"/>
                <w14:ligatures w14:val="none"/>
              </w:rPr>
              <w:t>1.5 Aim and Objectives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_Toc226463530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7</w:t>
            </w:r>
            <w:r w:rsidRPr="00F02A69">
              <w:rPr>
                <w:rFonts w:ascii="Times New Roman" w:eastAsia="Times New Roman" w:hAnsi="Times New Roman" w:cs="Times New Roman"/>
                <w:webHidden/>
                <w:kern w:val="0"/>
                <w:sz w:val="24"/>
                <w:lang w:val="en-GB" w:eastAsia="en-US"/>
                <w14:ligatures w14:val="none"/>
              </w:rPr>
              <w:fldChar w:fldCharType="end"/>
            </w:r>
          </w:hyperlink>
        </w:p>
        <w:p w14:paraId="32E8C035"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31" w:history="1">
            <w:r w:rsidRPr="00F02A69">
              <w:rPr>
                <w:rFonts w:ascii="Times New Roman" w:eastAsia="Times New Roman" w:hAnsi="Times New Roman" w:cs="Times New Roman"/>
                <w:color w:val="0563C1"/>
                <w:kern w:val="0"/>
                <w:sz w:val="24"/>
                <w:u w:val="single"/>
                <w:lang w:val="en-GB" w:eastAsia="en-US"/>
                <w14:ligatures w14:val="none"/>
              </w:rPr>
              <w:t>1.6 Research Questions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_Toc226463531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7</w:t>
            </w:r>
            <w:r w:rsidRPr="00F02A69">
              <w:rPr>
                <w:rFonts w:ascii="Times New Roman" w:eastAsia="Times New Roman" w:hAnsi="Times New Roman" w:cs="Times New Roman"/>
                <w:webHidden/>
                <w:kern w:val="0"/>
                <w:sz w:val="24"/>
                <w:lang w:val="en-GB" w:eastAsia="en-US"/>
                <w14:ligatures w14:val="none"/>
              </w:rPr>
              <w:fldChar w:fldCharType="end"/>
            </w:r>
          </w:hyperlink>
        </w:p>
        <w:p w14:paraId="2622851A"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32" w:history="1">
            <w:r w:rsidRPr="00F02A69">
              <w:rPr>
                <w:rFonts w:ascii="Times New Roman" w:eastAsia="Times New Roman" w:hAnsi="Times New Roman" w:cs="Times New Roman"/>
                <w:color w:val="0563C1"/>
                <w:kern w:val="0"/>
                <w:sz w:val="24"/>
                <w:u w:val="single"/>
                <w:lang w:val="en-GB" w:eastAsia="en-US"/>
                <w14:ligatures w14:val="none"/>
              </w:rPr>
              <w:t>1.7 Significance of the Study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_Toc226463532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8</w:t>
            </w:r>
            <w:r w:rsidRPr="00F02A69">
              <w:rPr>
                <w:rFonts w:ascii="Times New Roman" w:eastAsia="Times New Roman" w:hAnsi="Times New Roman" w:cs="Times New Roman"/>
                <w:webHidden/>
                <w:kern w:val="0"/>
                <w:sz w:val="24"/>
                <w:lang w:val="en-GB" w:eastAsia="en-US"/>
                <w14:ligatures w14:val="none"/>
              </w:rPr>
              <w:fldChar w:fldCharType="end"/>
            </w:r>
          </w:hyperlink>
        </w:p>
        <w:p w14:paraId="1558F3BD" w14:textId="77777777" w:rsidR="00F02A69" w:rsidRPr="00F02A69" w:rsidRDefault="00F02A69" w:rsidP="00F02A69">
          <w:pPr>
            <w:widowControl/>
            <w:tabs>
              <w:tab w:val="right" w:leader="dot" w:pos="9350"/>
            </w:tabs>
            <w:spacing w:before="120" w:after="120" w:line="480" w:lineRule="auto"/>
            <w:contextualSpacing/>
            <w:rPr>
              <w:rFonts w:ascii="Times New Roman" w:eastAsia="Times New Roman" w:hAnsi="Times New Roman" w:cs="Times New Roman"/>
              <w:kern w:val="0"/>
              <w:sz w:val="24"/>
              <w:lang w:val="en-GB" w:eastAsia="en-US"/>
              <w14:ligatures w14:val="none"/>
            </w:rPr>
          </w:pPr>
          <w:hyperlink w:anchor="_Toc226463533" w:history="1">
            <w:r w:rsidRPr="00F02A69">
              <w:rPr>
                <w:rFonts w:ascii="Times New Roman" w:eastAsia="Times New Roman" w:hAnsi="Times New Roman" w:cs="Times New Roman"/>
                <w:color w:val="0563C1"/>
                <w:kern w:val="0"/>
                <w:sz w:val="24"/>
                <w:u w:val="single"/>
                <w:lang w:val="en-GB" w:eastAsia="en-US"/>
                <w14:ligatures w14:val="none"/>
              </w:rPr>
              <w:t>Chapter 2: Literature Review</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_Toc226463533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9</w:t>
            </w:r>
            <w:r w:rsidRPr="00F02A69">
              <w:rPr>
                <w:rFonts w:ascii="Times New Roman" w:eastAsia="Times New Roman" w:hAnsi="Times New Roman" w:cs="Times New Roman"/>
                <w:webHidden/>
                <w:kern w:val="0"/>
                <w:sz w:val="24"/>
                <w:lang w:val="en-GB" w:eastAsia="en-US"/>
                <w14:ligatures w14:val="none"/>
              </w:rPr>
              <w:fldChar w:fldCharType="end"/>
            </w:r>
          </w:hyperlink>
        </w:p>
        <w:p w14:paraId="108B6378"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34" w:history="1">
            <w:r w:rsidRPr="00F02A69">
              <w:rPr>
                <w:rFonts w:ascii="Times New Roman" w:eastAsia="Times New Roman" w:hAnsi="Times New Roman" w:cs="Times New Roman"/>
                <w:color w:val="0563C1"/>
                <w:kern w:val="0"/>
                <w:sz w:val="24"/>
                <w:u w:val="single"/>
                <w:lang w:val="en-GB" w:eastAsia="en-US"/>
                <w14:ligatures w14:val="none"/>
              </w:rPr>
              <w:t>2.1 Exam Anxiety and Adolescent Mental Health</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_Toc226463534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9</w:t>
            </w:r>
            <w:r w:rsidRPr="00F02A69">
              <w:rPr>
                <w:rFonts w:ascii="Times New Roman" w:eastAsia="Times New Roman" w:hAnsi="Times New Roman" w:cs="Times New Roman"/>
                <w:webHidden/>
                <w:kern w:val="0"/>
                <w:sz w:val="24"/>
                <w:lang w:val="en-GB" w:eastAsia="en-US"/>
                <w14:ligatures w14:val="none"/>
              </w:rPr>
              <w:fldChar w:fldCharType="end"/>
            </w:r>
          </w:hyperlink>
        </w:p>
        <w:p w14:paraId="4E73A2D9"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35" w:history="1">
            <w:r w:rsidRPr="00F02A69">
              <w:rPr>
                <w:rFonts w:ascii="Times New Roman" w:eastAsia="Times New Roman" w:hAnsi="Times New Roman" w:cs="Times New Roman"/>
                <w:color w:val="0563C1"/>
                <w:kern w:val="0"/>
                <w:sz w:val="24"/>
                <w:u w:val="single"/>
                <w:lang w:val="en-GB" w:eastAsia="en-US"/>
                <w14:ligatures w14:val="none"/>
              </w:rPr>
              <w:t>2.2 High-Stakes Educational Contexts and Chinese Schooling</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_Toc226463535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10</w:t>
            </w:r>
            <w:r w:rsidRPr="00F02A69">
              <w:rPr>
                <w:rFonts w:ascii="Times New Roman" w:eastAsia="Times New Roman" w:hAnsi="Times New Roman" w:cs="Times New Roman"/>
                <w:webHidden/>
                <w:kern w:val="0"/>
                <w:sz w:val="24"/>
                <w:lang w:val="en-GB" w:eastAsia="en-US"/>
                <w14:ligatures w14:val="none"/>
              </w:rPr>
              <w:fldChar w:fldCharType="end"/>
            </w:r>
          </w:hyperlink>
        </w:p>
        <w:p w14:paraId="453B37C6"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36" w:history="1">
            <w:r w:rsidRPr="00F02A69">
              <w:rPr>
                <w:rFonts w:ascii="Times New Roman" w:eastAsia="Times New Roman" w:hAnsi="Times New Roman" w:cs="Times New Roman"/>
                <w:color w:val="0563C1"/>
                <w:kern w:val="0"/>
                <w:sz w:val="24"/>
                <w:u w:val="single"/>
                <w:lang w:val="en-GB" w:eastAsia="en-US"/>
                <w14:ligatures w14:val="none"/>
              </w:rPr>
              <w:t>2.3 School-Based Mental Health Practice and Practitioner Roles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_Toc226463536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12</w:t>
            </w:r>
            <w:r w:rsidRPr="00F02A69">
              <w:rPr>
                <w:rFonts w:ascii="Times New Roman" w:eastAsia="Times New Roman" w:hAnsi="Times New Roman" w:cs="Times New Roman"/>
                <w:webHidden/>
                <w:kern w:val="0"/>
                <w:sz w:val="24"/>
                <w:lang w:val="en-GB" w:eastAsia="en-US"/>
                <w14:ligatures w14:val="none"/>
              </w:rPr>
              <w:fldChar w:fldCharType="end"/>
            </w:r>
          </w:hyperlink>
        </w:p>
        <w:p w14:paraId="0BD771B6"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37" w:history="1">
            <w:r w:rsidRPr="00F02A69">
              <w:rPr>
                <w:rFonts w:ascii="Times New Roman" w:eastAsia="Times New Roman" w:hAnsi="Times New Roman" w:cs="Times New Roman"/>
                <w:color w:val="0563C1"/>
                <w:kern w:val="0"/>
                <w:sz w:val="24"/>
                <w:u w:val="single"/>
                <w:lang w:val="en-GB" w:eastAsia="en-US"/>
                <w14:ligatures w14:val="none"/>
              </w:rPr>
              <w:t>2.4 Mechanism-Focused Approaches to Exam Anxiety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_Toc226463537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13</w:t>
            </w:r>
            <w:r w:rsidRPr="00F02A69">
              <w:rPr>
                <w:rFonts w:ascii="Times New Roman" w:eastAsia="Times New Roman" w:hAnsi="Times New Roman" w:cs="Times New Roman"/>
                <w:webHidden/>
                <w:kern w:val="0"/>
                <w:sz w:val="24"/>
                <w:lang w:val="en-GB" w:eastAsia="en-US"/>
                <w14:ligatures w14:val="none"/>
              </w:rPr>
              <w:fldChar w:fldCharType="end"/>
            </w:r>
          </w:hyperlink>
        </w:p>
        <w:p w14:paraId="6332113B"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38" w:history="1">
            <w:r w:rsidRPr="00F02A69">
              <w:rPr>
                <w:rFonts w:ascii="Times New Roman" w:eastAsia="Times New Roman" w:hAnsi="Times New Roman" w:cs="Times New Roman"/>
                <w:color w:val="0563C1"/>
                <w:kern w:val="0"/>
                <w:sz w:val="24"/>
                <w:u w:val="single"/>
                <w:lang w:val="en-GB" w:eastAsia="en-US"/>
                <w14:ligatures w14:val="none"/>
              </w:rPr>
              <w:t>2.5 Practitioner Decision-Making and Practice Reasoning</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_Toc226463538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14</w:t>
            </w:r>
            <w:r w:rsidRPr="00F02A69">
              <w:rPr>
                <w:rFonts w:ascii="Times New Roman" w:eastAsia="Times New Roman" w:hAnsi="Times New Roman" w:cs="Times New Roman"/>
                <w:webHidden/>
                <w:kern w:val="0"/>
                <w:sz w:val="24"/>
                <w:lang w:val="en-GB" w:eastAsia="en-US"/>
                <w14:ligatures w14:val="none"/>
              </w:rPr>
              <w:fldChar w:fldCharType="end"/>
            </w:r>
          </w:hyperlink>
        </w:p>
        <w:p w14:paraId="12CBF488"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39" w:history="1">
            <w:r w:rsidRPr="00F02A69">
              <w:rPr>
                <w:rFonts w:ascii="Times New Roman" w:eastAsia="Times New Roman" w:hAnsi="Times New Roman" w:cs="Times New Roman"/>
                <w:color w:val="0563C1"/>
                <w:kern w:val="0"/>
                <w:sz w:val="24"/>
                <w:u w:val="single"/>
                <w:lang w:val="en-GB" w:eastAsia="en-US"/>
                <w14:ligatures w14:val="none"/>
              </w:rPr>
              <w:t>2.6 Contextual Factors: Parents, Schools, and Referral Pathways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_Toc226463539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15</w:t>
            </w:r>
            <w:r w:rsidRPr="00F02A69">
              <w:rPr>
                <w:rFonts w:ascii="Times New Roman" w:eastAsia="Times New Roman" w:hAnsi="Times New Roman" w:cs="Times New Roman"/>
                <w:webHidden/>
                <w:kern w:val="0"/>
                <w:sz w:val="24"/>
                <w:lang w:val="en-GB" w:eastAsia="en-US"/>
                <w14:ligatures w14:val="none"/>
              </w:rPr>
              <w:fldChar w:fldCharType="end"/>
            </w:r>
          </w:hyperlink>
        </w:p>
        <w:p w14:paraId="3570AEB1"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40" w:history="1">
            <w:r w:rsidRPr="00F02A69">
              <w:rPr>
                <w:rFonts w:ascii="Times New Roman" w:eastAsia="Times New Roman" w:hAnsi="Times New Roman" w:cs="Times New Roman"/>
                <w:color w:val="0563C1"/>
                <w:kern w:val="0"/>
                <w:sz w:val="24"/>
                <w:u w:val="single"/>
                <w:lang w:val="en-GB" w:eastAsia="en-US"/>
                <w14:ligatures w14:val="none"/>
              </w:rPr>
              <w:t>2.7 Summary of the Literature and Research Positioning</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_Toc226463540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17</w:t>
            </w:r>
            <w:r w:rsidRPr="00F02A69">
              <w:rPr>
                <w:rFonts w:ascii="Times New Roman" w:eastAsia="Times New Roman" w:hAnsi="Times New Roman" w:cs="Times New Roman"/>
                <w:webHidden/>
                <w:kern w:val="0"/>
                <w:sz w:val="24"/>
                <w:lang w:val="en-GB" w:eastAsia="en-US"/>
                <w14:ligatures w14:val="none"/>
              </w:rPr>
              <w:fldChar w:fldCharType="end"/>
            </w:r>
          </w:hyperlink>
        </w:p>
        <w:p w14:paraId="3EEA995D" w14:textId="77777777" w:rsidR="00F02A69" w:rsidRPr="00F02A69" w:rsidRDefault="00F02A69" w:rsidP="00F02A69">
          <w:pPr>
            <w:widowControl/>
            <w:tabs>
              <w:tab w:val="right" w:leader="dot" w:pos="9350"/>
            </w:tabs>
            <w:spacing w:before="120" w:after="120" w:line="480" w:lineRule="auto"/>
            <w:contextualSpacing/>
            <w:rPr>
              <w:rFonts w:ascii="Times New Roman" w:eastAsia="Times New Roman" w:hAnsi="Times New Roman" w:cs="Times New Roman"/>
              <w:kern w:val="0"/>
              <w:sz w:val="24"/>
              <w:lang w:val="en-GB" w:eastAsia="en-US"/>
              <w14:ligatures w14:val="none"/>
            </w:rPr>
          </w:pPr>
          <w:hyperlink w:anchor="_Toc226463541" w:history="1">
            <w:r w:rsidRPr="00F02A69">
              <w:rPr>
                <w:rFonts w:ascii="Times New Roman" w:eastAsia="Times New Roman" w:hAnsi="Times New Roman" w:cs="Times New Roman"/>
                <w:color w:val="0563C1"/>
                <w:kern w:val="0"/>
                <w:sz w:val="24"/>
                <w:u w:val="single"/>
                <w:lang w:val="en-GB" w:eastAsia="en-US"/>
                <w14:ligatures w14:val="none"/>
              </w:rPr>
              <w:t>Chapter 3: Research Aim, Objectives, and Research Questions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_Toc226463541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18</w:t>
            </w:r>
            <w:r w:rsidRPr="00F02A69">
              <w:rPr>
                <w:rFonts w:ascii="Times New Roman" w:eastAsia="Times New Roman" w:hAnsi="Times New Roman" w:cs="Times New Roman"/>
                <w:webHidden/>
                <w:kern w:val="0"/>
                <w:sz w:val="24"/>
                <w:lang w:val="en-GB" w:eastAsia="en-US"/>
                <w14:ligatures w14:val="none"/>
              </w:rPr>
              <w:fldChar w:fldCharType="end"/>
            </w:r>
          </w:hyperlink>
        </w:p>
        <w:p w14:paraId="490A4F30"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42" w:history="1">
            <w:r w:rsidRPr="00F02A69">
              <w:rPr>
                <w:rFonts w:ascii="Times New Roman" w:eastAsia="Times New Roman" w:hAnsi="Times New Roman" w:cs="Times New Roman"/>
                <w:color w:val="0563C1"/>
                <w:kern w:val="0"/>
                <w:sz w:val="24"/>
                <w:u w:val="single"/>
                <w:lang w:val="en-GB" w:eastAsia="en-US"/>
                <w14:ligatures w14:val="none"/>
              </w:rPr>
              <w:t>3.1 Research Aim</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_Toc226463542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18</w:t>
            </w:r>
            <w:r w:rsidRPr="00F02A69">
              <w:rPr>
                <w:rFonts w:ascii="Times New Roman" w:eastAsia="Times New Roman" w:hAnsi="Times New Roman" w:cs="Times New Roman"/>
                <w:webHidden/>
                <w:kern w:val="0"/>
                <w:sz w:val="24"/>
                <w:lang w:val="en-GB" w:eastAsia="en-US"/>
                <w14:ligatures w14:val="none"/>
              </w:rPr>
              <w:fldChar w:fldCharType="end"/>
            </w:r>
          </w:hyperlink>
        </w:p>
        <w:p w14:paraId="2B8CCC71"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43" w:history="1">
            <w:r w:rsidRPr="00F02A69">
              <w:rPr>
                <w:rFonts w:ascii="Times New Roman" w:eastAsia="Times New Roman" w:hAnsi="Times New Roman" w:cs="Times New Roman"/>
                <w:color w:val="0563C1"/>
                <w:kern w:val="0"/>
                <w:sz w:val="24"/>
                <w:u w:val="single"/>
                <w:lang w:val="en-GB" w:eastAsia="en-US"/>
                <w14:ligatures w14:val="none"/>
              </w:rPr>
              <w:t>3.2 Research Objectives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_Toc226463543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18</w:t>
            </w:r>
            <w:r w:rsidRPr="00F02A69">
              <w:rPr>
                <w:rFonts w:ascii="Times New Roman" w:eastAsia="Times New Roman" w:hAnsi="Times New Roman" w:cs="Times New Roman"/>
                <w:webHidden/>
                <w:kern w:val="0"/>
                <w:sz w:val="24"/>
                <w:lang w:val="en-GB" w:eastAsia="en-US"/>
                <w14:ligatures w14:val="none"/>
              </w:rPr>
              <w:fldChar w:fldCharType="end"/>
            </w:r>
          </w:hyperlink>
        </w:p>
        <w:p w14:paraId="538BC305"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44" w:history="1">
            <w:r w:rsidRPr="00F02A69">
              <w:rPr>
                <w:rFonts w:ascii="Times New Roman" w:eastAsia="Times New Roman" w:hAnsi="Times New Roman" w:cs="Times New Roman"/>
                <w:color w:val="0563C1"/>
                <w:kern w:val="0"/>
                <w:sz w:val="24"/>
                <w:u w:val="single"/>
                <w:lang w:val="en-GB" w:eastAsia="en-US"/>
                <w14:ligatures w14:val="none"/>
              </w:rPr>
              <w:t>3.3 Research Questions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_Toc226463544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18</w:t>
            </w:r>
            <w:r w:rsidRPr="00F02A69">
              <w:rPr>
                <w:rFonts w:ascii="Times New Roman" w:eastAsia="Times New Roman" w:hAnsi="Times New Roman" w:cs="Times New Roman"/>
                <w:webHidden/>
                <w:kern w:val="0"/>
                <w:sz w:val="24"/>
                <w:lang w:val="en-GB" w:eastAsia="en-US"/>
                <w14:ligatures w14:val="none"/>
              </w:rPr>
              <w:fldChar w:fldCharType="end"/>
            </w:r>
          </w:hyperlink>
        </w:p>
        <w:p w14:paraId="33C58AF5"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45" w:history="1">
            <w:r w:rsidRPr="00F02A69">
              <w:rPr>
                <w:rFonts w:ascii="Times New Roman" w:eastAsia="Times New Roman" w:hAnsi="Times New Roman" w:cs="Times New Roman"/>
                <w:color w:val="0563C1"/>
                <w:kern w:val="0"/>
                <w:sz w:val="24"/>
                <w:u w:val="single"/>
                <w:lang w:val="en-GB" w:eastAsia="en-US"/>
                <w14:ligatures w14:val="none"/>
              </w:rPr>
              <w:t>3.4 Manageability of the Study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_Toc226463545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19</w:t>
            </w:r>
            <w:r w:rsidRPr="00F02A69">
              <w:rPr>
                <w:rFonts w:ascii="Times New Roman" w:eastAsia="Times New Roman" w:hAnsi="Times New Roman" w:cs="Times New Roman"/>
                <w:webHidden/>
                <w:kern w:val="0"/>
                <w:sz w:val="24"/>
                <w:lang w:val="en-GB" w:eastAsia="en-US"/>
                <w14:ligatures w14:val="none"/>
              </w:rPr>
              <w:fldChar w:fldCharType="end"/>
            </w:r>
          </w:hyperlink>
        </w:p>
        <w:p w14:paraId="3C70A14F" w14:textId="77777777" w:rsidR="00F02A69" w:rsidRPr="00F02A69" w:rsidRDefault="00F02A69" w:rsidP="00F02A69">
          <w:pPr>
            <w:widowControl/>
            <w:tabs>
              <w:tab w:val="right" w:leader="dot" w:pos="9350"/>
            </w:tabs>
            <w:spacing w:before="120" w:after="120" w:line="480" w:lineRule="auto"/>
            <w:contextualSpacing/>
            <w:rPr>
              <w:rFonts w:ascii="Times New Roman" w:eastAsia="Times New Roman" w:hAnsi="Times New Roman" w:cs="Times New Roman"/>
              <w:kern w:val="0"/>
              <w:sz w:val="24"/>
              <w:lang w:val="en-GB" w:eastAsia="en-US"/>
              <w14:ligatures w14:val="none"/>
            </w:rPr>
          </w:pPr>
          <w:hyperlink w:anchor="_Toc226463546" w:history="1">
            <w:r w:rsidRPr="00F02A69">
              <w:rPr>
                <w:rFonts w:ascii="Times New Roman" w:eastAsia="Times New Roman" w:hAnsi="Times New Roman" w:cs="Times New Roman"/>
                <w:color w:val="0563C1"/>
                <w:kern w:val="0"/>
                <w:sz w:val="24"/>
                <w:u w:val="single"/>
                <w:lang w:val="en-GB" w:eastAsia="en-US"/>
                <w14:ligatures w14:val="none"/>
              </w:rPr>
              <w:t>Chapter 4. Methodology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_Toc226463546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20</w:t>
            </w:r>
            <w:r w:rsidRPr="00F02A69">
              <w:rPr>
                <w:rFonts w:ascii="Times New Roman" w:eastAsia="Times New Roman" w:hAnsi="Times New Roman" w:cs="Times New Roman"/>
                <w:webHidden/>
                <w:kern w:val="0"/>
                <w:sz w:val="24"/>
                <w:lang w:val="en-GB" w:eastAsia="en-US"/>
                <w14:ligatures w14:val="none"/>
              </w:rPr>
              <w:fldChar w:fldCharType="end"/>
            </w:r>
          </w:hyperlink>
        </w:p>
        <w:p w14:paraId="47E93867"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47" w:history="1">
            <w:r w:rsidRPr="00F02A69">
              <w:rPr>
                <w:rFonts w:ascii="Times New Roman" w:eastAsia="Times New Roman" w:hAnsi="Times New Roman" w:cs="Times New Roman"/>
                <w:color w:val="0563C1"/>
                <w:kern w:val="0"/>
                <w:sz w:val="24"/>
                <w:u w:val="single"/>
                <w:lang w:val="en-GB" w:eastAsia="en-US"/>
                <w14:ligatures w14:val="none"/>
              </w:rPr>
              <w:t>4.1 Research Paradigm</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_Toc226463547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20</w:t>
            </w:r>
            <w:r w:rsidRPr="00F02A69">
              <w:rPr>
                <w:rFonts w:ascii="Times New Roman" w:eastAsia="Times New Roman" w:hAnsi="Times New Roman" w:cs="Times New Roman"/>
                <w:webHidden/>
                <w:kern w:val="0"/>
                <w:sz w:val="24"/>
                <w:lang w:val="en-GB" w:eastAsia="en-US"/>
                <w14:ligatures w14:val="none"/>
              </w:rPr>
              <w:fldChar w:fldCharType="end"/>
            </w:r>
          </w:hyperlink>
        </w:p>
        <w:p w14:paraId="5925A60D"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48" w:history="1">
            <w:r w:rsidRPr="00F02A69">
              <w:rPr>
                <w:rFonts w:ascii="Times New Roman" w:eastAsia="Times New Roman" w:hAnsi="Times New Roman" w:cs="Times New Roman"/>
                <w:color w:val="0563C1"/>
                <w:kern w:val="0"/>
                <w:sz w:val="24"/>
                <w:u w:val="single"/>
                <w:lang w:val="en-GB" w:eastAsia="en-US"/>
                <w14:ligatures w14:val="none"/>
              </w:rPr>
              <w:t>4.2 Research Design: Qualitative Multiple-Case Study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_Toc226463548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20</w:t>
            </w:r>
            <w:r w:rsidRPr="00F02A69">
              <w:rPr>
                <w:rFonts w:ascii="Times New Roman" w:eastAsia="Times New Roman" w:hAnsi="Times New Roman" w:cs="Times New Roman"/>
                <w:webHidden/>
                <w:kern w:val="0"/>
                <w:sz w:val="24"/>
                <w:lang w:val="en-GB" w:eastAsia="en-US"/>
                <w14:ligatures w14:val="none"/>
              </w:rPr>
              <w:fldChar w:fldCharType="end"/>
            </w:r>
          </w:hyperlink>
        </w:p>
        <w:p w14:paraId="14602A60"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49" w:history="1">
            <w:r w:rsidRPr="00F02A69">
              <w:rPr>
                <w:rFonts w:ascii="Times New Roman" w:eastAsia="Times New Roman" w:hAnsi="Times New Roman" w:cs="Times New Roman"/>
                <w:color w:val="0563C1"/>
                <w:kern w:val="0"/>
                <w:sz w:val="24"/>
                <w:u w:val="single"/>
                <w:lang w:val="en-GB" w:eastAsia="en-US"/>
                <w14:ligatures w14:val="none"/>
              </w:rPr>
              <w:t>4.3 Research Setting and Participants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_Toc226463549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21</w:t>
            </w:r>
            <w:r w:rsidRPr="00F02A69">
              <w:rPr>
                <w:rFonts w:ascii="Times New Roman" w:eastAsia="Times New Roman" w:hAnsi="Times New Roman" w:cs="Times New Roman"/>
                <w:webHidden/>
                <w:kern w:val="0"/>
                <w:sz w:val="24"/>
                <w:lang w:val="en-GB" w:eastAsia="en-US"/>
                <w14:ligatures w14:val="none"/>
              </w:rPr>
              <w:fldChar w:fldCharType="end"/>
            </w:r>
          </w:hyperlink>
        </w:p>
        <w:p w14:paraId="48465CB2"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50" w:history="1">
            <w:r w:rsidRPr="00F02A69">
              <w:rPr>
                <w:rFonts w:ascii="Times New Roman" w:eastAsia="Times New Roman" w:hAnsi="Times New Roman" w:cs="Times New Roman"/>
                <w:color w:val="0563C1"/>
                <w:kern w:val="0"/>
                <w:sz w:val="24"/>
                <w:u w:val="single"/>
                <w:lang w:val="en-GB" w:eastAsia="en-US"/>
                <w14:ligatures w14:val="none"/>
              </w:rPr>
              <w:t>4.4 Sampling Strategy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_Toc226463550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22</w:t>
            </w:r>
            <w:r w:rsidRPr="00F02A69">
              <w:rPr>
                <w:rFonts w:ascii="Times New Roman" w:eastAsia="Times New Roman" w:hAnsi="Times New Roman" w:cs="Times New Roman"/>
                <w:webHidden/>
                <w:kern w:val="0"/>
                <w:sz w:val="24"/>
                <w:lang w:val="en-GB" w:eastAsia="en-US"/>
                <w14:ligatures w14:val="none"/>
              </w:rPr>
              <w:fldChar w:fldCharType="end"/>
            </w:r>
          </w:hyperlink>
        </w:p>
        <w:p w14:paraId="4E5EFEDE"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51" w:history="1">
            <w:r w:rsidRPr="00F02A69">
              <w:rPr>
                <w:rFonts w:ascii="Times New Roman" w:eastAsia="Times New Roman" w:hAnsi="Times New Roman" w:cs="Times New Roman"/>
                <w:color w:val="0563C1"/>
                <w:kern w:val="0"/>
                <w:sz w:val="24"/>
                <w:u w:val="single"/>
                <w:lang w:val="en-GB" w:eastAsia="en-US"/>
                <w14:ligatures w14:val="none"/>
              </w:rPr>
              <w:t>4.5 Data Collection Methods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_Toc226463551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22</w:t>
            </w:r>
            <w:r w:rsidRPr="00F02A69">
              <w:rPr>
                <w:rFonts w:ascii="Times New Roman" w:eastAsia="Times New Roman" w:hAnsi="Times New Roman" w:cs="Times New Roman"/>
                <w:webHidden/>
                <w:kern w:val="0"/>
                <w:sz w:val="24"/>
                <w:lang w:val="en-GB" w:eastAsia="en-US"/>
                <w14:ligatures w14:val="none"/>
              </w:rPr>
              <w:fldChar w:fldCharType="end"/>
            </w:r>
          </w:hyperlink>
        </w:p>
        <w:p w14:paraId="2D645B33"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52" w:history="1">
            <w:r w:rsidRPr="00F02A69">
              <w:rPr>
                <w:rFonts w:ascii="Times New Roman" w:eastAsia="Times New Roman" w:hAnsi="Times New Roman" w:cs="Times New Roman"/>
                <w:color w:val="0563C1"/>
                <w:kern w:val="0"/>
                <w:sz w:val="24"/>
                <w:u w:val="single"/>
                <w:lang w:val="en-GB" w:eastAsia="en-US"/>
                <w14:ligatures w14:val="none"/>
              </w:rPr>
              <w:t>4.6 Data Collection Procedure</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_Toc226463552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23</w:t>
            </w:r>
            <w:r w:rsidRPr="00F02A69">
              <w:rPr>
                <w:rFonts w:ascii="Times New Roman" w:eastAsia="Times New Roman" w:hAnsi="Times New Roman" w:cs="Times New Roman"/>
                <w:webHidden/>
                <w:kern w:val="0"/>
                <w:sz w:val="24"/>
                <w:lang w:val="en-GB" w:eastAsia="en-US"/>
                <w14:ligatures w14:val="none"/>
              </w:rPr>
              <w:fldChar w:fldCharType="end"/>
            </w:r>
          </w:hyperlink>
        </w:p>
        <w:p w14:paraId="7E0B711D"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53" w:history="1">
            <w:r w:rsidRPr="00F02A69">
              <w:rPr>
                <w:rFonts w:ascii="Times New Roman" w:eastAsia="Times New Roman" w:hAnsi="Times New Roman" w:cs="Times New Roman"/>
                <w:color w:val="0563C1"/>
                <w:kern w:val="0"/>
                <w:sz w:val="24"/>
                <w:u w:val="single"/>
                <w:lang w:val="en-GB" w:eastAsia="en-US"/>
                <w14:ligatures w14:val="none"/>
              </w:rPr>
              <w:t>4.7 Data Analysis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_Toc226463553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24</w:t>
            </w:r>
            <w:r w:rsidRPr="00F02A69">
              <w:rPr>
                <w:rFonts w:ascii="Times New Roman" w:eastAsia="Times New Roman" w:hAnsi="Times New Roman" w:cs="Times New Roman"/>
                <w:webHidden/>
                <w:kern w:val="0"/>
                <w:sz w:val="24"/>
                <w:lang w:val="en-GB" w:eastAsia="en-US"/>
                <w14:ligatures w14:val="none"/>
              </w:rPr>
              <w:fldChar w:fldCharType="end"/>
            </w:r>
          </w:hyperlink>
        </w:p>
        <w:p w14:paraId="17FF7194"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54" w:history="1">
            <w:r w:rsidRPr="00F02A69">
              <w:rPr>
                <w:rFonts w:ascii="Times New Roman" w:eastAsia="Times New Roman" w:hAnsi="Times New Roman" w:cs="Times New Roman"/>
                <w:color w:val="0563C1"/>
                <w:kern w:val="0"/>
                <w:sz w:val="24"/>
                <w:u w:val="single"/>
                <w:lang w:val="en-GB" w:eastAsia="en-US"/>
                <w14:ligatures w14:val="none"/>
              </w:rPr>
              <w:t>4.8 Trustworthiness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_Toc226463554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24</w:t>
            </w:r>
            <w:r w:rsidRPr="00F02A69">
              <w:rPr>
                <w:rFonts w:ascii="Times New Roman" w:eastAsia="Times New Roman" w:hAnsi="Times New Roman" w:cs="Times New Roman"/>
                <w:webHidden/>
                <w:kern w:val="0"/>
                <w:sz w:val="24"/>
                <w:lang w:val="en-GB" w:eastAsia="en-US"/>
                <w14:ligatures w14:val="none"/>
              </w:rPr>
              <w:fldChar w:fldCharType="end"/>
            </w:r>
          </w:hyperlink>
        </w:p>
        <w:p w14:paraId="3DB500F9"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55" w:history="1">
            <w:r w:rsidRPr="00F02A69">
              <w:rPr>
                <w:rFonts w:ascii="Times New Roman" w:eastAsia="Times New Roman" w:hAnsi="Times New Roman" w:cs="Times New Roman"/>
                <w:color w:val="0563C1"/>
                <w:kern w:val="0"/>
                <w:sz w:val="24"/>
                <w:u w:val="single"/>
                <w:lang w:val="en-GB" w:eastAsia="en-US"/>
                <w14:ligatures w14:val="none"/>
              </w:rPr>
              <w:t>4.9 Researcher Reflexivity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_Toc226463555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25</w:t>
            </w:r>
            <w:r w:rsidRPr="00F02A69">
              <w:rPr>
                <w:rFonts w:ascii="Times New Roman" w:eastAsia="Times New Roman" w:hAnsi="Times New Roman" w:cs="Times New Roman"/>
                <w:webHidden/>
                <w:kern w:val="0"/>
                <w:sz w:val="24"/>
                <w:lang w:val="en-GB" w:eastAsia="en-US"/>
                <w14:ligatures w14:val="none"/>
              </w:rPr>
              <w:fldChar w:fldCharType="end"/>
            </w:r>
          </w:hyperlink>
        </w:p>
        <w:p w14:paraId="63F331DD" w14:textId="77777777" w:rsidR="00F02A69" w:rsidRPr="00F02A69" w:rsidRDefault="00F02A69" w:rsidP="00F02A69">
          <w:pPr>
            <w:widowControl/>
            <w:tabs>
              <w:tab w:val="right" w:leader="dot" w:pos="9350"/>
            </w:tabs>
            <w:spacing w:before="120" w:after="120" w:line="480" w:lineRule="auto"/>
            <w:contextualSpacing/>
            <w:rPr>
              <w:rFonts w:ascii="Times New Roman" w:eastAsia="Times New Roman" w:hAnsi="Times New Roman" w:cs="Times New Roman"/>
              <w:kern w:val="0"/>
              <w:sz w:val="24"/>
              <w:lang w:val="en-GB" w:eastAsia="en-US"/>
              <w14:ligatures w14:val="none"/>
            </w:rPr>
          </w:pPr>
          <w:hyperlink w:anchor="_Toc226463556" w:history="1">
            <w:r w:rsidRPr="00F02A69">
              <w:rPr>
                <w:rFonts w:ascii="Times New Roman" w:eastAsia="Times New Roman" w:hAnsi="Times New Roman" w:cs="Times New Roman"/>
                <w:color w:val="0563C1"/>
                <w:kern w:val="0"/>
                <w:sz w:val="24"/>
                <w:u w:val="single"/>
                <w:lang w:val="en-GB" w:eastAsia="en-US"/>
                <w14:ligatures w14:val="none"/>
              </w:rPr>
              <w:t>Chapter 5. Ethical Considerations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_Toc226463556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26</w:t>
            </w:r>
            <w:r w:rsidRPr="00F02A69">
              <w:rPr>
                <w:rFonts w:ascii="Times New Roman" w:eastAsia="Times New Roman" w:hAnsi="Times New Roman" w:cs="Times New Roman"/>
                <w:webHidden/>
                <w:kern w:val="0"/>
                <w:sz w:val="24"/>
                <w:lang w:val="en-GB" w:eastAsia="en-US"/>
                <w14:ligatures w14:val="none"/>
              </w:rPr>
              <w:fldChar w:fldCharType="end"/>
            </w:r>
          </w:hyperlink>
        </w:p>
        <w:p w14:paraId="03CCCA39"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57" w:history="1">
            <w:r w:rsidRPr="00F02A69">
              <w:rPr>
                <w:rFonts w:ascii="Times New Roman" w:eastAsia="Times New Roman" w:hAnsi="Times New Roman" w:cs="Times New Roman"/>
                <w:color w:val="0563C1"/>
                <w:kern w:val="0"/>
                <w:sz w:val="24"/>
                <w:u w:val="single"/>
                <w:lang w:val="en-GB" w:eastAsia="en-US"/>
                <w14:ligatures w14:val="none"/>
              </w:rPr>
              <w:t>5.1 Ethical Approval and Research Governance</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_Toc226463557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26</w:t>
            </w:r>
            <w:r w:rsidRPr="00F02A69">
              <w:rPr>
                <w:rFonts w:ascii="Times New Roman" w:eastAsia="Times New Roman" w:hAnsi="Times New Roman" w:cs="Times New Roman"/>
                <w:webHidden/>
                <w:kern w:val="0"/>
                <w:sz w:val="24"/>
                <w:lang w:val="en-GB" w:eastAsia="en-US"/>
                <w14:ligatures w14:val="none"/>
              </w:rPr>
              <w:fldChar w:fldCharType="end"/>
            </w:r>
          </w:hyperlink>
        </w:p>
        <w:p w14:paraId="6276A580"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58" w:history="1">
            <w:r w:rsidRPr="00F02A69">
              <w:rPr>
                <w:rFonts w:ascii="Times New Roman" w:eastAsia="Times New Roman" w:hAnsi="Times New Roman" w:cs="Times New Roman"/>
                <w:color w:val="0563C1"/>
                <w:kern w:val="0"/>
                <w:sz w:val="24"/>
                <w:u w:val="single"/>
                <w:lang w:val="en-GB" w:eastAsia="en-US"/>
                <w14:ligatures w14:val="none"/>
              </w:rPr>
              <w:t>5.2 Informed Consent</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_Toc226463558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26</w:t>
            </w:r>
            <w:r w:rsidRPr="00F02A69">
              <w:rPr>
                <w:rFonts w:ascii="Times New Roman" w:eastAsia="Times New Roman" w:hAnsi="Times New Roman" w:cs="Times New Roman"/>
                <w:webHidden/>
                <w:kern w:val="0"/>
                <w:sz w:val="24"/>
                <w:lang w:val="en-GB" w:eastAsia="en-US"/>
                <w14:ligatures w14:val="none"/>
              </w:rPr>
              <w:fldChar w:fldCharType="end"/>
            </w:r>
          </w:hyperlink>
        </w:p>
        <w:p w14:paraId="7CB8138F"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59" w:history="1">
            <w:r w:rsidRPr="00F02A69">
              <w:rPr>
                <w:rFonts w:ascii="Times New Roman" w:eastAsia="Times New Roman" w:hAnsi="Times New Roman" w:cs="Times New Roman"/>
                <w:color w:val="0563C1"/>
                <w:kern w:val="0"/>
                <w:sz w:val="24"/>
                <w:u w:val="single"/>
                <w:lang w:val="en-GB" w:eastAsia="en-US"/>
                <w14:ligatures w14:val="none"/>
              </w:rPr>
              <w:t>5.3 Voluntary Participation and Right to Withdraw</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_Toc226463559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27</w:t>
            </w:r>
            <w:r w:rsidRPr="00F02A69">
              <w:rPr>
                <w:rFonts w:ascii="Times New Roman" w:eastAsia="Times New Roman" w:hAnsi="Times New Roman" w:cs="Times New Roman"/>
                <w:webHidden/>
                <w:kern w:val="0"/>
                <w:sz w:val="24"/>
                <w:lang w:val="en-GB" w:eastAsia="en-US"/>
                <w14:ligatures w14:val="none"/>
              </w:rPr>
              <w:fldChar w:fldCharType="end"/>
            </w:r>
          </w:hyperlink>
        </w:p>
        <w:p w14:paraId="3CD36304"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60" w:history="1">
            <w:r w:rsidRPr="00F02A69">
              <w:rPr>
                <w:rFonts w:ascii="Times New Roman" w:eastAsia="Times New Roman" w:hAnsi="Times New Roman" w:cs="Times New Roman"/>
                <w:color w:val="0563C1"/>
                <w:kern w:val="0"/>
                <w:sz w:val="24"/>
                <w:u w:val="single"/>
                <w:lang w:val="en-GB" w:eastAsia="en-US"/>
                <w14:ligatures w14:val="none"/>
              </w:rPr>
              <w:t>5.4 Confidentiality, Pseudonymization, and Data Protection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_Toc226463560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27</w:t>
            </w:r>
            <w:r w:rsidRPr="00F02A69">
              <w:rPr>
                <w:rFonts w:ascii="Times New Roman" w:eastAsia="Times New Roman" w:hAnsi="Times New Roman" w:cs="Times New Roman"/>
                <w:webHidden/>
                <w:kern w:val="0"/>
                <w:sz w:val="24"/>
                <w:lang w:val="en-GB" w:eastAsia="en-US"/>
                <w14:ligatures w14:val="none"/>
              </w:rPr>
              <w:fldChar w:fldCharType="end"/>
            </w:r>
          </w:hyperlink>
        </w:p>
        <w:p w14:paraId="148A52EB"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61" w:history="1">
            <w:r w:rsidRPr="00F02A69">
              <w:rPr>
                <w:rFonts w:ascii="Times New Roman" w:eastAsia="Times New Roman" w:hAnsi="Times New Roman" w:cs="Times New Roman"/>
                <w:color w:val="0563C1"/>
                <w:kern w:val="0"/>
                <w:sz w:val="24"/>
                <w:u w:val="single"/>
                <w:lang w:val="en-GB" w:eastAsia="en-US"/>
                <w14:ligatures w14:val="none"/>
              </w:rPr>
              <w:t>5.5 Minimising Harm</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_Toc226463561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28</w:t>
            </w:r>
            <w:r w:rsidRPr="00F02A69">
              <w:rPr>
                <w:rFonts w:ascii="Times New Roman" w:eastAsia="Times New Roman" w:hAnsi="Times New Roman" w:cs="Times New Roman"/>
                <w:webHidden/>
                <w:kern w:val="0"/>
                <w:sz w:val="24"/>
                <w:lang w:val="en-GB" w:eastAsia="en-US"/>
                <w14:ligatures w14:val="none"/>
              </w:rPr>
              <w:fldChar w:fldCharType="end"/>
            </w:r>
          </w:hyperlink>
        </w:p>
        <w:p w14:paraId="199BB945"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62" w:history="1">
            <w:r w:rsidRPr="00F02A69">
              <w:rPr>
                <w:rFonts w:ascii="Times New Roman" w:eastAsia="Times New Roman" w:hAnsi="Times New Roman" w:cs="Times New Roman"/>
                <w:color w:val="0563C1"/>
                <w:kern w:val="0"/>
                <w:sz w:val="24"/>
                <w:u w:val="single"/>
                <w:lang w:val="en-GB" w:eastAsia="en-US"/>
                <w14:ligatures w14:val="none"/>
              </w:rPr>
              <w:t>5.6 Cross-Border Ethics and Cultural Sensitivity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_Toc226463562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28</w:t>
            </w:r>
            <w:r w:rsidRPr="00F02A69">
              <w:rPr>
                <w:rFonts w:ascii="Times New Roman" w:eastAsia="Times New Roman" w:hAnsi="Times New Roman" w:cs="Times New Roman"/>
                <w:webHidden/>
                <w:kern w:val="0"/>
                <w:sz w:val="24"/>
                <w:lang w:val="en-GB" w:eastAsia="en-US"/>
                <w14:ligatures w14:val="none"/>
              </w:rPr>
              <w:fldChar w:fldCharType="end"/>
            </w:r>
          </w:hyperlink>
        </w:p>
        <w:p w14:paraId="061F52E1" w14:textId="77777777" w:rsidR="00F02A69" w:rsidRPr="00F02A69" w:rsidRDefault="00F02A69" w:rsidP="00F02A69">
          <w:pPr>
            <w:widowControl/>
            <w:tabs>
              <w:tab w:val="right" w:leader="dot" w:pos="9350"/>
            </w:tabs>
            <w:spacing w:before="120" w:after="120" w:line="480" w:lineRule="auto"/>
            <w:contextualSpacing/>
            <w:rPr>
              <w:rFonts w:ascii="Times New Roman" w:eastAsia="Times New Roman" w:hAnsi="Times New Roman" w:cs="Times New Roman"/>
              <w:kern w:val="0"/>
              <w:sz w:val="24"/>
              <w:lang w:val="en-GB" w:eastAsia="en-US"/>
              <w14:ligatures w14:val="none"/>
            </w:rPr>
          </w:pPr>
          <w:hyperlink w:anchor="_Toc226463563" w:history="1">
            <w:r w:rsidRPr="00F02A69">
              <w:rPr>
                <w:rFonts w:ascii="Times New Roman" w:eastAsia="Times New Roman" w:hAnsi="Times New Roman" w:cs="Times New Roman"/>
                <w:color w:val="0563C1"/>
                <w:kern w:val="0"/>
                <w:sz w:val="24"/>
                <w:u w:val="single"/>
                <w:lang w:val="en-GB" w:eastAsia="en-US"/>
                <w14:ligatures w14:val="none"/>
              </w:rPr>
              <w:t>Chapter 6. Findings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_Toc226463563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30</w:t>
            </w:r>
            <w:r w:rsidRPr="00F02A69">
              <w:rPr>
                <w:rFonts w:ascii="Times New Roman" w:eastAsia="Times New Roman" w:hAnsi="Times New Roman" w:cs="Times New Roman"/>
                <w:webHidden/>
                <w:kern w:val="0"/>
                <w:sz w:val="24"/>
                <w:lang w:val="en-GB" w:eastAsia="en-US"/>
                <w14:ligatures w14:val="none"/>
              </w:rPr>
              <w:fldChar w:fldCharType="end"/>
            </w:r>
          </w:hyperlink>
        </w:p>
        <w:p w14:paraId="7ABB27CC"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64" w:history="1">
            <w:r w:rsidRPr="00F02A69">
              <w:rPr>
                <w:rFonts w:ascii="Times New Roman" w:eastAsia="Times New Roman" w:hAnsi="Times New Roman" w:cs="Times New Roman"/>
                <w:color w:val="0563C1"/>
                <w:kern w:val="0"/>
                <w:sz w:val="24"/>
                <w:u w:val="single"/>
                <w:lang w:val="en-GB" w:eastAsia="en-US"/>
                <w14:ligatures w14:val="none"/>
              </w:rPr>
              <w:t>6.1 Introduction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_Toc226463564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30</w:t>
            </w:r>
            <w:r w:rsidRPr="00F02A69">
              <w:rPr>
                <w:rFonts w:ascii="Times New Roman" w:eastAsia="Times New Roman" w:hAnsi="Times New Roman" w:cs="Times New Roman"/>
                <w:webHidden/>
                <w:kern w:val="0"/>
                <w:sz w:val="24"/>
                <w:lang w:val="en-GB" w:eastAsia="en-US"/>
                <w14:ligatures w14:val="none"/>
              </w:rPr>
              <w:fldChar w:fldCharType="end"/>
            </w:r>
          </w:hyperlink>
        </w:p>
        <w:p w14:paraId="78F2C7CC"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65" w:history="1">
            <w:r w:rsidRPr="00F02A69">
              <w:rPr>
                <w:rFonts w:ascii="Times New Roman" w:eastAsia="Times New Roman" w:hAnsi="Times New Roman" w:cs="Times New Roman"/>
                <w:color w:val="0563C1"/>
                <w:kern w:val="0"/>
                <w:sz w:val="24"/>
                <w:u w:val="single"/>
                <w:lang w:val="en-GB" w:eastAsia="en-US"/>
                <w14:ligatures w14:val="none"/>
              </w:rPr>
              <w:t>6.2 Theme 1: Practitioners Recognised Mechanisms, but not Always in Formal Psychological Language</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_Toc226463565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30</w:t>
            </w:r>
            <w:r w:rsidRPr="00F02A69">
              <w:rPr>
                <w:rFonts w:ascii="Times New Roman" w:eastAsia="Times New Roman" w:hAnsi="Times New Roman" w:cs="Times New Roman"/>
                <w:webHidden/>
                <w:kern w:val="0"/>
                <w:sz w:val="24"/>
                <w:lang w:val="en-GB" w:eastAsia="en-US"/>
                <w14:ligatures w14:val="none"/>
              </w:rPr>
              <w:fldChar w:fldCharType="end"/>
            </w:r>
          </w:hyperlink>
        </w:p>
        <w:p w14:paraId="14E7E5B5"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66" w:history="1">
            <w:r w:rsidRPr="00F02A69">
              <w:rPr>
                <w:rFonts w:ascii="Times New Roman" w:eastAsia="Times New Roman" w:hAnsi="Times New Roman" w:cs="Times New Roman"/>
                <w:color w:val="0563C1"/>
                <w:kern w:val="0"/>
                <w:sz w:val="24"/>
                <w:u w:val="single"/>
                <w:lang w:val="en-GB" w:eastAsia="en-US"/>
                <w14:ligatures w14:val="none"/>
              </w:rPr>
              <w:t>6.3 Theme 2: Examination Timing Strongly Shaped Intervention Priorities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_Toc226463566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32</w:t>
            </w:r>
            <w:r w:rsidRPr="00F02A69">
              <w:rPr>
                <w:rFonts w:ascii="Times New Roman" w:eastAsia="Times New Roman" w:hAnsi="Times New Roman" w:cs="Times New Roman"/>
                <w:webHidden/>
                <w:kern w:val="0"/>
                <w:sz w:val="24"/>
                <w:lang w:val="en-GB" w:eastAsia="en-US"/>
                <w14:ligatures w14:val="none"/>
              </w:rPr>
              <w:fldChar w:fldCharType="end"/>
            </w:r>
          </w:hyperlink>
        </w:p>
        <w:p w14:paraId="1F640954"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67" w:history="1">
            <w:r w:rsidRPr="00F02A69">
              <w:rPr>
                <w:rFonts w:ascii="Times New Roman" w:eastAsia="Times New Roman" w:hAnsi="Times New Roman" w:cs="Times New Roman"/>
                <w:color w:val="0563C1"/>
                <w:kern w:val="0"/>
                <w:sz w:val="24"/>
                <w:u w:val="single"/>
                <w:lang w:val="en-GB" w:eastAsia="en-US"/>
                <w14:ligatures w14:val="none"/>
              </w:rPr>
              <w:t>6.4 Theme 3: School Type Shaped What Counted as an Appropriate Intervention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_Toc226463567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33</w:t>
            </w:r>
            <w:r w:rsidRPr="00F02A69">
              <w:rPr>
                <w:rFonts w:ascii="Times New Roman" w:eastAsia="Times New Roman" w:hAnsi="Times New Roman" w:cs="Times New Roman"/>
                <w:webHidden/>
                <w:kern w:val="0"/>
                <w:sz w:val="24"/>
                <w:lang w:val="en-GB" w:eastAsia="en-US"/>
                <w14:ligatures w14:val="none"/>
              </w:rPr>
              <w:fldChar w:fldCharType="end"/>
            </w:r>
          </w:hyperlink>
        </w:p>
        <w:p w14:paraId="5BC6944F"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68" w:history="1">
            <w:r w:rsidRPr="00F02A69">
              <w:rPr>
                <w:rFonts w:ascii="Times New Roman" w:eastAsia="Times New Roman" w:hAnsi="Times New Roman" w:cs="Times New Roman"/>
                <w:color w:val="0563C1"/>
                <w:kern w:val="0"/>
                <w:sz w:val="24"/>
                <w:u w:val="single"/>
                <w:lang w:val="en-GB" w:eastAsia="en-US"/>
                <w14:ligatures w14:val="none"/>
              </w:rPr>
              <w:t>6.5 Theme 4: Parents Were Decisive to Implementation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_Toc226463568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34</w:t>
            </w:r>
            <w:r w:rsidRPr="00F02A69">
              <w:rPr>
                <w:rFonts w:ascii="Times New Roman" w:eastAsia="Times New Roman" w:hAnsi="Times New Roman" w:cs="Times New Roman"/>
                <w:webHidden/>
                <w:kern w:val="0"/>
                <w:sz w:val="24"/>
                <w:lang w:val="en-GB" w:eastAsia="en-US"/>
                <w14:ligatures w14:val="none"/>
              </w:rPr>
              <w:fldChar w:fldCharType="end"/>
            </w:r>
          </w:hyperlink>
        </w:p>
        <w:p w14:paraId="6C348EC3"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69" w:history="1">
            <w:r w:rsidRPr="00F02A69">
              <w:rPr>
                <w:rFonts w:ascii="Times New Roman" w:eastAsia="Times New Roman" w:hAnsi="Times New Roman" w:cs="Times New Roman"/>
                <w:color w:val="0563C1"/>
                <w:kern w:val="0"/>
                <w:sz w:val="24"/>
                <w:u w:val="single"/>
                <w:lang w:val="en-GB" w:eastAsia="en-US"/>
                <w14:ligatures w14:val="none"/>
              </w:rPr>
              <w:t>6.6 Theme 5: Not All Practitioners Had the Same Level of Professional Confidence or Training</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_Toc226463569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35</w:t>
            </w:r>
            <w:r w:rsidRPr="00F02A69">
              <w:rPr>
                <w:rFonts w:ascii="Times New Roman" w:eastAsia="Times New Roman" w:hAnsi="Times New Roman" w:cs="Times New Roman"/>
                <w:webHidden/>
                <w:kern w:val="0"/>
                <w:sz w:val="24"/>
                <w:lang w:val="en-GB" w:eastAsia="en-US"/>
                <w14:ligatures w14:val="none"/>
              </w:rPr>
              <w:fldChar w:fldCharType="end"/>
            </w:r>
          </w:hyperlink>
        </w:p>
        <w:p w14:paraId="3755B68B"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70" w:history="1">
            <w:r w:rsidRPr="00F02A69">
              <w:rPr>
                <w:rFonts w:ascii="Times New Roman" w:eastAsia="Times New Roman" w:hAnsi="Times New Roman" w:cs="Times New Roman"/>
                <w:color w:val="0563C1"/>
                <w:kern w:val="0"/>
                <w:sz w:val="24"/>
                <w:u w:val="single"/>
                <w:lang w:val="en-GB" w:eastAsia="en-US"/>
                <w14:ligatures w14:val="none"/>
              </w:rPr>
              <w:t>6.7 Cross-Theme Summary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_Toc226463570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36</w:t>
            </w:r>
            <w:r w:rsidRPr="00F02A69">
              <w:rPr>
                <w:rFonts w:ascii="Times New Roman" w:eastAsia="Times New Roman" w:hAnsi="Times New Roman" w:cs="Times New Roman"/>
                <w:webHidden/>
                <w:kern w:val="0"/>
                <w:sz w:val="24"/>
                <w:lang w:val="en-GB" w:eastAsia="en-US"/>
                <w14:ligatures w14:val="none"/>
              </w:rPr>
              <w:fldChar w:fldCharType="end"/>
            </w:r>
          </w:hyperlink>
        </w:p>
        <w:p w14:paraId="6E48B4F4" w14:textId="77777777" w:rsidR="00F02A69" w:rsidRPr="00F02A69" w:rsidRDefault="00F02A69" w:rsidP="00F02A69">
          <w:pPr>
            <w:widowControl/>
            <w:tabs>
              <w:tab w:val="right" w:leader="dot" w:pos="9350"/>
            </w:tabs>
            <w:spacing w:before="120" w:after="120" w:line="480" w:lineRule="auto"/>
            <w:contextualSpacing/>
            <w:rPr>
              <w:rFonts w:ascii="Times New Roman" w:eastAsia="Times New Roman" w:hAnsi="Times New Roman" w:cs="Times New Roman"/>
              <w:kern w:val="0"/>
              <w:sz w:val="24"/>
              <w:lang w:val="en-GB" w:eastAsia="en-US"/>
              <w14:ligatures w14:val="none"/>
            </w:rPr>
          </w:pPr>
          <w:hyperlink w:anchor="_Toc226463571" w:history="1">
            <w:r w:rsidRPr="00F02A69">
              <w:rPr>
                <w:rFonts w:ascii="Times New Roman" w:eastAsia="Times New Roman" w:hAnsi="Times New Roman" w:cs="Times New Roman"/>
                <w:color w:val="0563C1"/>
                <w:kern w:val="0"/>
                <w:sz w:val="24"/>
                <w:u w:val="single"/>
                <w:lang w:val="en-GB" w:eastAsia="en-US"/>
                <w14:ligatures w14:val="none"/>
              </w:rPr>
              <w:t>Chapter 7. Discussion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_Toc226463571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37</w:t>
            </w:r>
            <w:r w:rsidRPr="00F02A69">
              <w:rPr>
                <w:rFonts w:ascii="Times New Roman" w:eastAsia="Times New Roman" w:hAnsi="Times New Roman" w:cs="Times New Roman"/>
                <w:webHidden/>
                <w:kern w:val="0"/>
                <w:sz w:val="24"/>
                <w:lang w:val="en-GB" w:eastAsia="en-US"/>
                <w14:ligatures w14:val="none"/>
              </w:rPr>
              <w:fldChar w:fldCharType="end"/>
            </w:r>
          </w:hyperlink>
        </w:p>
        <w:p w14:paraId="7652F943"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72" w:history="1">
            <w:r w:rsidRPr="00F02A69">
              <w:rPr>
                <w:rFonts w:ascii="Times New Roman" w:eastAsia="Times New Roman" w:hAnsi="Times New Roman" w:cs="Times New Roman"/>
                <w:color w:val="0563C1"/>
                <w:kern w:val="0"/>
                <w:sz w:val="24"/>
                <w:u w:val="single"/>
                <w:lang w:val="en-GB" w:eastAsia="en-US"/>
                <w14:ligatures w14:val="none"/>
              </w:rPr>
              <w:t>7.1 Introduction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_Toc226463572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37</w:t>
            </w:r>
            <w:r w:rsidRPr="00F02A69">
              <w:rPr>
                <w:rFonts w:ascii="Times New Roman" w:eastAsia="Times New Roman" w:hAnsi="Times New Roman" w:cs="Times New Roman"/>
                <w:webHidden/>
                <w:kern w:val="0"/>
                <w:sz w:val="24"/>
                <w:lang w:val="en-GB" w:eastAsia="en-US"/>
                <w14:ligatures w14:val="none"/>
              </w:rPr>
              <w:fldChar w:fldCharType="end"/>
            </w:r>
          </w:hyperlink>
        </w:p>
        <w:p w14:paraId="68316CA8"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73" w:history="1">
            <w:r w:rsidRPr="00F02A69">
              <w:rPr>
                <w:rFonts w:ascii="Times New Roman" w:eastAsia="Times New Roman" w:hAnsi="Times New Roman" w:cs="Times New Roman"/>
                <w:color w:val="0563C1"/>
                <w:kern w:val="0"/>
                <w:sz w:val="24"/>
                <w:u w:val="single"/>
                <w:lang w:val="en-GB" w:eastAsia="en-US"/>
                <w14:ligatures w14:val="none"/>
              </w:rPr>
              <w:t>7.2 Discussion of RQ1: How Practitioners Identified and Interpreted Psychological Mechanisms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_Toc226463573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37</w:t>
            </w:r>
            <w:r w:rsidRPr="00F02A69">
              <w:rPr>
                <w:rFonts w:ascii="Times New Roman" w:eastAsia="Times New Roman" w:hAnsi="Times New Roman" w:cs="Times New Roman"/>
                <w:webHidden/>
                <w:kern w:val="0"/>
                <w:sz w:val="24"/>
                <w:lang w:val="en-GB" w:eastAsia="en-US"/>
                <w14:ligatures w14:val="none"/>
              </w:rPr>
              <w:fldChar w:fldCharType="end"/>
            </w:r>
          </w:hyperlink>
        </w:p>
        <w:p w14:paraId="4B2269D5"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74" w:history="1">
            <w:r w:rsidRPr="00F02A69">
              <w:rPr>
                <w:rFonts w:ascii="Times New Roman" w:eastAsia="Times New Roman" w:hAnsi="Times New Roman" w:cs="Times New Roman"/>
                <w:color w:val="0563C1"/>
                <w:kern w:val="0"/>
                <w:sz w:val="24"/>
                <w:u w:val="single"/>
                <w:lang w:val="en-GB" w:eastAsia="en-US"/>
                <w14:ligatures w14:val="none"/>
              </w:rPr>
              <w:t>7.3 Discussion of RQ2: How Practitioners Decided Which Interventions to Use</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_Toc226463574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38</w:t>
            </w:r>
            <w:r w:rsidRPr="00F02A69">
              <w:rPr>
                <w:rFonts w:ascii="Times New Roman" w:eastAsia="Times New Roman" w:hAnsi="Times New Roman" w:cs="Times New Roman"/>
                <w:webHidden/>
                <w:kern w:val="0"/>
                <w:sz w:val="24"/>
                <w:lang w:val="en-GB" w:eastAsia="en-US"/>
                <w14:ligatures w14:val="none"/>
              </w:rPr>
              <w:fldChar w:fldCharType="end"/>
            </w:r>
          </w:hyperlink>
        </w:p>
        <w:p w14:paraId="0242F370"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75" w:history="1">
            <w:r w:rsidRPr="00F02A69">
              <w:rPr>
                <w:rFonts w:ascii="Times New Roman" w:eastAsia="Times New Roman" w:hAnsi="Times New Roman" w:cs="Times New Roman"/>
                <w:color w:val="0563C1"/>
                <w:kern w:val="0"/>
                <w:sz w:val="24"/>
                <w:u w:val="single"/>
                <w:lang w:val="en-GB" w:eastAsia="en-US"/>
                <w14:ligatures w14:val="none"/>
              </w:rPr>
              <w:t>7.4 Discussion of RQ3: How Practitioners Balanced Stabilisation and Long-Term Capacity Building</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_Toc226463575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39</w:t>
            </w:r>
            <w:r w:rsidRPr="00F02A69">
              <w:rPr>
                <w:rFonts w:ascii="Times New Roman" w:eastAsia="Times New Roman" w:hAnsi="Times New Roman" w:cs="Times New Roman"/>
                <w:webHidden/>
                <w:kern w:val="0"/>
                <w:sz w:val="24"/>
                <w:lang w:val="en-GB" w:eastAsia="en-US"/>
                <w14:ligatures w14:val="none"/>
              </w:rPr>
              <w:fldChar w:fldCharType="end"/>
            </w:r>
          </w:hyperlink>
        </w:p>
        <w:p w14:paraId="5D81C81B"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76" w:history="1">
            <w:r w:rsidRPr="00F02A69">
              <w:rPr>
                <w:rFonts w:ascii="Times New Roman" w:eastAsia="Times New Roman" w:hAnsi="Times New Roman" w:cs="Times New Roman"/>
                <w:color w:val="0563C1"/>
                <w:kern w:val="0"/>
                <w:sz w:val="24"/>
                <w:u w:val="single"/>
                <w:lang w:val="en-GB" w:eastAsia="en-US"/>
                <w14:ligatures w14:val="none"/>
              </w:rPr>
              <w:t>7.5 Discussion of RQ4: How Contextual Factors Shaped Feasibility and Implementation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_Toc226463576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40</w:t>
            </w:r>
            <w:r w:rsidRPr="00F02A69">
              <w:rPr>
                <w:rFonts w:ascii="Times New Roman" w:eastAsia="Times New Roman" w:hAnsi="Times New Roman" w:cs="Times New Roman"/>
                <w:webHidden/>
                <w:kern w:val="0"/>
                <w:sz w:val="24"/>
                <w:lang w:val="en-GB" w:eastAsia="en-US"/>
                <w14:ligatures w14:val="none"/>
              </w:rPr>
              <w:fldChar w:fldCharType="end"/>
            </w:r>
          </w:hyperlink>
        </w:p>
        <w:p w14:paraId="56E6AB65"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77" w:history="1">
            <w:r w:rsidRPr="00F02A69">
              <w:rPr>
                <w:rFonts w:ascii="Times New Roman" w:eastAsia="Times New Roman" w:hAnsi="Times New Roman" w:cs="Times New Roman"/>
                <w:color w:val="0563C1"/>
                <w:kern w:val="0"/>
                <w:sz w:val="24"/>
                <w:u w:val="single"/>
                <w:lang w:val="en-GB" w:eastAsia="en-US"/>
                <w14:ligatures w14:val="none"/>
              </w:rPr>
              <w:t>7.6 Comparison with Existing Literature</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_Toc226463577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41</w:t>
            </w:r>
            <w:r w:rsidRPr="00F02A69">
              <w:rPr>
                <w:rFonts w:ascii="Times New Roman" w:eastAsia="Times New Roman" w:hAnsi="Times New Roman" w:cs="Times New Roman"/>
                <w:webHidden/>
                <w:kern w:val="0"/>
                <w:sz w:val="24"/>
                <w:lang w:val="en-GB" w:eastAsia="en-US"/>
                <w14:ligatures w14:val="none"/>
              </w:rPr>
              <w:fldChar w:fldCharType="end"/>
            </w:r>
          </w:hyperlink>
        </w:p>
        <w:p w14:paraId="6A4A2EA3"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78" w:history="1">
            <w:r w:rsidRPr="00F02A69">
              <w:rPr>
                <w:rFonts w:ascii="Times New Roman" w:eastAsia="Times New Roman" w:hAnsi="Times New Roman" w:cs="Times New Roman"/>
                <w:color w:val="0563C1"/>
                <w:kern w:val="0"/>
                <w:sz w:val="24"/>
                <w:u w:val="single"/>
                <w:lang w:val="en-GB" w:eastAsia="en-US"/>
                <w14:ligatures w14:val="none"/>
              </w:rPr>
              <w:t>7.7 Implications for Practice</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_Toc226463578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42</w:t>
            </w:r>
            <w:r w:rsidRPr="00F02A69">
              <w:rPr>
                <w:rFonts w:ascii="Times New Roman" w:eastAsia="Times New Roman" w:hAnsi="Times New Roman" w:cs="Times New Roman"/>
                <w:webHidden/>
                <w:kern w:val="0"/>
                <w:sz w:val="24"/>
                <w:lang w:val="en-GB" w:eastAsia="en-US"/>
                <w14:ligatures w14:val="none"/>
              </w:rPr>
              <w:fldChar w:fldCharType="end"/>
            </w:r>
          </w:hyperlink>
        </w:p>
        <w:p w14:paraId="3AEC011A"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79" w:history="1">
            <w:r w:rsidRPr="00F02A69">
              <w:rPr>
                <w:rFonts w:ascii="Times New Roman" w:eastAsia="Times New Roman" w:hAnsi="Times New Roman" w:cs="Times New Roman"/>
                <w:color w:val="0563C1"/>
                <w:kern w:val="0"/>
                <w:sz w:val="24"/>
                <w:u w:val="single"/>
                <w:lang w:val="en-GB" w:eastAsia="en-US"/>
                <w14:ligatures w14:val="none"/>
              </w:rPr>
              <w:t>7.8 Implications for Future Research</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_Toc226463579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42</w:t>
            </w:r>
            <w:r w:rsidRPr="00F02A69">
              <w:rPr>
                <w:rFonts w:ascii="Times New Roman" w:eastAsia="Times New Roman" w:hAnsi="Times New Roman" w:cs="Times New Roman"/>
                <w:webHidden/>
                <w:kern w:val="0"/>
                <w:sz w:val="24"/>
                <w:lang w:val="en-GB" w:eastAsia="en-US"/>
                <w14:ligatures w14:val="none"/>
              </w:rPr>
              <w:fldChar w:fldCharType="end"/>
            </w:r>
          </w:hyperlink>
        </w:p>
        <w:p w14:paraId="0AF30CC7"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80" w:history="1">
            <w:r w:rsidRPr="00F02A69">
              <w:rPr>
                <w:rFonts w:ascii="Times New Roman" w:eastAsia="Times New Roman" w:hAnsi="Times New Roman" w:cs="Times New Roman"/>
                <w:color w:val="0563C1"/>
                <w:kern w:val="0"/>
                <w:sz w:val="24"/>
                <w:u w:val="single"/>
                <w:lang w:val="en-GB" w:eastAsia="en-US"/>
                <w14:ligatures w14:val="none"/>
              </w:rPr>
              <w:t>7.9 Critical Interpretation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_Toc226463580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43</w:t>
            </w:r>
            <w:r w:rsidRPr="00F02A69">
              <w:rPr>
                <w:rFonts w:ascii="Times New Roman" w:eastAsia="Times New Roman" w:hAnsi="Times New Roman" w:cs="Times New Roman"/>
                <w:webHidden/>
                <w:kern w:val="0"/>
                <w:sz w:val="24"/>
                <w:lang w:val="en-GB" w:eastAsia="en-US"/>
                <w14:ligatures w14:val="none"/>
              </w:rPr>
              <w:fldChar w:fldCharType="end"/>
            </w:r>
          </w:hyperlink>
        </w:p>
        <w:p w14:paraId="293DE8F7" w14:textId="77777777" w:rsidR="00F02A69" w:rsidRPr="00F02A69" w:rsidRDefault="00F02A69" w:rsidP="00F02A69">
          <w:pPr>
            <w:widowControl/>
            <w:tabs>
              <w:tab w:val="right" w:leader="dot" w:pos="9350"/>
            </w:tabs>
            <w:spacing w:before="120" w:after="120" w:line="480" w:lineRule="auto"/>
            <w:contextualSpacing/>
            <w:rPr>
              <w:rFonts w:ascii="Times New Roman" w:eastAsia="Times New Roman" w:hAnsi="Times New Roman" w:cs="Times New Roman"/>
              <w:kern w:val="0"/>
              <w:sz w:val="24"/>
              <w:lang w:val="en-GB" w:eastAsia="en-US"/>
              <w14:ligatures w14:val="none"/>
            </w:rPr>
          </w:pPr>
          <w:hyperlink w:anchor="_Toc226463581" w:history="1">
            <w:r w:rsidRPr="00F02A69">
              <w:rPr>
                <w:rFonts w:ascii="Times New Roman" w:eastAsia="Times New Roman" w:hAnsi="Times New Roman" w:cs="Times New Roman"/>
                <w:color w:val="0563C1"/>
                <w:kern w:val="0"/>
                <w:sz w:val="24"/>
                <w:u w:val="single"/>
                <w:lang w:val="en-GB" w:eastAsia="en-US"/>
                <w14:ligatures w14:val="none"/>
              </w:rPr>
              <w:t>Chapter 8. Evaluation of the Research Process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_Toc226463581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44</w:t>
            </w:r>
            <w:r w:rsidRPr="00F02A69">
              <w:rPr>
                <w:rFonts w:ascii="Times New Roman" w:eastAsia="Times New Roman" w:hAnsi="Times New Roman" w:cs="Times New Roman"/>
                <w:webHidden/>
                <w:kern w:val="0"/>
                <w:sz w:val="24"/>
                <w:lang w:val="en-GB" w:eastAsia="en-US"/>
                <w14:ligatures w14:val="none"/>
              </w:rPr>
              <w:fldChar w:fldCharType="end"/>
            </w:r>
          </w:hyperlink>
        </w:p>
        <w:p w14:paraId="471F07D3"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82" w:history="1">
            <w:r w:rsidRPr="00F02A69">
              <w:rPr>
                <w:rFonts w:ascii="Times New Roman" w:eastAsia="Times New Roman" w:hAnsi="Times New Roman" w:cs="Times New Roman"/>
                <w:color w:val="0563C1"/>
                <w:kern w:val="0"/>
                <w:sz w:val="24"/>
                <w:u w:val="single"/>
                <w:lang w:val="en-GB" w:eastAsia="en-US"/>
                <w14:ligatures w14:val="none"/>
              </w:rPr>
              <w:t>8.1 Strengths of the Study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_Toc226463582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44</w:t>
            </w:r>
            <w:r w:rsidRPr="00F02A69">
              <w:rPr>
                <w:rFonts w:ascii="Times New Roman" w:eastAsia="Times New Roman" w:hAnsi="Times New Roman" w:cs="Times New Roman"/>
                <w:webHidden/>
                <w:kern w:val="0"/>
                <w:sz w:val="24"/>
                <w:lang w:val="en-GB" w:eastAsia="en-US"/>
                <w14:ligatures w14:val="none"/>
              </w:rPr>
              <w:fldChar w:fldCharType="end"/>
            </w:r>
          </w:hyperlink>
        </w:p>
        <w:p w14:paraId="0C7BF70F"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83" w:history="1">
            <w:r w:rsidRPr="00F02A69">
              <w:rPr>
                <w:rFonts w:ascii="Times New Roman" w:eastAsia="Times New Roman" w:hAnsi="Times New Roman" w:cs="Times New Roman"/>
                <w:color w:val="0563C1"/>
                <w:kern w:val="0"/>
                <w:sz w:val="24"/>
                <w:u w:val="single"/>
                <w:lang w:val="en-GB" w:eastAsia="en-US"/>
                <w14:ligatures w14:val="none"/>
              </w:rPr>
              <w:t>8.2 Limitations of the Study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_Toc226463583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44</w:t>
            </w:r>
            <w:r w:rsidRPr="00F02A69">
              <w:rPr>
                <w:rFonts w:ascii="Times New Roman" w:eastAsia="Times New Roman" w:hAnsi="Times New Roman" w:cs="Times New Roman"/>
                <w:webHidden/>
                <w:kern w:val="0"/>
                <w:sz w:val="24"/>
                <w:lang w:val="en-GB" w:eastAsia="en-US"/>
                <w14:ligatures w14:val="none"/>
              </w:rPr>
              <w:fldChar w:fldCharType="end"/>
            </w:r>
          </w:hyperlink>
        </w:p>
        <w:p w14:paraId="0AC19FEB"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84" w:history="1">
            <w:r w:rsidRPr="00F02A69">
              <w:rPr>
                <w:rFonts w:ascii="Times New Roman" w:eastAsia="Times New Roman" w:hAnsi="Times New Roman" w:cs="Times New Roman"/>
                <w:color w:val="0563C1"/>
                <w:kern w:val="0"/>
                <w:sz w:val="24"/>
                <w:u w:val="single"/>
                <w:lang w:val="en-GB" w:eastAsia="en-US"/>
                <w14:ligatures w14:val="none"/>
              </w:rPr>
              <w:t>8.3 Reflexive Evaluation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_Toc226463584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45</w:t>
            </w:r>
            <w:r w:rsidRPr="00F02A69">
              <w:rPr>
                <w:rFonts w:ascii="Times New Roman" w:eastAsia="Times New Roman" w:hAnsi="Times New Roman" w:cs="Times New Roman"/>
                <w:webHidden/>
                <w:kern w:val="0"/>
                <w:sz w:val="24"/>
                <w:lang w:val="en-GB" w:eastAsia="en-US"/>
                <w14:ligatures w14:val="none"/>
              </w:rPr>
              <w:fldChar w:fldCharType="end"/>
            </w:r>
          </w:hyperlink>
        </w:p>
        <w:p w14:paraId="4120A6F4"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85" w:history="1">
            <w:r w:rsidRPr="00F02A69">
              <w:rPr>
                <w:rFonts w:ascii="Times New Roman" w:eastAsia="Times New Roman" w:hAnsi="Times New Roman" w:cs="Times New Roman"/>
                <w:color w:val="0563C1"/>
                <w:kern w:val="0"/>
                <w:sz w:val="24"/>
                <w:u w:val="single"/>
                <w:lang w:val="en-GB" w:eastAsia="en-US"/>
                <w14:ligatures w14:val="none"/>
              </w:rPr>
              <w:t>8.4 What Was Learned from the Research Process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_Toc226463585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45</w:t>
            </w:r>
            <w:r w:rsidRPr="00F02A69">
              <w:rPr>
                <w:rFonts w:ascii="Times New Roman" w:eastAsia="Times New Roman" w:hAnsi="Times New Roman" w:cs="Times New Roman"/>
                <w:webHidden/>
                <w:kern w:val="0"/>
                <w:sz w:val="24"/>
                <w:lang w:val="en-GB" w:eastAsia="en-US"/>
                <w14:ligatures w14:val="none"/>
              </w:rPr>
              <w:fldChar w:fldCharType="end"/>
            </w:r>
          </w:hyperlink>
        </w:p>
        <w:p w14:paraId="1CB1BB68" w14:textId="77777777" w:rsidR="00F02A69" w:rsidRPr="00F02A69" w:rsidRDefault="00F02A69" w:rsidP="00F02A69">
          <w:pPr>
            <w:widowControl/>
            <w:tabs>
              <w:tab w:val="right" w:leader="dot" w:pos="9350"/>
            </w:tabs>
            <w:spacing w:before="120" w:after="120" w:line="480" w:lineRule="auto"/>
            <w:contextualSpacing/>
            <w:rPr>
              <w:rFonts w:ascii="Times New Roman" w:eastAsia="Times New Roman" w:hAnsi="Times New Roman" w:cs="Times New Roman"/>
              <w:kern w:val="0"/>
              <w:sz w:val="24"/>
              <w:lang w:val="en-GB" w:eastAsia="en-US"/>
              <w14:ligatures w14:val="none"/>
            </w:rPr>
          </w:pPr>
          <w:hyperlink w:anchor="_Toc226463586" w:history="1">
            <w:r w:rsidRPr="00F02A69">
              <w:rPr>
                <w:rFonts w:ascii="Times New Roman" w:eastAsia="Times New Roman" w:hAnsi="Times New Roman" w:cs="Times New Roman"/>
                <w:color w:val="0563C1"/>
                <w:kern w:val="0"/>
                <w:sz w:val="24"/>
                <w:u w:val="single"/>
                <w:lang w:val="en-GB" w:eastAsia="en-US"/>
                <w14:ligatures w14:val="none"/>
              </w:rPr>
              <w:t>Chapter 9. Conclusion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_Toc226463586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47</w:t>
            </w:r>
            <w:r w:rsidRPr="00F02A69">
              <w:rPr>
                <w:rFonts w:ascii="Times New Roman" w:eastAsia="Times New Roman" w:hAnsi="Times New Roman" w:cs="Times New Roman"/>
                <w:webHidden/>
                <w:kern w:val="0"/>
                <w:sz w:val="24"/>
                <w:lang w:val="en-GB" w:eastAsia="en-US"/>
                <w14:ligatures w14:val="none"/>
              </w:rPr>
              <w:fldChar w:fldCharType="end"/>
            </w:r>
          </w:hyperlink>
        </w:p>
        <w:p w14:paraId="696F334F"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87" w:history="1">
            <w:r w:rsidRPr="00F02A69">
              <w:rPr>
                <w:rFonts w:ascii="Times New Roman" w:eastAsia="Times New Roman" w:hAnsi="Times New Roman" w:cs="Times New Roman"/>
                <w:color w:val="0563C1"/>
                <w:kern w:val="0"/>
                <w:sz w:val="24"/>
                <w:u w:val="single"/>
                <w:lang w:val="en-GB" w:eastAsia="en-US"/>
                <w14:ligatures w14:val="none"/>
              </w:rPr>
              <w:t>9.1 Restating the Aim</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_Toc226463587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47</w:t>
            </w:r>
            <w:r w:rsidRPr="00F02A69">
              <w:rPr>
                <w:rFonts w:ascii="Times New Roman" w:eastAsia="Times New Roman" w:hAnsi="Times New Roman" w:cs="Times New Roman"/>
                <w:webHidden/>
                <w:kern w:val="0"/>
                <w:sz w:val="24"/>
                <w:lang w:val="en-GB" w:eastAsia="en-US"/>
                <w14:ligatures w14:val="none"/>
              </w:rPr>
              <w:fldChar w:fldCharType="end"/>
            </w:r>
          </w:hyperlink>
        </w:p>
        <w:p w14:paraId="6A10562F"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88" w:history="1">
            <w:r w:rsidRPr="00F02A69">
              <w:rPr>
                <w:rFonts w:ascii="Times New Roman" w:eastAsia="Times New Roman" w:hAnsi="Times New Roman" w:cs="Times New Roman"/>
                <w:color w:val="0563C1"/>
                <w:kern w:val="0"/>
                <w:sz w:val="24"/>
                <w:u w:val="single"/>
                <w:lang w:val="en-GB" w:eastAsia="en-US"/>
                <w14:ligatures w14:val="none"/>
              </w:rPr>
              <w:t>9.2 Summary of Main Findings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_Toc226463588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47</w:t>
            </w:r>
            <w:r w:rsidRPr="00F02A69">
              <w:rPr>
                <w:rFonts w:ascii="Times New Roman" w:eastAsia="Times New Roman" w:hAnsi="Times New Roman" w:cs="Times New Roman"/>
                <w:webHidden/>
                <w:kern w:val="0"/>
                <w:sz w:val="24"/>
                <w:lang w:val="en-GB" w:eastAsia="en-US"/>
                <w14:ligatures w14:val="none"/>
              </w:rPr>
              <w:fldChar w:fldCharType="end"/>
            </w:r>
          </w:hyperlink>
        </w:p>
        <w:p w14:paraId="0FC725EA"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89" w:history="1">
            <w:r w:rsidRPr="00F02A69">
              <w:rPr>
                <w:rFonts w:ascii="Times New Roman" w:eastAsia="Times New Roman" w:hAnsi="Times New Roman" w:cs="Times New Roman"/>
                <w:color w:val="0563C1"/>
                <w:kern w:val="0"/>
                <w:sz w:val="24"/>
                <w:u w:val="single"/>
                <w:lang w:val="en-GB" w:eastAsia="en-US"/>
                <w14:ligatures w14:val="none"/>
              </w:rPr>
              <w:t>9.3 Contribution of the Study</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_Toc226463589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48</w:t>
            </w:r>
            <w:r w:rsidRPr="00F02A69">
              <w:rPr>
                <w:rFonts w:ascii="Times New Roman" w:eastAsia="Times New Roman" w:hAnsi="Times New Roman" w:cs="Times New Roman"/>
                <w:webHidden/>
                <w:kern w:val="0"/>
                <w:sz w:val="24"/>
                <w:lang w:val="en-GB" w:eastAsia="en-US"/>
                <w14:ligatures w14:val="none"/>
              </w:rPr>
              <w:fldChar w:fldCharType="end"/>
            </w:r>
          </w:hyperlink>
        </w:p>
        <w:p w14:paraId="66063781" w14:textId="77777777" w:rsidR="00F02A69" w:rsidRPr="00F02A69" w:rsidRDefault="00F02A69" w:rsidP="00F02A69">
          <w:pPr>
            <w:widowControl/>
            <w:tabs>
              <w:tab w:val="right" w:leader="dot" w:pos="9350"/>
            </w:tabs>
            <w:spacing w:before="120" w:after="120" w:line="480" w:lineRule="auto"/>
            <w:ind w:left="240"/>
            <w:contextualSpacing/>
            <w:rPr>
              <w:rFonts w:ascii="Times New Roman" w:eastAsia="Times New Roman" w:hAnsi="Times New Roman" w:cs="Times New Roman"/>
              <w:kern w:val="0"/>
              <w:sz w:val="24"/>
              <w:lang w:val="en-GB" w:eastAsia="en-US"/>
              <w14:ligatures w14:val="none"/>
            </w:rPr>
          </w:pPr>
          <w:hyperlink w:anchor="_Toc226463590" w:history="1">
            <w:r w:rsidRPr="00F02A69">
              <w:rPr>
                <w:rFonts w:ascii="Times New Roman" w:eastAsia="Times New Roman" w:hAnsi="Times New Roman" w:cs="Times New Roman"/>
                <w:color w:val="0563C1"/>
                <w:kern w:val="0"/>
                <w:sz w:val="24"/>
                <w:u w:val="single"/>
                <w:lang w:val="en-GB" w:eastAsia="en-US"/>
                <w14:ligatures w14:val="none"/>
              </w:rPr>
              <w:t>9.4 Final Reflection</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_Toc226463590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48</w:t>
            </w:r>
            <w:r w:rsidRPr="00F02A69">
              <w:rPr>
                <w:rFonts w:ascii="Times New Roman" w:eastAsia="Times New Roman" w:hAnsi="Times New Roman" w:cs="Times New Roman"/>
                <w:webHidden/>
                <w:kern w:val="0"/>
                <w:sz w:val="24"/>
                <w:lang w:val="en-GB" w:eastAsia="en-US"/>
                <w14:ligatures w14:val="none"/>
              </w:rPr>
              <w:fldChar w:fldCharType="end"/>
            </w:r>
          </w:hyperlink>
        </w:p>
        <w:p w14:paraId="178C443B" w14:textId="77777777" w:rsidR="00F02A69" w:rsidRPr="00F02A69" w:rsidRDefault="00F02A69" w:rsidP="00F02A69">
          <w:pPr>
            <w:widowControl/>
            <w:tabs>
              <w:tab w:val="right" w:leader="dot" w:pos="9350"/>
            </w:tabs>
            <w:spacing w:before="120" w:after="120" w:line="480" w:lineRule="auto"/>
            <w:contextualSpacing/>
            <w:rPr>
              <w:rFonts w:ascii="Times New Roman" w:eastAsia="Times New Roman" w:hAnsi="Times New Roman" w:cs="Times New Roman"/>
              <w:kern w:val="0"/>
              <w:sz w:val="24"/>
              <w:lang w:val="en-GB" w:eastAsia="en-US"/>
              <w14:ligatures w14:val="none"/>
            </w:rPr>
          </w:pPr>
          <w:hyperlink w:anchor="_Toc226463591" w:history="1">
            <w:r w:rsidRPr="00F02A69">
              <w:rPr>
                <w:rFonts w:ascii="Times New Roman" w:eastAsia="Times New Roman" w:hAnsi="Times New Roman" w:cs="Times New Roman"/>
                <w:color w:val="0563C1"/>
                <w:kern w:val="0"/>
                <w:sz w:val="24"/>
                <w:u w:val="single"/>
                <w:lang w:val="en-GB" w:eastAsia="en-US"/>
                <w14:ligatures w14:val="none"/>
              </w:rPr>
              <w:t>References</w:t>
            </w:r>
            <w:r w:rsidRPr="00F02A69">
              <w:rPr>
                <w:rFonts w:ascii="Times New Roman" w:eastAsia="Times New Roman" w:hAnsi="Times New Roman" w:cs="Times New Roman"/>
                <w:webHidden/>
                <w:kern w:val="0"/>
                <w:sz w:val="24"/>
                <w:lang w:val="en-GB" w:eastAsia="en-US"/>
                <w14:ligatures w14:val="none"/>
              </w:rPr>
              <w:tab/>
            </w:r>
            <w:r w:rsidRPr="00F02A69">
              <w:rPr>
                <w:rFonts w:ascii="Times New Roman" w:eastAsia="Times New Roman" w:hAnsi="Times New Roman" w:cs="Times New Roman"/>
                <w:webHidden/>
                <w:kern w:val="0"/>
                <w:sz w:val="24"/>
                <w:lang w:val="en-GB" w:eastAsia="en-US"/>
                <w14:ligatures w14:val="none"/>
              </w:rPr>
              <w:fldChar w:fldCharType="begin"/>
            </w:r>
            <w:r w:rsidRPr="00F02A69">
              <w:rPr>
                <w:rFonts w:ascii="Times New Roman" w:eastAsia="Times New Roman" w:hAnsi="Times New Roman" w:cs="Times New Roman"/>
                <w:webHidden/>
                <w:kern w:val="0"/>
                <w:sz w:val="24"/>
                <w:lang w:val="en-GB" w:eastAsia="en-US"/>
                <w14:ligatures w14:val="none"/>
              </w:rPr>
              <w:instrText xml:space="preserve"> PAGEREF _Toc226463591 \h </w:instrText>
            </w:r>
            <w:r w:rsidRPr="00F02A69">
              <w:rPr>
                <w:rFonts w:ascii="Times New Roman" w:eastAsia="Times New Roman" w:hAnsi="Times New Roman" w:cs="Times New Roman"/>
                <w:webHidden/>
                <w:kern w:val="0"/>
                <w:sz w:val="24"/>
                <w:lang w:val="en-GB" w:eastAsia="en-US"/>
                <w14:ligatures w14:val="none"/>
              </w:rPr>
            </w:r>
            <w:r w:rsidRPr="00F02A69">
              <w:rPr>
                <w:rFonts w:ascii="Times New Roman" w:eastAsia="Times New Roman" w:hAnsi="Times New Roman" w:cs="Times New Roman"/>
                <w:webHidden/>
                <w:kern w:val="0"/>
                <w:sz w:val="24"/>
                <w:lang w:val="en-GB" w:eastAsia="en-US"/>
                <w14:ligatures w14:val="none"/>
              </w:rPr>
              <w:fldChar w:fldCharType="separate"/>
            </w:r>
            <w:r w:rsidRPr="00F02A69">
              <w:rPr>
                <w:rFonts w:ascii="Times New Roman" w:eastAsia="Times New Roman" w:hAnsi="Times New Roman" w:cs="Times New Roman"/>
                <w:webHidden/>
                <w:kern w:val="0"/>
                <w:sz w:val="24"/>
                <w:lang w:val="en-GB" w:eastAsia="en-US"/>
                <w14:ligatures w14:val="none"/>
              </w:rPr>
              <w:t>49</w:t>
            </w:r>
            <w:r w:rsidRPr="00F02A69">
              <w:rPr>
                <w:rFonts w:ascii="Times New Roman" w:eastAsia="Times New Roman" w:hAnsi="Times New Roman" w:cs="Times New Roman"/>
                <w:webHidden/>
                <w:kern w:val="0"/>
                <w:sz w:val="24"/>
                <w:lang w:val="en-GB" w:eastAsia="en-US"/>
                <w14:ligatures w14:val="none"/>
              </w:rPr>
              <w:fldChar w:fldCharType="end"/>
            </w:r>
          </w:hyperlink>
        </w:p>
        <w:p w14:paraId="7B224247"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b/>
              <w:bCs/>
              <w:kern w:val="0"/>
              <w:sz w:val="24"/>
              <w:lang w:val="en-GB" w:eastAsia="en-US"/>
              <w14:ligatures w14:val="none"/>
            </w:rPr>
            <w:fldChar w:fldCharType="end"/>
          </w:r>
        </w:p>
      </w:sdtContent>
    </w:sdt>
    <w:p w14:paraId="6C559C7F" w14:textId="77777777" w:rsidR="00F02A69" w:rsidRPr="00F02A69" w:rsidRDefault="00F02A69" w:rsidP="00F02A69">
      <w:pPr>
        <w:widowControl/>
        <w:spacing w:before="120" w:after="120" w:line="480" w:lineRule="auto"/>
        <w:contextualSpacing/>
        <w:rPr>
          <w:rFonts w:ascii="Times New Roman" w:eastAsia="等线 Light" w:hAnsi="Times New Roman" w:cs="Times New Roman"/>
          <w:b/>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br w:type="page"/>
      </w:r>
    </w:p>
    <w:p w14:paraId="2B6193F9" w14:textId="77777777" w:rsidR="00F02A69" w:rsidRPr="00F02A69" w:rsidRDefault="00F02A69" w:rsidP="00F02A69">
      <w:pPr>
        <w:keepNext/>
        <w:keepLines/>
        <w:widowControl/>
        <w:spacing w:before="120" w:after="120" w:line="480" w:lineRule="auto"/>
        <w:contextualSpacing/>
        <w:jc w:val="center"/>
        <w:outlineLvl w:val="0"/>
        <w:rPr>
          <w:rFonts w:ascii="Times New Roman" w:eastAsia="等线 Light" w:hAnsi="Times New Roman" w:cs="Times New Roman"/>
          <w:b/>
          <w:kern w:val="0"/>
          <w:sz w:val="24"/>
          <w:lang w:val="en-GB" w:eastAsia="en-US"/>
          <w14:ligatures w14:val="none"/>
        </w:rPr>
      </w:pPr>
      <w:bookmarkStart w:id="1" w:name="_Toc226463525"/>
      <w:r w:rsidRPr="00F02A69">
        <w:rPr>
          <w:rFonts w:ascii="Times New Roman" w:eastAsia="等线 Light" w:hAnsi="Times New Roman" w:cs="Times New Roman"/>
          <w:b/>
          <w:kern w:val="0"/>
          <w:sz w:val="24"/>
          <w:lang w:val="en-GB" w:eastAsia="en-US"/>
          <w14:ligatures w14:val="none"/>
        </w:rPr>
        <w:lastRenderedPageBreak/>
        <w:t>Chapter 1: Introduction</w:t>
      </w:r>
      <w:bookmarkEnd w:id="1"/>
    </w:p>
    <w:p w14:paraId="59767738"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2" w:name="_Toc226463526"/>
      <w:r w:rsidRPr="00F02A69">
        <w:rPr>
          <w:rFonts w:ascii="Times New Roman" w:eastAsia="等线 Light" w:hAnsi="Times New Roman" w:cs="Times New Roman"/>
          <w:b/>
          <w:kern w:val="0"/>
          <w:sz w:val="24"/>
          <w:lang w:val="en-GB" w:eastAsia="en-US"/>
          <w14:ligatures w14:val="none"/>
        </w:rPr>
        <w:t>1.1 Background to the Study</w:t>
      </w:r>
      <w:bookmarkEnd w:id="2"/>
      <w:r w:rsidRPr="00F02A69">
        <w:rPr>
          <w:rFonts w:ascii="Times New Roman" w:eastAsia="等线 Light" w:hAnsi="Times New Roman" w:cs="Times New Roman"/>
          <w:b/>
          <w:kern w:val="0"/>
          <w:sz w:val="24"/>
          <w:lang w:val="en-GB" w:eastAsia="en-US"/>
          <w14:ligatures w14:val="none"/>
        </w:rPr>
        <w:t xml:space="preserve"> </w:t>
      </w:r>
    </w:p>
    <w:p w14:paraId="30C88F4A"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Adolescent mental health has become an increasingly significant concern in education systems worldwide. As evidence has accumulated, mental health difficulties such as anxiety and depression have been increasingly recognised as substantial barriers to learning, participation, and long-term development. Therefore, schools are increasingly expected to take a more active role in recognizing and supporting the psychological well-being of their students. In this sense, exam anxiety is a particularly significant issue. It is best known in the evaluation educational settings and is greatly impacted by the schooling trends, the tradition of assessment and the importance placed on the academic achievement. It is estimated that 15-80% of students have moderate to severe exam anxiety (Cassady et al., 2025). However, although more and more literature is already being formulated regarding the potential interventions, there remains a scarcity of data concerning the interpretation, translation, and implementation of interventions in real-life schools.</w:t>
      </w:r>
    </w:p>
    <w:p w14:paraId="192DCB99"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3" w:name="_Toc226463527"/>
      <w:r w:rsidRPr="00F02A69">
        <w:rPr>
          <w:rFonts w:ascii="Times New Roman" w:eastAsia="等线 Light" w:hAnsi="Times New Roman" w:cs="Times New Roman"/>
          <w:b/>
          <w:kern w:val="0"/>
          <w:sz w:val="24"/>
          <w:lang w:val="en-GB" w:eastAsia="en-US"/>
          <w14:ligatures w14:val="none"/>
        </w:rPr>
        <w:t>1.2 The Chinese and Jiangsu Context</w:t>
      </w:r>
      <w:bookmarkEnd w:id="3"/>
    </w:p>
    <w:p w14:paraId="0CE86B86"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The Chinese context, particularly in this research, is also important because the presence of exam-related anxieties is entrenched within an education system that upholds high stakes that have to a large extent been influenced by the Gaokao. The Gaokao serves as a key access point to college and social mobility, and approximately 65% of senior high school students are subject to exam anxiety during their preparation (Hua et al., 2024). Of particular interest is Jiangsu Province, which is linked to not only fierce academic competition, but also to the absence of parity between urban schools, which are well-resourced, and rural or township schools, which are too poorly-resourced. These structural differences add to the strains that the students </w:t>
      </w:r>
      <w:r w:rsidRPr="00F02A69">
        <w:rPr>
          <w:rFonts w:ascii="Times New Roman" w:eastAsia="Times New Roman" w:hAnsi="Times New Roman" w:cs="Times New Roman"/>
          <w:kern w:val="0"/>
          <w:sz w:val="24"/>
          <w:lang w:val="en-GB" w:eastAsia="en-US"/>
          <w14:ligatures w14:val="none"/>
        </w:rPr>
        <w:lastRenderedPageBreak/>
        <w:t>experience within an already tough examination system. At the same time, Jiangsu has enacted some policies related to the mental health of the students, including the Special Action Plan on Comprehensively Strengthening Student Mental Health in the New Era, which outlines the staffing rates, curriculum requirements, early warning system, and crisis management measures. Together, institutional inequality, high-stakes examination, and growing policy imperatives, supported by growing demands on practitioners, make Jiangsu a conveniently placed site to research how practitioners practically respond to the mental health needs of students.</w:t>
      </w:r>
    </w:p>
    <w:p w14:paraId="4B71BD55"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4" w:name="_Toc226463528"/>
      <w:r w:rsidRPr="00F02A69">
        <w:rPr>
          <w:rFonts w:ascii="Times New Roman" w:eastAsia="等线 Light" w:hAnsi="Times New Roman" w:cs="Times New Roman"/>
          <w:b/>
          <w:kern w:val="0"/>
          <w:sz w:val="24"/>
          <w:lang w:val="en-GB" w:eastAsia="en-US"/>
          <w14:ligatures w14:val="none"/>
        </w:rPr>
        <w:t>1.3 Problem Statement</w:t>
      </w:r>
      <w:bookmarkEnd w:id="4"/>
    </w:p>
    <w:p w14:paraId="657954EC"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Increased investment in the provision of mental health services in schools has not been accompanied by sufficient attention to how practitioners actually arrive at intervention decisions in responding to students experiencing anxiety with regard to exams. Specifically, little is known about interpretive and contextual practice through which practitioners create the appropriate types of support in applied school settings. The existing research has been addressing more of student outcomes and not the interpretive and contextual judgments wherein practitioners make decisions on the type of support to give. Although such an outcome-oriented strategy has become very fruitful in solidifying evidence as to what may work in theory, it can be observed as offering a great deal less information as to how such decisions are practiced. This leaves a lot to be desired about the impact that the contextual factors have on the intervention decision making encompassing disparities in training of the beneficiaries, the institutional authority, time and resources constraints, in various school settings.</w:t>
      </w:r>
    </w:p>
    <w:p w14:paraId="7ABBC2EA"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5" w:name="_Toc226463529"/>
      <w:r w:rsidRPr="00F02A69">
        <w:rPr>
          <w:rFonts w:ascii="Times New Roman" w:eastAsia="等线 Light" w:hAnsi="Times New Roman" w:cs="Times New Roman"/>
          <w:b/>
          <w:kern w:val="0"/>
          <w:sz w:val="24"/>
          <w:lang w:val="en-GB" w:eastAsia="en-US"/>
          <w14:ligatures w14:val="none"/>
        </w:rPr>
        <w:t>1.4 Research Gap</w:t>
      </w:r>
      <w:bookmarkEnd w:id="5"/>
    </w:p>
    <w:p w14:paraId="10317B67"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 xml:space="preserve">There are four literature gaps informing this research study. The body of research on exam anxiety has been skewed towards studying the degree of symptoms and outcome of </w:t>
      </w:r>
      <w:r w:rsidRPr="00F02A69">
        <w:rPr>
          <w:rFonts w:ascii="Times New Roman" w:eastAsia="Times New Roman" w:hAnsi="Times New Roman" w:cs="Times New Roman"/>
          <w:kern w:val="0"/>
          <w:sz w:val="24"/>
          <w:lang w:val="en-GB" w:eastAsia="en-US"/>
          <w14:ligatures w14:val="none"/>
        </w:rPr>
        <w:lastRenderedPageBreak/>
        <w:t>interventions rather than how practitioners view and respond to the needs of students in their day-to-day practice. Second, qualitative studies on school-based mental health practice in Chinese high schools and, more so, on practitioner viewpoints, are very few. Third, the strain between the short-term stabilisation and the long-term psychological growth of high-stakes schools has not received much attention in the studies. Finally, little is told about how and whether the rationale of the school-based practitioners is mechanism-based, rather than the obvious symptom response. Cumulatively, such gaps inform the necessity of interpretive research of practitioner decision-making within contexts.</w:t>
      </w:r>
    </w:p>
    <w:p w14:paraId="5557E393"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6" w:name="_Toc226463530"/>
      <w:r w:rsidRPr="00F02A69">
        <w:rPr>
          <w:rFonts w:ascii="Times New Roman" w:eastAsia="等线 Light" w:hAnsi="Times New Roman" w:cs="Times New Roman"/>
          <w:b/>
          <w:kern w:val="0"/>
          <w:sz w:val="24"/>
          <w:lang w:val="en-GB" w:eastAsia="en-US"/>
          <w14:ligatures w14:val="none"/>
        </w:rPr>
        <w:t>1.5 Aim and Objectives</w:t>
      </w:r>
      <w:bookmarkEnd w:id="6"/>
    </w:p>
    <w:p w14:paraId="27C27158"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b/>
          <w:bCs/>
          <w:kern w:val="0"/>
          <w:sz w:val="24"/>
          <w:lang w:val="en-GB" w:eastAsia="en-US"/>
          <w14:ligatures w14:val="none"/>
        </w:rPr>
        <w:t>Aim</w:t>
      </w:r>
    </w:p>
    <w:p w14:paraId="698308DE"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aim of this study is to find out how high school mental health practitioners in Jiangsu make intervention decisions, with special regard to students with exam-related anxiety, as to mechanism-based causes, situation pressure, and the trade-off between short-term stabilisation and psychological development.</w:t>
      </w:r>
    </w:p>
    <w:p w14:paraId="62F82CED"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b/>
          <w:bCs/>
          <w:kern w:val="0"/>
          <w:sz w:val="24"/>
          <w:lang w:val="en-GB" w:eastAsia="en-US"/>
          <w14:ligatures w14:val="none"/>
        </w:rPr>
        <w:t>Objectives</w:t>
      </w:r>
    </w:p>
    <w:p w14:paraId="65E058BC" w14:textId="77777777" w:rsidR="00F02A69" w:rsidRPr="00F02A69" w:rsidRDefault="00F02A69" w:rsidP="00F02A69">
      <w:pPr>
        <w:widowControl/>
        <w:numPr>
          <w:ilvl w:val="0"/>
          <w:numId w:val="97"/>
        </w:numPr>
        <w:spacing w:before="120" w:after="120" w:line="480" w:lineRule="auto"/>
        <w:contextualSpacing/>
        <w:rPr>
          <w:rFonts w:ascii="Times New Roman" w:eastAsia="Calibri" w:hAnsi="Times New Roman" w:cs="Times New Roman"/>
          <w:kern w:val="0"/>
          <w:sz w:val="24"/>
          <w:lang w:val="en-GB" w:eastAsia="en-US"/>
          <w14:ligatures w14:val="none"/>
        </w:rPr>
      </w:pPr>
      <w:r w:rsidRPr="00F02A69">
        <w:rPr>
          <w:rFonts w:ascii="Times New Roman" w:eastAsia="Calibri" w:hAnsi="Times New Roman" w:cs="Times New Roman"/>
          <w:kern w:val="0"/>
          <w:sz w:val="24"/>
          <w:lang w:val="en-GB" w:eastAsia="en-US"/>
          <w14:ligatures w14:val="none"/>
        </w:rPr>
        <w:t>To explore the way in which the practitioners identify and understand psychological processes associated with exam-related anxiety.</w:t>
      </w:r>
    </w:p>
    <w:p w14:paraId="6AB91FED" w14:textId="77777777" w:rsidR="00F02A69" w:rsidRPr="00F02A69" w:rsidRDefault="00F02A69" w:rsidP="00F02A69">
      <w:pPr>
        <w:widowControl/>
        <w:numPr>
          <w:ilvl w:val="0"/>
          <w:numId w:val="97"/>
        </w:numPr>
        <w:spacing w:before="120" w:after="120" w:line="480" w:lineRule="auto"/>
        <w:contextualSpacing/>
        <w:rPr>
          <w:rFonts w:ascii="Times New Roman" w:eastAsia="Calibri" w:hAnsi="Times New Roman" w:cs="Times New Roman"/>
          <w:kern w:val="0"/>
          <w:sz w:val="24"/>
          <w:lang w:val="en-GB" w:eastAsia="en-US"/>
          <w14:ligatures w14:val="none"/>
        </w:rPr>
      </w:pPr>
      <w:r w:rsidRPr="00F02A69">
        <w:rPr>
          <w:rFonts w:ascii="Times New Roman" w:eastAsia="Calibri" w:hAnsi="Times New Roman" w:cs="Times New Roman"/>
          <w:kern w:val="0"/>
          <w:sz w:val="24"/>
          <w:lang w:val="en-GB" w:eastAsia="en-US"/>
          <w14:ligatures w14:val="none"/>
        </w:rPr>
        <w:t>To investigate practitioner choice and justification of a course of intervention in school settings.</w:t>
      </w:r>
    </w:p>
    <w:p w14:paraId="5B0ABC0F" w14:textId="77777777" w:rsidR="00F02A69" w:rsidRPr="00F02A69" w:rsidRDefault="00F02A69" w:rsidP="00F02A69">
      <w:pPr>
        <w:widowControl/>
        <w:numPr>
          <w:ilvl w:val="0"/>
          <w:numId w:val="97"/>
        </w:numPr>
        <w:spacing w:before="120" w:after="120" w:line="480" w:lineRule="auto"/>
        <w:contextualSpacing/>
        <w:rPr>
          <w:rFonts w:ascii="Times New Roman" w:eastAsia="Calibri" w:hAnsi="Times New Roman" w:cs="Times New Roman"/>
          <w:kern w:val="0"/>
          <w:sz w:val="24"/>
          <w:lang w:val="en-GB" w:eastAsia="en-US"/>
          <w14:ligatures w14:val="none"/>
        </w:rPr>
      </w:pPr>
      <w:r w:rsidRPr="00F02A69">
        <w:rPr>
          <w:rFonts w:ascii="Times New Roman" w:eastAsia="Calibri" w:hAnsi="Times New Roman" w:cs="Times New Roman"/>
          <w:kern w:val="0"/>
          <w:sz w:val="24"/>
          <w:lang w:val="en-GB" w:eastAsia="en-US"/>
          <w14:ligatures w14:val="none"/>
        </w:rPr>
        <w:t>To examine the trade-off between short-term support provision and longer-term development objectives by practitioners.</w:t>
      </w:r>
    </w:p>
    <w:p w14:paraId="45DD7A0B" w14:textId="77777777" w:rsidR="00F02A69" w:rsidRPr="00F02A69" w:rsidRDefault="00F02A69" w:rsidP="00F02A69">
      <w:pPr>
        <w:widowControl/>
        <w:numPr>
          <w:ilvl w:val="0"/>
          <w:numId w:val="97"/>
        </w:numPr>
        <w:spacing w:before="120" w:after="120" w:line="480" w:lineRule="auto"/>
        <w:contextualSpacing/>
        <w:rPr>
          <w:rFonts w:ascii="Times New Roman" w:eastAsia="Calibri" w:hAnsi="Times New Roman" w:cs="Times New Roman"/>
          <w:kern w:val="0"/>
          <w:sz w:val="24"/>
          <w:lang w:val="en-GB" w:eastAsia="en-US"/>
          <w14:ligatures w14:val="none"/>
        </w:rPr>
      </w:pPr>
      <w:r w:rsidRPr="00F02A69">
        <w:rPr>
          <w:rFonts w:ascii="Times New Roman" w:eastAsia="Calibri" w:hAnsi="Times New Roman" w:cs="Times New Roman"/>
          <w:kern w:val="0"/>
          <w:sz w:val="24"/>
          <w:lang w:val="en-GB" w:eastAsia="en-US"/>
          <w14:ligatures w14:val="none"/>
        </w:rPr>
        <w:t>To identify the contextual variables that identify the feasibility, implementation, and adaptation of interventions.</w:t>
      </w:r>
    </w:p>
    <w:p w14:paraId="5C9FD5BB" w14:textId="77777777" w:rsidR="00F02A69" w:rsidRPr="00F02A69" w:rsidRDefault="00F02A69" w:rsidP="00F02A69">
      <w:pPr>
        <w:widowControl/>
        <w:numPr>
          <w:ilvl w:val="0"/>
          <w:numId w:val="97"/>
        </w:numPr>
        <w:spacing w:before="120" w:after="120" w:line="480" w:lineRule="auto"/>
        <w:contextualSpacing/>
        <w:rPr>
          <w:rFonts w:ascii="Times New Roman" w:eastAsia="Calibri" w:hAnsi="Times New Roman" w:cs="Times New Roman"/>
          <w:kern w:val="0"/>
          <w:sz w:val="24"/>
          <w:lang w:val="en-GB" w:eastAsia="en-US"/>
          <w14:ligatures w14:val="none"/>
        </w:rPr>
      </w:pPr>
      <w:r w:rsidRPr="00F02A69">
        <w:rPr>
          <w:rFonts w:ascii="Times New Roman" w:eastAsia="Calibri" w:hAnsi="Times New Roman" w:cs="Times New Roman"/>
          <w:kern w:val="0"/>
          <w:sz w:val="24"/>
          <w:lang w:val="en-GB" w:eastAsia="en-US"/>
          <w14:ligatures w14:val="none"/>
        </w:rPr>
        <w:lastRenderedPageBreak/>
        <w:t>To build a practice based analytic knowledge of the interrelationships among school systems, particular mechanisms, intervention strategies, and functional outcomes.</w:t>
      </w:r>
    </w:p>
    <w:p w14:paraId="7AD749B0"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7" w:name="_Toc226463531"/>
      <w:r w:rsidRPr="00F02A69">
        <w:rPr>
          <w:rFonts w:ascii="Times New Roman" w:eastAsia="等线 Light" w:hAnsi="Times New Roman" w:cs="Times New Roman"/>
          <w:b/>
          <w:kern w:val="0"/>
          <w:sz w:val="24"/>
          <w:lang w:val="en-GB" w:eastAsia="en-US"/>
          <w14:ligatures w14:val="none"/>
        </w:rPr>
        <w:t>1.6 Research Questions</w:t>
      </w:r>
      <w:bookmarkEnd w:id="7"/>
    </w:p>
    <w:p w14:paraId="3032CE37"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b/>
          <w:bCs/>
          <w:kern w:val="0"/>
          <w:sz w:val="24"/>
          <w:lang w:val="en-GB" w:eastAsia="en-US"/>
          <w14:ligatures w14:val="none"/>
        </w:rPr>
        <w:t>Overall Research Question</w:t>
      </w:r>
    </w:p>
    <w:p w14:paraId="281DCF67"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How do school mental health practitioners in Jiangsu high schools make intervention decisions for students experiencing exam-related anxiety?</w:t>
      </w:r>
    </w:p>
    <w:p w14:paraId="1AAA5778"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b/>
          <w:bCs/>
          <w:kern w:val="0"/>
          <w:sz w:val="24"/>
          <w:lang w:val="en-GB" w:eastAsia="en-US"/>
          <w14:ligatures w14:val="none"/>
        </w:rPr>
        <w:t>Sub-questions</w:t>
      </w:r>
    </w:p>
    <w:p w14:paraId="13EA6127" w14:textId="77777777" w:rsidR="00F02A69" w:rsidRPr="00F02A69" w:rsidRDefault="00F02A69" w:rsidP="00F02A69">
      <w:pPr>
        <w:widowControl/>
        <w:spacing w:before="120" w:after="120" w:line="480" w:lineRule="auto"/>
        <w:ind w:left="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RQ1: How do school mental health practitioners in Jiangsu high schools identify and interpret the underlying psychological processes associated with students’ exam-related anxiety?</w:t>
      </w:r>
    </w:p>
    <w:p w14:paraId="219DBE61" w14:textId="77777777" w:rsidR="00F02A69" w:rsidRPr="00F02A69" w:rsidRDefault="00F02A69" w:rsidP="00F02A69">
      <w:pPr>
        <w:widowControl/>
        <w:spacing w:before="120" w:after="120" w:line="480" w:lineRule="auto"/>
        <w:ind w:left="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RQ2: How do practitioners decide which intervention strategies are most appropriate for students experiencing exam-related anxiety?</w:t>
      </w:r>
    </w:p>
    <w:p w14:paraId="3B9D6555" w14:textId="77777777" w:rsidR="00F02A69" w:rsidRPr="00F02A69" w:rsidRDefault="00F02A69" w:rsidP="00F02A69">
      <w:pPr>
        <w:widowControl/>
        <w:spacing w:before="120" w:after="120" w:line="480" w:lineRule="auto"/>
        <w:ind w:left="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RQ3: How do practitioners balance immediate stabilisation during examination periods with longer-term psychological capacity building?</w:t>
      </w:r>
    </w:p>
    <w:p w14:paraId="20453C68" w14:textId="77777777" w:rsidR="00F02A69" w:rsidRPr="00F02A69" w:rsidRDefault="00F02A69" w:rsidP="00F02A69">
      <w:pPr>
        <w:widowControl/>
        <w:spacing w:before="120" w:after="120" w:line="480" w:lineRule="auto"/>
        <w:ind w:left="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RQ4: What contextual factors shape the feasibility and implementation of intervention decisions in Jiangsu high schools?</w:t>
      </w:r>
    </w:p>
    <w:p w14:paraId="1B2B230C"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8" w:name="_Toc226463532"/>
      <w:r w:rsidRPr="00F02A69">
        <w:rPr>
          <w:rFonts w:ascii="Times New Roman" w:eastAsia="等线 Light" w:hAnsi="Times New Roman" w:cs="Times New Roman"/>
          <w:b/>
          <w:kern w:val="0"/>
          <w:sz w:val="24"/>
          <w:lang w:val="en-GB" w:eastAsia="en-US"/>
          <w14:ligatures w14:val="none"/>
        </w:rPr>
        <w:t>1.7 Significance of the Study</w:t>
      </w:r>
      <w:bookmarkEnd w:id="8"/>
    </w:p>
    <w:p w14:paraId="60EC3EDA"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This study is significant in three ways. Academically, it shifts the emphasis away from student outcomes as an object of investigation to practitioner decision-making to school mental health research. By doing so, it builds upon a growing corpus of qualitative research on school-based mental health, particularly in non-Western contexts, by exploring not only the conceptualization but also the implementation of interventions, rather than necessarily evaluating their outcomes.</w:t>
      </w:r>
    </w:p>
    <w:p w14:paraId="62341393"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lastRenderedPageBreak/>
        <w:t>Practically, it can give information that can be used to train practitioners, referral patterns, and communication between parents and schools. These results have possible implications for enhancing referral processes and the connections between schools and mental health special services.</w:t>
      </w:r>
    </w:p>
    <w:p w14:paraId="02DFDB34"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Contextually, it underscores the delivery of a general provincial institutional framework in a one-sided way in the most non-comparable school circumstances in Jiangsu. Specifically, it highlights the difference between the urban schools, which are well-resourced, and the township ones, which are understaffed, therefore, mirroring the richness of the entire diversity of school-based mental health practice of the Chinese fast-developing system of senior secondary education.</w:t>
      </w:r>
    </w:p>
    <w:p w14:paraId="60E90379"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br w:type="page"/>
      </w:r>
    </w:p>
    <w:p w14:paraId="663731E4" w14:textId="77777777" w:rsidR="00F02A69" w:rsidRPr="00F02A69" w:rsidRDefault="00F02A69" w:rsidP="00F02A69">
      <w:pPr>
        <w:keepNext/>
        <w:keepLines/>
        <w:widowControl/>
        <w:spacing w:before="120" w:after="120" w:line="480" w:lineRule="auto"/>
        <w:contextualSpacing/>
        <w:jc w:val="center"/>
        <w:outlineLvl w:val="0"/>
        <w:rPr>
          <w:rFonts w:ascii="Times New Roman" w:eastAsia="等线 Light" w:hAnsi="Times New Roman" w:cs="Times New Roman"/>
          <w:b/>
          <w:kern w:val="0"/>
          <w:sz w:val="24"/>
          <w:lang w:val="en-GB" w:eastAsia="en-US"/>
          <w14:ligatures w14:val="none"/>
        </w:rPr>
      </w:pPr>
      <w:bookmarkStart w:id="9" w:name="_Toc226463533"/>
      <w:r w:rsidRPr="00F02A69">
        <w:rPr>
          <w:rFonts w:ascii="Times New Roman" w:eastAsia="等线 Light" w:hAnsi="Times New Roman" w:cs="Times New Roman"/>
          <w:b/>
          <w:kern w:val="0"/>
          <w:sz w:val="24"/>
          <w:lang w:val="en-GB" w:eastAsia="en-US"/>
          <w14:ligatures w14:val="none"/>
        </w:rPr>
        <w:lastRenderedPageBreak/>
        <w:t>Chapter 2: Literature Review</w:t>
      </w:r>
      <w:bookmarkEnd w:id="9"/>
    </w:p>
    <w:p w14:paraId="6E81EF1D"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10" w:name="_Toc226463534"/>
      <w:r w:rsidRPr="00F02A69">
        <w:rPr>
          <w:rFonts w:ascii="Times New Roman" w:eastAsia="等线 Light" w:hAnsi="Times New Roman" w:cs="Times New Roman"/>
          <w:b/>
          <w:kern w:val="0"/>
          <w:sz w:val="24"/>
          <w:lang w:val="en-GB" w:eastAsia="en-US"/>
          <w14:ligatures w14:val="none"/>
        </w:rPr>
        <w:t>2.1 Exam Anxiety and Adolescent Mental Health</w:t>
      </w:r>
      <w:bookmarkEnd w:id="10"/>
    </w:p>
    <w:p w14:paraId="09BF0BF9"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Exam anxiety is a form of situational evaluative anxiety that is characterized by a spike in anxiety before or during exams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{"citationItems":[{"id":"ITEM-1","itemData":{"DOI":"10.5539/ijps.v16n3p1","author":[{"dropping-particle":"","family":"Kabir","given":"Dhawan","non-dropping-particle":"","parse-names":false,"suffix":""}],"container-title":"International Journal of Psychological Studies","id":"ITEM-1","issue":"3","issued":{"date-parts":[["2024","6","24"]]},"page":"1-34","title":"Exam Anxiety in Adolescents and the Efficacy of its Interventions – A Systematic Review","type":"article-journal","volume":"16"},"uris":["http://www.mendeley.com/documents/?uuid=18397e6b-0a76-4253-9e2f-388f1e33b508"]}],"mendeley":{"formattedCitation":"(Kabir, 2024)","plainTextFormattedCitation":"(Kabir, 2024)","previouslyFormattedCitation":"(Kabir, 2024)"},"properties":{"noteIndex":0},"schema":"https://github.com/citation-style-language/schema/raw/master/csl-citation.json"}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(Kabir, 2024)</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It is neither listed as a specific disorder in the DSM-5 nor in the ICD-10, but its prevalence is well-known within educational settings. It is estimated that 15-80% of students report moderate to severe anxiety during tests, which depends on the features of the population, the measuring instruments, and diagnostic levels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{"citationItems":[{"id":"ITEM-1","itemData":{"DOI":"10.3390/bs15030331","ISSN":"2076-328X (Print)","PMID":"40150226","abstract":"Test anxiety research has been dominated by attention to theory building and examining the causes and consequences of this construct. However, recently, considerable attention has been turned toward using test anxiety as a diagnostic indicator of students who are at risk of underperforming in educational settings. This systematic review of the literature was focused on (a) describing the strategies used in the field, (b) highlighting the benefits and limitations of those approaches, and (c) offering guidance in creating a framework for appropriate methods when identifying severity levels on measures of test anxiety for university students. The results confirmed that the vast majority of studies on test anxiety have no formal \"leveling\" approaches (maintaining test anxiety as a continuous variable). However, when researchers do employ \"leveling\" strategies, the majority adopt inappropriate methods (e.g., single-sample splits). However, there are exemplars that demonstrate statistically sound procedures for identifying distinct profiles of test anxiety that may form a basis to build consensus around a classification method for elevated test anxiety.","author":[{"dropping-particle":"","family":"Cassady","given":"Jerrell C","non-dropping-particle":"","parse-names":false,"suffix":""},{"dropping-particle":"","family":"Tan","given":"Ser Hong","non-dropping-particle":"","parse-names":false,"suffix":""},{"dropping-particle":"","family":"Robiullah","given":"Al","non-dropping-particle":"","parse-names":false,"suffix":""},{"dropping-particle":"","family":"Badzovski","given":"Isabella","non-dropping-particle":"","parse-names":false,"suffix":""},{"dropping-particle":"","family":"Janiuk","given":"Jessica","non-dropping-particle":"","parse-names":false,"suffix":""}],"container-title":"Behavioral Sciences","id":"ITEM-1","issue":"3","issued":{"date-parts":[["2025","3"]]},"language":"eng","publisher-place":"Switzerland","title":"Methods Employed in Studies Identifying \"Levels\" of Test Anxiety in University Students: A Systematic Review.","type":"article-journal","volume":"15"},"uris":["http://www.mendeley.com/documents/?uuid=d32fd59b-3d2a-4e62-a60f-861a34ec0bb6"]}],"mendeley":{"formattedCitation":"(Cassady &lt;i&gt;et al.&lt;/i&gt;, 2025)","plainTextFormattedCitation":"(Cassady et al., 2025)","previouslyFormattedCitation":"(Cassady &lt;i&gt;et al.&lt;/i&gt;, 2025)"},"properties":{"noteIndex":0},"schema":"https://github.com/citation-style-language/schema/raw/master/csl-citation.json"}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(Cassady et al., 2025)</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The prevalence rates seem to be especially high in the Chinese setting, specifically among senior high school students when they are preparing for the Gaokao, where more than 65% of the students experience test anxiety, and around 30% of respondents stated that they have a moderate or severe level of test anxiety </w:t>
      </w:r>
      <w:r w:rsidRPr="00F02A69">
        <w:rPr>
          <w:rFonts w:ascii="Times New Roman" w:eastAsia="Times New Roman" w:hAnsi="Times New Roman" w:cs="Times New Roman"/>
          <w:b/>
          <w:bCs/>
          <w:kern w:val="0"/>
          <w:sz w:val="24"/>
          <w:lang w:val="en-GB" w:eastAsia="en-US"/>
          <w14:ligatures w14:val="none"/>
        </w:rPr>
        <w:fldChar w:fldCharType="begin" w:fldLock="1"/>
      </w:r>
      <w:r w:rsidRPr="00F02A69">
        <w:rPr>
          <w:rFonts w:ascii="Times New Roman" w:eastAsia="Times New Roman" w:hAnsi="Times New Roman" w:cs="Times New Roman"/>
          <w:b/>
          <w:bCs/>
          <w:kern w:val="0"/>
          <w:sz w:val="24"/>
          <w:lang w:val="en-GB" w:eastAsia="en-US"/>
          <w14:ligatures w14:val="none"/>
        </w:rPr>
        <w:instrText>ADDIN CSL_CITATION {"citationItems":[{"id":"ITEM-1","itemData":{"DOI":"https://doi.org/10.1051/shsconf/202419302003","author":[{"dropping-particle":"","family":"Hua","given":"Xinnan","non-dropping-particle":"","parse-names":false,"suffix":""},{"dropping-particle":"","family":"Li","given":"Jiaqi","non-dropping-particle":"","parse-names":false,"suffix":""},{"dropping-particle":"","family":"Zhou","given":"Yue","non-dropping-particle":"","parse-names":false,"suffix":""},{"dropping-particle":"","family":"Zhou","given":"Zhiyi","non-dropping-particle":"","parse-names":false,"suffix":""}],"container-title":"SHS Web of Conferences","id":"ITEM-1","issued":{"date-parts":[["2024"]]},"page":"1-4","title":"The Relationship between Chinese High School Students ’ Test Anxiety and Academic Performance during the National College Entrance Examination","type":"article-journal","volume":"02003"},"uris":["http://www.mendeley.com/documents/?uuid=c3b56e20-710d-4c88-bcae-a14bd008841d"]}],"mendeley":{"formattedCitation":"(Hua &lt;i&gt;et al.&lt;/i&gt;, 2024)","plainTextFormattedCitation":"(Hua et al., 2024)","previouslyFormattedCitation":"(Hua &lt;i&gt;et al.&lt;/i&gt;, 2024)"},"properties":{"noteIndex":0},"schema":"https://github.com/citation-style-language/schema/raw/master/csl-citation.json"}</w:instrText>
      </w:r>
      <w:r w:rsidRPr="00F02A69">
        <w:rPr>
          <w:rFonts w:ascii="Times New Roman" w:eastAsia="Times New Roman" w:hAnsi="Times New Roman" w:cs="Times New Roman"/>
          <w:b/>
          <w:bCs/>
          <w:kern w:val="0"/>
          <w:sz w:val="24"/>
          <w:lang w:val="en-GB" w:eastAsia="en-US"/>
          <w14:ligatures w14:val="none"/>
        </w:rPr>
        <w:fldChar w:fldCharType="separate"/>
      </w:r>
      <w:r w:rsidRPr="00F02A69">
        <w:rPr>
          <w:rFonts w:ascii="Times New Roman" w:eastAsia="Times New Roman" w:hAnsi="Times New Roman" w:cs="Times New Roman"/>
          <w:bCs/>
          <w:kern w:val="0"/>
          <w:sz w:val="24"/>
          <w:lang w:val="en-GB" w:eastAsia="en-US"/>
          <w14:ligatures w14:val="none"/>
        </w:rPr>
        <w:t>(Hua et al., 2024)</w:t>
      </w:r>
      <w:r w:rsidRPr="00F02A69">
        <w:rPr>
          <w:rFonts w:ascii="Times New Roman" w:eastAsia="Times New Roman" w:hAnsi="Times New Roman" w:cs="Times New Roman"/>
          <w:b/>
          <w:bCs/>
          <w:kern w:val="0"/>
          <w:sz w:val="24"/>
          <w:lang w:val="en-GB" w:eastAsia="en-US"/>
          <w14:ligatures w14:val="none"/>
        </w:rPr>
        <w:fldChar w:fldCharType="end"/>
      </w:r>
      <w:r w:rsidRPr="00F02A69">
        <w:rPr>
          <w:rFonts w:ascii="Times New Roman" w:eastAsia="Times New Roman" w:hAnsi="Times New Roman" w:cs="Times New Roman"/>
          <w:b/>
          <w:bCs/>
          <w:kern w:val="0"/>
          <w:sz w:val="24"/>
          <w:lang w:val="en-GB" w:eastAsia="en-US"/>
          <w14:ligatures w14:val="none"/>
        </w:rPr>
        <w:t xml:space="preserve">. </w:t>
      </w:r>
      <w:r w:rsidRPr="00F02A69">
        <w:rPr>
          <w:rFonts w:ascii="Times New Roman" w:eastAsia="Times New Roman" w:hAnsi="Times New Roman" w:cs="Times New Roman"/>
          <w:kern w:val="0"/>
          <w:sz w:val="24"/>
          <w:lang w:val="en-GB" w:eastAsia="en-US"/>
          <w14:ligatures w14:val="none"/>
        </w:rPr>
        <w:t>This makes China one of the most vulnerable settings on an international level and underscores its usefulness in studying how school-based practitioners address mental health needs of students. The given epidemiological image, though, leads to one question that cannot be answered with the help of prevalence studies alone: when the level of anxiety about examinations is this high, how is it possible that such a large number of students is not supported in practice? The solution, this review suggests, is not simply in the existence of evidence-based interventions but in the circumstances in which practitioners recognize, understand, and take action on the processes that perpetuate anxiety.</w:t>
      </w:r>
    </w:p>
    <w:p w14:paraId="013AFA3F"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The nature of exam anxiety is multidimensional because it consists of cognitive, affective, physiological and behavioural parts. The cognitive dimension includes worry, intrusive thoughts, and impaired concentration, which have a direct influence on short-term memory and executive functioning (Jirjees et al., 2024). The affective dimension entails such aspects as fear and powerlessness and embarrassment. Physiologically, students complain of an increased heart </w:t>
      </w:r>
      <w:r w:rsidRPr="00F02A69">
        <w:rPr>
          <w:rFonts w:ascii="Times New Roman" w:eastAsia="Times New Roman" w:hAnsi="Times New Roman" w:cs="Times New Roman"/>
          <w:kern w:val="0"/>
          <w:sz w:val="24"/>
          <w:lang w:val="en-GB" w:eastAsia="en-US"/>
          <w14:ligatures w14:val="none"/>
        </w:rPr>
        <w:lastRenderedPageBreak/>
        <w:t xml:space="preserve">rate, nausea, and sweating; behaviourally, be it exam anxiety, procrastination, avoiding studying, or worse, non-attendance of school (Lenski et al., 2024). Sleep disruption is not only listed as a symptom but also a perpetuating factor, as a vicious cycle in which emotional regulation and cognitive functioning are further compromised (Alshareef, Giga, and Fletcher, 2025). Cross-national evidence confirms the intensity of such experiences; in a post-pandemic study in India, more than 90% of students in upper secondary schools reported high levels of stress, with fear of failure among the key motivators of anxiety, highlighting the importance of evaluative academic cultures in forming anxiety responses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{"citationItems":[{"id":"ITEM-1","itemData":{"DOI":"https://doi.org/10.1016/j.actpsy.2025.105820","ISSN":"0001-6918","abstract":"As schools reopened following COVID-19 disruptions, adolescents—particularly those in their final years of schooling—faced renewed academic pressures and psychological challenges. This highlights the pressing need to assess their well-being in the immediate post-pandemic context. This study investigated academic stressors and their links to exam anxiety among upper secondary school students (N = 218, aged 15–18 years) in India after the resumption of classroom learning during the 2022–23 academic year. A descriptive, cross-sectional design was employed using the Students' Academic Stress Scale, the Adolescent Stress Questionnaire, and the Student Examination Anxiety Test. Over one-third of students reported high stress levels, with key stressors such as fear of failure and future uncertainty affecting nearly half of the participants. Academic stress showed a strong positive correlation with both adolescent stress and exam anxiety. Additionally, teacher–student relationships and teaching methods were strongly associated with stress linked to school performance and fear of failure, as well as with exam anxiety. These findings underscore the urgent need to support students' psychological well-being, especially during the critical phase of upper secondary schooling. Addressing teaching practices and career-related concerns, along with integrating stress management strategies (e.g., yogic practices) into the curriculum, may promote both well-being and academic success.","author":[{"dropping-particle":"","family":"Reshu","given":"","non-dropping-particle":"","parse-names":false,"suffix":""},{"dropping-particle":"","family":"Kumar","given":"Surendra","non-dropping-particle":"","parse-names":false,"suffix":""},{"dropping-particle":"","family":"Rathi","given":"Ashutosh","non-dropping-particle":"","parse-names":false,"suffix":""}],"container-title":"Acta Psychologica","id":"ITEM-1","issued":{"date-parts":[["2025"]]},"page":"105820","title":"Adolescent academic stress and exam anxiety in schools in the wake of the COVID-19 pandemic","type":"article-journal","volume":"261"},"uris":["http://www.mendeley.com/documents/?uuid=34e19464-7f00-4562-b447-9cb4848081b2"]}],"mendeley":{"formattedCitation":"(Reshu, Kumar and Rathi, 2025)","plainTextFormattedCitation":"(Reshu, Kumar and Rathi, 2025)","previouslyFormattedCitation":"(Reshu, Kumar and Rathi, 2025)"},"properties":{"noteIndex":0},"schema":"https://github.com/citation-style-language/schema/raw/master/csl-citation.json"}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(Reshu, Kumar and Rathi, 2025)</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w:t>
      </w:r>
    </w:p>
    <w:p w14:paraId="4E9EEB7F"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In addition to its immediate symptoms, exam anxiety is also connected to larger trends of adolescent emotional adaptation. The longitudinal research demonstrates that the interdependence between test anxiety and emotional challenges (depression and emotional dysregulation) is bidirectional and that each of them may support the other in the long term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{"citationItems":[{"id":"ITEM-1","itemData":{"DOI":"10.1007/s10608-021-10211-x","ISSN":"1573-2819","abstract":"Previous studies have shown that children and adolescents who report high levels of test anxiety also report symptoms of, and meet clinical criteria for, emotion disorders (anxiety and depression). However, the directionality of this relation cannot be established from existing studies: Is high test anxiety predisposing persons at elevated risk for developing emotion disorders or vice versa? In the present study, we addressed this question in a sample of adolescents. In addition to the risk of developing an emotion disorder, based on the Dual Factor Model of Mental Health, we also considered school-related wellbeing.","author":[{"dropping-particle":"","family":"Putwain","given":"David W","non-dropping-particle":"","parse-names":false,"suffix":""},{"dropping-particle":"","family":"Gallard","given":"Diahann","non-dropping-particle":"","parse-names":false,"suffix":""},{"dropping-particle":"","family":"Beaumont","given":"Joanna","non-dropping-particle":"","parse-names":false,"suffix":""},{"dropping-particle":"","family":"Loderer","given":"Kristina","non-dropping-particle":"","parse-names":false,"suffix":""},{"dropping-particle":"","family":"Embse","given":"Nathaniel P","non-dropping-particle":"von der","parse-names":false,"suffix":""}],"container-title":"Cognitive Therapy and Research","id":"ITEM-1","issue":"6","issued":{"date-parts":[["2021"]]},"page":"1150-1162","title":"Does Test Anxiety Predispose Poor School-Related Wellbeing and Enhanced Risk of Emotional Disorders?","type":"article-journal","volume":"45"},"uris":["http://www.mendeley.com/documents/?uuid=6c339c41-dd52-44d2-bf65-e725f39517d4"]}],"mendeley":{"formattedCitation":"(Putwain &lt;i&gt;et al.&lt;/i&gt;, 2021)","plainTextFormattedCitation":"(Putwain et al., 2021)","previouslyFormattedCitation":"(Putwain &lt;i&gt;et al.&lt;/i&gt;, 2021)"},"properties":{"noteIndex":0},"schema":"https://github.com/citation-style-language/schema/raw/master/csl-citation.json"}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(Putwain et al., 2021)</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The critical element in a mediating role is regulatory emotional self-efficacy, as it outlines the degree of trust students place upon potential success in overcoming adverse emotional states during academic activities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{"citationItems":[{"id":"ITEM-1","itemData":{"DOI":"10.3389/fpsyg.2023.1008679","ISSN":"1664-1078 (Print)","PMID":"36824305","abstract":"Academic stress has been showed to be an important factor associated with test anxiety. However, the internal mechanism between them is still not clear. The purpose of this study was to explore whether the relationship between academic stress and test anxiety was affected by parental expectations and regulatory emotional self-efficacy. This study recruited 1,315 volunteers aged 17-25 to complete self-reports on academic stress, parental expectations, regulatory emotional self-efficacy and test anxiety. The results showed that there was a significant positive correlation between academic stress and test anxiety. Additionally, parental expectations were negatively correlated with academic stress but positively correlated with regulatory emotional self-efficacy, and regulatory emotional self-efficacy was negatively correlated with academic stress and test anxiety. The results showed that regulatory emotional self-efficacy played a mediating role in academic stress and test anxiety, and the relationship between academic stress and regulatory emotional self-efficacy was moderated by parental expectations, which indicated that parental expectations and regulatory emotional self-efficacy may play an important role in the relationship between academic stress and test anxiety.","author":[{"dropping-particle":"","family":"Zheng","given":"Guo","non-dropping-particle":"","parse-names":false,"suffix":""},{"dropping-particle":"","family":"Zhang","given":"Qiongzhi","non-dropping-particle":"","parse-names":false,"suffix":""},{"dropping-particle":"","family":"Ran","given":"Guangming","non-dropping-particle":"","parse-names":false,"suffix":""}],"container-title":"Frontiers in Psychology","id":"ITEM-1","issued":{"date-parts":[["2023"]]},"language":"eng","page":"1008679","publisher-place":"Switzerland","title":"The association between academic stress and test anxiety in college students: The mediating role of regulatory emotional self-efficacy and the moderating role of parental expectations.","type":"article-journal","volume":"14"},"uris":["http://www.mendeley.com/documents/?uuid=8a324796-fec2-459e-a810-9ae2cd7fea9d"]}],"mendeley":{"formattedCitation":"(Zheng, Zhang and Ran, 2023)","plainTextFormattedCitation":"(Zheng, Zhang and Ran, 2023)","previouslyFormattedCitation":"(Zheng, Zhang and Ran, 2023)"},"properties":{"noteIndex":0},"schema":"https://github.com/citation-style-language/schema/raw/master/csl-citation.json"}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(Zheng, Zhang and Ran, 2023)</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Social support will also be protective, though not necessarily unavoidable, to alleviate test anxiety directly, but by increasing academic buoyancy and students' capacity to deal with everyday losses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{"citationItems":[{"id":"ITEM-1","itemData":{"DOI":"10.3390/bs15040449","ISBN":"2076-328X","abstract":"A pervasive and significant academic challenge confronted by students on a global scale is the phenomenon of test anxiety. This phenomenon is exacerbated in China, especially among final-year high school students who face college entrance exams. Perceived social support is widely regarded as the most prevalent protective factor against test anxiety. Academic buoyancy also demonstrates a significant correlation with test anxiety. However, there has been limited research on the potential relationship between perceived social support, academic buoyancy, and test anxiety. The purpose of this study is to examine the effects of specific sources and types of students perceived social support (e.g., emotional support from parents, teachers, and friends) on test anxiety and examine whether academic buoyancy serves as a mediating variable in the relationship between perceived social support and test anxiety. A total of 565 final-year high school students were selected as respondents from Heilongjiang Province in China. The result of SEM analysis indicated that the three sources of student-perceived emotional support could not predict test anxiety directly, but the students perceived three sources emotional support may have an indirect effect on test anxiety through the mediating role of academic buoyancy. In particular, perceived friend emotional support is the most beneficial among these sources of support for students. The anticipated outcomes of this study are expected to provide educators, counselors, and parents with key insights into the factors that alleviate test anxiety in high school students.","author":[{"dropping-particle":"","family":"Li","given":"Danwei","non-dropping-particle":"","parse-names":false,"suffix":""},{"dropping-particle":"","family":"Ahmad","given":"Nor A","non-dropping-particle":"","parse-names":false,"suffix":""},{"dropping-particle":"","family":"Roslan","given":"Samsilah","non-dropping-particle":"","parse-names":false,"suffix":""}],"container-title":"Behavioral Sciences","id":"ITEM-1","issue":"4","issued":{"date-parts":[["2025"]]},"page":"449","title":"Perceived Social Support from Parents, Teachers, and Friends as Predictors of Test Anxiety in Chinese Final-Year High School Students: The Mediating Role of Academic Buoyancy","type":"article-journal","volume":"15"},"uris":["http://www.mendeley.com/documents/?uuid=70b96d62-ba71-4cb3-be44-7967485f6816"]}],"mendeley":{"formattedCitation":"(Li, Ahmad and Roslan, 2025)","plainTextFormattedCitation":"(Li, Ahmad and Roslan, 2025)","previouslyFormattedCitation":"(Li, Ahmad and Roslan, 2025)"},"properties":{"noteIndex":0},"schema":"https://github.com/citation-style-language/schema/raw/master/csl-citation.json"}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(Li, Ahmad and Roslan, 2025)</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Intervention research also reveals that school-based interventions based on cognitive behavioural therapy and social-emotional learning may result in reducing anxiety and depressive symptoms for several years of follow-up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{"citationItems":[{"id":"ITEM-1","itemData":{"DOI":"https://doi.org/10.3389/feduc.2022.986391","ISSN":"2504-284X","abstract":"Background: Over the last decade there has been increased recognition about the role of school staff in preventing mental ill health and promoting wellbeing in young people. Despite this, information regarding the long-term benefits of school mental health programs is not widely available. Aims: The aim of this systematic review was to synthesise the evidence for school-based mental health programs which are available in Australia and have been shown to have long-term benefits for children and adolescents. Results: This systematic review of the literature identified 74 articles reporting long-term outcomes for student mental health and wellbeing, distributed across 29 unique programs. Common features of efficacious programs included cognitive behavioural interventions, mental health literacy, and social-emotional skills programs. Conclusions: Some of the identified school-based interventions for student mental health and wellbeing demonstrated long-term positive impacts on students’ physical and psychological health and wellbeing.","author":[{"dropping-particle":"","family":"Berger","given":"Emily","non-dropping-particle":"","parse-names":false,"suffix":""},{"dropping-particle":"","family":"Reupert","given":"Andrea","non-dropping-particle":"","parse-names":false,"suffix":""},{"dropping-particle":"","family":"Allen","given":"Kelly-Ann","non-dropping-particle":"","parse-names":false,"suffix":""},{"dropping-particle":"","family":"Campbell","given":"Timothy Colin Heath","non-dropping-particle":"","parse-names":false,"suffix":""}],"container-title":"Frontiers in Education","id":"ITEM-1","issued":{"date-parts":[["2022"]]},"page":"1-14","title":"A systematic review of the long-term benefits of school mental health and wellbeing interventions for students in Australia","type":"article-journal","volume":"7"},"uris":["http://www.mendeley.com/documents/?uuid=2a4b5fcd-9dfe-4894-9fb9-005790422540"]}],"mendeley":{"formattedCitation":"(Berger &lt;i&gt;et al.&lt;/i&gt;, 2022)","plainTextFormattedCitation":"(Berger et al., 2022)","previouslyFormattedCitation":"(Berger &lt;i&gt;et al.&lt;/i&gt;, 2022)"},"properties":{"noteIndex":0},"schema":"https://github.com/citation-style-language/schema/raw/master/csl-citation.json"}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(Berger et al., 2022)</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Collectively, this literature suggests that exam anxiety is not a symptom but a multi-dimensional process involving cognition, affect, physiology, and behaviour. It applies to the present study, as </w:t>
      </w:r>
      <w:r w:rsidRPr="00F02A69">
        <w:rPr>
          <w:rFonts w:ascii="Times New Roman" w:eastAsia="Times New Roman" w:hAnsi="Times New Roman" w:cs="Times New Roman"/>
          <w:kern w:val="0"/>
          <w:sz w:val="24"/>
          <w:lang w:val="en-GB" w:eastAsia="en-US"/>
          <w14:ligatures w14:val="none"/>
        </w:rPr>
        <w:lastRenderedPageBreak/>
        <w:t xml:space="preserve">the number of aspects of this process identified and prioritized by practitioners can determine their decisions on how their interventions will be made. </w:t>
      </w:r>
    </w:p>
    <w:p w14:paraId="41BD5236"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11" w:name="_Toc226463535"/>
      <w:r w:rsidRPr="00F02A69">
        <w:rPr>
          <w:rFonts w:ascii="Times New Roman" w:eastAsia="等线 Light" w:hAnsi="Times New Roman" w:cs="Times New Roman"/>
          <w:b/>
          <w:kern w:val="0"/>
          <w:sz w:val="24"/>
          <w:lang w:val="en-GB" w:eastAsia="en-US"/>
          <w14:ligatures w14:val="none"/>
        </w:rPr>
        <w:t>2.2 High-Stakes Educational Contexts and Chinese Schooling</w:t>
      </w:r>
      <w:bookmarkEnd w:id="11"/>
    </w:p>
    <w:p w14:paraId="1707B637" w14:textId="77777777" w:rsidR="00F02A69" w:rsidRPr="00F02A69" w:rsidRDefault="00F02A69" w:rsidP="00F02A69">
      <w:pPr>
        <w:widowControl/>
        <w:spacing w:after="0" w:line="480" w:lineRule="auto"/>
        <w:ind w:firstLine="720"/>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High-stakes examination systems may be linked to a higher measure of test anxiety since future opportunities and social mobility are now intertwined with family pressure and educational achievement. Exams, when applied in such situations, are not perceived as one-event academic situations but rather instances where the personal, social, and economic impacts are high. This further adds to the mental strain of academic preparation and makes the process of learning a longer and more stressful process, instead of a learning experience.</w:t>
      </w:r>
    </w:p>
    <w:p w14:paraId="1DE6123B"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This is especially prominent in China, where Gaokao, re-purposed in 1977 to one of the central instruments of university admissions, is now one of the key determinants of entry to the upper ranks of education and future career opportunities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{"citationItems":[{"id":"ITEM-1","itemData":{"DOI":"10.1186/s40468-025-00355-y","ISSN":"2229-0443","abstract":"This article critically reviews and synthesises the literature to provide an understanding of the key stakeholders’ perceived impact of Gaokao or the National College Entrance Examination (NCEE) on Chinese education and society with reference to standardisation and competition in education, based on the neoliberalisation of Chinese education since the reform and opening-up policy. Because of its high stakes, Gaokao is much more than an exam—in fact, it is one of the most crucial competitions in the lives of Chinese students. The test has a deep and lasting impact on nearly all levels and aspects of education in China. In examining this social impact, this article discusses how Chinese education policy is enacted, and how such policy has been shaped by neoliberal globalisation and global education trends. Seeking to provide a holistic view of the impact of Gaokao, we generate insights into education-testing-society connections in China and in a neoliberal world. We argue that language or education tests are not just education tools; they work as policy tools affecting people and society in critical ways. Gaokao and its related educational concerns have relevance beyond Chinese society, as they are rooted in globalisation.","author":[{"dropping-particle":"","family":"Cheng","given":"Yifeng","non-dropping-particle":"","parse-names":false,"suffix":""},{"dropping-particle":"","family":"Hamid","given":"M Obaidul","non-dropping-particle":"","parse-names":false,"suffix":""}],"container-title":"Language Testing in Asia","id":"ITEM-1","issue":"1","issued":{"date-parts":[["2025"]]},"page":"22","title":"Social impact of Gaokao in China: a critical review of research","type":"article-journal","volume":"15"},"uris":["http://www.mendeley.com/documents/?uuid=28b972cb-2315-457e-8392-fe4e1cf350dc"]}],"mendeley":{"formattedCitation":"(Cheng and Hamid, 2025)","plainTextFormattedCitation":"(Cheng and Hamid, 2025)","previouslyFormattedCitation":"(Cheng and Hamid, 2025)"},"properties":{"noteIndex":0},"schema":"https://github.com/citation-style-language/schema/raw/master/csl-citation.json"}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(Cheng and Hamid, 2025)</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This competitive system has been associated with increased stress levels, reduced intrinsic motivation, reduced chances of practicing creative thinking, and development of more competitive peer relationships. Educational investment is an economic and emotional concern that is frequently undertaken at the family level. Parenting enables the parents to pass their anxiety to the students. On this note, overprotective or controlling parenting styles are linked with increased stress and control over the students, and all things emotional are protective features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{"citationItems":[{"id":"ITEM-1","itemData":{"ISSN":"1664-1078","abstract":"Introduction: This study investigates the intricate relationship between parents' education anxiety and children's learning anxiety, examining the mediating role of parenting style and the moderating effect of extracurricular tutoring.Methods: Utilizing data from the \"Survey of Parents and Students in Primary and Secondary Schools\", the study employs stratified sampling (n=3298) and various psychological scales to measure education anxiety, parenting styles, and extracurricular tutoring.Results: This study reveals that parents' education anxiety significantly influences children's learning anxiety, with a notable positive correlation (r=0.301 ** ). Parenting styles particularly rejection and overprotection style increase this anxiety, while emotional warmth style decreases it.Academic tutoring serves as a moderator, reducing the impact of parental anxiety on children;s learning anxiety (β=-0.033, p&lt;0.05).Discussion: The study underscores the importance of addressing internal family dynamics to alleviate education anxiety. It advocates for a balanced approach to tutoring, emphasizing the benefits of arts and sports activities in reducing learning anxiety. Parents should be encouraged to adopt emotionally warm parenting styles and to engage their children in a variety of extracurricular activities.","author":[{"dropping-particle":"","family":"Yin","given":"Xia","non-dropping-particle":"","parse-names":false,"suffix":""},{"dropping-particle":"","family":"Zhang","given":"HePing","non-dropping-particle":"","parse-names":false,"suffix":""},{"dropping-particle":"","family":"Chen","given":"Meng","non-dropping-particle":"","parse-names":false,"suffix":""}],"container-title":"Frontiers in Psychology","id":"ITEM-1","issued":{"date-parts":[["2024"]]},"title":"The influence of parents’ education anxiety on children’s learning anxiety: the mediating role of parenting style and the moderating effect of extracurricular tutoring","type":"article-journal","volume":"Volume 15 - 2024"},"uris":["http://www.mendeley.com/documents/?uuid=7b20c42e-6473-4090-873f-45b9f2b54e83"]}],"mendeley":{"formattedCitation":"(Yin, Zhang and Chen, 2024)","plainTextFormattedCitation":"(Yin, Zhang and Chen, 2024)","previouslyFormattedCitation":"(Yin, Zhang and Chen, 2024)"},"properties":{"noteIndex":0},"schema":"https://github.com/citation-style-language/schema/raw/master/csl-citation.json"}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(Yin, Zhang and Chen, 2024)</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w:t>
      </w:r>
    </w:p>
    <w:p w14:paraId="1E562865"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In this regard, Jiangsu Province is a highly competitive environment because academic rivalry is so common in the area, application requirements to the universities are very rigorous, and financial and social profile contributions to education in the household are very high. High-stakes situations elsewhere in the country evoke similarly high rates; a study conducted in Yanji, </w:t>
      </w:r>
      <w:r w:rsidRPr="00F02A69">
        <w:rPr>
          <w:rFonts w:ascii="Times New Roman" w:eastAsia="Times New Roman" w:hAnsi="Times New Roman" w:cs="Times New Roman"/>
          <w:kern w:val="0"/>
          <w:sz w:val="24"/>
          <w:lang w:val="en-GB" w:eastAsia="en-US"/>
          <w14:ligatures w14:val="none"/>
        </w:rPr>
        <w:lastRenderedPageBreak/>
        <w:t xml:space="preserve">in the Jilin Province, found that older students had an above-80% test anxiety rate, which fluctuates depending on demographic factors and psychological variables like family communicative tendencies and aspect vulnerability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{"citationItems":[{"id":"ITEM-1","itemData":{"DOI":"10.3389/fpsyg.2024.1414215","ISSN":"1664-1078 (Print)","PMID":"39108436","abstract":"OBJECTIVE: Examining the current situation of test anxiety among first year senior high school students in Yanji City and investigating the factors that contribute to exam anxiety. METHODS: Using cluster sampling, a survey was conducted on 1,550 first-year high school students from three high schools in Yanji City in April-May 2023. The survey utilized general information questionnaires, the Minnesota Multiphasic Personality Inventory (MMPI), and the Self-Rating Anxiety Scale (SAS). Logistic regression analysis was used to determine the influencing factors of test anxiety. RESULTS: A total of 1,550 first-year high school students were included in the analysis, with a test anxiety occurrence rate of 79.8%. Test anxiety exhibited statistical differences among different genders, ethnicities, family economic levels, frequency of communication with parents, and relationships with parents (with results of 53.44, 10.42, 17.31, 20.42, 31.95, all p &lt; 0.05). Scores of hypochondriasis (Hs), depression (D), psychasthenia (Pt), paranoia (Pa), psychopathic deviate (Pd), schizophrenia (Sc), and hypomania (Ma) in the 10 clinical personality scales were significantly positively correlated. Logistic regression analysis revealed that gender, ethnicity, frequency of communication with parents, and scores of hypochondriasis (Hs), depression (D), psychasthenia (Pt), paranoia (Pa), and hypomania (Ma) in the 10 clinical personality scales were the main influencing factors for test anxiety in first-year high school students (all p &lt; 0.05). CONCLUSION: The test anxiety level of high school students in Yanji City is relatively high, with variations in test anxiety levels among students of different genders, ethnicities, parental communication styles, and deviant personality traits. It is recommended that schools and teachers should give more consideration to test anxiety among high school students, particularly targeting those with potential risk factors. Parents should also be more attentive to their children's development and advancement, and improve their family education principles.","author":[{"dropping-particle":"","family":"Xing","given":"Xin-Yang","non-dropping-particle":"","parse-names":false,"suffix":""},{"dropping-particle":"","family":"Wang","given":"Gui-Meng","non-dropping-particle":"","parse-names":false,"suffix":""},{"dropping-particle":"","family":"Li","given":"Ying","non-dropping-particle":"","parse-names":false,"suffix":""},{"dropping-particle":"","family":"Zhang","given":"Wen-Xuan","non-dropping-particle":"","parse-names":false,"suffix":""},{"dropping-particle":"","family":"Shen","given":"Xiang-Dan","non-dropping-particle":"","parse-names":false,"suffix":""}],"container-title":"Frontiers in Psychology","id":"ITEM-1","issued":{"date-parts":[["2024"]]},"language":"eng","page":"1414215","publisher-place":"Switzerland","title":"Current status and influencing factors of test anxiety of senior one students in Yanji, China: a cross-sectional study.","type":"article-journal","volume":"15"},"uris":["http://www.mendeley.com/documents/?uuid=7b65ed05-52d2-43b6-a1c3-5fe2840298f1"]}],"mendeley":{"formattedCitation":"(Xing &lt;i&gt;et al.&lt;/i&gt;, 2024)","plainTextFormattedCitation":"(Xing et al., 2024)","previouslyFormattedCitation":"(Xing &lt;i&gt;et al.&lt;/i&gt;, 2024)"},"properties":{"noteIndex":0},"schema":"https://github.com/citation-style-language/schema/raw/master/csl-citation.json"}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(Xing et al., 2024)</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Likewise, longitudinal Taiwan data indicate that the interventions intended to minimise the influence of examination pressure, under some conditions, may lead to the emergence of the undesired side effect of anxiety among some groups of pupils as a response to the alteration of the selection criteria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10.1080/2331186X.2024.2321019","ISSN":"null","author":[{"dropping-particle":"","family":"Chao","given":"Tzu-Yang","non-dropping-particle":"","parse-names":false,"suffix":""},{"dropping-particle":"","family":"Sung","given":"Yao-Ting","non-dropping-particle":"","parse-names":false,"suffix":""},{"dropping-particle":"","family":"Tseng","given":"Fen-Lan","non-dropping-particle":"","parse-names":false,"suffix":""}],"container-title":"Cogent Education","id":"ITEM-1","issue":"1","issued":{"date-parts":[["2024","12","31"]]},"note":"doi: 10.1080/2331186X.2024.2321019","page":"2321019","publisher":"Cogent OA","title":"High-stakes test anxiety among Taiwanese adolescents: a longitudinal study","type":"article-journal","volume":"11"},"uris":["http://www.mendeley.com/documents/?uuid=1929469f-4bd3-4445-a015-9a0b9a5de2c2"]}],"mendeley":{"formattedCitation":"(Chao, Sung and Tseng, 2024)","plainTextFormattedCitation":"(Chao, Sung and Tseng, 2024)","previouslyFormattedCitation":"(Chao, Sung and Tseng, 2024)"},"properties":{"noteIndex":0},"schema":"https://github.com/citation-style-language/schema/raw/master/csl-citation.json"}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(Chao, Sung and Tseng, 2024)</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This underscores the difficulty of high-stakes work in system reform.</w:t>
      </w:r>
    </w:p>
    <w:p w14:paraId="6A585EB0"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Together, these processes are especially pertinent to Jiangsu, where the issue of student mental health remains the focus of a policy emphasis amidst an academic performance culture. The importance of such responses to exam-related anxiety to school-based practitioners in structurally challenging school settings is preconditioned by this background. </w:t>
      </w:r>
    </w:p>
    <w:p w14:paraId="5B358863"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12" w:name="_Toc226463536"/>
      <w:r w:rsidRPr="00F02A69">
        <w:rPr>
          <w:rFonts w:ascii="Times New Roman" w:eastAsia="等线 Light" w:hAnsi="Times New Roman" w:cs="Times New Roman"/>
          <w:b/>
          <w:kern w:val="0"/>
          <w:sz w:val="24"/>
          <w:lang w:val="en-GB" w:eastAsia="en-US"/>
          <w14:ligatures w14:val="none"/>
        </w:rPr>
        <w:t>2.3 School-Based Mental Health Practice and Practitioner Roles</w:t>
      </w:r>
      <w:bookmarkEnd w:id="12"/>
    </w:p>
    <w:p w14:paraId="2FBE20DF"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School-based mental health support is different than clinical practice because the former is integrated within an institution that values academic achievement and school timetable and routine. Practitioners are not working in a controlled therapeutic set-up but operating within school systems where assistance to students is being negotiated with demands in teaching, administration, and institutions (Richter et al., 2022). There is a nonhomogeneous community of functions, including mental health teachers (xinli jiankang jiaoshi), counsellors, class teachers (banzharen), moral educators, and tutors, that generally provides mental health support in senior high schools of China. Therefore, the needs of the students, as well as role boundaries, and the pragmatic circumstances of the school context, will affect the selection of interventions.</w:t>
      </w:r>
    </w:p>
    <w:p w14:paraId="2BFFDBDC"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lastRenderedPageBreak/>
        <w:t>School mental health in China and Jiangsu has developed significantly in recent years at the policy level. The national Special Action Plan on Comprehensively Strengthening and Improving the Mental Health of Students (2023) paves the way to staffing expectations, certification standards, and a four-pillar facility of education, monitoring, counselling and crisis intervention (Ministry of Education of the People’s Republic of China, 2023). Jiangsu implementation schemes designed as a partnership between different departments are also put into practice at tiered levels with an early warning system, 24-hour psychological hotline, growth mentor model, where a student receives a designated individual of support (Jiangsu Provincial Department of Education, 2023). Local implementation, e.g., in Suzhou, has implemented stricter specifications regarding staffing coverage, and the system according to crisis classification (Suzhou Municipal Education Bureau, 2024). However, the very existence of policy structures does not guarantee homogenization. In practice, the resource provision, staffing arrangements, and practitioner roles in schools are highly skewed.</w:t>
      </w:r>
    </w:p>
    <w:p w14:paraId="11A26064"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 xml:space="preserve">The importance of this is explained with the help of implementation research. The scoping review of mental health services provided at school showed that factors like flexibility, communication, beliefs of staff, and access to resources may be among the most influential factors in the success of the implementation (Richter et al., 2022). The teachers and other staff members of a school are likely to enjoy a rich contextual profile of students that may not fit well into the formalities. Qualitative research among UK primary schools also found that staff members in schools felt the heavy pressure of workload, yet were generally very positive about providing mental health when it was school practice rather than a program being imposed on them (Williamson et al., 2022). This combined literature suggests that practitioners cannot be a direct passive imposition of the programmes to, but as an actual professional agent whose </w:t>
      </w:r>
      <w:r w:rsidRPr="00F02A69">
        <w:rPr>
          <w:rFonts w:ascii="Times New Roman" w:eastAsia="Times New Roman" w:hAnsi="Times New Roman" w:cs="Times New Roman"/>
          <w:kern w:val="0"/>
          <w:sz w:val="24"/>
          <w:lang w:val="en-GB" w:eastAsia="en-US"/>
          <w14:ligatures w14:val="none"/>
        </w:rPr>
        <w:lastRenderedPageBreak/>
        <w:t>rationale may shape what the students actually receive. This is particularly significant in the current study, which explores the decision of intervention in the institutional and policy setting and not in an abstract clinical set-up.</w:t>
      </w:r>
    </w:p>
    <w:p w14:paraId="1D588B29"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13" w:name="_Toc226463537"/>
      <w:r w:rsidRPr="00F02A69">
        <w:rPr>
          <w:rFonts w:ascii="Times New Roman" w:eastAsia="等线 Light" w:hAnsi="Times New Roman" w:cs="Times New Roman"/>
          <w:b/>
          <w:kern w:val="0"/>
          <w:sz w:val="24"/>
          <w:lang w:val="en-GB" w:eastAsia="en-US"/>
          <w14:ligatures w14:val="none"/>
        </w:rPr>
        <w:t>2.4 Mechanism-Focused Approaches to Exam Anxiety</w:t>
      </w:r>
      <w:bookmarkEnd w:id="13"/>
    </w:p>
    <w:p w14:paraId="68DF6B86"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The research studies on exam-related anxiety could be classified into mechanism-based and symptom-based intervention research. Interventions based on symptoms will be more predisposed to address observable manifestations of distress, e.g., before a test, examples of coping, breathing exercises, or general stress management strategies. These methods may offer short-term relief, yet they do not necessarily address the psychological mechanisms within and generating anxiety that may maintain it. Nevertheless, mechanism-focused approaches in comparison are concerned with the cognitive, emotional, and behavioural processes that maintain anxiety and therefore are in a better position to create long-lasting changes.</w:t>
      </w:r>
    </w:p>
    <w:p w14:paraId="5E2CE665"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 xml:space="preserve">One of the powerful models, the Self-referent Executive Processing model, has linked test anxiety with negative self-beliefs and maladaptive executive functions such as catastrophising and rumination (Putwain, Nicholson and Pekrun, 2022). Catastrophising also enhances the likelihood (or magnitude) of failure and is positively associated with higher levels of test anxiety. Rumination propagates negative expectations because it repeatedly puts the student on a course to failure and anticipated failure. Perfectionism can also contribute to the level of anxiety because it makes it unbearable to be below ideal performance in any aspect of performance. Avoidance maintains anxiety by avoiding mastery experiences, which in other cases will lead to confidence (Lenski et al., 2024). Emotion dysregulation, including maladaptive suppression, can reduce outward distress in the short-term but may maximize long-term expenses in terms of psychology (Alshareef, Gica, and Fletcher, 2025). Sleep disturbance can also be </w:t>
      </w:r>
      <w:r w:rsidRPr="00F02A69">
        <w:rPr>
          <w:rFonts w:ascii="Times New Roman" w:eastAsia="Times New Roman" w:hAnsi="Times New Roman" w:cs="Times New Roman"/>
          <w:kern w:val="0"/>
          <w:sz w:val="24"/>
          <w:lang w:val="en-GB" w:eastAsia="en-US"/>
          <w14:ligatures w14:val="none"/>
        </w:rPr>
        <w:lastRenderedPageBreak/>
        <w:t>considered a symptom and perpetuating factor that interferes with emotional regulation and thinking processes.</w:t>
      </w:r>
    </w:p>
    <w:p w14:paraId="7B8F8E0C"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These mechanisms are covered by a variety of evidence-based interventions. Programmes that included emotional self-regulation, mindfulness-based stress reduction, and CBT were found to be effective, and nature-based mind-body approaches, which can include outdoor activities and meditation, have shown particularly promising effects on test anxiety levels among high-anxiety students in underserved rural schools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{"citationItems":[{"id":"ITEM-1","itemData":{"DOI":"https://doi.org/10.3389/fpsyg.2025.1550353","ISSN":"1664-1078","abstract":"IntroductionTraditional interventions for test anxiety often fall short of addressing the specific needs of adolescents and educational institutions due to issues of stigmatization and professionalization. In contrast, nature-based interventions (NBIs) have gained traction for their potential to enhance mental health, as they are generally accepted and cost-effective, thereby offering a promising alternative for alleviating test anxiety.MethodsThis study seeks to investigate the feasibility of a nature-based mind– body intervention (NMI) designed to reduce test anxiety among adolescents by integrating elements of NBIs and mind–body therapies (MBTs).ResultsThe findings suggest that NMI can significantly diminish excessive test anxiety and academic stress, along with alleviating symptoms of general anxiety and depression.DiscussionThis approach presents a low-stigma, low-cost strategy for managing test anxiety in adolescents and offers valuable insights for mental health policymakers. Furthermore, it may enhance academic performance and broaden educational access for disadvantaged populations in developing countries.","author":[{"dropping-particle":"","family":"Zeng","given":"Xuan","non-dropping-particle":"","parse-names":false,"suffix":""},{"dropping-particle":"","family":"Zhang","given":"Yarui","non-dropping-particle":"","parse-names":false,"suffix":""},{"dropping-particle":"","family":"Chu","given":"Ziyan","non-dropping-particle":"","parse-names":false,"suffix":""},{"dropping-particle":"","family":"Chen","given":"Tianyong","non-dropping-particle":"","parse-names":false,"suffix":""}],"container-title":"Frontiers in Psychology","id":"ITEM-1","issued":{"date-parts":[["2025"]]},"page":"1-11","title":"Nature-based mind–body intervention for test anxiety in adolescents: a feasibility study","type":"article-journal","volume":"16"},"uris":["http://www.mendeley.com/documents/?uuid=31f56101-c9bc-42a7-adf2-7f8201a2df94"]}],"mendeley":{"formattedCitation":"(Zeng &lt;i&gt;et al.&lt;/i&gt;, 2025)","plainTextFormattedCitation":"(Zeng et al., 2025)","previouslyFormattedCitation":"(Zeng &lt;i&gt;et al.&lt;/i&gt;, 2025)"},"properties":{"noteIndex":0},"schema":"https://github.com/citation-style-language/schema/raw/master/csl-citation.json"}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(Zeng et al., 2025)</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The STAPP programme involved a short intervention of three sessions of CBT-based interventions with two-thirds of test anxiety and claimed high levels of acceptability between genders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{"citationItems":[{"id":"ITEM-1","itemData":{"DOI":"10.1177/21582440241296609","ISSN":"2158-2440","abstract":"This study aims to introduce the Students? Test Anxiety Prevention Program (STAPP), an intervention for test anxiety for university students in Iraq. We also evaluated its effectiveness against test and state anxiety. The STAPP is a short three-session intervention program comprising expressive emotional dialog, psychoeducation, and educational and cognitive?behavioral therapy techniques. Numerous studies have shown the effectiveness of cognitive?behavioral techniques among other populations; however, most interventions in Iraq focus on posttraumatic stress disorder. In this explanatory sequential mixed-methods study, we used an experimental design in the quantitative phase and conducted a focus group discussion in the qualitative phase. The study was conducted among a sample of Iraqi university students, as there is scarce research on test anxiety interventions among the Iraqi student population. Convenience sampling was used to select 60 participants?35 women and 25 men?randomly assigned to the control or intervention groups. The test-retest approach was used to compare test scores and state anxiety for both groups. The focus group discussion included seven members from the intervention group. The results suggest that STAPP is effective in reducing test anxiety. However, no significant changes were observed in state anxiety in the post-test phase. State anxiety is transient, whereas test anxiety represents a persistent trait. Participants displayed elevated levels of state anxiety, which may be attributed to coronavirus disease 2019-related stressors. Intervention programs should include exercises that facilitate transferring and generalizing learned material in various anxiety-provoking situations.Plain language summaryThe purpose of this study was to introduce and evaluate the effectiveness of the Students? Test Anxiety Prevention Program (STAPP), an intervention designed to reduce test anxiety among Iraqi university students. The program consists of three sessions that employ education, psychoeducation, and cognitive-behavioral therapy techniques. The study utilized an explanatory sequential mixed-methods design, including an experimental quantitative phase and a qualitative phase involving a focus group discussion. A convenience sample of 60 participants, was randomly assigned to either the intervention or control group. Test scores and state anxiety were compared using a test-retest approach. The results revealed that the STAPP was effective in r…","author":[{"dropping-particle":"","family":"Abdulbaqi","given":" Jvan","non-dropping-particle":"","parse-names":false,"suffix":""},{"dropping-particle":"","family":"Uzun","given":" Gizem Oneri","non-dropping-particle":"","parse-names":false,"suffix":""}],"container-title":"Sage Open","id":"ITEM-1","issue":"4","issued":{"date-parts":[["2024","10","1"]]},"note":"doi: 10.1177/21582440241296609","page":"21582440241296609","publisher":"SAGE Publications","title":"Effect of the Students’ Test Anxiety Prevention Program on Students’ Experiences of Test Anxiety: A Mixed-Methods Experiment","type":"article-journal","volume":"14"},"uris":["http://www.mendeley.com/documents/?uuid=fee8098b-32f2-4fec-a193-ab8a227e53b7"]}],"mendeley":{"formattedCitation":"(Abdulbaqi and Uzun, 2024)","plainTextFormattedCitation":"(Abdulbaqi and Uzun, 2024)","previouslyFormattedCitation":"(Abdulbaqi and Uzun, 2024)"},"properties":{"noteIndex":0},"schema":"https://github.com/citation-style-language/schema/raw/master/csl-citation.json"}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(Abdulbaqi and Uzun, 2024)</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w:t>
      </w:r>
    </w:p>
    <w:p w14:paraId="4D496F00"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However, a meta-analysis of implementation research found a mean fidelity of 79% of programmes in the school setting and time constraints and work rivalry to be the greatest barriers, which demonstrates the lack of a total discrepancy between efficacy in an ideal setting and performance in practice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{"citationItems":[{"id":"ITEM-1","itemData":{"DOI":"https://doi.org/10.1016/j.evalprogplan.2025.102731","ISSN":"0149-7189","abstract":"Introduction Approximately 15 % of adolescents experience test anxiety in school settings. This type of anxiety, characterized by worries and physiological reactions to school assessments, can lead to significant academic and psychological difficulties. In response to the lack of effective school-based interventions, the Pastel workshops were developed. This targeted group intervention, which combines a cognitive-behavioral approach with study skills training, has demonstrated significant effects in reducing test anxiety in at-risk adolescents. Objectives This study aims to: 1) determine whether the training provided by Boscoville to program facilitators was properly implemented, 2) evaluate the implementation of the Pastel workshops, and 3) explore the facilitators and barriers encountered in supporting facilitators and implementing the workshops. Methodology The sample includes 24 students aged 14–17 in grades 10 and 11 from five schools who participated in the workshops, and nine professionals who facilitated them. Fidelity, delivered dosage, quality of delivery, and attendance and homework completion were measured to evaluate the implementation, while semi-structured interviews with the youth and facilitators were conducted to assess the implementation context. Results Findings show an overall score of 84 % for the evaluation of the training implementation and an average adherence score of 79 % for the workshop implementation. The context evaluation identified enablers and challenges based on Domitrovich’s multilevel framework, across societal, environmental, intervention-specific, and support system levels. Key enablers included the involvement of a third-party organization, the group-based format, strong motivation among facilitators, the relevance of the strategies presented, and the quality of the training. However, challenges emerged at multiple levels, including limited engagement for some participants, issues related to the organization of the workshop content, suboptimal quality of some implementation materials, and time constraints related to preparation and facilitation. Conclusion This study highlights that successful implementation of school-based psychosocial programs relies on thorough planning that integrates both core components and contextual factors. When combined with strong facilitator support, such planning fosters high fidelity, quality delivery, and sustained participant engagement.","author":[{"dropping-particle":"","family":"Campeau","given":"Gabriela","non-dropping-particle":"","parse-names":false,"suffix":""},{"dropping-particle":"","family":"Yale-Soulière","given":"Gabrielle","non-dropping-particle":"","parse-names":false,"suffix":""},{"dropping-particle":"","family":"Turgeon","given":"Lyse","non-dropping-particle":"","parse-names":false,"suffix":""},{"dropping-particle":"","family":"Berniqué","given":"Kassandra","non-dropping-particle":"","parse-names":false,"suffix":""},{"dropping-particle":"","family":"Archambault","given":"Kim","non-dropping-particle":"","parse-names":false,"suffix":""}],"container-title":"Evaluation and Program Planning","id":"ITEM-1","issued":{"date-parts":[["2026"]]},"page":"102731","title":"Implementation evaluation of an intervention aimed at reducing test anxiety in adolescents","type":"article-journal","volume":"114"},"uris":["http://www.mendeley.com/documents/?uuid=2eb212eb-8321-4f36-880c-af3f58ac435c"]}],"mendeley":{"formattedCitation":"(Campeau &lt;i&gt;et al.&lt;/i&gt;, 2026)","plainTextFormattedCitation":"(Campeau et al., 2026)","previouslyFormattedCitation":"(Campeau &lt;i&gt;et al.&lt;/i&gt;, 2026)"},"properties":{"noteIndex":0},"schema":"https://github.com/citation-style-language/schema/raw/master/csl-citation.json"}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(Campeau et al., 2026)</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The review of nursing student interventions also demonstrates that the effects might depend on the methodology of delivery, location, and even details, and the practitioners are invited to deploy their professional judgment on the selection and alteration of the approaches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{"citationItems":[{"id":"ITEM-1","itemData":{"DOI":"10.3390/ijerph20021233","ISBN":"1660-4601","abstract":"Nursing students are reported to have moderate to high test anxiety, leading to reduced academic performance, poor self-esteem, and failure to complete the program and practice nursing. This review aims to examine the interventions for test anxiety reduction in nursing students. Following the PRISMA guidelines, peer-reviewed experimental studies published in English between 2016 and 2021 from four databases, EBSCOhost, PubMed, Science Direct, and Scopus, were systematically searched. The findings were presented in tabular and narrative form. Among the 722 studies retrieved, 14 selected studies were critically appraised, guided by the Joanna Briggs checklist for Randomized Controlled Trials and the checklist for Quasi-Experimental Studies, resulting in 11 studies for inclusion in the systematic review. Test anxiety was assessed by different scales. Aromatherapy hand massage, aromatherapy using a diffuser in combination with music therapy, confidence training for test relaxation, coping program, music therapy, emotional freedom technique, animal-assisted intervention, and guided imagery were all found to be effective in reducing test anxiety. In conclusion, while numerous interventions to reduce test anxiety in nursing students were found to be effective, the quality of the studies investigating these interventions was varied with generally small sample sizes and limited follow-up. Future research should be conducted, and the same interventions should be carried out using a larger sample size to strengthen the body of evidence.","author":[{"dropping-particle":"","family":"Kaur Khaira","given":"Manjit","non-dropping-particle":"","parse-names":false,"suffix":""},{"dropping-particle":"","family":"Raja Gopal","given":"Raja L","non-dropping-particle":"","parse-names":false,"suffix":""},{"dropping-particle":"","family":"Mohamed Saini","given":"Suriati","non-dropping-particle":"","parse-names":false,"suffix":""},{"dropping-particle":"","family":"Md Isa","given":"Zaleha","non-dropping-particle":"","parse-names":false,"suffix":""}],"container-title":"International Journal of Environmental Research and Public Health","id":"ITEM-1","issue":"2","issued":{"date-parts":[["2023"]]},"page":"1233","title":"Interventional Strategies to Reduce Test Anxiety among Nursing Students: A Systematic Review","type":"article-journal","volume":"20"},"uris":["http://www.mendeley.com/documents/?uuid=f6e7c75c-de72-4bfd-a48e-b49c32c7586f"]}],"mendeley":{"formattedCitation":"(Kaur Khaira &lt;i&gt;et al.&lt;/i&gt;, 2023)","plainTextFormattedCitation":"(Kaur Khaira et al., 2023)","previouslyFormattedCitation":"(Kaur Khaira &lt;i&gt;et al.&lt;/i&gt;, 2023)"},"properties":{"noteIndex":0},"schema":"https://github.com/citation-style-language/schema/raw/master/csl-citation.json"}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(Kaur Khaira et al., 2023)</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w:t>
      </w:r>
    </w:p>
    <w:p w14:paraId="15342A98"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等线" w:hAnsi="Times New Roman" w:cs="Times New Roman"/>
          <w:kern w:val="0"/>
          <w:sz w:val="24"/>
          <w:lang w:val="en-GB"/>
          <w14:ligatures w14:val="none"/>
        </w:rPr>
        <w:t xml:space="preserve">Taken together, this body of research suggests that the mechanism-based approaches may provide a theoretically potent platform for exam anxiety management. However, effective implementation of the methods is ensured not only by their existence in the literature, but also by their ability to be applied by the people who work in schools, by identifying the relevant mechanisms, selecting the most suitable strategies, and applying them in the real school setting. It explains what mechanisms are subject to intervention and what might succeed in controlled settings, but little of how practitioners with unequal training, limited supervision, and high </w:t>
      </w:r>
      <w:r w:rsidRPr="00F02A69">
        <w:rPr>
          <w:rFonts w:ascii="Times New Roman" w:eastAsia="等线" w:hAnsi="Times New Roman" w:cs="Times New Roman"/>
          <w:kern w:val="0"/>
          <w:sz w:val="24"/>
          <w:lang w:val="en-GB"/>
          <w14:ligatures w14:val="none"/>
        </w:rPr>
        <w:lastRenderedPageBreak/>
        <w:t>institutional constraints know regarding which mechanisms to target in the first place. This means mechanism recognition cannot be regarded as a technical mandate of an intervention, but can be regarded as a professional competence, which, too, may vary across practitioners and settings.</w:t>
      </w:r>
    </w:p>
    <w:p w14:paraId="0D52C9A9"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14" w:name="_Toc226463538"/>
      <w:r w:rsidRPr="00F02A69">
        <w:rPr>
          <w:rFonts w:ascii="Times New Roman" w:eastAsia="等线 Light" w:hAnsi="Times New Roman" w:cs="Times New Roman"/>
          <w:b/>
          <w:kern w:val="0"/>
          <w:sz w:val="24"/>
          <w:lang w:val="en-GB" w:eastAsia="en-US"/>
          <w14:ligatures w14:val="none"/>
        </w:rPr>
        <w:t>2.5 Practitioner Decision-Making and Practice Reasoning</w:t>
      </w:r>
      <w:bookmarkEnd w:id="14"/>
    </w:p>
    <w:p w14:paraId="3C0F13F7"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Decision-making about school-based interventions is rarely a purely technical process. They are decisions that are made within the context of uncertainty and influenced by professional knowledge, understanding of the needs of a student in a given context, the conditions in a given institution, and time and resource constraints. Studies of educational leaders who have continued school improvement initiatives indicate the way evidence, experience, institutional culture, and practical limitations interact: leaders drew on published research and peer discussion, as well as school-specific programmes, while navigating competing pressures of initiative fatigue and resource scarcity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{"citationItems":[{"id":"ITEM-1","itemData":{"DOI":"10.1080/09243453.2023.2190130","ISSN":"0924-3453","author":[{"dropping-particle":"","family":"Koh","given":"Gloria A","non-dropping-particle":"","parse-names":false,"suffix":""},{"dropping-particle":"","family":"Askell-Williams","given":"Helen","non-dropping-particle":"","parse-names":false,"suffix":""},{"dropping-particle":"","family":"Barr","given":"Shyam","non-dropping-particle":"","parse-names":false,"suffix":""}],"container-title":"School Effectiveness and School Improvement","id":"ITEM-1","issue":"3","issued":{"date-parts":[["2023","7","3"]]},"note":"doi: 10.1080/09243453.2023.2190130","page":"298-330","publisher":"Routledge","title":"Sustaining school improvement initiatives: advice from educational leaders","type":"article-journal","volume":"34"},"uris":["http://www.mendeley.com/documents/?uuid=6a6b4a06-0f3c-43c2-8698-39677e03d01f"]}],"mendeley":{"formattedCitation":"(Koh, Askell-Williams and Barr, 2023)","plainTextFormattedCitation":"(Koh, Askell-Williams and Barr, 2023)","previouslyFormattedCitation":"(Koh, Askell-Williams and Barr, 2023)"},"properties":{"noteIndex":0},"schema":"https://github.com/citation-style-language/schema/raw/master/csl-citation.json"}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(Koh, Askell-Williams and Barr, 2023)</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This use of professional judgment could not be avoided as an evasion of evidence-based practice, but rather as a fundamental illustration of it; a synthesis of research knowledge and situational judgment. The same can be applied to mental health practitioners to the given decision with regard to individual learners under a given school situation.</w:t>
      </w:r>
    </w:p>
    <w:p w14:paraId="297DADB8"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Studies on digital and pharmacological programs to treat anxiety in college-level students are still evolving to demonstrate the impact of stakeholder perception of students, families, and institutional administrators on the type of interventions offered and their uptake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http://dx.doi.org/10.12998/wjcc.v11.i7.1442","author":[{"dropping-particle":"","family":"Liu","given":"Xin-Qiao","non-dropping-particle":"","parse-names":false,"suffix":""},{"dropping-particle":"","family":"Guo","given":"Yu-Xin","non-dropping-particle":"","parse-names":false,"suffix":""},{"dropping-particle":"","family":"Xu","given":"Yi","non-dropping-particle":"","parse-names":false,"suffix":""}],"container-title":"World Journal Clinical Cases","id":"ITEM-1","issue":"7","issued":{"date-parts":[["2023"]]},"page":"1442-1457","title":"Risk factors and digital interventions for anxiety disorders in college students: Stakeholder perspectives","type":"article-journal","volume":"11"},"uris":["http://www.mendeley.com/documents/?uuid=6664c7dc-626d-4f42-9272-8e720b1448ab"]}],"mendeley":{"formattedCitation":"(Liu, Guo and Xu, 2023)","plainTextFormattedCitation":"(Liu, Guo and Xu, 2023)","previouslyFormattedCitation":"(Liu, Guo and Xu, 2023)"},"properties":{"noteIndex":0},"schema":"https://github.com/citation-style-language/schema/raw/master/csl-citation.json"}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(Liu, Guo and Xu, 2023)</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Good practitioners develop contextually sensitive reasoning: having multiple competing requirements currently in mind, being sensitive to the context of a situation in judgment. This pertains to severity and urgency judgment, the current capacity of the student to </w:t>
      </w:r>
      <w:r w:rsidRPr="00F02A69">
        <w:rPr>
          <w:rFonts w:ascii="Times New Roman" w:eastAsia="Times New Roman" w:hAnsi="Times New Roman" w:cs="Times New Roman"/>
          <w:kern w:val="0"/>
          <w:sz w:val="24"/>
          <w:lang w:val="en-GB" w:eastAsia="en-US"/>
          <w14:ligatures w14:val="none"/>
        </w:rPr>
        <w:lastRenderedPageBreak/>
        <w:t>be interested, the viability of resources, and how a family also intervenes, so that the issue does not cause extra strain in the school mental health environment.</w:t>
      </w:r>
    </w:p>
    <w:p w14:paraId="557E2E28"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Theoretically, this research relies on the concept of situated cognition to conceptualize practitioner reasoning as not the utilization of generalized knowledge to specific scenarios, but a mode of contextually grounded professional practice as defined by the available tools, relationships, and institutional conditions within a particular environment. According to this perspective, the variation in practitioners' reasoning about anxiety depends not on a variation between the practitioner’s competence but rather on the conditions of practice. It is this theoretical orientation that contributes to the reason the study will study a variety of school types as opposed to individual practitioners in their individual context: the objective is to comprehend the ecology of practice influences reasoning, but not to judge practitioners by a predetermined criterion. Practitioner decision-making should therefore be understood as an interpretive, context-sensitive form of professional reasoning rather than as the straightforward application of evidence-based techniques. This makes practitioner reasoning a legitimate and necessary object of inquiry in school mental health research.</w:t>
      </w:r>
    </w:p>
    <w:p w14:paraId="64BD84DA"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15" w:name="_Toc226463539"/>
      <w:r w:rsidRPr="00F02A69">
        <w:rPr>
          <w:rFonts w:ascii="Times New Roman" w:eastAsia="等线 Light" w:hAnsi="Times New Roman" w:cs="Times New Roman"/>
          <w:b/>
          <w:kern w:val="0"/>
          <w:sz w:val="24"/>
          <w:lang w:val="en-GB" w:eastAsia="en-US"/>
          <w14:ligatures w14:val="none"/>
        </w:rPr>
        <w:t>2.6 Contextual Factors: Parents, Schools, and Referral Pathways</w:t>
      </w:r>
      <w:bookmarkEnd w:id="15"/>
    </w:p>
    <w:p w14:paraId="559E949B"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The feasibility and implementation of school-based mental health interventions are shaped by contextual factors that extend beyond the practitioner–student relationship. Family responses are one of the strongest ones. According to research on school avoidance and family accommodation, well-intentioned parental behaviours that alleviate a child’s immediate discomfort, such as providing reassurance, adjusting routines, or enabling avoidance, have been identified as key factors in the maintenance of anxiety disorders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{"citationItems":[{"id":"ITEM-1","itemData":{"DOI":"10.1007/s10578-024-01755-6","ISSN":"1573-3327","abstract":"The aftermath of the Covid-19 pandemic has seen an increase in persistent school absenteeism and Emotionally-Based School Avoidance (EBSA). However, suitable evidence-based psychological interventions are often unavailable. We aimed to assess the feasibility and acceptability of a new parent-focused online program, Intervention for School Anxiety and Absenteeism in Children (ISAAC), which has been co-designed with parents and practitioners. This exploratory mixed-method study recruited participants from three schools in southern England, enrolling N = 9 parents for whom a child, aged 5–11 years, was experiencing signs of EBSA. The intervention consisted of three web-based psychoeducational modules respectively addressing parental stress, accommodating parenting behaviors, and communication with school staff. Module completion was assisted by weekly calls with a non-specialist “coach.” Feasibility was measured using indicators of retention, module participation, overall program completion and coaching fidelity. Acceptability was assessed using semi-structured interviews, module ratings and written qualitative feedback. We also explored baseline-post change in parent-reported measures of children’s school avoidance, absences, anxiety, parental stress, accommodating parenting behaviors, and quality of parent-school communication. Overall, the intervention was feasible to deliver to parents with six (67%) participants completing the full intervention. Participants found the intervention acceptable across thematic domains of affective attitude, burden, coherence, self-efficacy and perceived effectiveness. Participants particularly appreciated the coach’s support. We observed small to moderate reductions in school avoidance behaviours (d with Hedges correction = 0.36), child anxiety (d with Hedges correction = 0.33) and accommodating behaviours (d with Hedges correction = 0.44) at the post timepoint compared to baseline. In conclusion, ISAAC shows early promise with the potential to deliver scalable online support for families affected by emerging EBSA. Future research should move toward establishing effectiveness in a randomized controlled trial.","author":[{"dropping-particle":"","family":"Lester","given":"Kathryn J","non-dropping-particle":"","parse-names":false,"suffix":""},{"dropping-particle":"","family":"McDonald","given":"Brontë","non-dropping-particle":"","parse-names":false,"suffix":""},{"dropping-particle":"","family":"Tunks","given":"Alice","non-dropping-particle":"","parse-names":false,"suffix":""},{"dropping-particle":"","family":"Michelson","given":"Daniel","non-dropping-particle":"","parse-names":false,"suffix":""}],"container-title":"Child Psychiatry &amp; Human Development","id":"ITEM-1","issued":{"date-parts":[["2024"]]},"title":"Intervention for School Anxiety and Absenteeism in Children (ISAAC): Mixed-Method Feasibility Study of a Coach-Assisted, Parent-Focused Online Program","type":"article-journal"},"uris":["http://www.mendeley.com/documents/?uuid=ec1fc55c-d95b-4909-8db8-6a0f43054178"]}],"mendeley":{"formattedCitation":"(Lester &lt;i&gt;et al.&lt;/i&gt;, 2024)","plainTextFormattedCitation":"(Lester et al., 2024)","previouslyFormattedCitation":"(Lester &lt;i&gt;et al.&lt;/i&gt;, 2024)"},"properties":{"noteIndex":0},"schema":"https://github.com/citation-style-language/schema/raw/master/csl-citation.json"}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(Lester et al., 2024)</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A feasibility study of the ISAAC programme specifically targets these parental behaviours as the </w:t>
      </w:r>
      <w:r w:rsidRPr="00F02A69">
        <w:rPr>
          <w:rFonts w:ascii="Times New Roman" w:eastAsia="Times New Roman" w:hAnsi="Times New Roman" w:cs="Times New Roman"/>
          <w:kern w:val="0"/>
          <w:sz w:val="24"/>
          <w:lang w:val="en-GB" w:eastAsia="en-US"/>
          <w14:ligatures w14:val="none"/>
        </w:rPr>
        <w:lastRenderedPageBreak/>
        <w:t xml:space="preserve">primary focus of behaviour change intervention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{"citationItems":[{"id":"ITEM-1","itemData":{"DOI":"10.1007/s10578-024-01755-6","ISSN":"1573-3327","abstract":"The aftermath of the Covid-19 pandemic has seen an increase in persistent school absenteeism and Emotionally-Based School Avoidance (EBSA). However, suitable evidence-based psychological interventions are often unavailable. We aimed to assess the feasibility and acceptability of a new parent-focused online program, Intervention for School Anxiety and Absenteeism in Children (ISAAC), which has been co-designed with parents and practitioners. This exploratory mixed-method study recruited participants from three schools in southern England, enrolling N = 9 parents for whom a child, aged 5–11 years, was experiencing signs of EBSA. The intervention consisted of three web-based psychoeducational modules respectively addressing parental stress, accommodating parenting behaviors, and communication with school staff. Module completion was assisted by weekly calls with a non-specialist “coach.” Feasibility was measured using indicators of retention, module participation, overall program completion and coaching fidelity. Acceptability was assessed using semi-structured interviews, module ratings and written qualitative feedback. We also explored baseline-post change in parent-reported measures of children’s school avoidance, absences, anxiety, parental stress, accommodating parenting behaviors, and quality of parent-school communication. Overall, the intervention was feasible to deliver to parents with six (67%) participants completing the full intervention. Participants found the intervention acceptable across thematic domains of affective attitude, burden, coherence, self-efficacy and perceived effectiveness. Participants particularly appreciated the coach’s support. We observed small to moderate reductions in school avoidance behaviours (d with Hedges correction = 0.36), child anxiety (d with Hedges correction = 0.33) and accommodating behaviours (d with Hedges correction = 0.44) at the post timepoint compared to baseline. In conclusion, ISAAC shows early promise with the potential to deliver scalable online support for families affected by emerging EBSA. Future research should move toward establishing effectiveness in a randomized controlled trial.","author":[{"dropping-particle":"","family":"Lester","given":"Kathryn J","non-dropping-particle":"","parse-names":false,"suffix":""},{"dropping-particle":"","family":"McDonald","given":"Brontë","non-dropping-particle":"","parse-names":false,"suffix":""},{"dropping-particle":"","family":"Tunks","given":"Alice","non-dropping-particle":"","parse-names":false,"suffix":""},{"dropping-particle":"","family":"Michelson","given":"Daniel","non-dropping-particle":"","parse-names":false,"suffix":""}],"container-title":"Child Psychiatry &amp; Human Development","id":"ITEM-1","issued":{"date-parts":[["2024"]]},"title":"Intervention for School Anxiety and Absenteeism in Children (ISAAC): Mixed-Method Feasibility Study of a Coach-Assisted, Parent-Focused Online Program","type":"article-journal"},"uris":["http://www.mendeley.com/documents/?uuid=ec1fc55c-d95b-4909-8db8-6a0f43054178"]}],"mendeley":{"formattedCitation":"(Lester &lt;i&gt;et al.&lt;/i&gt;, 2024)","plainTextFormattedCitation":"(Lester et al., 2024)","previouslyFormattedCitation":"(Lester &lt;i&gt;et al.&lt;/i&gt;, 2024)"},"properties":{"noteIndex":0},"schema":"https://github.com/citation-style-language/schema/raw/master/csl-citation.json"}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(Lester et al., 2024)</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xml:space="preserve">. Academically-oriented parenting (as well as the one motivated by real interest) can serve as performance-oriented monitoring in the Chinese context, which adolescents view as pressure, as reported by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10.1177/00469580261422592","author":[{"dropping-particle":"","family":"Dai","given":"Yi","non-dropping-particle":"","parse-names":false,"suffix":""},{"dropping-particle":"","family":"Luo","given":"Jingjing","non-dropping-particle":"","parse-names":false,"suffix":""},{"dropping-particle":"","family":"Ni","given":"Chen","non-dropping-particle":"","parse-names":false,"suffix":""}],"container-title":"The Journal of Health Care Organization, Provision, and Financing","id":"ITEM-1","issued":{"date-parts":[["2026"]]},"page":"1-16","title":"Exploring the Relationship Between Perceived Social Support and Psychological Resilience Among Chinese Adolescents in Post-Pandemic Online Learning Contexts : The Mediating Role of Loneliness","type":"article-journal","volume":"63"},"uris":["http://www.mendeley.com/documents/?uuid=410483a3-644c-41d1-bbc1-ac04d7fbbee1"]}],"mendeley":{"formattedCitation":"(Dai, Luo and Ni, 2026)","manualFormatting":"Dai, Luo and Ni (2026)","plainTextFormattedCitation":"(Dai, Luo and Ni, 2026)","previouslyFormattedCitation":"(Dai, Luo and Ni, 2026)"},"properties":{"noteIndex":0},"schema":"https://github.com/citation-style-language/schema/raw/master/csl-citation.json"}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Dai, Luo and Ni (2026)</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can be described as a Zhongkao paradox, and which is accompanied by the sensation of pervasive loneliness among adolescents and reduced psychological well-being.</w:t>
      </w:r>
    </w:p>
    <w:p w14:paraId="3FB7F05A"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The quality of implementation at the school level is influenced by the leadership being provided, resources given, the training of staff, the eminence with which the school regards mental health work, and the institutional culture approach. A literature review of school-based mental health services based on work with adolescents found that specialist mental health practitioners could produce a larger per-student effect, although the trade-off between effectiveness and reach between specialists and non-specialist mental health practitioners was found to be critical: specialists are more skilful, but can scale to fewer students; teachers could scale to whole class of students </w:t>
      </w: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ADDIN CSL_CITATION {"citationItems":[{"id":"ITEM-1","itemData":{"DOI":"10.3390/adolescents6010006","ISBN":"2673-7051","abstract":"(1) Background: School-based mental health interventions represent a promising approach to address the substantial treatment gap affecting adolescents, with only 20% of youth with diagnosable mental health conditions receiving adequate care. (2) Methods: This meta-analysis synthesized evidence from 18 randomized controlled trials to examine the effectiveness of school-based mental health interventions and potential moderators of outcomes. (3) Results: Using Hedges’ g as the effect size index and a random-effects model, the analysis revealed a statistically significant overall effect size of 0.068 (95% CI [0.019, 0.117], p = 0.006), indicating small but reliable improvements in adolescent academic, social, emotional, behavioral, and mental health outcomes. Heterogeneity across studies was minimal (I2 = 15%), suggesting consistent effects across diverse intervention types and contexts. Meta-regression analyses examining eight potential moderators including intervention focus, grade level, provider type, delivery format, duration, study design, geographic location, and theoretical foundation did not reveal statistically significant moderation effects, likely due to limited statistical power. However, descriptive patterns suggested that targeted interventions, small-group formats, and interventions delivered by mental health professionals may produce larger effects than universal programs, classroom-based approaches, and teacher-delivered interventions. (4) Conclusions: These findings support continued investment in school-based mental health programming while highlighting the need for specialized focus to optimize outcomes for all adolescents.","author":[{"dropping-particle":"","family":"Lemberger-Truelove","given":"Matthew E","non-dropping-particle":"","parse-names":false,"suffix":""},{"dropping-particle":"","family":"Li","given":"Dan","non-dropping-particle":"","parse-names":false,"suffix":""},{"dropping-particle":"","family":"Kim","given":"Hyunhee","non-dropping-particle":"","parse-names":false,"suffix":""},{"dropping-particle":"","family":"Hill","given":"Dominique D","non-dropping-particle":"","parse-names":false,"suffix":""},{"dropping-particle":"","family":"Dickson","given":"Reagan","non-dropping-particle":"","parse-names":false,"suffix":""},{"dropping-particle":"","family":"Kang","given":"ZiYoung","non-dropping-particle":"","parse-names":false,"suffix":""}],"container-title":"Adolescents","id":"ITEM-1","issue":"1","issued":{"date-parts":[["2026"]]},"page":"6","title":"School Mental Health Interventions for Adolescents: A Meta-Analysis of Effectiveness and Relevant Moderators","type":"article-journal","volume":"6"},"uris":["http://www.mendeley.com/documents/?uuid=b6293b5c-e9b0-4a6c-9a76-92f50eac15d4"]}],"mendeley":{"formattedCitation":"(Lemberger-Truelove &lt;i&gt;et al.&lt;/i&gt;, 2026)","plainTextFormattedCitation":"(Lemberger-Truelove et al., 2026)","previouslyFormattedCitation":"(Lemberger-Truelove &lt;i&gt;et al.&lt;/i&gt;, 2026)"},"properties":{"noteIndex":0},"schema":"https://github.com/citation-style-language/schema/raw/master/csl-citation.json"}</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(Lemberger-Truelove et al., 2026)</w:t>
      </w:r>
      <w:r w:rsidRPr="00F02A69">
        <w:rPr>
          <w:rFonts w:ascii="Times New Roman" w:eastAsia="Times New Roman" w:hAnsi="Times New Roman" w:cs="Times New Roman"/>
          <w:kern w:val="0"/>
          <w:sz w:val="24"/>
          <w:lang w:val="en-GB" w:eastAsia="en-US"/>
          <w14:ligatures w14:val="none"/>
        </w:rPr>
        <w:fldChar w:fldCharType="end"/>
      </w:r>
      <w:r w:rsidRPr="00F02A69">
        <w:rPr>
          <w:rFonts w:ascii="Times New Roman" w:eastAsia="Times New Roman" w:hAnsi="Times New Roman" w:cs="Times New Roman"/>
          <w:kern w:val="0"/>
          <w:sz w:val="24"/>
          <w:lang w:val="en-GB" w:eastAsia="en-US"/>
          <w14:ligatures w14:val="none"/>
        </w:rPr>
        <w:t>. Optimal systems would be differentiated approaches having separate referral paths between the specialist jobs and the generalist jobs.</w:t>
      </w:r>
    </w:p>
    <w:p w14:paraId="0E8C71B5"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The CPC Jiangsu Provincial Committee Implementation Plan of a High-quality and Balanced Basic Public Education Service System insist on at least one hour of mental health classes a week and has the goal of assigning 100% of full-time mental health teachers to urban and township central schools (CPC Jiangsu Provincial Committee, 2024). The example of Nanjing Medical-education Collaboration base created at the Yuhuatai District, worked out as a consequence of collaboration between the schools and a specialty psychiatric hospital, demonstrates how the system could fill the gap between the educational and the clinical setting through the systematic cooperation (Nanjing Municipal Education Bureau, 2024). However, </w:t>
      </w:r>
      <w:r w:rsidRPr="00F02A69">
        <w:rPr>
          <w:rFonts w:ascii="Times New Roman" w:eastAsia="Times New Roman" w:hAnsi="Times New Roman" w:cs="Times New Roman"/>
          <w:kern w:val="0"/>
          <w:sz w:val="24"/>
          <w:lang w:val="en-GB" w:eastAsia="en-US"/>
          <w14:ligatures w14:val="none"/>
        </w:rPr>
        <w:lastRenderedPageBreak/>
        <w:t>seamless referral in small townships and counties where specialist services remain low remains highly dependent on confidence between practitioners and institutional maturity, which are far more diverse across the settings.</w:t>
      </w:r>
    </w:p>
    <w:p w14:paraId="3CF2EB65"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Collectively, these contextual influences indicate that individual practitioner judgment is not the sole determinant of intervention decisions, but family dynamics, school organisation, and system-level structures. This highlights the need to study the ways through which practitioners can negotiate these layers of influence to address the fear of exams in real-life schools.</w:t>
      </w:r>
    </w:p>
    <w:p w14:paraId="4E3D55D6"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16" w:name="_Toc226463540"/>
      <w:r w:rsidRPr="00F02A69">
        <w:rPr>
          <w:rFonts w:ascii="Times New Roman" w:eastAsia="等线 Light" w:hAnsi="Times New Roman" w:cs="Times New Roman"/>
          <w:b/>
          <w:kern w:val="0"/>
          <w:sz w:val="24"/>
          <w:lang w:val="en-GB" w:eastAsia="en-US"/>
          <w14:ligatures w14:val="none"/>
        </w:rPr>
        <w:t>2.7 Summary of the Literature and Research Positioning</w:t>
      </w:r>
      <w:bookmarkEnd w:id="16"/>
    </w:p>
    <w:p w14:paraId="2212CBE9"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等线" w:hAnsi="Times New Roman" w:cs="Times New Roman"/>
          <w:kern w:val="0"/>
          <w:sz w:val="24"/>
          <w:lang w:val="en-GB"/>
          <w14:ligatures w14:val="none"/>
        </w:rPr>
        <w:t>Overall, the literature suggests that exam anxiety is a multidimensional phenomenon involving cognitive, emotional, behavioural, and physiological processes, and that it is intensified in high-stakes educational systems such as those found in China. Existing studies also indicate that school-based mental health provision is shaped not only by intervention design, but by institutional conditions, family dynamics, policy structures, and the professional judgment of practitioners. However, despite a substantial body of research on anxiety outcomes and intervention effectiveness, there remains limited qualitative evidence on how practitioners in Chinese high schools interpret student need, identify anxiety-related mechanisms, and make intervention decisions in context. In particular, insufficient attention has been paid to how practitioners negotiate competing demands, balance short-term stabilisation with longer-term development, and adapt support under conditions of uneven institutional capacity. This study addresses these gaps by offering a qualitative multi-case analysis of the practitioner decision-making in Jiangsu high schools, where the objective is to bring into existence a less conceptually insensitive conceptualization of school-based delivery of mental health services.</w:t>
      </w:r>
      <w:r w:rsidRPr="00F02A69">
        <w:rPr>
          <w:rFonts w:ascii="Times New Roman" w:eastAsia="Times New Roman" w:hAnsi="Times New Roman" w:cs="Times New Roman"/>
          <w:kern w:val="0"/>
          <w:sz w:val="24"/>
          <w:lang w:val="en-GB" w:eastAsia="en-US"/>
          <w14:ligatures w14:val="none"/>
        </w:rPr>
        <w:br w:type="page"/>
      </w:r>
    </w:p>
    <w:p w14:paraId="462562F7" w14:textId="77777777" w:rsidR="00F02A69" w:rsidRPr="00F02A69" w:rsidRDefault="00F02A69" w:rsidP="00F02A69">
      <w:pPr>
        <w:keepNext/>
        <w:keepLines/>
        <w:widowControl/>
        <w:spacing w:before="120" w:after="120" w:line="480" w:lineRule="auto"/>
        <w:contextualSpacing/>
        <w:jc w:val="center"/>
        <w:outlineLvl w:val="0"/>
        <w:rPr>
          <w:rFonts w:ascii="Times New Roman" w:eastAsia="等线 Light" w:hAnsi="Times New Roman" w:cs="Times New Roman"/>
          <w:b/>
          <w:kern w:val="0"/>
          <w:sz w:val="24"/>
          <w:lang w:val="en-GB" w:eastAsia="en-US"/>
          <w14:ligatures w14:val="none"/>
        </w:rPr>
      </w:pPr>
      <w:bookmarkStart w:id="17" w:name="_Toc226463541"/>
      <w:r w:rsidRPr="00F02A69">
        <w:rPr>
          <w:rFonts w:ascii="Times New Roman" w:eastAsia="等线 Light" w:hAnsi="Times New Roman" w:cs="Times New Roman"/>
          <w:b/>
          <w:kern w:val="0"/>
          <w:sz w:val="24"/>
          <w:lang w:val="en-GB" w:eastAsia="en-US"/>
          <w14:ligatures w14:val="none"/>
        </w:rPr>
        <w:lastRenderedPageBreak/>
        <w:t>Chapter 3: Research Aim, Objectives, and Research Questions</w:t>
      </w:r>
      <w:bookmarkEnd w:id="17"/>
    </w:p>
    <w:p w14:paraId="235275D9"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18" w:name="_Toc226463542"/>
      <w:r w:rsidRPr="00F02A69">
        <w:rPr>
          <w:rFonts w:ascii="Times New Roman" w:eastAsia="等线 Light" w:hAnsi="Times New Roman" w:cs="Times New Roman"/>
          <w:b/>
          <w:kern w:val="0"/>
          <w:sz w:val="24"/>
          <w:lang w:val="en-GB" w:eastAsia="en-US"/>
          <w14:ligatures w14:val="none"/>
        </w:rPr>
        <w:t>3.1 Research Aim</w:t>
      </w:r>
      <w:bookmarkEnd w:id="18"/>
    </w:p>
    <w:p w14:paraId="2D7FD0B0"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aim of this study is to find out how high school mental health practitioners in Jiangsu make intervention decisions, with special regard to students with exam-related anxiety, as to mechanism-based causes, situation pressure, and the trade-off between short-term stabilisation and psychological development.</w:t>
      </w:r>
    </w:p>
    <w:p w14:paraId="1B75B506"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19" w:name="_Toc226463543"/>
      <w:r w:rsidRPr="00F02A69">
        <w:rPr>
          <w:rFonts w:ascii="Times New Roman" w:eastAsia="等线 Light" w:hAnsi="Times New Roman" w:cs="Times New Roman"/>
          <w:b/>
          <w:kern w:val="0"/>
          <w:sz w:val="24"/>
          <w:lang w:val="en-GB" w:eastAsia="en-US"/>
          <w14:ligatures w14:val="none"/>
        </w:rPr>
        <w:t>3.2 Research Objectives</w:t>
      </w:r>
      <w:bookmarkEnd w:id="19"/>
    </w:p>
    <w:p w14:paraId="0DAE6CCB" w14:textId="77777777" w:rsidR="00F02A69" w:rsidRPr="00F02A69" w:rsidRDefault="00F02A69" w:rsidP="00F02A69">
      <w:pPr>
        <w:widowControl/>
        <w:spacing w:before="120" w:after="120" w:line="480" w:lineRule="auto"/>
        <w:ind w:left="720" w:hanging="36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There are five objectives that inform this study. </w:t>
      </w:r>
    </w:p>
    <w:p w14:paraId="77905167" w14:textId="77777777" w:rsidR="00F02A69" w:rsidRPr="00F02A69" w:rsidRDefault="00F02A69" w:rsidP="00F02A69">
      <w:pPr>
        <w:widowControl/>
        <w:numPr>
          <w:ilvl w:val="0"/>
          <w:numId w:val="99"/>
        </w:numPr>
        <w:spacing w:before="120" w:after="120" w:line="480" w:lineRule="auto"/>
        <w:contextualSpacing/>
        <w:rPr>
          <w:rFonts w:ascii="Times New Roman" w:eastAsia="Calibri" w:hAnsi="Times New Roman" w:cs="Times New Roman"/>
          <w:kern w:val="0"/>
          <w:sz w:val="24"/>
          <w:lang w:val="en-GB" w:eastAsia="en-US"/>
          <w14:ligatures w14:val="none"/>
        </w:rPr>
      </w:pPr>
      <w:r w:rsidRPr="00F02A69">
        <w:rPr>
          <w:rFonts w:ascii="Times New Roman" w:eastAsia="Calibri" w:hAnsi="Times New Roman" w:cs="Times New Roman"/>
          <w:kern w:val="0"/>
          <w:sz w:val="24"/>
          <w:lang w:val="en-GB" w:eastAsia="en-US"/>
          <w14:ligatures w14:val="none"/>
        </w:rPr>
        <w:t>To explore the way in which the practitioners identify and understand psychological processes associated with exam-related anxiety.</w:t>
      </w:r>
    </w:p>
    <w:p w14:paraId="768FDC51" w14:textId="77777777" w:rsidR="00F02A69" w:rsidRPr="00F02A69" w:rsidRDefault="00F02A69" w:rsidP="00F02A69">
      <w:pPr>
        <w:widowControl/>
        <w:numPr>
          <w:ilvl w:val="0"/>
          <w:numId w:val="99"/>
        </w:numPr>
        <w:spacing w:before="120" w:after="120" w:line="480" w:lineRule="auto"/>
        <w:contextualSpacing/>
        <w:rPr>
          <w:rFonts w:ascii="Times New Roman" w:eastAsia="Calibri" w:hAnsi="Times New Roman" w:cs="Times New Roman"/>
          <w:kern w:val="0"/>
          <w:sz w:val="24"/>
          <w:lang w:val="en-GB" w:eastAsia="en-US"/>
          <w14:ligatures w14:val="none"/>
        </w:rPr>
      </w:pPr>
      <w:r w:rsidRPr="00F02A69">
        <w:rPr>
          <w:rFonts w:ascii="Times New Roman" w:eastAsia="Calibri" w:hAnsi="Times New Roman" w:cs="Times New Roman"/>
          <w:kern w:val="0"/>
          <w:sz w:val="24"/>
          <w:lang w:val="en-GB" w:eastAsia="en-US"/>
          <w14:ligatures w14:val="none"/>
        </w:rPr>
        <w:t>To investigate practitioner choice and justification of a course of intervention in school settings.</w:t>
      </w:r>
    </w:p>
    <w:p w14:paraId="08041208" w14:textId="77777777" w:rsidR="00F02A69" w:rsidRPr="00F02A69" w:rsidRDefault="00F02A69" w:rsidP="00F02A69">
      <w:pPr>
        <w:widowControl/>
        <w:numPr>
          <w:ilvl w:val="0"/>
          <w:numId w:val="99"/>
        </w:numPr>
        <w:spacing w:before="120" w:after="120" w:line="480" w:lineRule="auto"/>
        <w:contextualSpacing/>
        <w:rPr>
          <w:rFonts w:ascii="Times New Roman" w:eastAsia="Calibri" w:hAnsi="Times New Roman" w:cs="Times New Roman"/>
          <w:kern w:val="0"/>
          <w:sz w:val="24"/>
          <w:lang w:val="en-GB" w:eastAsia="en-US"/>
          <w14:ligatures w14:val="none"/>
        </w:rPr>
      </w:pPr>
      <w:r w:rsidRPr="00F02A69">
        <w:rPr>
          <w:rFonts w:ascii="Times New Roman" w:eastAsia="Calibri" w:hAnsi="Times New Roman" w:cs="Times New Roman"/>
          <w:kern w:val="0"/>
          <w:sz w:val="24"/>
          <w:lang w:val="en-GB" w:eastAsia="en-US"/>
          <w14:ligatures w14:val="none"/>
        </w:rPr>
        <w:t>To examine the trade-off between short-term support provision and longer-term development objectives by practitioners.</w:t>
      </w:r>
    </w:p>
    <w:p w14:paraId="1F346119" w14:textId="77777777" w:rsidR="00F02A69" w:rsidRPr="00F02A69" w:rsidRDefault="00F02A69" w:rsidP="00F02A69">
      <w:pPr>
        <w:widowControl/>
        <w:numPr>
          <w:ilvl w:val="0"/>
          <w:numId w:val="99"/>
        </w:numPr>
        <w:spacing w:before="120" w:after="120" w:line="480" w:lineRule="auto"/>
        <w:contextualSpacing/>
        <w:rPr>
          <w:rFonts w:ascii="Times New Roman" w:eastAsia="Calibri" w:hAnsi="Times New Roman" w:cs="Times New Roman"/>
          <w:kern w:val="0"/>
          <w:sz w:val="24"/>
          <w:lang w:val="en-GB" w:eastAsia="en-US"/>
          <w14:ligatures w14:val="none"/>
        </w:rPr>
      </w:pPr>
      <w:r w:rsidRPr="00F02A69">
        <w:rPr>
          <w:rFonts w:ascii="Times New Roman" w:eastAsia="Calibri" w:hAnsi="Times New Roman" w:cs="Times New Roman"/>
          <w:kern w:val="0"/>
          <w:sz w:val="24"/>
          <w:lang w:val="en-GB" w:eastAsia="en-US"/>
          <w14:ligatures w14:val="none"/>
        </w:rPr>
        <w:t>To identify the contextual variables that identify the feasibility, implementation, and adaptation of interventions.</w:t>
      </w:r>
    </w:p>
    <w:p w14:paraId="377DCBA8" w14:textId="77777777" w:rsidR="00F02A69" w:rsidRPr="00F02A69" w:rsidRDefault="00F02A69" w:rsidP="00F02A69">
      <w:pPr>
        <w:widowControl/>
        <w:numPr>
          <w:ilvl w:val="0"/>
          <w:numId w:val="99"/>
        </w:numPr>
        <w:spacing w:before="120" w:after="120" w:line="480" w:lineRule="auto"/>
        <w:contextualSpacing/>
        <w:rPr>
          <w:rFonts w:ascii="Times New Roman" w:eastAsia="Calibri" w:hAnsi="Times New Roman" w:cs="Times New Roman"/>
          <w:kern w:val="0"/>
          <w:sz w:val="24"/>
          <w:lang w:val="en-GB" w:eastAsia="en-US"/>
          <w14:ligatures w14:val="none"/>
        </w:rPr>
      </w:pPr>
      <w:r w:rsidRPr="00F02A69">
        <w:rPr>
          <w:rFonts w:ascii="Times New Roman" w:eastAsia="Calibri" w:hAnsi="Times New Roman" w:cs="Times New Roman"/>
          <w:kern w:val="0"/>
          <w:sz w:val="24"/>
          <w:lang w:val="en-GB" w:eastAsia="en-US"/>
          <w14:ligatures w14:val="none"/>
        </w:rPr>
        <w:t>To build a practice based analytic knowledge of the interrelationships among school systems, particular mechanisms, intervention strategies, and functional outcomes.</w:t>
      </w:r>
    </w:p>
    <w:p w14:paraId="6FFAC21F"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20" w:name="_Toc226463544"/>
      <w:r w:rsidRPr="00F02A69">
        <w:rPr>
          <w:rFonts w:ascii="Times New Roman" w:eastAsia="等线 Light" w:hAnsi="Times New Roman" w:cs="Times New Roman"/>
          <w:b/>
          <w:kern w:val="0"/>
          <w:sz w:val="24"/>
          <w:lang w:val="en-GB" w:eastAsia="en-US"/>
          <w14:ligatures w14:val="none"/>
        </w:rPr>
        <w:t>3.3 Research Questions</w:t>
      </w:r>
      <w:bookmarkEnd w:id="20"/>
    </w:p>
    <w:p w14:paraId="01F61427"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b/>
          <w:bCs/>
          <w:kern w:val="0"/>
          <w:sz w:val="24"/>
          <w:lang w:val="en-GB" w:eastAsia="en-US"/>
          <w14:ligatures w14:val="none"/>
        </w:rPr>
        <w:t>Overall Research Question</w:t>
      </w:r>
    </w:p>
    <w:p w14:paraId="586FDD6E"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How do school mental health practitioners in Jiangsu high schools make intervention decisions for students experiencing exam-related anxiety?</w:t>
      </w:r>
    </w:p>
    <w:p w14:paraId="568EA6D2"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b/>
          <w:bCs/>
          <w:kern w:val="0"/>
          <w:sz w:val="24"/>
          <w:lang w:val="en-GB" w:eastAsia="en-US"/>
          <w14:ligatures w14:val="none"/>
        </w:rPr>
        <w:t>Sub-questions</w:t>
      </w:r>
    </w:p>
    <w:p w14:paraId="39A2994F" w14:textId="77777777" w:rsidR="00F02A69" w:rsidRPr="00F02A69" w:rsidRDefault="00F02A69" w:rsidP="00F02A69">
      <w:pPr>
        <w:widowControl/>
        <w:spacing w:before="120" w:after="120" w:line="480" w:lineRule="auto"/>
        <w:ind w:left="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lastRenderedPageBreak/>
        <w:t>RQ1: How do school mental health practitioners in Jiangsu high schools identify and interpret the underlying psychological processes associated with students’ exam-related anxiety?</w:t>
      </w:r>
    </w:p>
    <w:p w14:paraId="2DE04F6E" w14:textId="77777777" w:rsidR="00F02A69" w:rsidRPr="00F02A69" w:rsidRDefault="00F02A69" w:rsidP="00F02A69">
      <w:pPr>
        <w:widowControl/>
        <w:spacing w:before="120" w:after="120" w:line="480" w:lineRule="auto"/>
        <w:ind w:left="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RQ2: How do practitioners decide which intervention strategies are most appropriate for students experiencing exam-related anxiety?</w:t>
      </w:r>
    </w:p>
    <w:p w14:paraId="1153FFBD" w14:textId="77777777" w:rsidR="00F02A69" w:rsidRPr="00F02A69" w:rsidRDefault="00F02A69" w:rsidP="00F02A69">
      <w:pPr>
        <w:widowControl/>
        <w:spacing w:before="120" w:after="120" w:line="480" w:lineRule="auto"/>
        <w:ind w:left="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RQ3: How do practitioners balance immediate stabilisation during examination periods with longer-term psychological capacity building?</w:t>
      </w:r>
    </w:p>
    <w:p w14:paraId="5E86A1CB" w14:textId="77777777" w:rsidR="00F02A69" w:rsidRPr="00F02A69" w:rsidRDefault="00F02A69" w:rsidP="00F02A69">
      <w:pPr>
        <w:widowControl/>
        <w:spacing w:before="120" w:after="120" w:line="480" w:lineRule="auto"/>
        <w:ind w:left="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RQ4: What contextual factors shape the feasibility and implementation of intervention decisions in Jiangsu high schools?</w:t>
      </w:r>
    </w:p>
    <w:p w14:paraId="6DF9C20F"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21" w:name="_Toc226463545"/>
      <w:r w:rsidRPr="00F02A69">
        <w:rPr>
          <w:rFonts w:ascii="Times New Roman" w:eastAsia="等线 Light" w:hAnsi="Times New Roman" w:cs="Times New Roman"/>
          <w:b/>
          <w:kern w:val="0"/>
          <w:sz w:val="24"/>
          <w:lang w:val="en-GB" w:eastAsia="en-US"/>
          <w14:ligatures w14:val="none"/>
        </w:rPr>
        <w:t>3.4 Manageability of the Study</w:t>
      </w:r>
      <w:bookmarkEnd w:id="21"/>
    </w:p>
    <w:p w14:paraId="2196A712"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study is a small qualitative research project in the context of practical and ethical limitations associated with postgraduate research. The scope is specifically limited to Jiangsu Province, and the participants are practitioners, specifically school-based, in senior high schools. It is also narrowly focused on practitioner perceptions of the decision-making process in terms of exam-related anxiety, but not student performance and systemic assessment. Semi-structured interviews and support de-identified documents are the source of the data collection since the chosen design fits well within time and resource limitations of the focused qualitative study. The combination of purposive sampling and an interpretive analytical approach ensures that the research is both practically manageable and well aligned with its overall aims.</w:t>
      </w:r>
    </w:p>
    <w:p w14:paraId="2B942D7D"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br w:type="page"/>
      </w:r>
    </w:p>
    <w:p w14:paraId="6EA1E6FB" w14:textId="77777777" w:rsidR="00F02A69" w:rsidRPr="00F02A69" w:rsidRDefault="00F02A69" w:rsidP="00F02A69">
      <w:pPr>
        <w:keepNext/>
        <w:keepLines/>
        <w:widowControl/>
        <w:spacing w:before="120" w:after="120" w:line="480" w:lineRule="auto"/>
        <w:contextualSpacing/>
        <w:jc w:val="center"/>
        <w:outlineLvl w:val="0"/>
        <w:rPr>
          <w:rFonts w:ascii="Times New Roman" w:eastAsia="等线 Light" w:hAnsi="Times New Roman" w:cs="Times New Roman"/>
          <w:b/>
          <w:kern w:val="0"/>
          <w:sz w:val="24"/>
          <w:lang w:val="en-GB" w:eastAsia="en-US"/>
          <w14:ligatures w14:val="none"/>
        </w:rPr>
      </w:pPr>
      <w:bookmarkStart w:id="22" w:name="_Toc226463546"/>
      <w:r w:rsidRPr="00F02A69">
        <w:rPr>
          <w:rFonts w:ascii="Times New Roman" w:eastAsia="等线 Light" w:hAnsi="Times New Roman" w:cs="Times New Roman"/>
          <w:b/>
          <w:kern w:val="0"/>
          <w:sz w:val="24"/>
          <w:lang w:val="en-GB" w:eastAsia="en-US"/>
          <w14:ligatures w14:val="none"/>
        </w:rPr>
        <w:lastRenderedPageBreak/>
        <w:t>Chapter 4. Methodology</w:t>
      </w:r>
      <w:bookmarkEnd w:id="22"/>
    </w:p>
    <w:p w14:paraId="54270B77"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23" w:name="_Toc226463547"/>
      <w:r w:rsidRPr="00F02A69">
        <w:rPr>
          <w:rFonts w:ascii="Times New Roman" w:eastAsia="等线 Light" w:hAnsi="Times New Roman" w:cs="Times New Roman"/>
          <w:b/>
          <w:kern w:val="0"/>
          <w:sz w:val="24"/>
          <w:lang w:val="en-GB" w:eastAsia="en-US"/>
          <w14:ligatures w14:val="none"/>
        </w:rPr>
        <w:t>4.1 Research Paradigm</w:t>
      </w:r>
      <w:bookmarkEnd w:id="23"/>
    </w:p>
    <w:p w14:paraId="78EFBDCD"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This study is located within an interpretivist qualitative paradigm. Interpretivism presupposes that social reality is perceived in terms of the meaning that people give to their experiences and actions in particular social, historical, and professional contexts. This orientation is well-suited to the current study, which seeks to understand how school mental health practitioners make sense of student needs, interpret relevant psychological processes, and reason about intervention decisions within their institutional contexts. The purpose is therefore not to test the effectiveness of interventions in outcome terms, but to interpret practitioner reasoning as situated professional practice. </w:t>
      </w:r>
    </w:p>
    <w:p w14:paraId="20515F0E"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A positivist or post-positivist paradigm would prove inappropriate here, as the object of investigation, how practitioners make sense of student needs and negotiate institutional constraints, cannot be reduced to measurable variables or causal mechanisms that can be isolated and experimented on. Similarly, a constructivist stance that avoids accepting any accounts as privileged and context-free would restrict the analytic authority required to discern patterns among cases. The concept of interpretivism provides the right compromise: it does not ignore the situated, meaning-rich nature of professional practice but rather makes some systematic and rigorous comparison of cases. This paradigmatic option throws direct information into all the following approach decisions in this chapter.</w:t>
      </w:r>
    </w:p>
    <w:p w14:paraId="6CB8600B"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24" w:name="_Toc226463548"/>
      <w:r w:rsidRPr="00F02A69">
        <w:rPr>
          <w:rFonts w:ascii="Times New Roman" w:eastAsia="等线 Light" w:hAnsi="Times New Roman" w:cs="Times New Roman"/>
          <w:b/>
          <w:kern w:val="0"/>
          <w:sz w:val="24"/>
          <w:lang w:val="en-GB" w:eastAsia="en-US"/>
          <w14:ligatures w14:val="none"/>
        </w:rPr>
        <w:t>4.2 Research Design: Qualitative Multiple-Case Study</w:t>
      </w:r>
      <w:bookmarkEnd w:id="24"/>
    </w:p>
    <w:p w14:paraId="78497C88"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A qualitative multiple-case study design was adopted because the study examines practitioner decision-making within real-world institutional contexts. Case study research is suitable in particular when one wants to examine a phenomenon in the context of the real world, </w:t>
      </w:r>
      <w:r w:rsidRPr="00F02A69">
        <w:rPr>
          <w:rFonts w:ascii="Times New Roman" w:eastAsia="Times New Roman" w:hAnsi="Times New Roman" w:cs="Times New Roman"/>
          <w:kern w:val="0"/>
          <w:sz w:val="24"/>
          <w:lang w:val="en-GB" w:eastAsia="en-US"/>
          <w14:ligatures w14:val="none"/>
        </w:rPr>
        <w:lastRenderedPageBreak/>
        <w:t>as it is more appropriate in cases where it is impossible to disengage the boundary between phenomenon and context. Each participating school was treated as a case, while the practitioners within each school provided embedded perspectives on how intervention decisions were made in that setting. This design enabled both within-case analysis to understand decision-making in context and cross-case comparison to identify similarities and differences across school types and resource conditions. A single-case design would have been suitable in providing an in-depth insight into one of the settings, but not in generating diversity in one of the institutional settings, or allowing a comparative insight. The multiple-case design thus enhances analysis by enabling the recognition of patterns across settings and at the same time retains the specifics of each case.</w:t>
      </w:r>
    </w:p>
    <w:p w14:paraId="363B5508"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25" w:name="_Toc226463549"/>
      <w:r w:rsidRPr="00F02A69">
        <w:rPr>
          <w:rFonts w:ascii="Times New Roman" w:eastAsia="等线 Light" w:hAnsi="Times New Roman" w:cs="Times New Roman"/>
          <w:b/>
          <w:kern w:val="0"/>
          <w:sz w:val="24"/>
          <w:lang w:val="en-GB" w:eastAsia="en-US"/>
          <w14:ligatures w14:val="none"/>
        </w:rPr>
        <w:t>4.3 Research Setting and Participants</w:t>
      </w:r>
      <w:bookmarkEnd w:id="25"/>
    </w:p>
    <w:p w14:paraId="1D39F5D7"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The research was carried out in Jiangsu Province, China, which is among the most educationally competitive and institutionally diverse areas in the country. The schools were selected to capture the diversity existing within the environment of senior high school, such as international schools, foreign language schools, private ordinary high schools, municipal schools, experimental schools, and county or township schools. This variation was critical as the nature of the school ought to generate significant change in the resources, role structures, and the institutional framework in which practitioner decision-making is developed. Eighteen participants were sampled among the participating schools. They were school counsellors, psychology teachers, mental health teachers, class teachers, and those with a pastoral or moral education role. This set of roles was chosen intentionally due to the fact that mental health support of Chinese senior secondary schools tends to be spread among occupationally heterogeneous jobs with different degrees of psychological training and institutional authority as well as closeness to students. Such difference in structure influences the perspectives of </w:t>
      </w:r>
      <w:r w:rsidRPr="00F02A69">
        <w:rPr>
          <w:rFonts w:ascii="Times New Roman" w:eastAsia="Times New Roman" w:hAnsi="Times New Roman" w:cs="Times New Roman"/>
          <w:kern w:val="0"/>
          <w:sz w:val="24"/>
          <w:lang w:val="en-GB" w:eastAsia="en-US"/>
          <w14:ligatures w14:val="none"/>
        </w:rPr>
        <w:lastRenderedPageBreak/>
        <w:t>practitioners in the interpretation of student needs and their contribution to intervention decisions in schools. The sample was disbursed into the six schools in an equal measure of between two to four practitioners per school taking these measures in mind, in regard to the diversities of the schools in terms of size and staffs. Smaller or less-resourced schools had fewer, with one practitioner sometimes performing multiple roles. This was statistically significant, meaning that there was an uneven distribution of mental health staff. The major practitioner types were represented proportionately, with five counsellors or psychologists, four mental health teachers, five class teachers with pastoral roles, and four moral or ideology educators.</w:t>
      </w:r>
    </w:p>
    <w:p w14:paraId="5398FC17"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b/>
          <w:bCs/>
          <w:kern w:val="0"/>
          <w:sz w:val="24"/>
          <w:lang w:val="en-GB" w:eastAsia="en-US"/>
          <w14:ligatures w14:val="none"/>
        </w:rPr>
      </w:pPr>
      <w:r w:rsidRPr="00F02A69">
        <w:rPr>
          <w:rFonts w:ascii="Times New Roman" w:eastAsia="Times New Roman" w:hAnsi="Times New Roman" w:cs="Times New Roman"/>
          <w:b/>
          <w:bCs/>
          <w:kern w:val="0"/>
          <w:sz w:val="24"/>
          <w:lang w:val="en-GB" w:eastAsia="en-US"/>
          <w14:ligatures w14:val="none"/>
        </w:rPr>
        <w:t>Table 1.0 Overview of Research Sites and Participant Composition</w:t>
      </w:r>
    </w:p>
    <w:tbl>
      <w:tblPr>
        <w:tblStyle w:val="22"/>
        <w:tblW w:w="9895" w:type="dxa"/>
        <w:tblLook w:val="04A0" w:firstRow="1" w:lastRow="0" w:firstColumn="1" w:lastColumn="0" w:noHBand="0" w:noVBand="1"/>
      </w:tblPr>
      <w:tblGrid>
        <w:gridCol w:w="2245"/>
        <w:gridCol w:w="2382"/>
        <w:gridCol w:w="1470"/>
        <w:gridCol w:w="3798"/>
      </w:tblGrid>
      <w:tr w:rsidR="00F02A69" w:rsidRPr="00F02A69" w14:paraId="3CA56073" w14:textId="77777777" w:rsidTr="00786CB2">
        <w:tc>
          <w:tcPr>
            <w:tcW w:w="2245" w:type="dxa"/>
          </w:tcPr>
          <w:p w14:paraId="2F0BE708"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b/>
                <w:bCs/>
                <w:sz w:val="24"/>
                <w:lang w:val="en-GB"/>
              </w:rPr>
            </w:pPr>
            <w:r w:rsidRPr="00F02A69">
              <w:rPr>
                <w:rFonts w:ascii="Times New Roman" w:eastAsia="Times New Roman" w:hAnsi="Times New Roman" w:cs="Times New Roman"/>
                <w:b/>
                <w:bCs/>
                <w:sz w:val="24"/>
                <w:lang w:val="en-GB"/>
              </w:rPr>
              <w:t>School Type</w:t>
            </w:r>
          </w:p>
        </w:tc>
        <w:tc>
          <w:tcPr>
            <w:tcW w:w="2382" w:type="dxa"/>
          </w:tcPr>
          <w:p w14:paraId="76AAEE3A"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b/>
                <w:bCs/>
                <w:sz w:val="24"/>
                <w:lang w:val="en-GB"/>
              </w:rPr>
            </w:pPr>
            <w:r w:rsidRPr="00F02A69">
              <w:rPr>
                <w:rFonts w:ascii="Times New Roman" w:eastAsia="Times New Roman" w:hAnsi="Times New Roman" w:cs="Times New Roman"/>
                <w:b/>
                <w:bCs/>
                <w:sz w:val="24"/>
                <w:lang w:val="en-GB"/>
              </w:rPr>
              <w:t>Region (Jiangsu)</w:t>
            </w:r>
          </w:p>
        </w:tc>
        <w:tc>
          <w:tcPr>
            <w:tcW w:w="1470" w:type="dxa"/>
          </w:tcPr>
          <w:p w14:paraId="16821C7C"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b/>
                <w:bCs/>
                <w:sz w:val="24"/>
                <w:lang w:val="en-GB"/>
              </w:rPr>
            </w:pPr>
            <w:r w:rsidRPr="00F02A69">
              <w:rPr>
                <w:rFonts w:ascii="Times New Roman" w:eastAsia="Times New Roman" w:hAnsi="Times New Roman" w:cs="Times New Roman"/>
                <w:b/>
                <w:bCs/>
                <w:sz w:val="24"/>
                <w:lang w:val="en-GB"/>
              </w:rPr>
              <w:t>No. of Participants</w:t>
            </w:r>
          </w:p>
        </w:tc>
        <w:tc>
          <w:tcPr>
            <w:tcW w:w="3798" w:type="dxa"/>
          </w:tcPr>
          <w:p w14:paraId="188B8CCD"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b/>
                <w:bCs/>
                <w:sz w:val="24"/>
                <w:lang w:val="en-GB"/>
              </w:rPr>
            </w:pPr>
            <w:r w:rsidRPr="00F02A69">
              <w:rPr>
                <w:rFonts w:ascii="Times New Roman" w:eastAsia="Times New Roman" w:hAnsi="Times New Roman" w:cs="Times New Roman"/>
                <w:b/>
                <w:bCs/>
                <w:sz w:val="24"/>
                <w:lang w:val="en-GB"/>
              </w:rPr>
              <w:t>Practitioner Roles Represented</w:t>
            </w:r>
          </w:p>
        </w:tc>
      </w:tr>
      <w:tr w:rsidR="00F02A69" w:rsidRPr="00F02A69" w14:paraId="77FF7B5F" w14:textId="77777777" w:rsidTr="00786CB2">
        <w:tc>
          <w:tcPr>
            <w:tcW w:w="2245" w:type="dxa"/>
          </w:tcPr>
          <w:p w14:paraId="2F71FCA9"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International Schools</w:t>
            </w:r>
          </w:p>
        </w:tc>
        <w:tc>
          <w:tcPr>
            <w:tcW w:w="2382" w:type="dxa"/>
          </w:tcPr>
          <w:p w14:paraId="42F6B3EA"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Southern (Suzhou, Nanjing)</w:t>
            </w:r>
          </w:p>
        </w:tc>
        <w:tc>
          <w:tcPr>
            <w:tcW w:w="1470" w:type="dxa"/>
          </w:tcPr>
          <w:p w14:paraId="0D60EDA7"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2</w:t>
            </w:r>
          </w:p>
        </w:tc>
        <w:tc>
          <w:tcPr>
            <w:tcW w:w="3798" w:type="dxa"/>
          </w:tcPr>
          <w:p w14:paraId="5A89EABF"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High School Counsellor; Wellbeing Lead</w:t>
            </w:r>
          </w:p>
        </w:tc>
      </w:tr>
      <w:tr w:rsidR="00F02A69" w:rsidRPr="00F02A69" w14:paraId="1F982784" w14:textId="77777777" w:rsidTr="00786CB2">
        <w:tc>
          <w:tcPr>
            <w:tcW w:w="2245" w:type="dxa"/>
          </w:tcPr>
          <w:p w14:paraId="1F2CF17C"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Mixed Schools (International + Regular)</w:t>
            </w:r>
          </w:p>
        </w:tc>
        <w:tc>
          <w:tcPr>
            <w:tcW w:w="2382" w:type="dxa"/>
          </w:tcPr>
          <w:p w14:paraId="1A38F332"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Southern (Suzhou, Nanjing)</w:t>
            </w:r>
          </w:p>
        </w:tc>
        <w:tc>
          <w:tcPr>
            <w:tcW w:w="1470" w:type="dxa"/>
          </w:tcPr>
          <w:p w14:paraId="15D69424"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2</w:t>
            </w:r>
          </w:p>
        </w:tc>
        <w:tc>
          <w:tcPr>
            <w:tcW w:w="3798" w:type="dxa"/>
          </w:tcPr>
          <w:p w14:paraId="63FDEDC9"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Full-time Psychological Counsellor; Deputy Director of Moral Education &amp; Psychological Work Coordinator</w:t>
            </w:r>
          </w:p>
        </w:tc>
      </w:tr>
      <w:tr w:rsidR="00F02A69" w:rsidRPr="00F02A69" w14:paraId="053B95A4" w14:textId="77777777" w:rsidTr="00786CB2">
        <w:tc>
          <w:tcPr>
            <w:tcW w:w="2245" w:type="dxa"/>
          </w:tcPr>
          <w:p w14:paraId="2B30B138"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Private High Schools</w:t>
            </w:r>
          </w:p>
        </w:tc>
        <w:tc>
          <w:tcPr>
            <w:tcW w:w="2382" w:type="dxa"/>
          </w:tcPr>
          <w:p w14:paraId="060B8904"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Southern (Wuxi, Changzhou)</w:t>
            </w:r>
          </w:p>
        </w:tc>
        <w:tc>
          <w:tcPr>
            <w:tcW w:w="1470" w:type="dxa"/>
          </w:tcPr>
          <w:p w14:paraId="0393FF80"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2</w:t>
            </w:r>
          </w:p>
        </w:tc>
        <w:tc>
          <w:tcPr>
            <w:tcW w:w="3798" w:type="dxa"/>
          </w:tcPr>
          <w:p w14:paraId="5FBD88F2"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Full-time Psychological Counsellor; Senior Year Homeroom Teacher</w:t>
            </w:r>
          </w:p>
        </w:tc>
      </w:tr>
      <w:tr w:rsidR="00F02A69" w:rsidRPr="00F02A69" w14:paraId="4A8DECEC" w14:textId="77777777" w:rsidTr="00786CB2">
        <w:tc>
          <w:tcPr>
            <w:tcW w:w="2245" w:type="dxa"/>
          </w:tcPr>
          <w:p w14:paraId="59E8735E"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Private High Schools</w:t>
            </w:r>
          </w:p>
        </w:tc>
        <w:tc>
          <w:tcPr>
            <w:tcW w:w="2382" w:type="dxa"/>
          </w:tcPr>
          <w:p w14:paraId="459EBF3B"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Northern (Lianyungang)</w:t>
            </w:r>
          </w:p>
        </w:tc>
        <w:tc>
          <w:tcPr>
            <w:tcW w:w="1470" w:type="dxa"/>
          </w:tcPr>
          <w:p w14:paraId="761B0B5A"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1</w:t>
            </w:r>
          </w:p>
        </w:tc>
        <w:tc>
          <w:tcPr>
            <w:tcW w:w="3798" w:type="dxa"/>
          </w:tcPr>
          <w:p w14:paraId="068F827F"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Psychological Counsellor</w:t>
            </w:r>
          </w:p>
        </w:tc>
      </w:tr>
      <w:tr w:rsidR="00F02A69" w:rsidRPr="00F02A69" w14:paraId="22875235" w14:textId="77777777" w:rsidTr="00786CB2">
        <w:tc>
          <w:tcPr>
            <w:tcW w:w="2245" w:type="dxa"/>
          </w:tcPr>
          <w:p w14:paraId="41C6E8B6"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Municipal / Key High Schools</w:t>
            </w:r>
          </w:p>
        </w:tc>
        <w:tc>
          <w:tcPr>
            <w:tcW w:w="2382" w:type="dxa"/>
          </w:tcPr>
          <w:p w14:paraId="06DA52D5"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Southern (Suzhou, Nanjing)</w:t>
            </w:r>
          </w:p>
        </w:tc>
        <w:tc>
          <w:tcPr>
            <w:tcW w:w="1470" w:type="dxa"/>
          </w:tcPr>
          <w:p w14:paraId="00A85826"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2</w:t>
            </w:r>
          </w:p>
        </w:tc>
        <w:tc>
          <w:tcPr>
            <w:tcW w:w="3798" w:type="dxa"/>
          </w:tcPr>
          <w:p w14:paraId="554A6812"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Full-time Psychological Counsellor; Psychology Teacher</w:t>
            </w:r>
          </w:p>
        </w:tc>
      </w:tr>
      <w:tr w:rsidR="00F02A69" w:rsidRPr="00F02A69" w14:paraId="741571F9" w14:textId="77777777" w:rsidTr="00786CB2">
        <w:tc>
          <w:tcPr>
            <w:tcW w:w="2245" w:type="dxa"/>
          </w:tcPr>
          <w:p w14:paraId="3C698E20"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Municipal High Schools</w:t>
            </w:r>
          </w:p>
        </w:tc>
        <w:tc>
          <w:tcPr>
            <w:tcW w:w="2382" w:type="dxa"/>
          </w:tcPr>
          <w:p w14:paraId="387E376B"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Northern (Nantong, Yancheng)</w:t>
            </w:r>
          </w:p>
        </w:tc>
        <w:tc>
          <w:tcPr>
            <w:tcW w:w="1470" w:type="dxa"/>
          </w:tcPr>
          <w:p w14:paraId="5D20DCE2"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2</w:t>
            </w:r>
          </w:p>
        </w:tc>
        <w:tc>
          <w:tcPr>
            <w:tcW w:w="3798" w:type="dxa"/>
          </w:tcPr>
          <w:p w14:paraId="50C6C236"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Psychological Counsellor; Grade Leader</w:t>
            </w:r>
          </w:p>
        </w:tc>
      </w:tr>
      <w:tr w:rsidR="00F02A69" w:rsidRPr="00F02A69" w14:paraId="5AF3D347" w14:textId="77777777" w:rsidTr="00786CB2">
        <w:tc>
          <w:tcPr>
            <w:tcW w:w="2245" w:type="dxa"/>
          </w:tcPr>
          <w:p w14:paraId="75C24DEC"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Experimental / Municipal Middle Schools</w:t>
            </w:r>
          </w:p>
        </w:tc>
        <w:tc>
          <w:tcPr>
            <w:tcW w:w="2382" w:type="dxa"/>
          </w:tcPr>
          <w:p w14:paraId="3A34494D"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Central (Yangzhou, Taizhou)</w:t>
            </w:r>
          </w:p>
        </w:tc>
        <w:tc>
          <w:tcPr>
            <w:tcW w:w="1470" w:type="dxa"/>
          </w:tcPr>
          <w:p w14:paraId="02ECDE7A"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2</w:t>
            </w:r>
          </w:p>
        </w:tc>
        <w:tc>
          <w:tcPr>
            <w:tcW w:w="3798" w:type="dxa"/>
          </w:tcPr>
          <w:p w14:paraId="541F9715"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Director of Moral Education; Class Teacher &amp; Part-time Psychology Teacher</w:t>
            </w:r>
          </w:p>
        </w:tc>
      </w:tr>
      <w:tr w:rsidR="00F02A69" w:rsidRPr="00F02A69" w14:paraId="67A6855C" w14:textId="77777777" w:rsidTr="00786CB2">
        <w:tc>
          <w:tcPr>
            <w:tcW w:w="2245" w:type="dxa"/>
          </w:tcPr>
          <w:p w14:paraId="56FD22AF"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Experimental Middle Schools</w:t>
            </w:r>
          </w:p>
        </w:tc>
        <w:tc>
          <w:tcPr>
            <w:tcW w:w="2382" w:type="dxa"/>
          </w:tcPr>
          <w:p w14:paraId="48286FE3"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Northern (Xuzhou)</w:t>
            </w:r>
          </w:p>
        </w:tc>
        <w:tc>
          <w:tcPr>
            <w:tcW w:w="1470" w:type="dxa"/>
          </w:tcPr>
          <w:p w14:paraId="525928E9"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1</w:t>
            </w:r>
          </w:p>
        </w:tc>
        <w:tc>
          <w:tcPr>
            <w:tcW w:w="3798" w:type="dxa"/>
          </w:tcPr>
          <w:p w14:paraId="41835D7E"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Full-time Psychological Counsellor</w:t>
            </w:r>
          </w:p>
        </w:tc>
      </w:tr>
      <w:tr w:rsidR="00F02A69" w:rsidRPr="00F02A69" w14:paraId="5DE5ED2D" w14:textId="77777777" w:rsidTr="00786CB2">
        <w:tc>
          <w:tcPr>
            <w:tcW w:w="2245" w:type="dxa"/>
          </w:tcPr>
          <w:p w14:paraId="7A570B69"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County High Schools</w:t>
            </w:r>
          </w:p>
        </w:tc>
        <w:tc>
          <w:tcPr>
            <w:tcW w:w="2382" w:type="dxa"/>
          </w:tcPr>
          <w:p w14:paraId="785DB80C"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Central (Yangzhou)</w:t>
            </w:r>
          </w:p>
        </w:tc>
        <w:tc>
          <w:tcPr>
            <w:tcW w:w="1470" w:type="dxa"/>
          </w:tcPr>
          <w:p w14:paraId="3E6A9CC5"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1</w:t>
            </w:r>
          </w:p>
        </w:tc>
        <w:tc>
          <w:tcPr>
            <w:tcW w:w="3798" w:type="dxa"/>
          </w:tcPr>
          <w:p w14:paraId="1B0D0783"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Full-time School Counsellor</w:t>
            </w:r>
          </w:p>
        </w:tc>
      </w:tr>
      <w:tr w:rsidR="00F02A69" w:rsidRPr="00F02A69" w14:paraId="362E9D85" w14:textId="77777777" w:rsidTr="00786CB2">
        <w:tc>
          <w:tcPr>
            <w:tcW w:w="2245" w:type="dxa"/>
          </w:tcPr>
          <w:p w14:paraId="58C8C737"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County High Schools</w:t>
            </w:r>
          </w:p>
        </w:tc>
        <w:tc>
          <w:tcPr>
            <w:tcW w:w="2382" w:type="dxa"/>
          </w:tcPr>
          <w:p w14:paraId="298F6A17"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Northern (Suqian)</w:t>
            </w:r>
          </w:p>
        </w:tc>
        <w:tc>
          <w:tcPr>
            <w:tcW w:w="1470" w:type="dxa"/>
          </w:tcPr>
          <w:p w14:paraId="7DE5B76A"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1</w:t>
            </w:r>
          </w:p>
        </w:tc>
        <w:tc>
          <w:tcPr>
            <w:tcW w:w="3798" w:type="dxa"/>
          </w:tcPr>
          <w:p w14:paraId="70BA4D26"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Class Teacher</w:t>
            </w:r>
          </w:p>
        </w:tc>
      </w:tr>
      <w:tr w:rsidR="00F02A69" w:rsidRPr="00F02A69" w14:paraId="283E69F1" w14:textId="77777777" w:rsidTr="00786CB2">
        <w:tc>
          <w:tcPr>
            <w:tcW w:w="2245" w:type="dxa"/>
          </w:tcPr>
          <w:p w14:paraId="355DD4C1"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lastRenderedPageBreak/>
              <w:t>Township High Schools</w:t>
            </w:r>
          </w:p>
        </w:tc>
        <w:tc>
          <w:tcPr>
            <w:tcW w:w="2382" w:type="dxa"/>
          </w:tcPr>
          <w:p w14:paraId="6BB7B6FE"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Northern (Huai’an)</w:t>
            </w:r>
          </w:p>
        </w:tc>
        <w:tc>
          <w:tcPr>
            <w:tcW w:w="1470" w:type="dxa"/>
          </w:tcPr>
          <w:p w14:paraId="01F42809"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1</w:t>
            </w:r>
          </w:p>
        </w:tc>
        <w:tc>
          <w:tcPr>
            <w:tcW w:w="3798" w:type="dxa"/>
          </w:tcPr>
          <w:p w14:paraId="0EB09B31"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Part-time Psychological Counsellor</w:t>
            </w:r>
          </w:p>
        </w:tc>
      </w:tr>
      <w:tr w:rsidR="00F02A69" w:rsidRPr="00F02A69" w14:paraId="4948FC5B" w14:textId="77777777" w:rsidTr="00786CB2">
        <w:tc>
          <w:tcPr>
            <w:tcW w:w="2245" w:type="dxa"/>
          </w:tcPr>
          <w:p w14:paraId="7D73036F"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Rural High Schools</w:t>
            </w:r>
          </w:p>
        </w:tc>
        <w:tc>
          <w:tcPr>
            <w:tcW w:w="2382" w:type="dxa"/>
          </w:tcPr>
          <w:p w14:paraId="4057C511"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Southern (Nanjing – Liuhe District)</w:t>
            </w:r>
          </w:p>
        </w:tc>
        <w:tc>
          <w:tcPr>
            <w:tcW w:w="1470" w:type="dxa"/>
          </w:tcPr>
          <w:p w14:paraId="022FEDE1"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1</w:t>
            </w:r>
          </w:p>
        </w:tc>
        <w:tc>
          <w:tcPr>
            <w:tcW w:w="3798" w:type="dxa"/>
          </w:tcPr>
          <w:p w14:paraId="03C575E8" w14:textId="77777777" w:rsidR="00F02A69" w:rsidRPr="00F02A69" w:rsidRDefault="00F02A69" w:rsidP="00F02A69">
            <w:pPr>
              <w:widowControl/>
              <w:spacing w:before="120" w:after="120" w:line="276" w:lineRule="auto"/>
              <w:contextualSpacing/>
              <w:rPr>
                <w:rFonts w:ascii="Times New Roman" w:eastAsia="Times New Roman" w:hAnsi="Times New Roman" w:cs="Times New Roman"/>
                <w:sz w:val="24"/>
                <w:lang w:val="en-GB"/>
              </w:rPr>
            </w:pPr>
            <w:r w:rsidRPr="00F02A69">
              <w:rPr>
                <w:rFonts w:ascii="Times New Roman" w:eastAsia="Times New Roman" w:hAnsi="Times New Roman" w:cs="Times New Roman"/>
                <w:sz w:val="24"/>
                <w:lang w:val="en-GB"/>
              </w:rPr>
              <w:t>Psychological Counsellor</w:t>
            </w:r>
          </w:p>
        </w:tc>
      </w:tr>
    </w:tbl>
    <w:p w14:paraId="10060CF0"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p>
    <w:p w14:paraId="532B0E3B"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26" w:name="_Toc226463550"/>
      <w:r w:rsidRPr="00F02A69">
        <w:rPr>
          <w:rFonts w:ascii="Times New Roman" w:eastAsia="等线 Light" w:hAnsi="Times New Roman" w:cs="Times New Roman"/>
          <w:b/>
          <w:kern w:val="0"/>
          <w:sz w:val="24"/>
          <w:lang w:val="en-GB" w:eastAsia="en-US"/>
          <w14:ligatures w14:val="none"/>
        </w:rPr>
        <w:t>4.4 Sampling Strategy</w:t>
      </w:r>
      <w:bookmarkEnd w:id="26"/>
    </w:p>
    <w:p w14:paraId="35CDCC5E"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Purposive sampling was used to select the participants. The objective was not statistical representativeness but the analytical variation- the deliberate selection of cases and participants to open to the maximum the range of experiences and contextual conditions available to the research. Sampling was guided by five criteria: school type, regional location within Jiangsu, practitioner role, professional experience, and level of psychological training. These criteria were selected because each was expected to shape how practitioners recognised student need, reasoned about anxiety-related mechanisms, and selected interventions. Diversity on these dimensions enabled the incorporation of the various institutional and professional environments within which practitioner decision-making occurs. This approach also provided variety in the decision-making scenarios that the study represented, instead of just targeting senior or institutionally visible practitioners, and reinforced the depth of cross-case comparison.</w:t>
      </w:r>
    </w:p>
    <w:p w14:paraId="3326114F"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27" w:name="_Toc226463551"/>
      <w:r w:rsidRPr="00F02A69">
        <w:rPr>
          <w:rFonts w:ascii="Times New Roman" w:eastAsia="等线 Light" w:hAnsi="Times New Roman" w:cs="Times New Roman"/>
          <w:b/>
          <w:kern w:val="0"/>
          <w:sz w:val="24"/>
          <w:lang w:val="en-GB" w:eastAsia="en-US"/>
          <w14:ligatures w14:val="none"/>
        </w:rPr>
        <w:t>4.5 Data Collection Methods</w:t>
      </w:r>
      <w:bookmarkEnd w:id="27"/>
    </w:p>
    <w:p w14:paraId="5672D166"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Primary data was collected through semi-structured interviews. This approach was chosen because it allowed sufficient flexibility to explore the particular concerns, framings, and examples raised by each participant, while ensuring that all interviews remained focused on the core research questions. The interviews helped practitioners to recount specific instances that they had experienced with students, to explain the dilemmas they had experienced, and to report on the decisions they took in the case, as well as give a reflection on institutional and relational constraints that had played a part in the decisions. The conversational nature in the given case </w:t>
      </w:r>
      <w:r w:rsidRPr="00F02A69">
        <w:rPr>
          <w:rFonts w:ascii="Times New Roman" w:eastAsia="Times New Roman" w:hAnsi="Times New Roman" w:cs="Times New Roman"/>
          <w:kern w:val="0"/>
          <w:sz w:val="24"/>
          <w:lang w:val="en-GB" w:eastAsia="en-US"/>
          <w14:ligatures w14:val="none"/>
        </w:rPr>
        <w:lastRenderedPageBreak/>
        <w:t>was also crucial in its semi-structured version. This is due to the fact that sometimes the reasoning mechanisms that are examined can be tacit and established in the professional habit, and not easily extractable in explicit propositions. As an additional source, participants volunteered to give de-identified school records. Records such as meeting records of the classes, logs of the psychological interventions, and summaries of the school mental health policies offered contextual background to the interview descriptions and more information as to the institutional structures by which the decisions were made.</w:t>
      </w:r>
    </w:p>
    <w:p w14:paraId="0DD81DC2"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28" w:name="_Toc226463552"/>
      <w:r w:rsidRPr="00F02A69">
        <w:rPr>
          <w:rFonts w:ascii="Times New Roman" w:eastAsia="等线 Light" w:hAnsi="Times New Roman" w:cs="Times New Roman"/>
          <w:b/>
          <w:kern w:val="0"/>
          <w:sz w:val="24"/>
          <w:lang w:val="en-GB" w:eastAsia="en-US"/>
          <w14:ligatures w14:val="none"/>
        </w:rPr>
        <w:t>4.6 Data Collection Procedure</w:t>
      </w:r>
      <w:bookmarkEnd w:id="28"/>
    </w:p>
    <w:p w14:paraId="36FA5DF0"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initial strategy involved utilizing professional networks and contacting the school leaders to reach out to potential respondents in schools. The study provided an information sheet to all the participants prior to the study and clearly stated what the study was about and what they expected of the subjects and their rights to exit out of the study were explained. The informed consent was signed by each participant and was informed ahead of the interview. The interviews were conducted in the form of either a face-to-face interview in the school or an online interview through a video call depending on whether the participants wanted to have an interview or not and whether they were in a real-life situation. The interviews (45-75 minutes) were long enough, in order to receive in-depth accounts, and to perform a comprehensive exploration of the reasoning of the participants. The interviews were recorded on tape with the subject being given permission and transcribed. The de-identified documents were collected after the completion of the interview or during another interaction agreed upon by the participants.</w:t>
      </w:r>
    </w:p>
    <w:p w14:paraId="3DF29E73"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29" w:name="_Toc226463553"/>
      <w:r w:rsidRPr="00F02A69">
        <w:rPr>
          <w:rFonts w:ascii="Times New Roman" w:eastAsia="等线 Light" w:hAnsi="Times New Roman" w:cs="Times New Roman"/>
          <w:b/>
          <w:kern w:val="0"/>
          <w:sz w:val="24"/>
          <w:lang w:val="en-GB" w:eastAsia="en-US"/>
          <w14:ligatures w14:val="none"/>
        </w:rPr>
        <w:t>4.7 Data Analysis</w:t>
      </w:r>
      <w:bookmarkEnd w:id="29"/>
    </w:p>
    <w:p w14:paraId="1FB56896"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Data analysis was done in five stages. Firstly, the transcripts were read numerous times in order to become familiarised with the dataset. Second, the line-by-line initial coding was </w:t>
      </w:r>
      <w:r w:rsidRPr="00F02A69">
        <w:rPr>
          <w:rFonts w:ascii="Times New Roman" w:eastAsia="Times New Roman" w:hAnsi="Times New Roman" w:cs="Times New Roman"/>
          <w:kern w:val="0"/>
          <w:sz w:val="24"/>
          <w:lang w:val="en-GB" w:eastAsia="en-US"/>
          <w14:ligatures w14:val="none"/>
        </w:rPr>
        <w:lastRenderedPageBreak/>
        <w:t xml:space="preserve">conducted to establish the sections that were linked to how the practitioners placed an understanding about the anxiety of students, the choices of the interventions, and the limitations of the contexts. Third, a thematic review that is also known as iterative analysis of themes was carried out in which the codes were combined and grouped into candidate themes. Fourth, cross case comparison was used to take into consideration the variations in the theme in relation to the types of schools, the positions of practitioners, and the regions. Fifth, there was a framework- mapping step where the accounts of the practitioners were linked to the mechanism-oriented frame of the study through analysis of psychological processes they appeared to be targeting, functional objectives of the practice, as well as the contextual conditions that were in play. This combination ensured that this analysis was inductively sensitive to what practitioners gave, but had access to the conceptual framework of the study. </w:t>
      </w:r>
    </w:p>
    <w:p w14:paraId="0D7A0EEC"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connection between thematic analysis and framework mapping should be elaborated as they fulfil different roles, but they supplement each other. Thematic analysis was conducted inductively in order to produce thematic content based on the opinions of participants without being theory-driven. Deductively working with framework mapping, these themes were matched with the conceptual frame of the study, and psychological processes targeted by interventions, the purpose of the intervention to be applied, and contextual factors influencing the situation were recognized. This order made sure that the framework did not influence the preliminary results and minimized the possibility of circular reasoning since it was implemented after the themes were created.</w:t>
      </w:r>
    </w:p>
    <w:p w14:paraId="1E9B31B4"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30" w:name="_Toc226463554"/>
      <w:r w:rsidRPr="00F02A69">
        <w:rPr>
          <w:rFonts w:ascii="Times New Roman" w:eastAsia="等线 Light" w:hAnsi="Times New Roman" w:cs="Times New Roman"/>
          <w:b/>
          <w:kern w:val="0"/>
          <w:sz w:val="24"/>
          <w:lang w:val="en-GB" w:eastAsia="en-US"/>
          <w14:ligatures w14:val="none"/>
        </w:rPr>
        <w:t>4.8 Trustworthiness</w:t>
      </w:r>
      <w:bookmarkEnd w:id="30"/>
    </w:p>
    <w:p w14:paraId="42CE822F"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Certain strategies served to maximize the credibility of the research. During the research process, an audit trail was maintained to document decisions made with regards to the analytics, </w:t>
      </w:r>
      <w:r w:rsidRPr="00F02A69">
        <w:rPr>
          <w:rFonts w:ascii="Times New Roman" w:eastAsia="Times New Roman" w:hAnsi="Times New Roman" w:cs="Times New Roman"/>
          <w:kern w:val="0"/>
          <w:sz w:val="24"/>
          <w:lang w:val="en-GB" w:eastAsia="en-US"/>
          <w14:ligatures w14:val="none"/>
        </w:rPr>
        <w:lastRenderedPageBreak/>
        <w:t>coding development, and reflections. This provided a clear record of how findings were obtained and how some of the interpretations evolved with time. Coding was done in a descriptive, interactive manner; the codebook was also being written progressively and it was discussed at the supervisory meetings. Supervisory discussions were implemented as a kind of extrinsic audit, which could object emerging meanings and contemplate other explanations of data. A small portion of the sample received a partial test of member checking through analysis summaries rather than verbatim transcripts, in which interpretive fidelity was under test rather than literal faithfulness. As the data were in Mandarin Chinese, it was transcribed and analysed especially carefully in order to preserve both translation as well as back-translation of the data since it is impossible to preserve the meaning of data and corrupt the meaning between two different languages.</w:t>
      </w:r>
    </w:p>
    <w:p w14:paraId="07651CF8"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31" w:name="_Toc226463555"/>
      <w:r w:rsidRPr="00F02A69">
        <w:rPr>
          <w:rFonts w:ascii="Times New Roman" w:eastAsia="等线 Light" w:hAnsi="Times New Roman" w:cs="Times New Roman"/>
          <w:b/>
          <w:kern w:val="0"/>
          <w:sz w:val="24"/>
          <w:lang w:val="en-GB" w:eastAsia="en-US"/>
          <w14:ligatures w14:val="none"/>
        </w:rPr>
        <w:t>4.9 Researcher Reflexivity</w:t>
      </w:r>
      <w:bookmarkEnd w:id="31"/>
    </w:p>
    <w:p w14:paraId="4D150C0B"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familiarity in Chinese language and culture of the Chinese learning environment presented both benefits and disadvantages to the study since the researcher was conversant with the Chinese learning environment. The knowledge of Mandarin would help to communicate more closely with the participants and understand the professional register and institutional idioms of the participants. The high school contextual knowledge of Jiangsu proved effective because it conveniently provided some information which the outside researcher could not have had.</w:t>
      </w:r>
    </w:p>
    <w:p w14:paraId="3B7BD372"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Nevertheless, this closeness also posed a threat of over-familiarity: of making assumptions about what is shared without sufficiently analytical questioning, or of making sense out of the accounts of participants in terms of already-formed assumptions and not necessarily close analysis of the data. This assumption was challenged when several participants described </w:t>
      </w:r>
      <w:r w:rsidRPr="00F02A69">
        <w:rPr>
          <w:rFonts w:ascii="Times New Roman" w:eastAsia="Times New Roman" w:hAnsi="Times New Roman" w:cs="Times New Roman"/>
          <w:kern w:val="0"/>
          <w:sz w:val="24"/>
          <w:lang w:val="en-GB" w:eastAsia="en-US"/>
          <w14:ligatures w14:val="none"/>
        </w:rPr>
        <w:lastRenderedPageBreak/>
        <w:t>their primary role as that of emotional first responders, particularly in cases of acute student distress, before onward referral to specialist staff. This change necessitated a re-evaluation of the coding system to make certain that emotional and pastoral labour was properly represented and not assimilated into categories that were more oriented towards academics.</w:t>
      </w:r>
    </w:p>
    <w:p w14:paraId="186B80E7"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Reflexive awareness, therefore, did not subside at any point in the research process through the application of analytic memos, regular supervisory conversations, and retention of concentration to incidents of interpretive mishap or astonishment as positive indications of analytical practice and not as obstacles to surmount. Rather than treating insider familiarity as either solely advantageous or problematic, reflexive practice was used to continuously examine how the researcher’s positionality shaped both access to the field and interpretation of the data. This active contemplation facilitated a more questioning interaction with assumptions throughout the analysis and assisted in making sure that interpretations were not supported by a unidimensional viewpoint.</w:t>
      </w:r>
    </w:p>
    <w:p w14:paraId="6F3CD224"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br w:type="page"/>
      </w:r>
    </w:p>
    <w:p w14:paraId="0B56A013" w14:textId="77777777" w:rsidR="00F02A69" w:rsidRPr="00F02A69" w:rsidRDefault="00F02A69" w:rsidP="00F02A69">
      <w:pPr>
        <w:keepNext/>
        <w:keepLines/>
        <w:widowControl/>
        <w:spacing w:before="120" w:after="120" w:line="480" w:lineRule="auto"/>
        <w:contextualSpacing/>
        <w:jc w:val="center"/>
        <w:outlineLvl w:val="0"/>
        <w:rPr>
          <w:rFonts w:ascii="Times New Roman" w:eastAsia="等线 Light" w:hAnsi="Times New Roman" w:cs="Times New Roman"/>
          <w:b/>
          <w:kern w:val="0"/>
          <w:sz w:val="24"/>
          <w:lang w:val="en-GB" w:eastAsia="en-US"/>
          <w14:ligatures w14:val="none"/>
        </w:rPr>
      </w:pPr>
      <w:bookmarkStart w:id="32" w:name="_Toc226463556"/>
      <w:r w:rsidRPr="00F02A69">
        <w:rPr>
          <w:rFonts w:ascii="Times New Roman" w:eastAsia="等线 Light" w:hAnsi="Times New Roman" w:cs="Times New Roman"/>
          <w:b/>
          <w:kern w:val="0"/>
          <w:sz w:val="24"/>
          <w:lang w:val="en-GB" w:eastAsia="en-US"/>
          <w14:ligatures w14:val="none"/>
        </w:rPr>
        <w:lastRenderedPageBreak/>
        <w:t>Chapter 5. Ethical Considerations</w:t>
      </w:r>
      <w:bookmarkEnd w:id="32"/>
    </w:p>
    <w:p w14:paraId="1547A916"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33" w:name="_Toc226463557"/>
      <w:r w:rsidRPr="00F02A69">
        <w:rPr>
          <w:rFonts w:ascii="Times New Roman" w:eastAsia="等线 Light" w:hAnsi="Times New Roman" w:cs="Times New Roman"/>
          <w:b/>
          <w:kern w:val="0"/>
          <w:sz w:val="24"/>
          <w:lang w:val="en-GB" w:eastAsia="en-US"/>
          <w14:ligatures w14:val="none"/>
        </w:rPr>
        <w:t>5.1 Ethical Approval and Research Governance</w:t>
      </w:r>
      <w:bookmarkEnd w:id="33"/>
    </w:p>
    <w:p w14:paraId="792E5C99"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present research was carried out in line with the ethical framework provided by the formal consent granted to the research by the University of Wales Trinity Saint David (UWTSD) Research Ethics Committee, which happened before any interaction with the study participants or the organisation. The application also covered the entire spectrum of ethical imperatives that pertain to such a study, such as the involvement of human participants, the acquisition of personal information in audio and transcripts, and the fieldwork beyond the United Kingdom. The UWTSD Research Ethics and Integrity Policy, Research Data Management Policy, and Trusted Research and Innovation Policy were adhered to. Since the data collection was carried out in the Province of Jiangsu in China, the research was also in accordance with the Chinese Personal Information Protection Law (PIPL) and the Trial Measures of Scientific and Technological Ethics Review established in December 2023. All the schools involved provided institutionalized consent at the school level before commencement of fieldwork.</w:t>
      </w:r>
    </w:p>
    <w:p w14:paraId="02A34ED9"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34" w:name="_Toc226463558"/>
      <w:r w:rsidRPr="00F02A69">
        <w:rPr>
          <w:rFonts w:ascii="Times New Roman" w:eastAsia="等线 Light" w:hAnsi="Times New Roman" w:cs="Times New Roman"/>
          <w:b/>
          <w:kern w:val="0"/>
          <w:sz w:val="24"/>
          <w:lang w:val="en-GB" w:eastAsia="en-US"/>
          <w14:ligatures w14:val="none"/>
        </w:rPr>
        <w:t>5.2 Informed Consent</w:t>
      </w:r>
      <w:bookmarkEnd w:id="34"/>
    </w:p>
    <w:p w14:paraId="4E1498A6"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Every participant was provided a clear information sheet at least one week before their designated interview, which could be done in English or Mandarin Chinese. It also described the objective of the research, type and duration of participation, topics to be discussed, audio recording strategy, data processing and storage, and entitlements of the members. Participants were given ample time to ask questions before deciding whether to take part. Informed permission to participate in the studies was obtained, and all the participants were required to sign written informed consent at the start of the interview; nobody was recorded until the written consent was signed. The consent form guaranteed voluntary participation, which had nothing to </w:t>
      </w:r>
      <w:r w:rsidRPr="00F02A69">
        <w:rPr>
          <w:rFonts w:ascii="Times New Roman" w:eastAsia="Times New Roman" w:hAnsi="Times New Roman" w:cs="Times New Roman"/>
          <w:kern w:val="0"/>
          <w:sz w:val="24"/>
          <w:lang w:val="en-GB" w:eastAsia="en-US"/>
          <w14:ligatures w14:val="none"/>
        </w:rPr>
        <w:lastRenderedPageBreak/>
        <w:t>do with working or professional review. Participants were also informed that anonymised quotations might appear in published outputs, and that all identifiable data would be deleted prior to dissemination.</w:t>
      </w:r>
    </w:p>
    <w:p w14:paraId="0730EC88"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35" w:name="_Toc226463559"/>
      <w:r w:rsidRPr="00F02A69">
        <w:rPr>
          <w:rFonts w:ascii="Times New Roman" w:eastAsia="等线 Light" w:hAnsi="Times New Roman" w:cs="Times New Roman"/>
          <w:b/>
          <w:kern w:val="0"/>
          <w:sz w:val="24"/>
          <w:lang w:val="en-GB" w:eastAsia="en-US"/>
          <w14:ligatures w14:val="none"/>
        </w:rPr>
        <w:t>5.3 Voluntary Participation and Right to Withdraw</w:t>
      </w:r>
      <w:bookmarkEnd w:id="35"/>
    </w:p>
    <w:p w14:paraId="7AEEC7D0"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Their participation was done voluntarily. The researcher had no supervisory or evaluative relationship with any of the participants, and this was made clear to all the participants in all recruitment and consent forms to exclude any institutional coercion. The participants were at liberty to decline any question, take an interview break, or leave without a reason and with no professional consequences. Participants could also withdraw their data up to approximately four weeks after their interview, at which point anonymised contributions would be incorporated into the cross-case thematic analysis. After synthesising individual data into collective findings, it was impossible to separate individual data without destroying the integrity of the analysis. The reason and this deadline were quite evident in all consent documentation.</w:t>
      </w:r>
    </w:p>
    <w:p w14:paraId="35746F6C"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36" w:name="_Toc226463560"/>
      <w:r w:rsidRPr="00F02A69">
        <w:rPr>
          <w:rFonts w:ascii="Times New Roman" w:eastAsia="等线 Light" w:hAnsi="Times New Roman" w:cs="Times New Roman"/>
          <w:b/>
          <w:kern w:val="0"/>
          <w:sz w:val="24"/>
          <w:lang w:val="en-GB" w:eastAsia="en-US"/>
          <w14:ligatures w14:val="none"/>
        </w:rPr>
        <w:t>5.4 Confidentiality, Pseudonymization, and Data Protection</w:t>
      </w:r>
      <w:bookmarkEnd w:id="36"/>
    </w:p>
    <w:p w14:paraId="4EE35BA0"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Personal data that were taken care of included interview records and transcripts. It was so to protect the identities of the participants: each of them received such codes as School A Counsellor 1, and no proper names were referenced anywhere in the research materials/products. Schools were identified by generic names. An identifying key between codes and the actual identities was only kept in order to provide a member check, in a separate encrypted file, which was destroyed at the end of the project. University systems had encrypted passwords to store all the information that was, in turn, backed up weekly to a secure cloud system. Audio recording transcription and deletion were guaranteed. Any published outputs and any other professional </w:t>
      </w:r>
      <w:r w:rsidRPr="00F02A69">
        <w:rPr>
          <w:rFonts w:ascii="Times New Roman" w:eastAsia="Times New Roman" w:hAnsi="Times New Roman" w:cs="Times New Roman"/>
          <w:kern w:val="0"/>
          <w:sz w:val="24"/>
          <w:lang w:val="en-GB" w:eastAsia="en-US"/>
          <w14:ligatures w14:val="none"/>
        </w:rPr>
        <w:lastRenderedPageBreak/>
        <w:t>development materials based on the study were completely anonymised such that there could be no identification of an individual, school, or location.</w:t>
      </w:r>
    </w:p>
    <w:p w14:paraId="033ED75B"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37" w:name="_Toc226463561"/>
      <w:r w:rsidRPr="00F02A69">
        <w:rPr>
          <w:rFonts w:ascii="Times New Roman" w:eastAsia="等线 Light" w:hAnsi="Times New Roman" w:cs="Times New Roman"/>
          <w:b/>
          <w:kern w:val="0"/>
          <w:sz w:val="24"/>
          <w:lang w:val="en-GB" w:eastAsia="en-US"/>
          <w14:ligatures w14:val="none"/>
        </w:rPr>
        <w:t>5.5 Minimising Harm</w:t>
      </w:r>
      <w:bookmarkEnd w:id="37"/>
    </w:p>
    <w:p w14:paraId="1CD86373"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Although the participants were not school students, but adult professionals, the questions that were raised were not sensitive. Participants were asked to reflect on student crises, difficult parental encounters, and moments of professional uncertainty, topics that carry social and professional weight in Chinese educational settings, where concerns about institutional hierarchy and professional reputation are prominent. The participants were informed very early on in the interviews that they could always choose not to respond to any question and even come out of the session without any consequences. The researcher would interrupt or volunteer to bring to an end where there were signs that one was not comfortable. The researcher was also mindful of the risk of secondary distress due to repeated exposure to the news of crisis among students and work-related pressure, as well as having access to the support of a professional supervisor and well-being during the process of data collection.</w:t>
      </w:r>
    </w:p>
    <w:p w14:paraId="346BFEC2"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38" w:name="_Toc226463562"/>
      <w:r w:rsidRPr="00F02A69">
        <w:rPr>
          <w:rFonts w:ascii="Times New Roman" w:eastAsia="等线 Light" w:hAnsi="Times New Roman" w:cs="Times New Roman"/>
          <w:b/>
          <w:kern w:val="0"/>
          <w:sz w:val="24"/>
          <w:lang w:val="en-GB" w:eastAsia="en-US"/>
          <w14:ligatures w14:val="none"/>
        </w:rPr>
        <w:t>5.6 Cross-Border Ethics and Cultural Sensitivity</w:t>
      </w:r>
      <w:bookmarkEnd w:id="38"/>
    </w:p>
    <w:p w14:paraId="2E192A00"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Since the fieldwork was conducted in Jiangsu Province, school-level permission had been received by the respective administration in agreed institutions before contacting potential participants. The necessity to clarify in the course of the study was that it was an inquiry into professional practice rather than a commentary on Chinese educational policy or institutional outcome. This framing was required since the issue of examinations and mental health within the Chinese schools was delicate, and the cultural aspect of order and the loyalty of the institution also affected the way the professionals discussed their professional work. This consideration allowed interview protocols to be formulated bearing these norms in mind, and the reported </w:t>
      </w:r>
      <w:r w:rsidRPr="00F02A69">
        <w:rPr>
          <w:rFonts w:ascii="Times New Roman" w:eastAsia="Times New Roman" w:hAnsi="Times New Roman" w:cs="Times New Roman"/>
          <w:kern w:val="0"/>
          <w:sz w:val="24"/>
          <w:lang w:val="en-GB" w:eastAsia="en-US"/>
          <w14:ligatures w14:val="none"/>
        </w:rPr>
        <w:lastRenderedPageBreak/>
        <w:t>results were objective, generating no impression that the Western mental health structures were the best. The fact that the researcher is a native Chinese and fluent in Mandarin helped them to build culturally sensitive communication and contribute to the process of establishing trust during the field work.</w:t>
      </w:r>
    </w:p>
    <w:p w14:paraId="166D0D75"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br w:type="page"/>
      </w:r>
    </w:p>
    <w:p w14:paraId="70A9F19B" w14:textId="77777777" w:rsidR="00F02A69" w:rsidRPr="00F02A69" w:rsidRDefault="00F02A69" w:rsidP="00F02A69">
      <w:pPr>
        <w:keepNext/>
        <w:keepLines/>
        <w:widowControl/>
        <w:spacing w:before="120" w:after="120" w:line="480" w:lineRule="auto"/>
        <w:contextualSpacing/>
        <w:jc w:val="center"/>
        <w:outlineLvl w:val="0"/>
        <w:rPr>
          <w:rFonts w:ascii="Times New Roman" w:eastAsia="等线 Light" w:hAnsi="Times New Roman" w:cs="Times New Roman"/>
          <w:b/>
          <w:kern w:val="0"/>
          <w:sz w:val="24"/>
          <w:lang w:val="en-GB" w:eastAsia="en-US"/>
          <w14:ligatures w14:val="none"/>
        </w:rPr>
      </w:pPr>
      <w:bookmarkStart w:id="39" w:name="_Toc226463563"/>
      <w:r w:rsidRPr="00F02A69">
        <w:rPr>
          <w:rFonts w:ascii="Times New Roman" w:eastAsia="等线 Light" w:hAnsi="Times New Roman" w:cs="Times New Roman"/>
          <w:b/>
          <w:kern w:val="0"/>
          <w:sz w:val="24"/>
          <w:lang w:val="en-GB" w:eastAsia="en-US"/>
          <w14:ligatures w14:val="none"/>
        </w:rPr>
        <w:lastRenderedPageBreak/>
        <w:t>Chapter 6. Findings</w:t>
      </w:r>
      <w:bookmarkEnd w:id="39"/>
    </w:p>
    <w:p w14:paraId="42A6B8AD"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40" w:name="_Toc226463564"/>
      <w:r w:rsidRPr="00F02A69">
        <w:rPr>
          <w:rFonts w:ascii="Times New Roman" w:eastAsia="等线 Light" w:hAnsi="Times New Roman" w:cs="Times New Roman"/>
          <w:b/>
          <w:kern w:val="0"/>
          <w:sz w:val="24"/>
          <w:lang w:val="en-GB" w:eastAsia="en-US"/>
          <w14:ligatures w14:val="none"/>
        </w:rPr>
        <w:t>6.1 Introduction</w:t>
      </w:r>
      <w:bookmarkEnd w:id="40"/>
    </w:p>
    <w:p w14:paraId="110797F2"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This chapter provides the results of semi-structured interviews with eighteen school mental health practitioners in six high schools in Jiangsu. The findings are presented in the form of themes against the four research questions. Five themes were developed from the data: variation in practitioners’ recognition and naming of psychological mechanisms; the influence of examination timing on intervention priorities; differences by school type in what counted as appropriate support; the decisive influence of parental responses; and marked variation in practitioners’ professional training and confidence.</w:t>
      </w:r>
    </w:p>
    <w:p w14:paraId="6B5CE33F"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41" w:name="_Toc226463565"/>
      <w:r w:rsidRPr="00F02A69">
        <w:rPr>
          <w:rFonts w:ascii="Times New Roman" w:eastAsia="等线 Light" w:hAnsi="Times New Roman" w:cs="Times New Roman"/>
          <w:b/>
          <w:kern w:val="0"/>
          <w:sz w:val="24"/>
          <w:lang w:val="en-GB" w:eastAsia="en-US"/>
          <w14:ligatures w14:val="none"/>
        </w:rPr>
        <w:t>6.2 Theme 1: Practitioners Recognised Mechanisms, but not Always in Formal Psychological Language</w:t>
      </w:r>
      <w:bookmarkEnd w:id="41"/>
    </w:p>
    <w:p w14:paraId="6586DAE6"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Across the dataset, practitioners showed considerable ability to recognise psychological processes contributing to exam-related anxiety, although the precision and formalisation of this recognition varied by training background and school setting</w:t>
      </w:r>
      <w:r w:rsidRPr="00F02A69">
        <w:rPr>
          <w:rFonts w:ascii="宋体" w:eastAsia="宋体" w:hAnsi="宋体" w:cs="宋体" w:hint="eastAsia"/>
          <w:kern w:val="0"/>
          <w:sz w:val="24"/>
          <w:lang w:val="en-GB"/>
          <w14:ligatures w14:val="none"/>
        </w:rPr>
        <w:t>.</w:t>
      </w:r>
    </w:p>
    <w:p w14:paraId="0188A2DE"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The highest percentage of practitioners who practiced in schools that were well-resourced spoke both in clinical and theoretical terms, and most probably received formal education in psychology. P1, a counsellor at an international school in Suzhou, described one student's presentation in terms of three interacting layers: surface-level fear of examinations, underlying perfectionism and catastrophising, and a deeper tendency to equate academic performance with self-worth. Sleep dysregulation was also found to be a symptom, as well as a perpetuating factor to emotional dysregulation. A Nanjing psychology teacher (P8) drew a definite line between a shallow observation on the part of a student and the degree of danger, and approached the </w:t>
      </w:r>
      <w:r w:rsidRPr="00F02A69">
        <w:rPr>
          <w:rFonts w:ascii="Times New Roman" w:eastAsia="Times New Roman" w:hAnsi="Times New Roman" w:cs="Times New Roman"/>
          <w:kern w:val="0"/>
          <w:sz w:val="24"/>
          <w:lang w:val="en-GB" w:eastAsia="en-US"/>
          <w14:ligatures w14:val="none"/>
        </w:rPr>
        <w:lastRenderedPageBreak/>
        <w:t>evaluation of safety systematically instead of reacting to a crisis comment voiced by a student as an emotional outburst.</w:t>
      </w:r>
    </w:p>
    <w:p w14:paraId="71DCD50B"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On the other hand, non-psychological trainers would expand on the same underlying processes in non-psychological, contextualised terms. P6, a class-teacher in a private school at Changzhou, knew about somatisation anxiety but in words other than those used to explain it, talking of stomach aches which followed nervous pre-exam jitters in one student, said that “nerves had manifested physically.” P12 identified shame and social-evaluative anxiety in a student who refused to submit exam papers, describing her reluctance as a “fear of exposing her shortcomings in front of classmates.” P16 described a student who had stopped attending class, saying she “couldn't hold on any longer.” While P16 did not frame the situation in terms of personality or family history, she nonetheless responded operationally, focusing on what the student needed to function in the short term.</w:t>
      </w:r>
    </w:p>
    <w:p w14:paraId="3FE60241"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biggest problem emerging as a result of this theme was the least experienced practitioners, who had the least support. Nevertheless, P15, a counsellor with three years of experience at a private school in Lianyungang, acknowledged difficulty moving beyond general terms such as “bad mood” or “high stress” in describing student presentations. She also understood that these formulations were not enough, but she did not have the supervision or training to build a more specific mechanism-oriented reasoning. P9 discussed clinical judgment progressively formed over the course of time, but this had been unequal to itself and relied on cumulative case experience, not on systematic professional experience.</w:t>
      </w:r>
    </w:p>
    <w:p w14:paraId="75F15558"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This theme suggests that the absence of formal psychological terminology did not necessarily indicate an absence of mechanism recognition. However, limited formal training </w:t>
      </w:r>
      <w:r w:rsidRPr="00F02A69">
        <w:rPr>
          <w:rFonts w:ascii="Times New Roman" w:eastAsia="Times New Roman" w:hAnsi="Times New Roman" w:cs="Times New Roman"/>
          <w:kern w:val="0"/>
          <w:sz w:val="24"/>
          <w:lang w:val="en-GB" w:eastAsia="en-US"/>
          <w14:ligatures w14:val="none"/>
        </w:rPr>
        <w:lastRenderedPageBreak/>
        <w:t>appeared to reduce consistency in moving from symptomatic description to more explicit causal reasoning and intervention planning.</w:t>
      </w:r>
    </w:p>
    <w:p w14:paraId="46641A16"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42" w:name="_Toc226463566"/>
      <w:r w:rsidRPr="00F02A69">
        <w:rPr>
          <w:rFonts w:ascii="Times New Roman" w:eastAsia="等线 Light" w:hAnsi="Times New Roman" w:cs="Times New Roman"/>
          <w:b/>
          <w:kern w:val="0"/>
          <w:sz w:val="24"/>
          <w:lang w:val="en-GB" w:eastAsia="en-US"/>
          <w14:ligatures w14:val="none"/>
        </w:rPr>
        <w:t>6.3 Theme 2: Examination Timing Strongly Shaped Intervention Priorities</w:t>
      </w:r>
      <w:bookmarkEnd w:id="42"/>
    </w:p>
    <w:p w14:paraId="0949A76C"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High-stakes examination timing proved to be among the most effective determinants of practitioner decision-making. As examinations approach, the practitioners in all school types target short-term stabilisation results such as rest, attendance, unique indicators of distress reduction, and the ability of the student to pass the examination.</w:t>
      </w:r>
    </w:p>
    <w:p w14:paraId="69A87D26"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In better-resource schools, practitioners often described this prioritisation as a conscious and clinically-based change of focus. P1, as an illustration, described how she had avoided going deep into the family- or identity-related work just before examinations without conscious thought that that area was not important, but it just seemed to her that it was both therapeutically and practically inappropriate. Instead, she focused on whether the student could sleep, eat, attend school, and continue to work during the time of examination. Similarly, the P7 who worked in a more advanced provision system in Suzhou defined intervention as sequential in time, whereby an urgent stabilisation comes before the examination, then a more deliberate, recovery-based intervention.</w:t>
      </w:r>
    </w:p>
    <w:p w14:paraId="7FD60D5E"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Practitioners working in under-resourced settings had the same emphasis on short-term stabilisation, but described it as not being their clinical choice but rather the most practical action in the context of structural constraint. P5 explained that she knew that she needed longer-term support, but the school had a belief that students needed to resume classes as soon as possible, thus promoting practice towards instant functional recovery. P11, a teacher in a county school, said that she would have liked to balance out a degree more with a student who was showing intense distress, but thought that there was too much of a classroom to get involved in, and not </w:t>
      </w:r>
      <w:r w:rsidRPr="00F02A69">
        <w:rPr>
          <w:rFonts w:ascii="Times New Roman" w:eastAsia="Times New Roman" w:hAnsi="Times New Roman" w:cs="Times New Roman"/>
          <w:kern w:val="0"/>
          <w:sz w:val="24"/>
          <w:lang w:val="en-GB" w:eastAsia="en-US"/>
          <w14:ligatures w14:val="none"/>
        </w:rPr>
        <w:lastRenderedPageBreak/>
        <w:t>enough time to give the necessary attention as she felt was needed to report on the matter and be confined by the administration. P16 also indicated that when the days that remained before the examination were less than 50, the new goal was to get the student in a position to sit the examination, but it might not be the most optimal psychological support.</w:t>
      </w:r>
    </w:p>
    <w:p w14:paraId="51CBC4EF"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tension between short-term stabilisation and long-term capacity building in this instance was therefore not a professional dilemma at my personal level but a structural effect of the examiner schedule. The long-term work was never denied in theory, but was, in practice, each time adjourned to an uncertain future.</w:t>
      </w:r>
    </w:p>
    <w:p w14:paraId="114EF359"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43" w:name="_Toc226463567"/>
      <w:r w:rsidRPr="00F02A69">
        <w:rPr>
          <w:rFonts w:ascii="Times New Roman" w:eastAsia="等线 Light" w:hAnsi="Times New Roman" w:cs="Times New Roman"/>
          <w:b/>
          <w:kern w:val="0"/>
          <w:sz w:val="24"/>
          <w:lang w:val="en-GB" w:eastAsia="en-US"/>
          <w14:ligatures w14:val="none"/>
        </w:rPr>
        <w:t>6.4 Theme 3: School Type Shaped What Counted as an Appropriate Intervention</w:t>
      </w:r>
      <w:bookmarkEnd w:id="43"/>
    </w:p>
    <w:p w14:paraId="1CDA4DBD"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knowledge of what an appropriate intervention entailed varied by the type of school, institutional resources, and organisational culture, and student intake dictated what range of support practitioners considered was possible and acceptable.</w:t>
      </w:r>
    </w:p>
    <w:p w14:paraId="7DE50C2C"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International schools had the most favourable sustained reflective support work. Both P1 and P2 articulated that they could comply with multi-session assistance other than urgent crisis intervention, to promote formal, family, and long-term modification of psychology. P2 identified that the interactions involving the adults surrounding a student were of concern, not the student per se, and restored the role of parents regarding the issue.</w:t>
      </w:r>
    </w:p>
    <w:p w14:paraId="5710DCE2"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It was more complex in the case of foreign language schools. P3, who had taught both streams of international and regular classes in the same school, realized that the two groups of students exhibited radically different behaviours of showing distress and that they requested help in radically different ways. International stream students were more likely to make use of more psychological language; they were also more likely to portray distress as a physical symptom or generally as irritable and less likely to self-refer.</w:t>
      </w:r>
    </w:p>
    <w:p w14:paraId="3CF6AF55"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lastRenderedPageBreak/>
        <w:t>Private ordinary high schools were characterised by stronger institutional pressure for rapid functional recovery. P5 explained ambivalence by the school’s desire: P1 had the vision of what the school wanted: a quick fix, yet remembered that the recurrent presentations required a long-term fix. Municipal and experimental schools in Suzhou and Nanjing were most likely to embed individual intervention decisions within a structured institutional framework encompassing multi-level early warning systems, coordinated multi-role responses, and established medical-educational referral pathways. The two (P7 and P8) justified that it is genuinely systemic practice since it is not conducted as an individual.</w:t>
      </w:r>
    </w:p>
    <w:p w14:paraId="5EB11290"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Overall, this theme suggests that decision-making about interventions was not exclusively well informed by practitioner judgment, but heavily framed by institutional context, whereby the type of school informed the extent and timing of what practitioners were capable of realistically providing.</w:t>
      </w:r>
    </w:p>
    <w:p w14:paraId="4A22117A"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44" w:name="_Toc226463568"/>
      <w:r w:rsidRPr="00F02A69">
        <w:rPr>
          <w:rFonts w:ascii="Times New Roman" w:eastAsia="等线 Light" w:hAnsi="Times New Roman" w:cs="Times New Roman"/>
          <w:b/>
          <w:kern w:val="0"/>
          <w:sz w:val="24"/>
          <w:lang w:val="en-GB" w:eastAsia="en-US"/>
          <w14:ligatures w14:val="none"/>
        </w:rPr>
        <w:t>6.5 Theme 4: Parents Were Decisive to Implementation</w:t>
      </w:r>
      <w:bookmarkEnd w:id="44"/>
    </w:p>
    <w:p w14:paraId="18055621"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Parental reactions emerged as a defining factor in whether and how school-based mental health initiatives were feasible, and the family perception of anxiety had a significant impact on the viability of practitioner-led interventions.</w:t>
      </w:r>
    </w:p>
    <w:p w14:paraId="1FC5FD8B"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Practitioners delivered much better results in instances where the parents acknowledged that the child was experiencing a psychologically-sensed difficulty and not a motivational difficulty. P2 mentioned that they often pointed out the way in which things were done by the adults in the life of a student, by naming the problem and not necessarily the student. P6 discovered that they could control parental interpretation to prevent their feeling that somatisation was laziness or pretence to the parental side, just as much as direct working with the student. This pressure was specially created within the context of international schools, </w:t>
      </w:r>
      <w:r w:rsidRPr="00F02A69">
        <w:rPr>
          <w:rFonts w:ascii="Times New Roman" w:eastAsia="Times New Roman" w:hAnsi="Times New Roman" w:cs="Times New Roman"/>
          <w:kern w:val="0"/>
          <w:sz w:val="24"/>
          <w:lang w:val="en-GB" w:eastAsia="en-US"/>
          <w14:ligatures w14:val="none"/>
        </w:rPr>
        <w:lastRenderedPageBreak/>
        <w:t>where the psychological support is turned into a particular tool used by some parents as a way of making it a tool of better application results rather than having a positive impact on well-being, as indicated in the notes by P1.</w:t>
      </w:r>
    </w:p>
    <w:p w14:paraId="099C70E7"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In the case where parents demanded comprehension of distress in terms of willpower, laziness, or lack of effort, the space in which school-based support would be possible was reduced considerably. P2 articulated that such reactions on behalf of parents were equal to the closing of the psychological support space in school. P17 reported that at a township school, the students whose families had one parent working away realized that there was no dependable adult to translate their distress into any form that would make sense to other people, and that help was needed.</w:t>
      </w:r>
    </w:p>
    <w:p w14:paraId="51A3F242"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This theme underscores the fact that intervention decision-making occurred not just within the school context, but was largely facilitated or hindered by parental beliefs, involvement, and inclination to view exam-related distress as a psychological problem, as opposed to a motivational one.</w:t>
      </w:r>
    </w:p>
    <w:p w14:paraId="1991AB7D"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45" w:name="_Toc226463569"/>
      <w:r w:rsidRPr="00F02A69">
        <w:rPr>
          <w:rFonts w:ascii="Times New Roman" w:eastAsia="等线 Light" w:hAnsi="Times New Roman" w:cs="Times New Roman"/>
          <w:b/>
          <w:kern w:val="0"/>
          <w:sz w:val="24"/>
          <w:lang w:val="en-GB" w:eastAsia="en-US"/>
          <w14:ligatures w14:val="none"/>
        </w:rPr>
        <w:t>6.6 Theme 5: Not All Practitioners Had the Same Level of Professional Confidence or Training</w:t>
      </w:r>
      <w:bookmarkEnd w:id="45"/>
    </w:p>
    <w:p w14:paraId="046CA844"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The most significant structural observation was the significant difference in the professional training and confidence of practitioners. There were substantial differences in disciplinary background, access to psychological training, and confidence in using mechanism-based reasoning in practice.</w:t>
      </w:r>
    </w:p>
    <w:p w14:paraId="577FE19D"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P1 and P2 at one end of the distribution held either post-graduate or specialist, undergraduate degrees in psychology or mental health schooling, and could use the kind of organized, mechanism-based clinical reasoning. P11 represented an English language education </w:t>
      </w:r>
      <w:r w:rsidRPr="00F02A69">
        <w:rPr>
          <w:rFonts w:ascii="Times New Roman" w:eastAsia="Times New Roman" w:hAnsi="Times New Roman" w:cs="Times New Roman"/>
          <w:kern w:val="0"/>
          <w:sz w:val="24"/>
          <w:lang w:val="en-GB" w:eastAsia="en-US"/>
          <w14:ligatures w14:val="none"/>
        </w:rPr>
        <w:lastRenderedPageBreak/>
        <w:t>degree, P15 had a degree in educational technology, and P16 and P17 were historians and ideological-political educators, respectively, at the other end. Such practitioners had developed their skills either in district training sessions, or during self-study, or by being exposed to cases, and their confidence in making structured clinical judgments was also low.</w:t>
      </w:r>
    </w:p>
    <w:p w14:paraId="5FFF249E"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P11 clarified that they would not be able to carry on care due to the lack of concern, but because of the demands in the institution that interfered with her time. P15 explained the excruciating disjuncture between the awareness of the inadequacy of superficial reassurance and the lack of awareness about the following step that would be professional in nature. These were not depictions of poor character and dedication, but of the structural fact of the Jiangsu school mental health expansions having advanced more rapidly than the workforce of the kind trained on a regular and dependable basis to fill it.</w:t>
      </w:r>
    </w:p>
    <w:p w14:paraId="5A2CA068"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These discrepancies cannot be attributed to individual incompetency, but rather to systemic incompatibility between school mental health personnel training and the proliferation of school mental health with the thousands of practitioners in Jiangsu, and this has not been accompanied by parallel preparation of practitioner training and professionalization of practitioner training.</w:t>
      </w:r>
    </w:p>
    <w:p w14:paraId="7D129BE8"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46" w:name="_Toc226463570"/>
      <w:r w:rsidRPr="00F02A69">
        <w:rPr>
          <w:rFonts w:ascii="Times New Roman" w:eastAsia="等线 Light" w:hAnsi="Times New Roman" w:cs="Times New Roman"/>
          <w:b/>
          <w:kern w:val="0"/>
          <w:sz w:val="24"/>
          <w:lang w:val="en-GB" w:eastAsia="en-US"/>
          <w14:ligatures w14:val="none"/>
        </w:rPr>
        <w:t>6.7 Cross-Theme Summary</w:t>
      </w:r>
      <w:bookmarkEnd w:id="46"/>
    </w:p>
    <w:p w14:paraId="4DF40339"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Combined, the five themes indicate that student need alone was never a determining factor in intervention decision-making in Jiangsu high schools. Instead, it was influenced by the interaction of both practitioner training, the timing of examination, parental reactions, school culture, institutional resources and access to broader support systems. These factors did not work in isolation; they interacted to create exceptionally different practical conditions to make decisions in various settings. A well-trained practitioner, with supportive parents, and in well-</w:t>
      </w:r>
      <w:r w:rsidRPr="00F02A69">
        <w:rPr>
          <w:rFonts w:ascii="Times New Roman" w:eastAsia="Times New Roman" w:hAnsi="Times New Roman" w:cs="Times New Roman"/>
          <w:kern w:val="0"/>
          <w:sz w:val="24"/>
          <w:lang w:val="en-GB" w:eastAsia="en-US"/>
          <w14:ligatures w14:val="none"/>
        </w:rPr>
        <w:lastRenderedPageBreak/>
        <w:t>organized institutional systems, would be operating in a completely different setting than would a practitioner in a small township school of limited training, poor referral sources, and family support. Intervention decisions can thus not be understood simply by individual professional judgment, but rather by the broader ecology of conditions within which such judgment is being practiced.</w:t>
      </w:r>
    </w:p>
    <w:p w14:paraId="252C89EF"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br w:type="page"/>
      </w:r>
    </w:p>
    <w:p w14:paraId="38B462B4" w14:textId="77777777" w:rsidR="00F02A69" w:rsidRPr="00F02A69" w:rsidRDefault="00F02A69" w:rsidP="00F02A69">
      <w:pPr>
        <w:keepNext/>
        <w:keepLines/>
        <w:widowControl/>
        <w:spacing w:before="120" w:after="120" w:line="480" w:lineRule="auto"/>
        <w:contextualSpacing/>
        <w:jc w:val="center"/>
        <w:outlineLvl w:val="0"/>
        <w:rPr>
          <w:rFonts w:ascii="Times New Roman" w:eastAsia="等线 Light" w:hAnsi="Times New Roman" w:cs="Times New Roman"/>
          <w:b/>
          <w:kern w:val="0"/>
          <w:sz w:val="24"/>
          <w:lang w:val="en-GB" w:eastAsia="en-US"/>
          <w14:ligatures w14:val="none"/>
        </w:rPr>
      </w:pPr>
      <w:bookmarkStart w:id="47" w:name="_Toc226463571"/>
      <w:r w:rsidRPr="00F02A69">
        <w:rPr>
          <w:rFonts w:ascii="Times New Roman" w:eastAsia="等线 Light" w:hAnsi="Times New Roman" w:cs="Times New Roman"/>
          <w:b/>
          <w:kern w:val="0"/>
          <w:sz w:val="24"/>
          <w:lang w:val="en-GB" w:eastAsia="en-US"/>
          <w14:ligatures w14:val="none"/>
        </w:rPr>
        <w:lastRenderedPageBreak/>
        <w:t>Chapter 7. Discussion</w:t>
      </w:r>
      <w:bookmarkEnd w:id="47"/>
    </w:p>
    <w:p w14:paraId="7B3B54CD"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48" w:name="_Toc226463572"/>
      <w:r w:rsidRPr="00F02A69">
        <w:rPr>
          <w:rFonts w:ascii="Times New Roman" w:eastAsia="等线 Light" w:hAnsi="Times New Roman" w:cs="Times New Roman"/>
          <w:b/>
          <w:kern w:val="0"/>
          <w:sz w:val="24"/>
          <w:lang w:val="en-GB" w:eastAsia="en-US"/>
          <w14:ligatures w14:val="none"/>
        </w:rPr>
        <w:t>7.1 Introduction</w:t>
      </w:r>
      <w:bookmarkEnd w:id="48"/>
    </w:p>
    <w:p w14:paraId="2E312C44"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This chapter contextualizes the findings to the research questions and the legacy of literature when examining practitioner reasoning, institutional constraints, and implications of contextual inequality to school mental health practice within Jiangsu high schools, in particular.</w:t>
      </w:r>
    </w:p>
    <w:p w14:paraId="2F7C06D8"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49" w:name="_Toc226463573"/>
      <w:r w:rsidRPr="00F02A69">
        <w:rPr>
          <w:rFonts w:ascii="Times New Roman" w:eastAsia="等线 Light" w:hAnsi="Times New Roman" w:cs="Times New Roman"/>
          <w:b/>
          <w:kern w:val="0"/>
          <w:sz w:val="24"/>
          <w:lang w:val="en-GB" w:eastAsia="en-US"/>
          <w14:ligatures w14:val="none"/>
        </w:rPr>
        <w:t>7.2 Discussion of RQ1: How Practitioners Identified and Interpreted Psychological Mechanisms</w:t>
      </w:r>
      <w:bookmarkEnd w:id="49"/>
    </w:p>
    <w:p w14:paraId="441F53A7"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This finding has considerable theoretical implications. A good deal of literature in mechanism-oriented intervention implicitly proposes that successful identification of mechanisms entails formal clinical training and technical language. That assumption is complicated by the present study. It suggests practical mechanism recognition: some form of situated professional knowledge where practitioners are able to acknowledge functionally important psychological processes without necessarily describing them in formal clinical terms.</w:t>
      </w:r>
    </w:p>
    <w:p w14:paraId="00D8F694"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This understanding is in line with the concept of knowing-in-action discussed by Schoen, which suggests that professionals tend to utilize types of tacit knowledge that are grounded in experience and are not always easy to articulate. Practitioners who identified somatisation, shame, or avoidance but did not use professional language were not necessarily deficient in conceptual awareness; they were simply expressions of a kind of practical and situational-based knowledge. Meanwhile, such an understanding did not become homogeneous. It appeared consistent because of training, institutional conditions, and access to supervision. The recognition of mechanism cannot, consequently, be addressed as a distinct cognitive ability, but as a professional capacity which is shaped through the organisation of practice circumstances. This directly leads to the directive of professional development that does not necessarily need to </w:t>
      </w:r>
      <w:r w:rsidRPr="00F02A69">
        <w:rPr>
          <w:rFonts w:ascii="Times New Roman" w:eastAsia="Times New Roman" w:hAnsi="Times New Roman" w:cs="Times New Roman"/>
          <w:kern w:val="0"/>
          <w:sz w:val="24"/>
          <w:lang w:val="en-GB" w:eastAsia="en-US"/>
          <w14:ligatures w14:val="none"/>
        </w:rPr>
        <w:lastRenderedPageBreak/>
        <w:t>be embodied through teaching the terminology itself, but also through how to expedite the shift of professional practitioners between recognition and the rationale structured intervention.</w:t>
      </w:r>
    </w:p>
    <w:p w14:paraId="1E783521"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At the same time, the research results also demonstrate that formal training is significant to consistency, escalation decision-making, and the ability to switch between symptoms description and planned interventions. For example, P15 was at a loss, particularly in distinguishing between catastrophising, shame, and generalised stress, and she was undecided on what a more professionally appropriate next step would look like. This was contrary to other practitioners such as P6 or P12 whose non-clinical language, however, exhibited functionally satisfactory understanding. The question is not therefore whether formal language fixes competence, whether absence of evenness is a constraint of training on consistency and depth of reasoning founded on mechanisms, but whether the inequalities of the mechanism-based reasoning are affected by these inequalities.</w:t>
      </w:r>
    </w:p>
    <w:p w14:paraId="049AF0A9"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50" w:name="_Toc226463574"/>
      <w:r w:rsidRPr="00F02A69">
        <w:rPr>
          <w:rFonts w:ascii="Times New Roman" w:eastAsia="等线 Light" w:hAnsi="Times New Roman" w:cs="Times New Roman"/>
          <w:b/>
          <w:kern w:val="0"/>
          <w:sz w:val="24"/>
          <w:lang w:val="en-GB" w:eastAsia="en-US"/>
          <w14:ligatures w14:val="none"/>
        </w:rPr>
        <w:t>7.3 Discussion of RQ2: How Practitioners Decided Which Interventions to Use</w:t>
      </w:r>
      <w:bookmarkEnd w:id="50"/>
    </w:p>
    <w:p w14:paraId="470F2ED1"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decision to use intervention was a negotiated decision, and not a clinical process on its own. The practitioners were guided in the decision-making process by a mix of student needs, expectations on the school and school views, family reaction, available time and resources (perceived and real), and perceived professional competence. Therefore, intervention decision-making was barely an act of direct translation of the evidence-based practice but was characterised by a never-ending process of bargaining between institutional demands and the apparent possibilities offered by the practitioners.</w:t>
      </w:r>
    </w:p>
    <w:p w14:paraId="2C83D896"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This complies with findings of implementation science studies that situational and organisational situations also affect intervention practices in schools, on top of clinical evidence. The strategies adopted in this research were not selected at random; the practitioners were given </w:t>
      </w:r>
      <w:r w:rsidRPr="00F02A69">
        <w:rPr>
          <w:rFonts w:ascii="Times New Roman" w:eastAsia="Times New Roman" w:hAnsi="Times New Roman" w:cs="Times New Roman"/>
          <w:kern w:val="0"/>
          <w:sz w:val="24"/>
          <w:lang w:val="en-GB" w:eastAsia="en-US"/>
          <w14:ligatures w14:val="none"/>
        </w:rPr>
        <w:lastRenderedPageBreak/>
        <w:t>options on those that they believed they could work with in the conditions they found themselves in during their job, training, school expectations, as well as the expected response of their families. And in other circumstances, practitioners knew a longer-term or developmentally-oriented response would be preferable, but they were unable to do it because of institutional demands or parental resistance. It suggests that in order to improve decision-making processes, attention to not only individual knowledge and expertise, but also to organisational settings within which decisions are made, is important.</w:t>
      </w:r>
    </w:p>
    <w:p w14:paraId="5918CDC1"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findings also relate directly to the implementation theory, like that proposed by Fixsen, which emphasises that without appropriate organisational support, training is ineffective. It was discovered that the implementation capacity was imbalanced in the Jiangsu cases. The city schools were more resourceful and featured more expanded roles, strong referral systems, and were more readily coordinated, and the township and county schools tended to be partially supervised, poorly defined, and had weak referral channels. In these circumstances, practitioners might not be able to use evidence-based methods wherever they understand what would be applicable in theory. It is inferred that accuracy in school improvement in mental health would not be achieved by having more training opportunities, but also by having an institutional background in which the knowledge could be translated into practice.</w:t>
      </w:r>
    </w:p>
    <w:p w14:paraId="279A4818"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51" w:name="_Toc226463575"/>
      <w:r w:rsidRPr="00F02A69">
        <w:rPr>
          <w:rFonts w:ascii="Times New Roman" w:eastAsia="等线 Light" w:hAnsi="Times New Roman" w:cs="Times New Roman"/>
          <w:b/>
          <w:kern w:val="0"/>
          <w:sz w:val="24"/>
          <w:lang w:val="en-GB" w:eastAsia="en-US"/>
          <w14:ligatures w14:val="none"/>
        </w:rPr>
        <w:t>7.4 Discussion of RQ3: How Practitioners Balanced Stabilisation and Long-Term Capacity Building</w:t>
      </w:r>
      <w:bookmarkEnd w:id="51"/>
    </w:p>
    <w:p w14:paraId="64CC9888"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The tension between direct stabilisation and capacity building in the long run should not be viewed as a matter of having predominantly practitioner preference or professional shortcoming. Instead, the findings suggest that the examination calendar itself is a source of the </w:t>
      </w:r>
      <w:r w:rsidRPr="00F02A69">
        <w:rPr>
          <w:rFonts w:ascii="Times New Roman" w:eastAsia="Times New Roman" w:hAnsi="Times New Roman" w:cs="Times New Roman"/>
          <w:kern w:val="0"/>
          <w:sz w:val="24"/>
          <w:lang w:val="en-GB" w:eastAsia="en-US"/>
          <w14:ligatures w14:val="none"/>
        </w:rPr>
        <w:lastRenderedPageBreak/>
        <w:t>creation of this tension. With this, high-stakes assessment systems not only cause exam anxiety but also impose a restriction on the kind of support that schools can practically implement.</w:t>
      </w:r>
    </w:p>
    <w:p w14:paraId="1804951E"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Practitioners have realised the value of more prolonged psychological work, yet time and again this has been put off to post-examination periods, which have been perceived as the only possible chance to conduct more in-depth work. By that point, such windows used to be frequently short, untrustworthy, or soon replaced by the subsequent academic cycle. This suggests that the problem of stabilisation/development is not wholly situated within the professional orientation, but is mediated by the systemic constraint of the time organisation of high-stakes schooling. The examination calendar not only dictates on which day anxiety is the most apparent but also outlines what kind of intervention can be considered at different moments of time throughout the school year.</w:t>
      </w:r>
    </w:p>
    <w:p w14:paraId="02D94F1B"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This trend may be explained by an ecological approach. The examination calendar in the terms of Bronfenbrenner does not signify only the working of the immediate school life of the macrosystem, but rather a part of a more comprehensive chronosystem and macrosystem that organizes institutional priorities, cultural values, and professional action. It has an influence on policy expectations, behaviour at school, decision-making by practitioners, and experience by students at the same time. In that regard, a stabilisation-oriented response should not be seen as an expression of the low level of professional commitment, but of a reasonable adaptation to a system where high-stakes assessment brings a crunching of time slots in which the process of developmental mental health employment occurs. That means that reforming school mental health could not merely be a matter of individual practitioners; it must extend into the macro institutional and temporal setting that makes up the form of the imaginable.</w:t>
      </w:r>
    </w:p>
    <w:p w14:paraId="65BC82EB"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52" w:name="_Toc226463576"/>
      <w:r w:rsidRPr="00F02A69">
        <w:rPr>
          <w:rFonts w:ascii="Times New Roman" w:eastAsia="等线 Light" w:hAnsi="Times New Roman" w:cs="Times New Roman"/>
          <w:b/>
          <w:kern w:val="0"/>
          <w:sz w:val="24"/>
          <w:lang w:val="en-GB" w:eastAsia="en-US"/>
          <w14:ligatures w14:val="none"/>
        </w:rPr>
        <w:lastRenderedPageBreak/>
        <w:t>7.5 Discussion of RQ4: How Contextual Factors Shaped Feasibility and Implementation</w:t>
      </w:r>
      <w:bookmarkEnd w:id="52"/>
    </w:p>
    <w:p w14:paraId="0BF74F7D"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等线" w:hAnsi="Times New Roman" w:cs="Times New Roman"/>
          <w:kern w:val="0"/>
          <w:sz w:val="24"/>
          <w:lang w:val="en-GB"/>
          <w14:ligatures w14:val="none"/>
        </w:rPr>
        <w:t>Background variables should not be viewed as contextual conditions that simply externally influence intervention decisions. Rather, the outcomes are reflective of the fact that such conditions are the possibilities of practice per se. The type of school, the parents, and the background of the practitioner, as well as the infrastructure of the regional services, do not merely mediate how the interventions will be offered; however, they do help to determine what kinds of interventions may be offered in the first place.</w:t>
      </w:r>
    </w:p>
    <w:p w14:paraId="29B117EC"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等线" w:hAnsi="Times New Roman" w:cs="Times New Roman"/>
          <w:kern w:val="0"/>
          <w:sz w:val="24"/>
          <w:lang w:val="en-GB"/>
          <w14:ligatures w14:val="none"/>
        </w:rPr>
        <w:t>An especially vivid tendency in data was the comparative analysis of more urban centres such as Suzhou and Nanjing with township- or county-level schools in other regions of Jiangsu. Practitioners in the urban areas were more likely to work within the framework of stratified assistance written with more autonomous role structures, established referral patterns, and access to medical-educational associate coordination. By contrast, township and county practitioners more often mentioned scarce resources and weaker access to specialist services and the types of professional isolation that staffing shortages and heavy workloads produce. Although technically these schools were under one common provincial policy framework, those variances in the nature of practice were so great that it would be unwise to presume that their practice contexts are functionally similar environments.</w:t>
      </w:r>
    </w:p>
    <w:p w14:paraId="09EF8457"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等线" w:hAnsi="Times New Roman" w:cs="Times New Roman"/>
          <w:kern w:val="0"/>
          <w:sz w:val="24"/>
          <w:lang w:val="en-GB"/>
          <w14:ligatures w14:val="none"/>
        </w:rPr>
        <w:t xml:space="preserve">These outcomes may be described in relation to the Lipsky concept of street-level bureaucracy that highlights the ultimate realization of policy as the outcome of discretionary behaviours of frontline professionals who operate under pressure, constraint, and confusion. The practitioners involved in the study were operating under a common policy situation, even though the realization of the policy was so disproportional because the institutional conditions were so varying. The disparities which become effective must not be understood in the light of personal </w:t>
      </w:r>
      <w:r w:rsidRPr="00F02A69">
        <w:rPr>
          <w:rFonts w:ascii="Times New Roman" w:eastAsia="等线" w:hAnsi="Times New Roman" w:cs="Times New Roman"/>
          <w:kern w:val="0"/>
          <w:sz w:val="24"/>
          <w:lang w:val="en-GB"/>
          <w14:ligatures w14:val="none"/>
        </w:rPr>
        <w:lastRenderedPageBreak/>
        <w:t>non-conformity or personal inabilities, but as types of discretion which are structurally determined. This means that the measurement of policy effects needs to put consideration on the measurement of the circumstances under which policy has to be implemented, and not what the practitioners are expected to implement.</w:t>
      </w:r>
    </w:p>
    <w:p w14:paraId="44B4BBA5"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53" w:name="_Toc226463577"/>
      <w:r w:rsidRPr="00F02A69">
        <w:rPr>
          <w:rFonts w:ascii="Times New Roman" w:eastAsia="等线 Light" w:hAnsi="Times New Roman" w:cs="Times New Roman"/>
          <w:b/>
          <w:kern w:val="0"/>
          <w:sz w:val="24"/>
          <w:lang w:val="en-GB" w:eastAsia="en-US"/>
          <w14:ligatures w14:val="none"/>
        </w:rPr>
        <w:t>7.6 Comparison with Existing Literature</w:t>
      </w:r>
      <w:bookmarkEnd w:id="53"/>
    </w:p>
    <w:p w14:paraId="648F9210"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Overall, the findings support and supply existing literature on exam anxiety and school-based mental health practice. They align with earlier studies that have found that exam anxiety may be strongly connected to individual mechanisms, such as catastrophising, perfectionism, avoiding, and sleep disruption, and conform to the ongoing findings that parent interpretations may either perpetuate or alleviate student distress (Richter et al., 2022; Lester et al., 2024). In this sense, this study advances the broader opinion of exam anxiety as a multidimensional and context-specific factor.</w:t>
      </w:r>
    </w:p>
    <w:p w14:paraId="72E369F1"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In the meantime, this study builds on this line of research by showing that these mechanisms are not just psychological processes common to the students, but also objects of perception to be practically applied by practising school professionals. In particular, the findings suggest that the possibilities of interventions are not only determined by the knowledge possessed by practitioners, but by the timeliness of their intervention, their school type, family, and institutional contexts. The investigation thus refocuses on the states of the intervention efficacy to the phenomenon of intervention decision-making in practice.</w:t>
      </w:r>
    </w:p>
    <w:p w14:paraId="1964459A"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Finally, the findings complicate the way assumptions are made based on the prevailing literature on workforce and implementation capability standardisation. Significant portions of the literature in the area of school mental health implicitly assume that a well-trained and relatively stable workforce of practitioners can be employed and is able to offer structured interventions </w:t>
      </w:r>
      <w:r w:rsidRPr="00F02A69">
        <w:rPr>
          <w:rFonts w:ascii="Times New Roman" w:eastAsia="Times New Roman" w:hAnsi="Times New Roman" w:cs="Times New Roman"/>
          <w:kern w:val="0"/>
          <w:sz w:val="24"/>
          <w:lang w:val="en-GB" w:eastAsia="en-US"/>
          <w14:ligatures w14:val="none"/>
        </w:rPr>
        <w:lastRenderedPageBreak/>
        <w:t>(Berger et al., 2022; Richter et al., 2022). Comparatively, training, discipline, and confidence of the practitioners in occupancies involving mental health in the Chinese high schools exhibit a lot of differences in this paper. This means that models developed in systems that are more standardised may not be moved without difficulties into the environments where professional roles have not yet been equalised and the development of institutional capacity is not yet fully developed.</w:t>
      </w:r>
    </w:p>
    <w:p w14:paraId="36CEF2F2"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54" w:name="_Toc226463578"/>
      <w:r w:rsidRPr="00F02A69">
        <w:rPr>
          <w:rFonts w:ascii="Times New Roman" w:eastAsia="等线 Light" w:hAnsi="Times New Roman" w:cs="Times New Roman"/>
          <w:b/>
          <w:kern w:val="0"/>
          <w:sz w:val="24"/>
          <w:lang w:val="en-GB" w:eastAsia="en-US"/>
          <w14:ligatures w14:val="none"/>
        </w:rPr>
        <w:t>7.7 Implications for Practice</w:t>
      </w:r>
      <w:bookmarkEnd w:id="54"/>
    </w:p>
    <w:p w14:paraId="3C4B0B20"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findings suggest that practitioner development should no longer be implemented as a general awareness training but should be organized on a case-by-case basis, informed by mechanisms. The most effective way of developing situational professional reasoning is via training that is offered primarily in the short lecture-based form. They should not just assist practitioners in defining psychological processes associated with anxiety leading up to and during examinations, but also define how these processes relate to intervention choices as well as escalation or referral.</w:t>
      </w:r>
    </w:p>
    <w:p w14:paraId="25F6A2F8"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More defined referral pathways should also be implemented that allow greater differentiation of specialist and non-specialist jobs. A practical guidance to teachers and pastoral staff regarding early identification, first-line support, and the recognition of potential risks should be provided, and the specialists’ practitioners must play an advisory and coordinating role in more complex cases. This is especially required in under-resourced settings, when the external referral systems are weaker, and the roles are less well outlined.</w:t>
      </w:r>
    </w:p>
    <w:p w14:paraId="01D6BD7E"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 xml:space="preserve">Also, schools should find more structured ways of parent involvement, since the idea of parental interpretation was among the main factors to consider in the question of whether intervention was a possibility. The distress is aligned with the effort, discipline, or motivation </w:t>
      </w:r>
      <w:r w:rsidRPr="00F02A69">
        <w:rPr>
          <w:rFonts w:ascii="Times New Roman" w:eastAsia="Times New Roman" w:hAnsi="Times New Roman" w:cs="Times New Roman"/>
          <w:kern w:val="0"/>
          <w:sz w:val="24"/>
          <w:lang w:val="en-GB" w:eastAsia="en-US"/>
          <w14:ligatures w14:val="none"/>
        </w:rPr>
        <w:lastRenderedPageBreak/>
        <w:t>primarily by the family members, and the psychological support is restricted elsewhere. The communication strategies should therefore help in re-creating the exam anxiety among the parents in a psychologically significant manner, though considering the educational values and pressures that prevail in different school contexts.</w:t>
      </w:r>
    </w:p>
    <w:p w14:paraId="2630437F"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55" w:name="_Toc226463579"/>
      <w:r w:rsidRPr="00F02A69">
        <w:rPr>
          <w:rFonts w:ascii="Times New Roman" w:eastAsia="等线 Light" w:hAnsi="Times New Roman" w:cs="Times New Roman"/>
          <w:b/>
          <w:kern w:val="0"/>
          <w:sz w:val="24"/>
          <w:lang w:val="en-GB" w:eastAsia="en-US"/>
          <w14:ligatures w14:val="none"/>
        </w:rPr>
        <w:t>7.8 Implications for Future Research</w:t>
      </w:r>
      <w:bookmarkEnd w:id="55"/>
    </w:p>
    <w:p w14:paraId="249A25E0"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Additional research can bring both the student and parental perspectives together to find out how the mechanisms discovered by practitioners are aligned with the life experience, and family experiences are taken into consideration in the context of the family. And these could be done best by comparative studies between Chinese provinces in such a way as to determine whether or not the tendencies of Jiangsu are dependent on geographic location or are calculable at a national level. In order to establish the sustainability of the benefits of a stabilization-based support, longitudinal studies are needed. In addition, the cultures of help-seeking according to the school type are significant phenomena to explore since students in the non-vocational track are more likely to report distress, and the least-trained professionals would be least likely to refer because of the applicability of the institutional norms and practitioner confidence.</w:t>
      </w:r>
    </w:p>
    <w:p w14:paraId="48ABB879"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56" w:name="_Toc226463580"/>
      <w:r w:rsidRPr="00F02A69">
        <w:rPr>
          <w:rFonts w:ascii="Times New Roman" w:eastAsia="等线 Light" w:hAnsi="Times New Roman" w:cs="Times New Roman"/>
          <w:b/>
          <w:kern w:val="0"/>
          <w:sz w:val="24"/>
          <w:lang w:val="en-GB" w:eastAsia="en-US"/>
          <w14:ligatures w14:val="none"/>
        </w:rPr>
        <w:t>7.9 Critical Interpretation</w:t>
      </w:r>
      <w:bookmarkEnd w:id="56"/>
    </w:p>
    <w:p w14:paraId="7ED0D956"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The findings should not be understood as the hierarchy of professional quality, with urban practitioners being successful and the rural or even the less well-trained practitioners being incompetent. Such reading does not recognize structural conditions that affect the ability and confidence, such as training, institutional provision, supervision, workloads, and regional infrastructure. Lastly, a practitioner trained in England and having no supervision and a full teaching schedule occupies a radically different position compared to one having a master’s degree in psychology, a full job with counselling, and a district of medical access levels. It is </w:t>
      </w:r>
      <w:r w:rsidRPr="00F02A69">
        <w:rPr>
          <w:rFonts w:ascii="Times New Roman" w:eastAsia="Times New Roman" w:hAnsi="Times New Roman" w:cs="Times New Roman"/>
          <w:kern w:val="0"/>
          <w:sz w:val="24"/>
          <w:lang w:val="en-GB" w:eastAsia="en-US"/>
          <w14:ligatures w14:val="none"/>
        </w:rPr>
        <w:lastRenderedPageBreak/>
        <w:t>through the comparison of results that one associates structural inequality and personal inadequacy by disregarding those circumstances. Similarly speaking, the practices of international schools cannot be referred to as the normal ones; a long-term identity-focused work is premised on the institutional need, family culture, and family resources. The goal of Jiangsu is to establish contextually suitable, resourceful, and sanctioned mental health systems in the province.</w:t>
      </w:r>
    </w:p>
    <w:p w14:paraId="2D2EC136"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br w:type="page"/>
      </w:r>
    </w:p>
    <w:p w14:paraId="75B70FF4" w14:textId="77777777" w:rsidR="00F02A69" w:rsidRPr="00F02A69" w:rsidRDefault="00F02A69" w:rsidP="00F02A69">
      <w:pPr>
        <w:keepNext/>
        <w:keepLines/>
        <w:widowControl/>
        <w:spacing w:before="120" w:after="120" w:line="480" w:lineRule="auto"/>
        <w:contextualSpacing/>
        <w:jc w:val="center"/>
        <w:outlineLvl w:val="0"/>
        <w:rPr>
          <w:rFonts w:ascii="Times New Roman" w:eastAsia="等线 Light" w:hAnsi="Times New Roman" w:cs="Times New Roman"/>
          <w:b/>
          <w:kern w:val="0"/>
          <w:sz w:val="24"/>
          <w:lang w:val="en-GB" w:eastAsia="en-US"/>
          <w14:ligatures w14:val="none"/>
        </w:rPr>
      </w:pPr>
      <w:bookmarkStart w:id="57" w:name="_Toc226463581"/>
      <w:r w:rsidRPr="00F02A69">
        <w:rPr>
          <w:rFonts w:ascii="Times New Roman" w:eastAsia="等线 Light" w:hAnsi="Times New Roman" w:cs="Times New Roman"/>
          <w:b/>
          <w:kern w:val="0"/>
          <w:sz w:val="24"/>
          <w:lang w:val="en-GB" w:eastAsia="en-US"/>
          <w14:ligatures w14:val="none"/>
        </w:rPr>
        <w:lastRenderedPageBreak/>
        <w:t>Chapter 8. Evaluation of the Research Process</w:t>
      </w:r>
      <w:bookmarkEnd w:id="57"/>
    </w:p>
    <w:p w14:paraId="0AEBED98"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58" w:name="_Toc226463582"/>
      <w:r w:rsidRPr="00F02A69">
        <w:rPr>
          <w:rFonts w:ascii="Times New Roman" w:eastAsia="等线 Light" w:hAnsi="Times New Roman" w:cs="Times New Roman"/>
          <w:b/>
          <w:kern w:val="0"/>
          <w:sz w:val="24"/>
          <w:lang w:val="en-GB" w:eastAsia="en-US"/>
          <w14:ligatures w14:val="none"/>
        </w:rPr>
        <w:t>8.1 Strengths of the Study</w:t>
      </w:r>
      <w:bookmarkEnd w:id="58"/>
    </w:p>
    <w:p w14:paraId="18068DB4"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methodological strength of this study was the choice of a qualitative multiple-case design, as it allowed within and inter-case depth and comparison. Focusing on each school as a unique case enabled exploring the practitioner decision-making at work within certain institutional frames, as well as finding common patterns across various school settings. This methodology gave analytical sensitivity to the variation that would probably have been lost in one-case research.</w:t>
      </w:r>
    </w:p>
    <w:p w14:paraId="4E76EFAE"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Another strength was the careful selection of the school types, as there were international schools, foreign language schools, domestic high schools, municipal schools, experimental schools, and county and township schools. This made sure that the data used was representative of the institutional heterogeneity of senior secondary education in Jiangsu, and especially when it comes to resources, staffing set-ups, and the provision of mental health to their students.</w:t>
      </w:r>
    </w:p>
    <w:p w14:paraId="43D5D661"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Moreover, the study provided a high level of analytical strength with the introduction of various roles of the practitioners. The study involved not only special staff in the field of mental health but also pastoral coordinators, moral education staff, and class teachers, who also contribute substantially to the response to student anxiety. This brought to light the dispersed character of school-based mental health practice and enabled a more precise depiction of how assistance is provided in practice in schools.</w:t>
      </w:r>
    </w:p>
    <w:p w14:paraId="7D8E1DDA"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59" w:name="_Toc226463583"/>
      <w:r w:rsidRPr="00F02A69">
        <w:rPr>
          <w:rFonts w:ascii="Times New Roman" w:eastAsia="等线 Light" w:hAnsi="Times New Roman" w:cs="Times New Roman"/>
          <w:b/>
          <w:kern w:val="0"/>
          <w:sz w:val="24"/>
          <w:lang w:val="en-GB" w:eastAsia="en-US"/>
          <w14:ligatures w14:val="none"/>
        </w:rPr>
        <w:t>8.2 Limitations of the Study</w:t>
      </w:r>
      <w:bookmarkEnd w:id="59"/>
    </w:p>
    <w:p w14:paraId="501C337F"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This study is limited in terms of three areas: design, context, and interpretation. In terms of design, the research entirely depended on practitioner reports. Although these were very insightful on how decisions are made, student and parent perspectives were not involved, so the </w:t>
      </w:r>
      <w:r w:rsidRPr="00F02A69">
        <w:rPr>
          <w:rFonts w:ascii="Times New Roman" w:eastAsia="Times New Roman" w:hAnsi="Times New Roman" w:cs="Times New Roman"/>
          <w:kern w:val="0"/>
          <w:sz w:val="24"/>
          <w:lang w:val="en-GB" w:eastAsia="en-US"/>
          <w14:ligatures w14:val="none"/>
        </w:rPr>
        <w:lastRenderedPageBreak/>
        <w:t>findings are more about how the practitioners perceive interventions and not about a triangulated description of both the impact of interventions and experience.</w:t>
      </w:r>
    </w:p>
    <w:p w14:paraId="64F0805A"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Contextually, the research is located in Jiangsu Province, which has rather good educational infrastructure in comparison with other areas in China. Consequently, the results may be interpreted as analytically replicable to other equally high-stakes and resource-variable systems as opposed to statistically replicable across the entire teaching and learning environments in China.</w:t>
      </w:r>
    </w:p>
    <w:p w14:paraId="7978E824"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Interpretively and linguistically, the provided data, which was translated into English from Mandarin Chinese, poses a risk of loss of meaning or a slight change in tone and professional lexicon. Despite the use of back-translation and thorough prechecking, some conceptual subtleties could have been influenced.</w:t>
      </w:r>
    </w:p>
    <w:p w14:paraId="2E6E990D"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60" w:name="_Toc226463584"/>
      <w:r w:rsidRPr="00F02A69">
        <w:rPr>
          <w:rFonts w:ascii="Times New Roman" w:eastAsia="等线 Light" w:hAnsi="Times New Roman" w:cs="Times New Roman"/>
          <w:b/>
          <w:kern w:val="0"/>
          <w:sz w:val="24"/>
          <w:lang w:val="en-GB" w:eastAsia="en-US"/>
          <w14:ligatures w14:val="none"/>
        </w:rPr>
        <w:t>8.3 Reflexive Evaluation</w:t>
      </w:r>
      <w:bookmarkEnd w:id="60"/>
    </w:p>
    <w:p w14:paraId="63F257D2"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knowledge the researcher possessed on the context of the Jiangsu schools and Chinese learning and language culture helped in access and interpretive richness. This positionality was beneficial in communicating with the participants more efficiently and understanding institutional language and professional standards that would not be readily accessible to the external researchers. This proximity also came at the cost of over-familiarity and some of the practices of the institutions being considered as normal, instead of being questioned. This was handled by way of writing reflexive memos, supervisory conferences and awareness of time as participants narratives cut and counter-balanced initial assumptions or they needed to be re-written by the participants. This interpretive disturbance was interpreted as an analytic strength and not a methodological vice, and helped in the optimization of theme development by creating focus on previously unexplored assumptions.</w:t>
      </w:r>
    </w:p>
    <w:p w14:paraId="631FF3CB"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61" w:name="_Toc226463585"/>
      <w:r w:rsidRPr="00F02A69">
        <w:rPr>
          <w:rFonts w:ascii="Times New Roman" w:eastAsia="等线 Light" w:hAnsi="Times New Roman" w:cs="Times New Roman"/>
          <w:b/>
          <w:kern w:val="0"/>
          <w:sz w:val="24"/>
          <w:lang w:val="en-GB" w:eastAsia="en-US"/>
          <w14:ligatures w14:val="none"/>
        </w:rPr>
        <w:lastRenderedPageBreak/>
        <w:t>8.4 What Was Learned from the Research Process</w:t>
      </w:r>
      <w:bookmarkEnd w:id="61"/>
    </w:p>
    <w:p w14:paraId="5BD8B126"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A number of methodological lessons were learned in the course of undertaking the study. To begin with, it was necessary to first explicitly define the focus of the research as the decision made by the practitioner, but not the effectiveness of the intervention, which served as a way of creating a manageable and analytically consistent dataset. Second, the research indicated that methodological structure never diminishes the complexity but renders it apparent. Even in a confined structure, decision-making by practitioners turned out to be a process driven by the interplay of factors such as institutional structure, training background, family relationships, and time of examination. Lastly, the study helped to support the significance of the combination of analytical and contextual sensitivity. Efforts to reduce the decision-making of practitioners to linear models would have distorted the information, but with a structured qualitative approach, complexity would be retained without loss of analytical clarity.</w:t>
      </w:r>
    </w:p>
    <w:p w14:paraId="2310E90E"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br w:type="page"/>
      </w:r>
    </w:p>
    <w:p w14:paraId="5AC9874A" w14:textId="77777777" w:rsidR="00F02A69" w:rsidRPr="00F02A69" w:rsidRDefault="00F02A69" w:rsidP="00F02A69">
      <w:pPr>
        <w:keepNext/>
        <w:keepLines/>
        <w:widowControl/>
        <w:spacing w:before="120" w:after="120" w:line="480" w:lineRule="auto"/>
        <w:contextualSpacing/>
        <w:jc w:val="center"/>
        <w:outlineLvl w:val="0"/>
        <w:rPr>
          <w:rFonts w:ascii="Times New Roman" w:eastAsia="等线 Light" w:hAnsi="Times New Roman" w:cs="Times New Roman"/>
          <w:b/>
          <w:kern w:val="0"/>
          <w:sz w:val="24"/>
          <w:lang w:val="en-GB" w:eastAsia="en-US"/>
          <w14:ligatures w14:val="none"/>
        </w:rPr>
      </w:pPr>
      <w:bookmarkStart w:id="62" w:name="_Toc226463586"/>
      <w:r w:rsidRPr="00F02A69">
        <w:rPr>
          <w:rFonts w:ascii="Times New Roman" w:eastAsia="等线 Light" w:hAnsi="Times New Roman" w:cs="Times New Roman"/>
          <w:b/>
          <w:kern w:val="0"/>
          <w:sz w:val="24"/>
          <w:lang w:val="en-GB" w:eastAsia="en-US"/>
          <w14:ligatures w14:val="none"/>
        </w:rPr>
        <w:lastRenderedPageBreak/>
        <w:t>Chapter 9. Conclusion</w:t>
      </w:r>
      <w:bookmarkEnd w:id="62"/>
    </w:p>
    <w:p w14:paraId="00580D7C"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63" w:name="_Toc226463587"/>
      <w:r w:rsidRPr="00F02A69">
        <w:rPr>
          <w:rFonts w:ascii="Times New Roman" w:eastAsia="等线 Light" w:hAnsi="Times New Roman" w:cs="Times New Roman"/>
          <w:b/>
          <w:kern w:val="0"/>
          <w:sz w:val="24"/>
          <w:lang w:val="en-GB" w:eastAsia="en-US"/>
          <w14:ligatures w14:val="none"/>
        </w:rPr>
        <w:t>9.1 Restating the Aim</w:t>
      </w:r>
      <w:bookmarkEnd w:id="63"/>
    </w:p>
    <w:p w14:paraId="4D09FB3A"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The aim of this study is to find out how high school mental health practitioners in Jiangsu make intervention decisions, with special regard to students with exam-related anxiety as to mechanism-based causes, situation pressure, and the trade-off between short-term stabilisation and psychological development.</w:t>
      </w:r>
    </w:p>
    <w:p w14:paraId="12F7CE38"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64" w:name="_Toc226463588"/>
      <w:r w:rsidRPr="00F02A69">
        <w:rPr>
          <w:rFonts w:ascii="Times New Roman" w:eastAsia="等线 Light" w:hAnsi="Times New Roman" w:cs="Times New Roman"/>
          <w:b/>
          <w:kern w:val="0"/>
          <w:sz w:val="24"/>
          <w:lang w:val="en-GB" w:eastAsia="en-US"/>
          <w14:ligatures w14:val="none"/>
        </w:rPr>
        <w:t>9.2 Summary of Main Findings</w:t>
      </w:r>
      <w:bookmarkEnd w:id="64"/>
    </w:p>
    <w:p w14:paraId="47AEFCA8"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等线" w:hAnsi="Times New Roman" w:cs="Times New Roman"/>
          <w:kern w:val="0"/>
          <w:sz w:val="24"/>
          <w:lang w:val="en-GB"/>
          <w14:ligatures w14:val="none"/>
        </w:rPr>
        <w:t xml:space="preserve">The study produced five closely related findings. To begin with, the core processes concerned about the anxiety linked with examinations generally were reported by practitioners, but most frequently, were framed in contextualised non-clinical terms and not in psychological terms; they tended to be catastrophising, perfectionism, avoidance, shame, and sleep-related issues. This identification was found to be consistent across differences in formal training, but particular non-specialist practitioners did possess good practical knowledge that was experientially enhanced. Second, the timing of the examination was important in influencing the priorities of interventions. In some settings, practitioners concentrated on short-term stabilisation such as recovery of sleep, attendance, and making sure that the student was able to sit exams, although longer-term developmental work was usually delayed until after the exam. </w:t>
      </w:r>
    </w:p>
    <w:p w14:paraId="1F1F895B"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等线" w:hAnsi="Times New Roman" w:cs="Times New Roman"/>
          <w:kern w:val="0"/>
          <w:sz w:val="24"/>
          <w:lang w:val="en-GB"/>
          <w14:ligatures w14:val="none"/>
        </w:rPr>
        <w:t xml:space="preserve">Third, school type had an influence on the supposedly relevant intervention. International schools had a preference towards more reflective effort, whereas ordinary private schools preferred speedy functional recovery. Decisions on intervention were more likely to be part of more powerful institutional elements and organized referral systems in municipal and experimental schools. Fourth, circumstances played a critical role in deciding the practicality of </w:t>
      </w:r>
      <w:r w:rsidRPr="00F02A69">
        <w:rPr>
          <w:rFonts w:ascii="Times New Roman" w:eastAsia="等线" w:hAnsi="Times New Roman" w:cs="Times New Roman"/>
          <w:kern w:val="0"/>
          <w:sz w:val="24"/>
          <w:lang w:val="en-GB"/>
          <w14:ligatures w14:val="none"/>
        </w:rPr>
        <w:lastRenderedPageBreak/>
        <w:t>the interventions. Reactions between parents and practitioners in learning and access to extended supports interacted to determine the kind of action that would be practically put to work.</w:t>
      </w:r>
    </w:p>
    <w:p w14:paraId="17E5371C"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65" w:name="_Toc226463589"/>
      <w:r w:rsidRPr="00F02A69">
        <w:rPr>
          <w:rFonts w:ascii="Times New Roman" w:eastAsia="等线 Light" w:hAnsi="Times New Roman" w:cs="Times New Roman"/>
          <w:b/>
          <w:kern w:val="0"/>
          <w:sz w:val="24"/>
          <w:lang w:val="en-GB" w:eastAsia="en-US"/>
          <w14:ligatures w14:val="none"/>
        </w:rPr>
        <w:t>9.3 Contribution of the Study</w:t>
      </w:r>
      <w:bookmarkEnd w:id="65"/>
    </w:p>
    <w:p w14:paraId="4F7FF8D9" w14:textId="77777777" w:rsidR="00F02A69" w:rsidRPr="00F02A69" w:rsidRDefault="00F02A69" w:rsidP="00F02A69">
      <w:pPr>
        <w:widowControl/>
        <w:spacing w:before="120" w:after="120" w:line="480" w:lineRule="auto"/>
        <w:ind w:firstLine="720"/>
        <w:contextualSpacing/>
        <w:rPr>
          <w:rFonts w:ascii="Times New Roman" w:eastAsia="等线" w:hAnsi="Times New Roman" w:cs="Times New Roman"/>
          <w:kern w:val="0"/>
          <w:sz w:val="24"/>
          <w:lang w:val="en-GB"/>
          <w14:ligatures w14:val="none"/>
        </w:rPr>
      </w:pPr>
      <w:r w:rsidRPr="00F02A69">
        <w:rPr>
          <w:rFonts w:ascii="Times New Roman" w:eastAsia="等线" w:hAnsi="Times New Roman" w:cs="Times New Roman"/>
          <w:kern w:val="0"/>
          <w:sz w:val="24"/>
          <w:lang w:val="en-GB"/>
          <w14:ligatures w14:val="none"/>
        </w:rPr>
        <w:t>This study contributes to school mental health studies in many ways. Conceptually, it progresses the notion of pragmatic recognition of mechanisms, demonstrating that practitioners can possibly discover underlying psychological mechanisms without the need to make explicit use of clinical terminology. In doing so, it broadens existing ideas of professional competence in school-based mental health practice. Analytically, it re-invents the process of decision-making about intervention as the situated, interpretative process that is influenced by the institutions, relationships, and time situation rather than some forsaken use of evidence-based approaches. Practically, the outcome of the research suggests that professionals need to develop practice cases in a more organized fashion, separate the roles of practitioners, and referral and parent-engagement. The paper also contextually presents the difference in provincial policy frameworks and the disproportionate use of these frameworks in different school settings in Jiangsu, as such variability of resources, staffing, and institutional support is what makes mental health practice become a reality.</w:t>
      </w:r>
    </w:p>
    <w:p w14:paraId="7B7A8833" w14:textId="77777777" w:rsidR="00F02A69" w:rsidRPr="00F02A69" w:rsidRDefault="00F02A69" w:rsidP="00F02A69">
      <w:pPr>
        <w:keepNext/>
        <w:keepLines/>
        <w:widowControl/>
        <w:spacing w:before="120" w:after="120" w:line="480" w:lineRule="auto"/>
        <w:contextualSpacing/>
        <w:outlineLvl w:val="1"/>
        <w:rPr>
          <w:rFonts w:ascii="Times New Roman" w:eastAsia="等线 Light" w:hAnsi="Times New Roman" w:cs="Times New Roman"/>
          <w:b/>
          <w:kern w:val="0"/>
          <w:sz w:val="24"/>
          <w:lang w:val="en-GB" w:eastAsia="en-US"/>
          <w14:ligatures w14:val="none"/>
        </w:rPr>
      </w:pPr>
      <w:bookmarkStart w:id="66" w:name="_Toc226463590"/>
      <w:r w:rsidRPr="00F02A69">
        <w:rPr>
          <w:rFonts w:ascii="Times New Roman" w:eastAsia="等线 Light" w:hAnsi="Times New Roman" w:cs="Times New Roman"/>
          <w:b/>
          <w:kern w:val="0"/>
          <w:sz w:val="24"/>
          <w:lang w:val="en-GB" w:eastAsia="en-US"/>
          <w14:ligatures w14:val="none"/>
        </w:rPr>
        <w:t>9.4 Final Reflection</w:t>
      </w:r>
      <w:bookmarkEnd w:id="66"/>
    </w:p>
    <w:p w14:paraId="26C817E5" w14:textId="77777777" w:rsidR="00F02A69" w:rsidRPr="00F02A69" w:rsidRDefault="00F02A69" w:rsidP="00F02A69">
      <w:pPr>
        <w:widowControl/>
        <w:spacing w:before="120" w:after="120" w:line="480" w:lineRule="auto"/>
        <w:ind w:firstLine="72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Mental health practice under high-pressure examination systems cannot be assumed to be the simple application of techniques. It is a sort of professional judgment that is taken in situations of time pressure, institutional inequality, family effect, and constrained conditions of examinations. It is not to determine how to develop effective interventions but rather to develop school systems in which practitioner judgment can be done with the knowledge that it is amply </w:t>
      </w:r>
      <w:r w:rsidRPr="00F02A69">
        <w:rPr>
          <w:rFonts w:ascii="Times New Roman" w:eastAsia="Times New Roman" w:hAnsi="Times New Roman" w:cs="Times New Roman"/>
          <w:kern w:val="0"/>
          <w:sz w:val="24"/>
          <w:lang w:val="en-GB" w:eastAsia="en-US"/>
          <w14:ligatures w14:val="none"/>
        </w:rPr>
        <w:lastRenderedPageBreak/>
        <w:t>trained, supported, and legitimately focused on student psychological well-being rather than as a secondary consideration.</w:t>
      </w:r>
    </w:p>
    <w:p w14:paraId="65498055" w14:textId="77777777" w:rsidR="00F02A69" w:rsidRPr="00F02A69" w:rsidRDefault="00F02A69" w:rsidP="00F02A69">
      <w:pPr>
        <w:widowControl/>
        <w:spacing w:line="259" w:lineRule="auto"/>
        <w:rPr>
          <w:rFonts w:ascii="Times New Roman" w:eastAsia="等线 Light" w:hAnsi="Times New Roman" w:cs="Times New Roman"/>
          <w:b/>
          <w:kern w:val="0"/>
          <w:sz w:val="24"/>
          <w:lang w:val="en-GB" w:eastAsia="en-US"/>
          <w14:ligatures w14:val="none"/>
        </w:rPr>
      </w:pPr>
      <w:bookmarkStart w:id="67" w:name="_Toc226463591"/>
      <w:r w:rsidRPr="00F02A69">
        <w:rPr>
          <w:rFonts w:ascii="Times New Roman" w:eastAsia="Times New Roman" w:hAnsi="Times New Roman" w:cs="Times New Roman"/>
          <w:kern w:val="0"/>
          <w:sz w:val="24"/>
          <w:lang w:val="en-GB" w:eastAsia="en-US"/>
          <w14:ligatures w14:val="none"/>
        </w:rPr>
        <w:br w:type="page"/>
      </w:r>
    </w:p>
    <w:p w14:paraId="4FCD3C68" w14:textId="77777777" w:rsidR="00F02A69" w:rsidRPr="00F02A69" w:rsidRDefault="00F02A69" w:rsidP="00F02A69">
      <w:pPr>
        <w:keepNext/>
        <w:keepLines/>
        <w:widowControl/>
        <w:spacing w:before="120" w:after="120" w:line="480" w:lineRule="auto"/>
        <w:contextualSpacing/>
        <w:jc w:val="center"/>
        <w:outlineLvl w:val="0"/>
        <w:rPr>
          <w:rFonts w:ascii="Times New Roman" w:eastAsia="等线 Light" w:hAnsi="Times New Roman" w:cs="Times New Roman"/>
          <w:b/>
          <w:kern w:val="0"/>
          <w:sz w:val="24"/>
          <w:lang w:val="en-GB" w:eastAsia="en-US"/>
          <w14:ligatures w14:val="none"/>
        </w:rPr>
      </w:pPr>
      <w:r w:rsidRPr="00F02A69">
        <w:rPr>
          <w:rFonts w:ascii="Times New Roman" w:eastAsia="等线 Light" w:hAnsi="Times New Roman" w:cs="Times New Roman"/>
          <w:b/>
          <w:kern w:val="0"/>
          <w:sz w:val="24"/>
          <w:lang w:val="en-GB" w:eastAsia="en-US"/>
          <w14:ligatures w14:val="none"/>
        </w:rPr>
        <w:lastRenderedPageBreak/>
        <w:t>References</w:t>
      </w:r>
      <w:bookmarkEnd w:id="67"/>
    </w:p>
    <w:p w14:paraId="0F934178"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fldChar w:fldCharType="begin" w:fldLock="1"/>
      </w:r>
      <w:r w:rsidRPr="00F02A69">
        <w:rPr>
          <w:rFonts w:ascii="Times New Roman" w:eastAsia="Times New Roman" w:hAnsi="Times New Roman" w:cs="Times New Roman"/>
          <w:kern w:val="0"/>
          <w:sz w:val="24"/>
          <w:lang w:val="en-GB" w:eastAsia="en-US"/>
          <w14:ligatures w14:val="none"/>
        </w:rPr>
        <w:instrText xml:space="preserve">ADDIN Mendeley Bibliography CSL_BIBLIOGRAPHY </w:instrText>
      </w:r>
      <w:r w:rsidRPr="00F02A69">
        <w:rPr>
          <w:rFonts w:ascii="Times New Roman" w:eastAsia="Times New Roman" w:hAnsi="Times New Roman" w:cs="Times New Roman"/>
          <w:kern w:val="0"/>
          <w:sz w:val="24"/>
          <w:lang w:val="en-GB" w:eastAsia="en-US"/>
          <w14:ligatures w14:val="none"/>
        </w:rPr>
        <w:fldChar w:fldCharType="separate"/>
      </w:r>
      <w:r w:rsidRPr="00F02A69">
        <w:rPr>
          <w:rFonts w:ascii="Times New Roman" w:eastAsia="Times New Roman" w:hAnsi="Times New Roman" w:cs="Times New Roman"/>
          <w:kern w:val="0"/>
          <w:sz w:val="24"/>
          <w:lang w:val="en-GB" w:eastAsia="en-US"/>
          <w14:ligatures w14:val="none"/>
        </w:rPr>
        <w:t xml:space="preserve">Abdulbaqi,  Jvan and Uzun,  Gizem Oneri (2024) ‘Effect of the Students’ Test Anxiety Prevention Program on Students’ Experiences of Test Anxiety: A Mixed-Methods Experiment’, </w:t>
      </w:r>
      <w:r w:rsidRPr="00F02A69">
        <w:rPr>
          <w:rFonts w:ascii="Times New Roman" w:eastAsia="Times New Roman" w:hAnsi="Times New Roman" w:cs="Times New Roman"/>
          <w:i/>
          <w:iCs/>
          <w:kern w:val="0"/>
          <w:sz w:val="24"/>
          <w:lang w:val="en-GB" w:eastAsia="en-US"/>
          <w14:ligatures w14:val="none"/>
        </w:rPr>
        <w:t>Sage Open</w:t>
      </w:r>
      <w:r w:rsidRPr="00F02A69">
        <w:rPr>
          <w:rFonts w:ascii="Times New Roman" w:eastAsia="Times New Roman" w:hAnsi="Times New Roman" w:cs="Times New Roman"/>
          <w:kern w:val="0"/>
          <w:sz w:val="24"/>
          <w:lang w:val="en-GB" w:eastAsia="en-US"/>
          <w14:ligatures w14:val="none"/>
        </w:rPr>
        <w:t>, 14(4), p. 21582440241296610. Available at: https://doi.org/10.1177/21582440241296609.</w:t>
      </w:r>
    </w:p>
    <w:p w14:paraId="1F434A59"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Alshareef, N., Giga, S. and Fletcher, I. (2025) ‘Test anxiety, emotional regulation and academic performance among medical students: a qualitative study.’, </w:t>
      </w:r>
      <w:r w:rsidRPr="00F02A69">
        <w:rPr>
          <w:rFonts w:ascii="Times New Roman" w:eastAsia="Times New Roman" w:hAnsi="Times New Roman" w:cs="Times New Roman"/>
          <w:i/>
          <w:iCs/>
          <w:kern w:val="0"/>
          <w:sz w:val="24"/>
          <w:lang w:val="en-GB" w:eastAsia="en-US"/>
          <w14:ligatures w14:val="none"/>
        </w:rPr>
        <w:t>Medical Education Online</w:t>
      </w:r>
      <w:r w:rsidRPr="00F02A69">
        <w:rPr>
          <w:rFonts w:ascii="Times New Roman" w:eastAsia="Times New Roman" w:hAnsi="Times New Roman" w:cs="Times New Roman"/>
          <w:kern w:val="0"/>
          <w:sz w:val="24"/>
          <w:lang w:val="en-GB" w:eastAsia="en-US"/>
          <w14:ligatures w14:val="none"/>
        </w:rPr>
        <w:t>, 30(1), p. 2505177. Available at: https://doi.org/10.1080/10872981.2025.2505177.</w:t>
      </w:r>
    </w:p>
    <w:p w14:paraId="7388032F"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Berger, E.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(2022) ‘A systematic review of the long-term benefits of school mental health and wellbeing interventions for students in Australia’, </w:t>
      </w:r>
      <w:r w:rsidRPr="00F02A69">
        <w:rPr>
          <w:rFonts w:ascii="Times New Roman" w:eastAsia="Times New Roman" w:hAnsi="Times New Roman" w:cs="Times New Roman"/>
          <w:i/>
          <w:iCs/>
          <w:kern w:val="0"/>
          <w:sz w:val="24"/>
          <w:lang w:val="en-GB" w:eastAsia="en-US"/>
          <w14:ligatures w14:val="none"/>
        </w:rPr>
        <w:t>Frontiers in Education</w:t>
      </w:r>
      <w:r w:rsidRPr="00F02A69">
        <w:rPr>
          <w:rFonts w:ascii="Times New Roman" w:eastAsia="Times New Roman" w:hAnsi="Times New Roman" w:cs="Times New Roman"/>
          <w:kern w:val="0"/>
          <w:sz w:val="24"/>
          <w:lang w:val="en-GB" w:eastAsia="en-US"/>
          <w14:ligatures w14:val="none"/>
        </w:rPr>
        <w:t>, 7, pp. 1–14. Available at: https://doi.org/10.3389/feduc.2022.986391.</w:t>
      </w:r>
    </w:p>
    <w:p w14:paraId="43EF0D86" w14:textId="77777777" w:rsidR="00F02A69" w:rsidRPr="00F02A69" w:rsidRDefault="00F02A69" w:rsidP="00F02A69">
      <w:pPr>
        <w:autoSpaceDE w:val="0"/>
        <w:autoSpaceDN w:val="0"/>
        <w:adjustRightInd w:val="0"/>
        <w:spacing w:before="120" w:after="120" w:line="480" w:lineRule="auto"/>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 xml:space="preserve">Campeau, G.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(2026) ‘Implementation evaluation of an intervention aimed at reducing test anxiety in adolescents’, </w:t>
      </w:r>
      <w:r w:rsidRPr="00F02A69">
        <w:rPr>
          <w:rFonts w:ascii="Times New Roman" w:eastAsia="Times New Roman" w:hAnsi="Times New Roman" w:cs="Times New Roman"/>
          <w:i/>
          <w:iCs/>
          <w:kern w:val="0"/>
          <w:sz w:val="24"/>
          <w:lang w:val="en-GB" w:eastAsia="en-US"/>
          <w14:ligatures w14:val="none"/>
        </w:rPr>
        <w:t>Evaluation and Program Planning</w:t>
      </w:r>
      <w:r w:rsidRPr="00F02A69">
        <w:rPr>
          <w:rFonts w:ascii="Times New Roman" w:eastAsia="Times New Roman" w:hAnsi="Times New Roman" w:cs="Times New Roman"/>
          <w:kern w:val="0"/>
          <w:sz w:val="24"/>
          <w:lang w:val="en-GB" w:eastAsia="en-US"/>
          <w14:ligatures w14:val="none"/>
        </w:rPr>
        <w:t>, 114, p. 102731. Available at: https://doi.org/10.1016/j.evalprogplan.2025.102731.</w:t>
      </w:r>
    </w:p>
    <w:p w14:paraId="44E69370" w14:textId="77777777" w:rsidR="00F02A69" w:rsidRPr="00F02A69" w:rsidRDefault="00F02A69" w:rsidP="00F02A69">
      <w:pPr>
        <w:autoSpaceDE w:val="0"/>
        <w:autoSpaceDN w:val="0"/>
        <w:adjustRightInd w:val="0"/>
        <w:spacing w:before="120" w:after="120" w:line="480" w:lineRule="auto"/>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 xml:space="preserve">Cassady, J.C. et al. (2025) ‘Methods employed in studies identifying “levels” of test anxiety in university students: a systematic review’, Behavioral Sciences, 15(3). Available at: https://doi.org/10.3390/bs15030331. </w:t>
      </w:r>
    </w:p>
    <w:p w14:paraId="5CB30DA5"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Chao, T.-Y., Sung, Y.-T. and Tseng, F.-L. (2024) ‘High-stakes test anxiety among Taiwanese adolescents: a longitudinal study’, </w:t>
      </w:r>
      <w:r w:rsidRPr="00F02A69">
        <w:rPr>
          <w:rFonts w:ascii="Times New Roman" w:eastAsia="Times New Roman" w:hAnsi="Times New Roman" w:cs="Times New Roman"/>
          <w:i/>
          <w:iCs/>
          <w:kern w:val="0"/>
          <w:sz w:val="24"/>
          <w:lang w:val="en-GB" w:eastAsia="en-US"/>
          <w14:ligatures w14:val="none"/>
        </w:rPr>
        <w:t>Cogent Education</w:t>
      </w:r>
      <w:r w:rsidRPr="00F02A69">
        <w:rPr>
          <w:rFonts w:ascii="Times New Roman" w:eastAsia="Times New Roman" w:hAnsi="Times New Roman" w:cs="Times New Roman"/>
          <w:kern w:val="0"/>
          <w:sz w:val="24"/>
          <w:lang w:val="en-GB" w:eastAsia="en-US"/>
          <w14:ligatures w14:val="none"/>
        </w:rPr>
        <w:t>, 11(1), p. 2321019. Available at: https://doi.org/10.1080/2331186X.2024.2321019.</w:t>
      </w:r>
    </w:p>
    <w:p w14:paraId="5C1F6A9A"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Cheng, Y. and Hamid, M.O. (2025) ‘Social impact of Gaokao in China: a critical review of research’, </w:t>
      </w:r>
      <w:r w:rsidRPr="00F02A69">
        <w:rPr>
          <w:rFonts w:ascii="Times New Roman" w:eastAsia="Times New Roman" w:hAnsi="Times New Roman" w:cs="Times New Roman"/>
          <w:i/>
          <w:iCs/>
          <w:kern w:val="0"/>
          <w:sz w:val="24"/>
          <w:lang w:val="en-GB" w:eastAsia="en-US"/>
          <w14:ligatures w14:val="none"/>
        </w:rPr>
        <w:t>Language Testing in Asia</w:t>
      </w:r>
      <w:r w:rsidRPr="00F02A69">
        <w:rPr>
          <w:rFonts w:ascii="Times New Roman" w:eastAsia="Times New Roman" w:hAnsi="Times New Roman" w:cs="Times New Roman"/>
          <w:kern w:val="0"/>
          <w:sz w:val="24"/>
          <w:lang w:val="en-GB" w:eastAsia="en-US"/>
          <w14:ligatures w14:val="none"/>
        </w:rPr>
        <w:t>, 15(1), p. 22. Available at: https://doi.org/10.1186/s40468-</w:t>
      </w:r>
      <w:r w:rsidRPr="00F02A69">
        <w:rPr>
          <w:rFonts w:ascii="Times New Roman" w:eastAsia="Times New Roman" w:hAnsi="Times New Roman" w:cs="Times New Roman"/>
          <w:kern w:val="0"/>
          <w:sz w:val="24"/>
          <w:lang w:val="en-GB" w:eastAsia="en-US"/>
          <w14:ligatures w14:val="none"/>
        </w:rPr>
        <w:lastRenderedPageBreak/>
        <w:t>025-00355-y.</w:t>
      </w:r>
    </w:p>
    <w:p w14:paraId="3C4972DB"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Communist Party of China Jiangsu Provincial Committee News (2024). </w:t>
      </w:r>
      <w:r w:rsidRPr="00F02A69">
        <w:rPr>
          <w:rFonts w:ascii="Times New Roman" w:eastAsia="MS Mincho" w:hAnsi="Times New Roman" w:cs="Times New Roman"/>
          <w:kern w:val="0"/>
          <w:sz w:val="24"/>
          <w:lang w:val="en-GB" w:eastAsia="en-US"/>
          <w14:ligatures w14:val="none"/>
        </w:rPr>
        <w:t>江</w:t>
      </w:r>
      <w:r w:rsidRPr="00F02A69">
        <w:rPr>
          <w:rFonts w:ascii="Times New Roman" w:eastAsia="宋体" w:hAnsi="Times New Roman" w:cs="Times New Roman"/>
          <w:kern w:val="0"/>
          <w:sz w:val="24"/>
          <w:lang w:val="en-GB" w:eastAsia="en-US"/>
          <w14:ligatures w14:val="none"/>
        </w:rPr>
        <w:t>苏印发《关于构建优质均衡的基本公共教育服务体系的实施方案》</w:t>
      </w:r>
      <w:r w:rsidRPr="00F02A69">
        <w:rPr>
          <w:rFonts w:ascii="Times New Roman" w:eastAsia="Times New Roman" w:hAnsi="Times New Roman" w:cs="Times New Roman"/>
          <w:kern w:val="0"/>
          <w:sz w:val="24"/>
          <w:lang w:val="en-GB" w:eastAsia="en-US"/>
          <w14:ligatures w14:val="none"/>
        </w:rPr>
        <w:t xml:space="preserve">. Available at: </w:t>
      </w:r>
      <w:hyperlink r:id="rId7" w:tgtFrame="_new" w:history="1">
        <w:r w:rsidRPr="00F02A69">
          <w:rPr>
            <w:rFonts w:ascii="Times New Roman" w:eastAsia="Times New Roman" w:hAnsi="Times New Roman" w:cs="Times New Roman"/>
            <w:color w:val="0563C1"/>
            <w:kern w:val="0"/>
            <w:sz w:val="24"/>
            <w:u w:val="single"/>
            <w:lang w:val="en-GB" w:eastAsia="en-US"/>
            <w14:ligatures w14:val="none"/>
          </w:rPr>
          <w:t>https://www.zgjssw.gov.cn/fabuting/shengweiwenjian/202406/t20240611_8309373.shtml</w:t>
        </w:r>
      </w:hyperlink>
    </w:p>
    <w:p w14:paraId="68C81E63"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Dai, Y., Luo, J. and Ni, C. (2026) ‘Exploring the relationship between perceived social support and psychological resilience among chinese adolescents in post-pandemic online learning contexts : the mediating role of loneliness’, </w:t>
      </w:r>
      <w:r w:rsidRPr="00F02A69">
        <w:rPr>
          <w:rFonts w:ascii="Times New Roman" w:eastAsia="Times New Roman" w:hAnsi="Times New Roman" w:cs="Times New Roman"/>
          <w:i/>
          <w:iCs/>
          <w:kern w:val="0"/>
          <w:sz w:val="24"/>
          <w:lang w:val="en-GB" w:eastAsia="en-US"/>
          <w14:ligatures w14:val="none"/>
        </w:rPr>
        <w:t>The Journal of Health Care Organisation, Provision, and Financing</w:t>
      </w:r>
      <w:r w:rsidRPr="00F02A69">
        <w:rPr>
          <w:rFonts w:ascii="Times New Roman" w:eastAsia="Times New Roman" w:hAnsi="Times New Roman" w:cs="Times New Roman"/>
          <w:kern w:val="0"/>
          <w:sz w:val="24"/>
          <w:lang w:val="en-GB" w:eastAsia="en-US"/>
          <w14:ligatures w14:val="none"/>
        </w:rPr>
        <w:t>, 63, pp. 1–16. Available at: https://doi.org/10.1177/00469580261422592.</w:t>
      </w:r>
    </w:p>
    <w:p w14:paraId="6042AC35"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Hua, X.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(2024) ‘The relationship between chinese high school students ’ test anxiety and academic performance during the national college entrance examination’, </w:t>
      </w:r>
      <w:r w:rsidRPr="00F02A69">
        <w:rPr>
          <w:rFonts w:ascii="Times New Roman" w:eastAsia="Times New Roman" w:hAnsi="Times New Roman" w:cs="Times New Roman"/>
          <w:i/>
          <w:iCs/>
          <w:kern w:val="0"/>
          <w:sz w:val="24"/>
          <w:lang w:val="en-GB" w:eastAsia="en-US"/>
          <w14:ligatures w14:val="none"/>
        </w:rPr>
        <w:t>SHS Web of Conferences</w:t>
      </w:r>
      <w:r w:rsidRPr="00F02A69">
        <w:rPr>
          <w:rFonts w:ascii="Times New Roman" w:eastAsia="Times New Roman" w:hAnsi="Times New Roman" w:cs="Times New Roman"/>
          <w:kern w:val="0"/>
          <w:sz w:val="24"/>
          <w:lang w:val="en-GB" w:eastAsia="en-US"/>
          <w14:ligatures w14:val="none"/>
        </w:rPr>
        <w:t>, 02003, pp. 1–4. Available at: https://doi.org/10.1051/shsconf/202419302003.</w:t>
      </w:r>
    </w:p>
    <w:p w14:paraId="78D54AD6"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Jirjees, F.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(2024) ‘Test anxiety and coping strategies among university students an exploratory study in the UAE.’, </w:t>
      </w:r>
      <w:r w:rsidRPr="00F02A69">
        <w:rPr>
          <w:rFonts w:ascii="Times New Roman" w:eastAsia="Times New Roman" w:hAnsi="Times New Roman" w:cs="Times New Roman"/>
          <w:i/>
          <w:iCs/>
          <w:kern w:val="0"/>
          <w:sz w:val="24"/>
          <w:lang w:val="en-GB" w:eastAsia="en-US"/>
          <w14:ligatures w14:val="none"/>
        </w:rPr>
        <w:t>Scientific Reports</w:t>
      </w:r>
      <w:r w:rsidRPr="00F02A69">
        <w:rPr>
          <w:rFonts w:ascii="Times New Roman" w:eastAsia="Times New Roman" w:hAnsi="Times New Roman" w:cs="Times New Roman"/>
          <w:kern w:val="0"/>
          <w:sz w:val="24"/>
          <w:lang w:val="en-GB" w:eastAsia="en-US"/>
          <w14:ligatures w14:val="none"/>
        </w:rPr>
        <w:t>, 14(1), p. 25835. Available at: https://doi.org/10.1038/s41598-024-59739-4.</w:t>
      </w:r>
    </w:p>
    <w:p w14:paraId="29A4EEED"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Kabir, D. (2024) ‘Exam anxiety in adolescents and the efficacy of its interventions – a systematic review’, </w:t>
      </w:r>
      <w:r w:rsidRPr="00F02A69">
        <w:rPr>
          <w:rFonts w:ascii="Times New Roman" w:eastAsia="Times New Roman" w:hAnsi="Times New Roman" w:cs="Times New Roman"/>
          <w:i/>
          <w:iCs/>
          <w:kern w:val="0"/>
          <w:sz w:val="24"/>
          <w:lang w:val="en-GB" w:eastAsia="en-US"/>
          <w14:ligatures w14:val="none"/>
        </w:rPr>
        <w:t>International Journal of Psychological Studies</w:t>
      </w:r>
      <w:r w:rsidRPr="00F02A69">
        <w:rPr>
          <w:rFonts w:ascii="Times New Roman" w:eastAsia="Times New Roman" w:hAnsi="Times New Roman" w:cs="Times New Roman"/>
          <w:kern w:val="0"/>
          <w:sz w:val="24"/>
          <w:lang w:val="en-GB" w:eastAsia="en-US"/>
          <w14:ligatures w14:val="none"/>
        </w:rPr>
        <w:t>, 16(3), pp. 1–34. Available at: https://doi.org/10.5539/ijps.v16n3p1.</w:t>
      </w:r>
    </w:p>
    <w:p w14:paraId="376EC540"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Kaur Khaira, M.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(2023) ‘Interventional strategies to reduce test anxiety among nursing students: a systematic review’, </w:t>
      </w:r>
      <w:r w:rsidRPr="00F02A69">
        <w:rPr>
          <w:rFonts w:ascii="Times New Roman" w:eastAsia="Times New Roman" w:hAnsi="Times New Roman" w:cs="Times New Roman"/>
          <w:i/>
          <w:iCs/>
          <w:kern w:val="0"/>
          <w:sz w:val="24"/>
          <w:lang w:val="en-GB" w:eastAsia="en-US"/>
          <w14:ligatures w14:val="none"/>
        </w:rPr>
        <w:t>International Journal of Environmental Research and Public Health</w:t>
      </w:r>
      <w:r w:rsidRPr="00F02A69">
        <w:rPr>
          <w:rFonts w:ascii="Times New Roman" w:eastAsia="Times New Roman" w:hAnsi="Times New Roman" w:cs="Times New Roman"/>
          <w:kern w:val="0"/>
          <w:sz w:val="24"/>
          <w:lang w:val="en-GB" w:eastAsia="en-US"/>
          <w14:ligatures w14:val="none"/>
        </w:rPr>
        <w:t>, 20(2), p. 1233. Available at: https://doi.org/10.3390/ijerph20021233.</w:t>
      </w:r>
    </w:p>
    <w:p w14:paraId="2F920935"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Koh, G.A., Askell-Williams, H. and Barr, S. (2023) ‘Sustaining school improvement initiatives: advice from educational leaders’, </w:t>
      </w:r>
      <w:r w:rsidRPr="00F02A69">
        <w:rPr>
          <w:rFonts w:ascii="Times New Roman" w:eastAsia="Times New Roman" w:hAnsi="Times New Roman" w:cs="Times New Roman"/>
          <w:i/>
          <w:iCs/>
          <w:kern w:val="0"/>
          <w:sz w:val="24"/>
          <w:lang w:val="en-GB" w:eastAsia="en-US"/>
          <w14:ligatures w14:val="none"/>
        </w:rPr>
        <w:t>School Effectiveness and School Improvement</w:t>
      </w:r>
      <w:r w:rsidRPr="00F02A69">
        <w:rPr>
          <w:rFonts w:ascii="Times New Roman" w:eastAsia="Times New Roman" w:hAnsi="Times New Roman" w:cs="Times New Roman"/>
          <w:kern w:val="0"/>
          <w:sz w:val="24"/>
          <w:lang w:val="en-GB" w:eastAsia="en-US"/>
          <w14:ligatures w14:val="none"/>
        </w:rPr>
        <w:t>, 34(3), pp. 298–</w:t>
      </w:r>
      <w:r w:rsidRPr="00F02A69">
        <w:rPr>
          <w:rFonts w:ascii="Times New Roman" w:eastAsia="Times New Roman" w:hAnsi="Times New Roman" w:cs="Times New Roman"/>
          <w:kern w:val="0"/>
          <w:sz w:val="24"/>
          <w:lang w:val="en-GB" w:eastAsia="en-US"/>
          <w14:ligatures w14:val="none"/>
        </w:rPr>
        <w:lastRenderedPageBreak/>
        <w:t>330. Available at: https://doi.org/10.1080/09243453.2023.2190130.</w:t>
      </w:r>
    </w:p>
    <w:p w14:paraId="107811BF"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Lemberger-Truelove, M.E.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(2026) ‘School mental health interventions for adolescents: a meta-analysis of effectiveness and relevant moderators’, </w:t>
      </w:r>
      <w:r w:rsidRPr="00F02A69">
        <w:rPr>
          <w:rFonts w:ascii="Times New Roman" w:eastAsia="Times New Roman" w:hAnsi="Times New Roman" w:cs="Times New Roman"/>
          <w:i/>
          <w:iCs/>
          <w:kern w:val="0"/>
          <w:sz w:val="24"/>
          <w:lang w:val="en-GB" w:eastAsia="en-US"/>
          <w14:ligatures w14:val="none"/>
        </w:rPr>
        <w:t>Adolescents</w:t>
      </w:r>
      <w:r w:rsidRPr="00F02A69">
        <w:rPr>
          <w:rFonts w:ascii="Times New Roman" w:eastAsia="Times New Roman" w:hAnsi="Times New Roman" w:cs="Times New Roman"/>
          <w:kern w:val="0"/>
          <w:sz w:val="24"/>
          <w:lang w:val="en-GB" w:eastAsia="en-US"/>
          <w14:ligatures w14:val="none"/>
        </w:rPr>
        <w:t>, 6(1), p. 6. Available at: https://doi.org/10.3390/adolescents6010006.</w:t>
      </w:r>
    </w:p>
    <w:p w14:paraId="694D778B"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Lenski,  Sina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(2024) ‘Early indicators of study delay and dropout: test anxiety and its link to exam participation and performance’, </w:t>
      </w:r>
      <w:r w:rsidRPr="00F02A69">
        <w:rPr>
          <w:rFonts w:ascii="Times New Roman" w:eastAsia="Times New Roman" w:hAnsi="Times New Roman" w:cs="Times New Roman"/>
          <w:i/>
          <w:iCs/>
          <w:kern w:val="0"/>
          <w:sz w:val="24"/>
          <w:lang w:val="en-GB" w:eastAsia="en-US"/>
          <w14:ligatures w14:val="none"/>
        </w:rPr>
        <w:t>Journal of College Student Retention: Research, Theory &amp; Practice</w:t>
      </w:r>
      <w:r w:rsidRPr="00F02A69">
        <w:rPr>
          <w:rFonts w:ascii="Times New Roman" w:eastAsia="Times New Roman" w:hAnsi="Times New Roman" w:cs="Times New Roman"/>
          <w:kern w:val="0"/>
          <w:sz w:val="24"/>
          <w:lang w:val="en-GB" w:eastAsia="en-US"/>
          <w14:ligatures w14:val="none"/>
        </w:rPr>
        <w:t>, p. 15210251241266548. Available at: https://doi.org/10.1177/15210251241266547.</w:t>
      </w:r>
    </w:p>
    <w:p w14:paraId="5BF00150"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Lester, K.J.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(2024) ‘Intervention for school anxiety and absenteeism in children (ISAAC): mixed-method feasibility study of a coach-assisted, parent-focused online program’, </w:t>
      </w:r>
      <w:r w:rsidRPr="00F02A69">
        <w:rPr>
          <w:rFonts w:ascii="Times New Roman" w:eastAsia="Times New Roman" w:hAnsi="Times New Roman" w:cs="Times New Roman"/>
          <w:i/>
          <w:iCs/>
          <w:kern w:val="0"/>
          <w:sz w:val="24"/>
          <w:lang w:val="en-GB" w:eastAsia="en-US"/>
          <w14:ligatures w14:val="none"/>
        </w:rPr>
        <w:t>Child Psychiatry &amp; Human Development</w:t>
      </w:r>
      <w:r w:rsidRPr="00F02A69">
        <w:rPr>
          <w:rFonts w:ascii="Times New Roman" w:eastAsia="Times New Roman" w:hAnsi="Times New Roman" w:cs="Times New Roman"/>
          <w:kern w:val="0"/>
          <w:sz w:val="24"/>
          <w:lang w:val="en-GB" w:eastAsia="en-US"/>
          <w14:ligatures w14:val="none"/>
        </w:rPr>
        <w:t xml:space="preserve"> [Preprint]. Available at: https://doi.org/10.1007/s10578-024-01755-6.</w:t>
      </w:r>
    </w:p>
    <w:p w14:paraId="216F3088"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Li, D., Ahmad, N.A. and Roslan, S. (2025) ‘Perceived social support from parents, teachers, and friends as predictors of test anxiety in chinese final-year high school students: the mediating role of academic buoyancy’, </w:t>
      </w:r>
      <w:r w:rsidRPr="00F02A69">
        <w:rPr>
          <w:rFonts w:ascii="Times New Roman" w:eastAsia="Times New Roman" w:hAnsi="Times New Roman" w:cs="Times New Roman"/>
          <w:i/>
          <w:iCs/>
          <w:kern w:val="0"/>
          <w:sz w:val="24"/>
          <w:lang w:val="en-GB" w:eastAsia="en-US"/>
          <w14:ligatures w14:val="none"/>
        </w:rPr>
        <w:t>Behavioral Sciences</w:t>
      </w:r>
      <w:r w:rsidRPr="00F02A69">
        <w:rPr>
          <w:rFonts w:ascii="Times New Roman" w:eastAsia="Times New Roman" w:hAnsi="Times New Roman" w:cs="Times New Roman"/>
          <w:kern w:val="0"/>
          <w:sz w:val="24"/>
          <w:lang w:val="en-GB" w:eastAsia="en-US"/>
          <w14:ligatures w14:val="none"/>
        </w:rPr>
        <w:t>, 15(4), p. 449. Available at: https://doi.org/10.3390/bs15040449.</w:t>
      </w:r>
    </w:p>
    <w:p w14:paraId="41A59C69" w14:textId="77777777" w:rsidR="00F02A69" w:rsidRPr="00F02A69" w:rsidRDefault="00F02A69" w:rsidP="00F02A69">
      <w:pPr>
        <w:autoSpaceDE w:val="0"/>
        <w:autoSpaceDN w:val="0"/>
        <w:adjustRightInd w:val="0"/>
        <w:spacing w:before="120" w:after="120" w:line="480" w:lineRule="auto"/>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 xml:space="preserve">Liu, X.-Q., Guo, Y.-X. and Xu, Y. (2023) ‘Risk factors and digital interventions for anxiety disorders in college students: stakeholder perspectives’, </w:t>
      </w:r>
      <w:r w:rsidRPr="00F02A69">
        <w:rPr>
          <w:rFonts w:ascii="Times New Roman" w:eastAsia="Times New Roman" w:hAnsi="Times New Roman" w:cs="Times New Roman"/>
          <w:i/>
          <w:iCs/>
          <w:kern w:val="0"/>
          <w:sz w:val="24"/>
          <w:lang w:val="en-GB" w:eastAsia="en-US"/>
          <w14:ligatures w14:val="none"/>
        </w:rPr>
        <w:t>World Journal Clinical Cases</w:t>
      </w:r>
      <w:r w:rsidRPr="00F02A69">
        <w:rPr>
          <w:rFonts w:ascii="Times New Roman" w:eastAsia="Times New Roman" w:hAnsi="Times New Roman" w:cs="Times New Roman"/>
          <w:kern w:val="0"/>
          <w:sz w:val="24"/>
          <w:lang w:val="en-GB" w:eastAsia="en-US"/>
          <w14:ligatures w14:val="none"/>
        </w:rPr>
        <w:t>, 11(7), pp. 1442–1457. Available at: https://doi.org/10.12998/wjcc.v11.i7.1442.</w:t>
      </w:r>
    </w:p>
    <w:p w14:paraId="096E3B2B" w14:textId="77777777" w:rsidR="00F02A69" w:rsidRPr="00F02A69" w:rsidRDefault="00F02A69" w:rsidP="00F02A69">
      <w:pPr>
        <w:widowControl/>
        <w:spacing w:after="200" w:line="276" w:lineRule="auto"/>
        <w:rPr>
          <w:rFonts w:ascii="Times New Roman" w:eastAsia="等线" w:hAnsi="Times New Roman" w:cs="Times New Roman"/>
          <w:kern w:val="0"/>
          <w:sz w:val="24"/>
          <w:lang w:val="en-GB"/>
          <w14:ligatures w14:val="none"/>
        </w:rPr>
      </w:pPr>
      <w:r w:rsidRPr="00F02A69">
        <w:rPr>
          <w:rFonts w:ascii="Times New Roman" w:eastAsia="Calibri" w:hAnsi="Times New Roman" w:cs="Times New Roman"/>
          <w:kern w:val="0"/>
          <w:sz w:val="24"/>
          <w:lang w:val="en-GB" w:eastAsia="en-US"/>
          <w14:ligatures w14:val="none"/>
        </w:rPr>
        <w:t xml:space="preserve">Ministry of Education of the People’s Republic of China (2023). </w:t>
      </w:r>
      <w:r w:rsidRPr="00F02A69">
        <w:rPr>
          <w:rFonts w:ascii="Times New Roman" w:eastAsia="MS Mincho" w:hAnsi="Times New Roman" w:cs="Times New Roman"/>
          <w:kern w:val="0"/>
          <w:sz w:val="24"/>
          <w:lang w:val="en-GB" w:eastAsia="en-US"/>
          <w14:ligatures w14:val="none"/>
        </w:rPr>
        <w:t>教育部等十七部</w:t>
      </w:r>
      <w:r w:rsidRPr="00F02A69">
        <w:rPr>
          <w:rFonts w:ascii="Times New Roman" w:eastAsia="Yu Gothic" w:hAnsi="Times New Roman" w:cs="Times New Roman"/>
          <w:kern w:val="0"/>
          <w:sz w:val="24"/>
          <w:lang w:val="en-GB" w:eastAsia="en-US"/>
          <w14:ligatures w14:val="none"/>
        </w:rPr>
        <w:t>门关于印</w:t>
      </w:r>
      <w:r w:rsidRPr="00F02A69">
        <w:rPr>
          <w:rFonts w:ascii="Times New Roman" w:eastAsia="宋体" w:hAnsi="Times New Roman" w:cs="Times New Roman"/>
          <w:kern w:val="0"/>
          <w:sz w:val="24"/>
          <w:lang w:val="en-GB" w:eastAsia="en-US"/>
          <w14:ligatures w14:val="none"/>
        </w:rPr>
        <w:t>发《全面加强和改进新时代学生心理健康工作专项行动计划（</w:t>
      </w:r>
      <w:r w:rsidRPr="00F02A69">
        <w:rPr>
          <w:rFonts w:ascii="Times New Roman" w:eastAsia="Calibri" w:hAnsi="Times New Roman" w:cs="Times New Roman"/>
          <w:kern w:val="0"/>
          <w:sz w:val="24"/>
          <w:lang w:val="en-GB" w:eastAsia="en-US"/>
          <w14:ligatures w14:val="none"/>
        </w:rPr>
        <w:t>2023—2025</w:t>
      </w:r>
      <w:r w:rsidRPr="00F02A69">
        <w:rPr>
          <w:rFonts w:ascii="Times New Roman" w:eastAsia="MS Mincho" w:hAnsi="Times New Roman" w:cs="Times New Roman"/>
          <w:kern w:val="0"/>
          <w:sz w:val="24"/>
          <w:lang w:val="en-GB" w:eastAsia="en-US"/>
          <w14:ligatures w14:val="none"/>
        </w:rPr>
        <w:t>年）》的通知</w:t>
      </w:r>
      <w:r w:rsidRPr="00F02A69">
        <w:rPr>
          <w:rFonts w:ascii="Times New Roman" w:eastAsia="Calibri" w:hAnsi="Times New Roman" w:cs="Times New Roman"/>
          <w:kern w:val="0"/>
          <w:sz w:val="24"/>
          <w:lang w:val="en-GB" w:eastAsia="en-US"/>
          <w14:ligatures w14:val="none"/>
        </w:rPr>
        <w:t xml:space="preserve">. Available at: </w:t>
      </w:r>
      <w:hyperlink r:id="rId8" w:tgtFrame="_new" w:history="1">
        <w:r w:rsidRPr="00F02A69">
          <w:rPr>
            <w:rFonts w:ascii="Times New Roman" w:eastAsia="Calibri" w:hAnsi="Times New Roman" w:cs="Times New Roman"/>
            <w:color w:val="0563C1"/>
            <w:kern w:val="0"/>
            <w:sz w:val="24"/>
            <w:u w:val="single"/>
            <w:lang w:val="en-GB" w:eastAsia="en-US"/>
            <w14:ligatures w14:val="none"/>
          </w:rPr>
          <w:t>https://www.moe.gov.cn/srcsite/A17/moe_943/moe_946/202305/t20230511_1059219.html</w:t>
        </w:r>
      </w:hyperlink>
      <w:r w:rsidRPr="00F02A69">
        <w:rPr>
          <w:rFonts w:ascii="Times New Roman" w:eastAsia="Calibri" w:hAnsi="Times New Roman" w:cs="Times New Roman"/>
          <w:kern w:val="0"/>
          <w:sz w:val="24"/>
          <w:lang w:val="en-GB" w:eastAsia="en-US"/>
          <w14:ligatures w14:val="none"/>
        </w:rPr>
        <w:t xml:space="preserve"> (Accessed: [</w:t>
      </w:r>
      <w:r w:rsidRPr="00F02A69">
        <w:rPr>
          <w:rFonts w:ascii="宋体" w:eastAsia="宋体" w:hAnsi="宋体" w:cs="宋体" w:hint="eastAsia"/>
          <w:kern w:val="0"/>
          <w:sz w:val="24"/>
          <w:lang w:val="en-GB"/>
          <w14:ligatures w14:val="none"/>
        </w:rPr>
        <w:t>04/03/2026</w:t>
      </w:r>
      <w:r w:rsidRPr="00F02A69">
        <w:rPr>
          <w:rFonts w:ascii="Times New Roman" w:eastAsia="Calibri" w:hAnsi="Times New Roman" w:cs="Times New Roman"/>
          <w:kern w:val="0"/>
          <w:sz w:val="24"/>
          <w:lang w:val="en-GB" w:eastAsia="en-US"/>
          <w14:ligatures w14:val="none"/>
        </w:rPr>
        <w:t>]).</w:t>
      </w:r>
    </w:p>
    <w:p w14:paraId="64E09DFC" w14:textId="77777777" w:rsidR="00F02A69" w:rsidRPr="00F02A69" w:rsidRDefault="00F02A69" w:rsidP="00F02A69">
      <w:pPr>
        <w:widowControl/>
        <w:spacing w:after="200" w:line="276" w:lineRule="auto"/>
        <w:rPr>
          <w:rFonts w:ascii="Times New Roman" w:eastAsia="等线" w:hAnsi="Times New Roman" w:cs="Times New Roman"/>
          <w:kern w:val="0"/>
          <w:sz w:val="24"/>
          <w:lang w:val="en-GB"/>
          <w14:ligatures w14:val="none"/>
        </w:rPr>
      </w:pPr>
      <w:r w:rsidRPr="00F02A69">
        <w:rPr>
          <w:rFonts w:ascii="Times New Roman" w:eastAsia="Calibri" w:hAnsi="Times New Roman" w:cs="Times New Roman"/>
          <w:kern w:val="0"/>
          <w:sz w:val="24"/>
          <w:lang w:val="en-GB" w:eastAsia="en-US"/>
          <w14:ligatures w14:val="none"/>
        </w:rPr>
        <w:lastRenderedPageBreak/>
        <w:t xml:space="preserve">Nanjing Municipal Education Bureau (2024). </w:t>
      </w:r>
      <w:r w:rsidRPr="00F02A69">
        <w:rPr>
          <w:rFonts w:ascii="Times New Roman" w:eastAsia="MS Gothic" w:hAnsi="Times New Roman" w:cs="Times New Roman"/>
          <w:kern w:val="0"/>
          <w:sz w:val="24"/>
          <w:lang w:val="en-GB" w:eastAsia="en-US"/>
          <w14:ligatures w14:val="none"/>
        </w:rPr>
        <w:t>省内首家</w:t>
      </w:r>
      <w:r w:rsidRPr="00F02A69">
        <w:rPr>
          <w:rFonts w:ascii="Times New Roman" w:eastAsia="Calibri" w:hAnsi="Times New Roman" w:cs="Times New Roman"/>
          <w:kern w:val="0"/>
          <w:sz w:val="24"/>
          <w:lang w:val="en-GB" w:eastAsia="en-US"/>
          <w14:ligatures w14:val="none"/>
        </w:rPr>
        <w:t>“</w:t>
      </w:r>
      <w:r w:rsidRPr="00F02A69">
        <w:rPr>
          <w:rFonts w:ascii="Times New Roman" w:eastAsia="MS Gothic" w:hAnsi="Times New Roman" w:cs="Times New Roman"/>
          <w:kern w:val="0"/>
          <w:sz w:val="24"/>
          <w:lang w:val="en-GB" w:eastAsia="en-US"/>
          <w14:ligatures w14:val="none"/>
        </w:rPr>
        <w:t>医教</w:t>
      </w:r>
      <w:r w:rsidRPr="00F02A69">
        <w:rPr>
          <w:rFonts w:ascii="Times New Roman" w:eastAsia="Microsoft JhengHei" w:hAnsi="Times New Roman" w:cs="Times New Roman"/>
          <w:kern w:val="0"/>
          <w:sz w:val="24"/>
          <w:lang w:val="en-GB" w:eastAsia="en-US"/>
          <w14:ligatures w14:val="none"/>
        </w:rPr>
        <w:t>协同</w:t>
      </w:r>
      <w:r w:rsidRPr="00F02A69">
        <w:rPr>
          <w:rFonts w:ascii="Times New Roman" w:eastAsia="Calibri" w:hAnsi="Times New Roman" w:cs="Times New Roman"/>
          <w:kern w:val="0"/>
          <w:sz w:val="24"/>
          <w:lang w:val="en-GB" w:eastAsia="en-US"/>
          <w14:ligatures w14:val="none"/>
        </w:rPr>
        <w:t>”</w:t>
      </w:r>
      <w:r w:rsidRPr="00F02A69">
        <w:rPr>
          <w:rFonts w:ascii="Times New Roman" w:eastAsia="Microsoft JhengHei" w:hAnsi="Times New Roman" w:cs="Times New Roman"/>
          <w:kern w:val="0"/>
          <w:sz w:val="24"/>
          <w:lang w:val="en-GB" w:eastAsia="en-US"/>
          <w14:ligatures w14:val="none"/>
        </w:rPr>
        <w:t>实验基地落户雨花</w:t>
      </w:r>
      <w:r w:rsidRPr="00F02A69">
        <w:rPr>
          <w:rFonts w:ascii="Times New Roman" w:eastAsia="Calibri" w:hAnsi="Times New Roman" w:cs="Times New Roman"/>
          <w:kern w:val="0"/>
          <w:sz w:val="24"/>
          <w:lang w:val="en-GB" w:eastAsia="en-US"/>
          <w14:ligatures w14:val="none"/>
        </w:rPr>
        <w:t xml:space="preserve">. Available at: </w:t>
      </w:r>
      <w:hyperlink r:id="rId9" w:tgtFrame="_new" w:history="1">
        <w:r w:rsidRPr="00F02A69">
          <w:rPr>
            <w:rFonts w:ascii="Times New Roman" w:eastAsia="Calibri" w:hAnsi="Times New Roman" w:cs="Times New Roman"/>
            <w:color w:val="0563C1"/>
            <w:kern w:val="0"/>
            <w:sz w:val="24"/>
            <w:u w:val="single"/>
            <w:lang w:val="en-GB" w:eastAsia="en-US"/>
            <w14:ligatures w14:val="none"/>
          </w:rPr>
          <w:t>https://edu.nanjing.gov.cn/xwdt/gqdt/202406/t20240611_4687187.html</w:t>
        </w:r>
      </w:hyperlink>
      <w:r w:rsidRPr="00F02A69">
        <w:rPr>
          <w:rFonts w:ascii="Times New Roman" w:eastAsia="等线" w:hAnsi="Times New Roman" w:cs="Times New Roman" w:hint="eastAsia"/>
          <w:kern w:val="0"/>
          <w:sz w:val="24"/>
          <w:lang w:val="en-GB"/>
          <w14:ligatures w14:val="none"/>
        </w:rPr>
        <w:t xml:space="preserve"> </w:t>
      </w:r>
      <w:r w:rsidRPr="00F02A69">
        <w:rPr>
          <w:rFonts w:ascii="Times New Roman" w:eastAsia="等线" w:hAnsi="Times New Roman" w:cs="Times New Roman"/>
          <w:kern w:val="0"/>
          <w:sz w:val="24"/>
          <w:lang w:val="en-GB"/>
          <w14:ligatures w14:val="none"/>
        </w:rPr>
        <w:t>(Accessed: [04/03/2026]).</w:t>
      </w:r>
    </w:p>
    <w:p w14:paraId="1819C3B0"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Putwain, D.W.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(2021) ‘Does test anxiety predispose poor school-related wellbeing and enhanced risk of emotional disorders?’, </w:t>
      </w:r>
      <w:r w:rsidRPr="00F02A69">
        <w:rPr>
          <w:rFonts w:ascii="Times New Roman" w:eastAsia="Times New Roman" w:hAnsi="Times New Roman" w:cs="Times New Roman"/>
          <w:i/>
          <w:iCs/>
          <w:kern w:val="0"/>
          <w:sz w:val="24"/>
          <w:lang w:val="en-GB" w:eastAsia="en-US"/>
          <w14:ligatures w14:val="none"/>
        </w:rPr>
        <w:t>Cognitive Therapy and Research</w:t>
      </w:r>
      <w:r w:rsidRPr="00F02A69">
        <w:rPr>
          <w:rFonts w:ascii="Times New Roman" w:eastAsia="Times New Roman" w:hAnsi="Times New Roman" w:cs="Times New Roman"/>
          <w:kern w:val="0"/>
          <w:sz w:val="24"/>
          <w:lang w:val="en-GB" w:eastAsia="en-US"/>
          <w14:ligatures w14:val="none"/>
        </w:rPr>
        <w:t>, 45(6), pp. 1150–1162. Available at: https://doi.org/10.1007/s10608-021-10211-x.</w:t>
      </w:r>
    </w:p>
    <w:p w14:paraId="2F74E312" w14:textId="77777777" w:rsidR="00F02A69" w:rsidRPr="00F02A69" w:rsidRDefault="00F02A69" w:rsidP="00F02A69">
      <w:pPr>
        <w:autoSpaceDE w:val="0"/>
        <w:autoSpaceDN w:val="0"/>
        <w:adjustRightInd w:val="0"/>
        <w:spacing w:before="120" w:after="120" w:line="480" w:lineRule="auto"/>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 xml:space="preserve">Putwain, D.W., Nicholson, L.J. and Pekrun, R. (2022) ‘Test anxiety, emotion regulation, and achievement: lagged and contemporaneous reciprocal relations’, </w:t>
      </w:r>
      <w:r w:rsidRPr="00F02A69">
        <w:rPr>
          <w:rFonts w:ascii="Times New Roman" w:eastAsia="Times New Roman" w:hAnsi="Times New Roman" w:cs="Times New Roman"/>
          <w:i/>
          <w:iCs/>
          <w:kern w:val="0"/>
          <w:sz w:val="24"/>
          <w:lang w:val="en-GB" w:eastAsia="en-US"/>
          <w14:ligatures w14:val="none"/>
        </w:rPr>
        <w:t>Journal of Educational Psychology</w:t>
      </w:r>
      <w:r w:rsidRPr="00F02A69">
        <w:rPr>
          <w:rFonts w:ascii="Times New Roman" w:eastAsia="Times New Roman" w:hAnsi="Times New Roman" w:cs="Times New Roman"/>
          <w:kern w:val="0"/>
          <w:sz w:val="24"/>
          <w:lang w:val="en-GB" w:eastAsia="en-US"/>
          <w14:ligatures w14:val="none"/>
        </w:rPr>
        <w:t>, pp. 1–74. Available at: https://repository.essex.ac.uk/40904/1/Putwain et al JEP 2024 Test Anxiety and Emotion Regulation.pdf.</w:t>
      </w:r>
      <w:r w:rsidRPr="00F02A69">
        <w:rPr>
          <w:rFonts w:ascii="Times New Roman" w:eastAsia="等线" w:hAnsi="Times New Roman" w:cs="Times New Roman" w:hint="eastAsia"/>
          <w:kern w:val="0"/>
          <w:sz w:val="24"/>
          <w:lang w:val="en-GB"/>
          <w14:ligatures w14:val="none"/>
        </w:rPr>
        <w:t xml:space="preserve"> </w:t>
      </w:r>
      <w:r w:rsidRPr="00F02A69">
        <w:rPr>
          <w:rFonts w:ascii="Times New Roman" w:eastAsia="等线" w:hAnsi="Times New Roman" w:cs="Times New Roman"/>
          <w:kern w:val="0"/>
          <w:sz w:val="24"/>
          <w:lang w:val="en-GB"/>
          <w14:ligatures w14:val="none"/>
        </w:rPr>
        <w:t>(Accessed: [</w:t>
      </w:r>
      <w:r w:rsidRPr="00F02A69">
        <w:rPr>
          <w:rFonts w:ascii="Times New Roman" w:eastAsia="等线" w:hAnsi="Times New Roman" w:cs="Times New Roman" w:hint="eastAsia"/>
          <w:kern w:val="0"/>
          <w:sz w:val="24"/>
          <w:lang w:val="en-GB"/>
          <w14:ligatures w14:val="none"/>
        </w:rPr>
        <w:t>04/05/2026</w:t>
      </w:r>
      <w:r w:rsidRPr="00F02A69">
        <w:rPr>
          <w:rFonts w:ascii="Times New Roman" w:eastAsia="等线" w:hAnsi="Times New Roman" w:cs="Times New Roman"/>
          <w:kern w:val="0"/>
          <w:sz w:val="24"/>
          <w:lang w:val="en-GB"/>
          <w14:ligatures w14:val="none"/>
        </w:rPr>
        <w:t>]).</w:t>
      </w:r>
    </w:p>
    <w:p w14:paraId="323802DB"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Reshu, Kumar, S. and Rathi, A. (2025) ‘Adolescent academic stress and exam anxiety in schools in the wake of the COVID-19 pandemic’, </w:t>
      </w:r>
      <w:r w:rsidRPr="00F02A69">
        <w:rPr>
          <w:rFonts w:ascii="Times New Roman" w:eastAsia="Times New Roman" w:hAnsi="Times New Roman" w:cs="Times New Roman"/>
          <w:i/>
          <w:iCs/>
          <w:kern w:val="0"/>
          <w:sz w:val="24"/>
          <w:lang w:val="en-GB" w:eastAsia="en-US"/>
          <w14:ligatures w14:val="none"/>
        </w:rPr>
        <w:t>Acta Psychologica</w:t>
      </w:r>
      <w:r w:rsidRPr="00F02A69">
        <w:rPr>
          <w:rFonts w:ascii="Times New Roman" w:eastAsia="Times New Roman" w:hAnsi="Times New Roman" w:cs="Times New Roman"/>
          <w:kern w:val="0"/>
          <w:sz w:val="24"/>
          <w:lang w:val="en-GB" w:eastAsia="en-US"/>
          <w14:ligatures w14:val="none"/>
        </w:rPr>
        <w:t>, 261, p. 105820. Available at: https://doi.org/10.1016/j.actpsy.2025.105820.</w:t>
      </w:r>
    </w:p>
    <w:p w14:paraId="29D252D1" w14:textId="77777777" w:rsidR="00F02A69" w:rsidRPr="00F02A69" w:rsidRDefault="00F02A69" w:rsidP="00F02A69">
      <w:pPr>
        <w:autoSpaceDE w:val="0"/>
        <w:autoSpaceDN w:val="0"/>
        <w:adjustRightInd w:val="0"/>
        <w:spacing w:before="120" w:after="120" w:line="480" w:lineRule="auto"/>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 xml:space="preserve">Richter, A. et al. (2022) ‘Implementing school-based mental health services: a scoping review of the literature summarizing the factors that affect implementation’, International Journal of Environmental Research and Public Health, 19(6). Available at: https://doi.org/10.3390/ijerph19063489. </w:t>
      </w:r>
    </w:p>
    <w:p w14:paraId="04BFEBCE"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Williamson, V.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(2022) ‘Primary school based mental health practitioners’ perspectives of school-based screening for childhood mental disorders and intervention delivery: a qualitative study’, </w:t>
      </w:r>
      <w:r w:rsidRPr="00F02A69">
        <w:rPr>
          <w:rFonts w:ascii="Times New Roman" w:eastAsia="Times New Roman" w:hAnsi="Times New Roman" w:cs="Times New Roman"/>
          <w:i/>
          <w:iCs/>
          <w:kern w:val="0"/>
          <w:sz w:val="24"/>
          <w:lang w:val="en-GB" w:eastAsia="en-US"/>
          <w14:ligatures w14:val="none"/>
        </w:rPr>
        <w:t>Emotional and Behavioural Difficulties</w:t>
      </w:r>
      <w:r w:rsidRPr="00F02A69">
        <w:rPr>
          <w:rFonts w:ascii="Times New Roman" w:eastAsia="Times New Roman" w:hAnsi="Times New Roman" w:cs="Times New Roman"/>
          <w:kern w:val="0"/>
          <w:sz w:val="24"/>
          <w:lang w:val="en-GB" w:eastAsia="en-US"/>
          <w14:ligatures w14:val="none"/>
        </w:rPr>
        <w:t>, 27(2), pp. 105–117. Available at: https://doi.org/10.1080/13632752.2022.2110704.</w:t>
      </w:r>
    </w:p>
    <w:p w14:paraId="51C5E313"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Suzhou Municipal Education Bureau (2024). </w:t>
      </w:r>
      <w:r w:rsidRPr="00F02A69">
        <w:rPr>
          <w:rFonts w:ascii="Times New Roman" w:eastAsia="宋体" w:hAnsi="Times New Roman" w:cs="Times New Roman"/>
          <w:kern w:val="0"/>
          <w:sz w:val="24"/>
          <w:lang w:val="en-GB" w:eastAsia="en-US"/>
          <w14:ligatures w14:val="none"/>
        </w:rPr>
        <w:t>对相关建议的答复（含学生</w:t>
      </w:r>
      <w:r w:rsidRPr="00F02A69">
        <w:rPr>
          <w:rFonts w:ascii="Times New Roman" w:eastAsia="Times New Roman" w:hAnsi="Times New Roman" w:cs="Times New Roman"/>
          <w:kern w:val="0"/>
          <w:sz w:val="24"/>
          <w:lang w:val="en-GB" w:eastAsia="en-US"/>
          <w14:ligatures w14:val="none"/>
        </w:rPr>
        <w:t>24</w:t>
      </w:r>
      <w:r w:rsidRPr="00F02A69">
        <w:rPr>
          <w:rFonts w:ascii="Times New Roman" w:eastAsia="MS Mincho" w:hAnsi="Times New Roman" w:cs="Times New Roman"/>
          <w:kern w:val="0"/>
          <w:sz w:val="24"/>
          <w:lang w:val="en-GB" w:eastAsia="en-US"/>
          <w14:ligatures w14:val="none"/>
        </w:rPr>
        <w:t>小</w:t>
      </w:r>
      <w:r w:rsidRPr="00F02A69">
        <w:rPr>
          <w:rFonts w:ascii="Times New Roman" w:eastAsia="宋体" w:hAnsi="Times New Roman" w:cs="Times New Roman"/>
          <w:kern w:val="0"/>
          <w:sz w:val="24"/>
          <w:lang w:val="en-GB" w:eastAsia="en-US"/>
          <w14:ligatures w14:val="none"/>
        </w:rPr>
        <w:t>时心理援助平台、三级预警网络、全员导师制、医教协同等内容）</w:t>
      </w:r>
      <w:r w:rsidRPr="00F02A69">
        <w:rPr>
          <w:rFonts w:ascii="Times New Roman" w:eastAsia="Times New Roman" w:hAnsi="Times New Roman" w:cs="Times New Roman"/>
          <w:kern w:val="0"/>
          <w:sz w:val="24"/>
          <w:lang w:val="en-GB" w:eastAsia="en-US"/>
          <w14:ligatures w14:val="none"/>
        </w:rPr>
        <w:t xml:space="preserve">. Available at: </w:t>
      </w:r>
      <w:hyperlink r:id="rId10" w:tgtFrame="_new" w:history="1">
        <w:r w:rsidRPr="00F02A69">
          <w:rPr>
            <w:rFonts w:ascii="Times New Roman" w:eastAsia="Times New Roman" w:hAnsi="Times New Roman" w:cs="Times New Roman"/>
            <w:color w:val="0563C1"/>
            <w:kern w:val="0"/>
            <w:sz w:val="24"/>
            <w:u w:val="single"/>
            <w:lang w:val="en-GB" w:eastAsia="en-US"/>
            <w14:ligatures w14:val="none"/>
          </w:rPr>
          <w:t>https://jyj.suzhou.gov.cn/szjyj/tajy/202412/b931ae4791e542d18b11a544797553f6/files/052ca9c388aa4fa296bbf24970fbc591.pdf</w:t>
        </w:r>
      </w:hyperlink>
      <w:r w:rsidRPr="00F02A69">
        <w:rPr>
          <w:rFonts w:ascii="Times New Roman" w:eastAsia="Times New Roman" w:hAnsi="Times New Roman" w:cs="Times New Roman"/>
          <w:kern w:val="0"/>
          <w:sz w:val="24"/>
          <w:lang w:val="en-GB" w:eastAsia="en-US"/>
          <w14:ligatures w14:val="none"/>
        </w:rPr>
        <w:t xml:space="preserve"> </w:t>
      </w:r>
      <w:r w:rsidRPr="00F02A69">
        <w:rPr>
          <w:rFonts w:ascii="Times New Roman" w:eastAsia="等线" w:hAnsi="Times New Roman" w:cs="Times New Roman" w:hint="eastAsia"/>
          <w:kern w:val="0"/>
          <w:sz w:val="24"/>
          <w:lang w:val="en-GB"/>
          <w14:ligatures w14:val="none"/>
        </w:rPr>
        <w:t xml:space="preserve"> </w:t>
      </w:r>
      <w:r w:rsidRPr="00F02A69">
        <w:rPr>
          <w:rFonts w:ascii="Times New Roman" w:eastAsia="Times New Roman" w:hAnsi="Times New Roman" w:cs="Times New Roman"/>
          <w:kern w:val="0"/>
          <w:sz w:val="24"/>
          <w:lang w:val="en-GB" w:eastAsia="en-US"/>
          <w14:ligatures w14:val="none"/>
        </w:rPr>
        <w:t>(Accessed: [</w:t>
      </w:r>
      <w:r w:rsidRPr="00F02A69">
        <w:rPr>
          <w:rFonts w:ascii="宋体" w:eastAsia="宋体" w:hAnsi="宋体" w:cs="宋体" w:hint="eastAsia"/>
          <w:kern w:val="0"/>
          <w:sz w:val="24"/>
          <w:lang w:val="en-GB"/>
          <w14:ligatures w14:val="none"/>
        </w:rPr>
        <w:t>04/05/2026</w:t>
      </w:r>
      <w:r w:rsidRPr="00F02A69">
        <w:rPr>
          <w:rFonts w:ascii="Times New Roman" w:eastAsia="Times New Roman" w:hAnsi="Times New Roman" w:cs="Times New Roman"/>
          <w:kern w:val="0"/>
          <w:sz w:val="24"/>
          <w:lang w:val="en-GB" w:eastAsia="en-US"/>
          <w14:ligatures w14:val="none"/>
        </w:rPr>
        <w:t>)</w:t>
      </w:r>
    </w:p>
    <w:p w14:paraId="2FA5344F"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Xing, X.-Y.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(2024) ‘Current status and influencing factors of test anxiety of senior one students in Yanji, China: a cross-sectional study.’, </w:t>
      </w:r>
      <w:r w:rsidRPr="00F02A69">
        <w:rPr>
          <w:rFonts w:ascii="Times New Roman" w:eastAsia="Times New Roman" w:hAnsi="Times New Roman" w:cs="Times New Roman"/>
          <w:i/>
          <w:iCs/>
          <w:kern w:val="0"/>
          <w:sz w:val="24"/>
          <w:lang w:val="en-GB" w:eastAsia="en-US"/>
          <w14:ligatures w14:val="none"/>
        </w:rPr>
        <w:t>Frontiers in Psychology</w:t>
      </w:r>
      <w:r w:rsidRPr="00F02A69">
        <w:rPr>
          <w:rFonts w:ascii="Times New Roman" w:eastAsia="Times New Roman" w:hAnsi="Times New Roman" w:cs="Times New Roman"/>
          <w:kern w:val="0"/>
          <w:sz w:val="24"/>
          <w:lang w:val="en-GB" w:eastAsia="en-US"/>
          <w14:ligatures w14:val="none"/>
        </w:rPr>
        <w:t>, 15, p. 1414215. Available at: https://doi.org/10.3389/fpsyg.2024.1414215.</w:t>
      </w:r>
    </w:p>
    <w:p w14:paraId="6FD47D75" w14:textId="77777777" w:rsidR="00F02A69" w:rsidRPr="00F02A69" w:rsidRDefault="00F02A69" w:rsidP="00F02A69">
      <w:pPr>
        <w:autoSpaceDE w:val="0"/>
        <w:autoSpaceDN w:val="0"/>
        <w:adjustRightInd w:val="0"/>
        <w:spacing w:before="120" w:after="120" w:line="480" w:lineRule="auto"/>
        <w:rPr>
          <w:rFonts w:ascii="Times New Roman" w:eastAsia="等线" w:hAnsi="Times New Roman" w:cs="Times New Roman"/>
          <w:kern w:val="0"/>
          <w:sz w:val="24"/>
          <w:lang w:val="en-GB"/>
          <w14:ligatures w14:val="none"/>
        </w:rPr>
      </w:pPr>
      <w:r w:rsidRPr="00F02A69">
        <w:rPr>
          <w:rFonts w:ascii="Times New Roman" w:eastAsia="Times New Roman" w:hAnsi="Times New Roman" w:cs="Times New Roman"/>
          <w:kern w:val="0"/>
          <w:sz w:val="24"/>
          <w:lang w:val="en-GB" w:eastAsia="en-US"/>
          <w14:ligatures w14:val="none"/>
        </w:rPr>
        <w:t>Yin, X., Zhang, H. and Chen, M. (2024) ‘The influence of parents’ education anxiety on children’s learning anxiety: the mediating role of parenting style and the moderating effect of extracurricular tutoring’, Frontiers in Psychology, 15. Available at: https://www.frontiersin.org/journals/psychology/articles/10.3389/fpsyg.2024.1380363 (Accessed: [</w:t>
      </w:r>
      <w:r w:rsidRPr="00F02A69">
        <w:rPr>
          <w:rFonts w:ascii="宋体" w:eastAsia="宋体" w:hAnsi="宋体" w:cs="宋体" w:hint="eastAsia"/>
          <w:kern w:val="0"/>
          <w:sz w:val="24"/>
          <w:lang w:val="en-GB"/>
          <w14:ligatures w14:val="none"/>
        </w:rPr>
        <w:t>04/02/2026</w:t>
      </w:r>
      <w:r w:rsidRPr="00F02A69">
        <w:rPr>
          <w:rFonts w:ascii="Times New Roman" w:eastAsia="Times New Roman" w:hAnsi="Times New Roman" w:cs="Times New Roman"/>
          <w:kern w:val="0"/>
          <w:sz w:val="24"/>
          <w:lang w:val="en-GB" w:eastAsia="en-US"/>
          <w14:ligatures w14:val="none"/>
        </w:rPr>
        <w:t xml:space="preserve">]). </w:t>
      </w:r>
    </w:p>
    <w:p w14:paraId="45DDEBA3"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Zeng, X. </w:t>
      </w:r>
      <w:r w:rsidRPr="00F02A69">
        <w:rPr>
          <w:rFonts w:ascii="Times New Roman" w:eastAsia="Times New Roman" w:hAnsi="Times New Roman" w:cs="Times New Roman"/>
          <w:i/>
          <w:iCs/>
          <w:kern w:val="0"/>
          <w:sz w:val="24"/>
          <w:lang w:val="en-GB" w:eastAsia="en-US"/>
          <w14:ligatures w14:val="none"/>
        </w:rPr>
        <w:t>et al.</w:t>
      </w:r>
      <w:r w:rsidRPr="00F02A69">
        <w:rPr>
          <w:rFonts w:ascii="Times New Roman" w:eastAsia="Times New Roman" w:hAnsi="Times New Roman" w:cs="Times New Roman"/>
          <w:kern w:val="0"/>
          <w:sz w:val="24"/>
          <w:lang w:val="en-GB" w:eastAsia="en-US"/>
          <w14:ligatures w14:val="none"/>
        </w:rPr>
        <w:t xml:space="preserve"> (2025) ‘Nature-based mind–body intervention for test anxiety in adolescents: a feasibility study’, </w:t>
      </w:r>
      <w:r w:rsidRPr="00F02A69">
        <w:rPr>
          <w:rFonts w:ascii="Times New Roman" w:eastAsia="Times New Roman" w:hAnsi="Times New Roman" w:cs="Times New Roman"/>
          <w:i/>
          <w:iCs/>
          <w:kern w:val="0"/>
          <w:sz w:val="24"/>
          <w:lang w:val="en-GB" w:eastAsia="en-US"/>
          <w14:ligatures w14:val="none"/>
        </w:rPr>
        <w:t>Frontiers in Psychology</w:t>
      </w:r>
      <w:r w:rsidRPr="00F02A69">
        <w:rPr>
          <w:rFonts w:ascii="Times New Roman" w:eastAsia="Times New Roman" w:hAnsi="Times New Roman" w:cs="Times New Roman"/>
          <w:kern w:val="0"/>
          <w:sz w:val="24"/>
          <w:lang w:val="en-GB" w:eastAsia="en-US"/>
          <w14:ligatures w14:val="none"/>
        </w:rPr>
        <w:t>, 16, pp. 1–11. Available at: https://doi.org/10.3389/fpsyg.2025.1550353.</w:t>
      </w:r>
    </w:p>
    <w:p w14:paraId="6DA5A90C" w14:textId="77777777" w:rsidR="00F02A69" w:rsidRPr="00F02A69" w:rsidRDefault="00F02A69" w:rsidP="00F02A69">
      <w:pPr>
        <w:autoSpaceDE w:val="0"/>
        <w:autoSpaceDN w:val="0"/>
        <w:adjustRightInd w:val="0"/>
        <w:spacing w:before="120" w:after="12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t xml:space="preserve">Zheng, G., Zhang, Q. and Ran, G. (2023) ‘The association between academic stress and test anxiety in college students: the mediating role of regulatory emotional self-efficacy and the moderating role of parental expectations.’, </w:t>
      </w:r>
      <w:r w:rsidRPr="00F02A69">
        <w:rPr>
          <w:rFonts w:ascii="Times New Roman" w:eastAsia="Times New Roman" w:hAnsi="Times New Roman" w:cs="Times New Roman"/>
          <w:i/>
          <w:iCs/>
          <w:kern w:val="0"/>
          <w:sz w:val="24"/>
          <w:lang w:val="en-GB" w:eastAsia="en-US"/>
          <w14:ligatures w14:val="none"/>
        </w:rPr>
        <w:t>Frontiers in Psychology</w:t>
      </w:r>
      <w:r w:rsidRPr="00F02A69">
        <w:rPr>
          <w:rFonts w:ascii="Times New Roman" w:eastAsia="Times New Roman" w:hAnsi="Times New Roman" w:cs="Times New Roman"/>
          <w:kern w:val="0"/>
          <w:sz w:val="24"/>
          <w:lang w:val="en-GB" w:eastAsia="en-US"/>
          <w14:ligatures w14:val="none"/>
        </w:rPr>
        <w:t>, 14, p. 1008679. Available at: https://doi.org/10.3389/fpsyg.2023.1008679.</w:t>
      </w:r>
    </w:p>
    <w:p w14:paraId="07533397" w14:textId="77777777" w:rsidR="00F02A69" w:rsidRPr="00F02A69" w:rsidRDefault="00F02A69" w:rsidP="00F02A69">
      <w:pPr>
        <w:widowControl/>
        <w:spacing w:before="120" w:after="120" w:line="480" w:lineRule="auto"/>
        <w:ind w:left="540" w:hanging="540"/>
        <w:contextualSpacing/>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sz w:val="24"/>
          <w:lang w:val="en-GB" w:eastAsia="en-US"/>
          <w14:ligatures w14:val="none"/>
        </w:rPr>
        <w:fldChar w:fldCharType="end"/>
      </w:r>
    </w:p>
    <w:p w14:paraId="1DEECFA5" w14:textId="77777777" w:rsidR="00F02A69" w:rsidRPr="00F02A69" w:rsidRDefault="00F02A69" w:rsidP="00F02A69">
      <w:pPr>
        <w:widowControl/>
        <w:spacing w:after="200" w:line="480" w:lineRule="auto"/>
        <w:rPr>
          <w:rFonts w:ascii="Times New Roman" w:eastAsia="Times New Roman" w:hAnsi="Times New Roman" w:cs="Times New Roman"/>
          <w:kern w:val="0"/>
          <w:sz w:val="24"/>
          <w:lang w:val="en-GB" w:eastAsia="en-US"/>
          <w14:ligatures w14:val="none"/>
        </w:rPr>
      </w:pPr>
      <w:r w:rsidRPr="00F02A69">
        <w:rPr>
          <w:rFonts w:ascii="Times New Roman" w:eastAsia="Times New Roman" w:hAnsi="Times New Roman" w:cs="Times New Roman"/>
          <w:kern w:val="0"/>
          <w:lang w:val="en-GB" w:eastAsia="en-US"/>
          <w14:ligatures w14:val="none"/>
        </w:rPr>
        <w:t xml:space="preserve"> </w:t>
      </w:r>
    </w:p>
    <w:p w14:paraId="6DA0B1B9" w14:textId="77777777" w:rsidR="00F02A69" w:rsidRPr="00F02A69" w:rsidRDefault="00F02A69" w:rsidP="00F02A69">
      <w:pPr>
        <w:widowControl/>
        <w:spacing w:before="120" w:after="120" w:line="480" w:lineRule="auto"/>
        <w:contextualSpacing/>
        <w:rPr>
          <w:rFonts w:ascii="Times New Roman" w:eastAsia="Times New Roman" w:hAnsi="Times New Roman" w:cs="Times New Roman"/>
          <w:kern w:val="0"/>
          <w:sz w:val="24"/>
          <w:lang w:val="en-GB" w:eastAsia="en-US"/>
          <w14:ligatures w14:val="none"/>
        </w:rPr>
      </w:pPr>
    </w:p>
    <w:p w14:paraId="1D893622" w14:textId="77777777" w:rsidR="00EA44E0" w:rsidRDefault="00EA44E0" w:rsidP="00F02A69">
      <w:pPr>
        <w:keepNext/>
        <w:keepLines/>
        <w:widowControl/>
        <w:spacing w:before="120" w:after="120" w:line="480" w:lineRule="auto"/>
        <w:contextualSpacing/>
        <w:jc w:val="center"/>
        <w:outlineLvl w:val="0"/>
      </w:pPr>
    </w:p>
    <w:sectPr w:rsidR="00EA44E0" w:rsidSect="00AF4702">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D31381" w14:textId="77777777" w:rsidR="004E6565" w:rsidRDefault="004E6565" w:rsidP="00B75B53">
      <w:pPr>
        <w:spacing w:after="0" w:line="240" w:lineRule="auto"/>
      </w:pPr>
      <w:r>
        <w:separator/>
      </w:r>
    </w:p>
  </w:endnote>
  <w:endnote w:type="continuationSeparator" w:id="0">
    <w:p w14:paraId="56BE2AF4" w14:textId="77777777" w:rsidR="004E6565" w:rsidRDefault="004E6565" w:rsidP="00B75B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MS Mincho">
    <w:panose1 w:val="02020609040205080304"/>
    <w:charset w:val="80"/>
    <w:family w:val="modern"/>
    <w:pitch w:val="fixed"/>
    <w:sig w:usb0="E00002FF" w:usb1="6AC7FDFB" w:usb2="08000012"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31A718" w14:textId="77777777" w:rsidR="004E6565" w:rsidRDefault="004E6565" w:rsidP="00B75B53">
      <w:pPr>
        <w:spacing w:after="0" w:line="240" w:lineRule="auto"/>
      </w:pPr>
      <w:r>
        <w:separator/>
      </w:r>
    </w:p>
  </w:footnote>
  <w:footnote w:type="continuationSeparator" w:id="0">
    <w:p w14:paraId="4151FF83" w14:textId="77777777" w:rsidR="004E6565" w:rsidRDefault="004E6565" w:rsidP="00B75B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8583962"/>
      <w:docPartObj>
        <w:docPartGallery w:val="Page Numbers (Top of Page)"/>
        <w:docPartUnique/>
      </w:docPartObj>
    </w:sdtPr>
    <w:sdtEndPr/>
    <w:sdtContent>
      <w:p w14:paraId="73AE4B48" w14:textId="77777777" w:rsidR="00AF4702" w:rsidRPr="009B26BD" w:rsidRDefault="00AF4702">
        <w:pPr>
          <w:pStyle w:val="ae"/>
          <w:jc w:val="right"/>
        </w:pPr>
        <w:r w:rsidRPr="009B26BD">
          <w:fldChar w:fldCharType="begin"/>
        </w:r>
        <w:r w:rsidRPr="009B26BD">
          <w:instrText xml:space="preserve"> PAGE   \* MERGEFORMAT </w:instrText>
        </w:r>
        <w:r w:rsidRPr="009B26BD">
          <w:fldChar w:fldCharType="separate"/>
        </w:r>
        <w:r w:rsidRPr="009B26BD">
          <w:t>2</w:t>
        </w:r>
        <w:r w:rsidRPr="009B26BD">
          <w:fldChar w:fldCharType="end"/>
        </w:r>
      </w:p>
    </w:sdtContent>
  </w:sdt>
  <w:p w14:paraId="008AF13C" w14:textId="77777777" w:rsidR="00AF4702" w:rsidRPr="009B26BD" w:rsidRDefault="00AF4702">
    <w:pPr>
      <w:pStyle w:val="a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833BF"/>
    <w:multiLevelType w:val="multilevel"/>
    <w:tmpl w:val="E5D25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766DD1"/>
    <w:multiLevelType w:val="hybridMultilevel"/>
    <w:tmpl w:val="7206CCD6"/>
    <w:lvl w:ilvl="0" w:tplc="B5B0BB60">
      <w:start w:val="1"/>
      <w:numFmt w:val="bullet"/>
      <w:lvlText w:val="•"/>
      <w:lvlJc w:val="left"/>
      <w:pPr>
        <w:spacing w:line="480" w:lineRule="auto"/>
        <w:ind w:left="720" w:hanging="360"/>
      </w:pPr>
    </w:lvl>
    <w:lvl w:ilvl="1" w:tplc="F77E645A">
      <w:numFmt w:val="decimal"/>
      <w:lvlText w:val=""/>
      <w:lvlJc w:val="left"/>
    </w:lvl>
    <w:lvl w:ilvl="2" w:tplc="48A09B3C">
      <w:numFmt w:val="decimal"/>
      <w:lvlText w:val=""/>
      <w:lvlJc w:val="left"/>
    </w:lvl>
    <w:lvl w:ilvl="3" w:tplc="C58E51EE">
      <w:numFmt w:val="decimal"/>
      <w:lvlText w:val=""/>
      <w:lvlJc w:val="left"/>
    </w:lvl>
    <w:lvl w:ilvl="4" w:tplc="800CDF50">
      <w:numFmt w:val="decimal"/>
      <w:lvlText w:val=""/>
      <w:lvlJc w:val="left"/>
    </w:lvl>
    <w:lvl w:ilvl="5" w:tplc="B426BB18">
      <w:numFmt w:val="decimal"/>
      <w:lvlText w:val=""/>
      <w:lvlJc w:val="left"/>
    </w:lvl>
    <w:lvl w:ilvl="6" w:tplc="079408D2">
      <w:numFmt w:val="decimal"/>
      <w:lvlText w:val=""/>
      <w:lvlJc w:val="left"/>
    </w:lvl>
    <w:lvl w:ilvl="7" w:tplc="AC0A746E">
      <w:numFmt w:val="decimal"/>
      <w:lvlText w:val=""/>
      <w:lvlJc w:val="left"/>
    </w:lvl>
    <w:lvl w:ilvl="8" w:tplc="FCC22E5C">
      <w:numFmt w:val="decimal"/>
      <w:lvlText w:val=""/>
      <w:lvlJc w:val="left"/>
    </w:lvl>
  </w:abstractNum>
  <w:abstractNum w:abstractNumId="2" w15:restartNumberingAfterBreak="0">
    <w:nsid w:val="03103E83"/>
    <w:multiLevelType w:val="multilevel"/>
    <w:tmpl w:val="E0D298E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3BE41AD"/>
    <w:multiLevelType w:val="multilevel"/>
    <w:tmpl w:val="A3022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9E732C"/>
    <w:multiLevelType w:val="multilevel"/>
    <w:tmpl w:val="769CC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0A405F"/>
    <w:multiLevelType w:val="multilevel"/>
    <w:tmpl w:val="61C89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A103A75"/>
    <w:multiLevelType w:val="multilevel"/>
    <w:tmpl w:val="B63C8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795688"/>
    <w:multiLevelType w:val="hybridMultilevel"/>
    <w:tmpl w:val="C1101A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D285C2F"/>
    <w:multiLevelType w:val="multilevel"/>
    <w:tmpl w:val="8A0A2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DF772EA"/>
    <w:multiLevelType w:val="multilevel"/>
    <w:tmpl w:val="A84A9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517098"/>
    <w:multiLevelType w:val="multilevel"/>
    <w:tmpl w:val="83F6E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06F1C3F"/>
    <w:multiLevelType w:val="multilevel"/>
    <w:tmpl w:val="BDA4A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42F0E9B"/>
    <w:multiLevelType w:val="multilevel"/>
    <w:tmpl w:val="0FD26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4681959"/>
    <w:multiLevelType w:val="multilevel"/>
    <w:tmpl w:val="5D5E7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94C34EB"/>
    <w:multiLevelType w:val="multilevel"/>
    <w:tmpl w:val="AD96D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0632C2B"/>
    <w:multiLevelType w:val="multilevel"/>
    <w:tmpl w:val="66263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E705BA"/>
    <w:multiLevelType w:val="multilevel"/>
    <w:tmpl w:val="9E76A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26F2F4C"/>
    <w:multiLevelType w:val="multilevel"/>
    <w:tmpl w:val="5F98A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2E0302F"/>
    <w:multiLevelType w:val="multilevel"/>
    <w:tmpl w:val="52FCD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60C6367"/>
    <w:multiLevelType w:val="multilevel"/>
    <w:tmpl w:val="48C6640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8882090"/>
    <w:multiLevelType w:val="multilevel"/>
    <w:tmpl w:val="C2223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9130892"/>
    <w:multiLevelType w:val="multilevel"/>
    <w:tmpl w:val="133C5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9460FEC"/>
    <w:multiLevelType w:val="multilevel"/>
    <w:tmpl w:val="254C4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B7B387A"/>
    <w:multiLevelType w:val="multilevel"/>
    <w:tmpl w:val="AEE87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DA24DCB"/>
    <w:multiLevelType w:val="multilevel"/>
    <w:tmpl w:val="68F05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DBE1DBA"/>
    <w:multiLevelType w:val="multilevel"/>
    <w:tmpl w:val="3970D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EE83B23"/>
    <w:multiLevelType w:val="multilevel"/>
    <w:tmpl w:val="C4A0A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1A5347F"/>
    <w:multiLevelType w:val="multilevel"/>
    <w:tmpl w:val="657481F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3FD2905"/>
    <w:multiLevelType w:val="multilevel"/>
    <w:tmpl w:val="A3BE1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41D7300"/>
    <w:multiLevelType w:val="multilevel"/>
    <w:tmpl w:val="28F0E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367A1AD5"/>
    <w:multiLevelType w:val="multilevel"/>
    <w:tmpl w:val="4A10D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6D54894"/>
    <w:multiLevelType w:val="multilevel"/>
    <w:tmpl w:val="2626C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7EB6BC4"/>
    <w:multiLevelType w:val="multilevel"/>
    <w:tmpl w:val="FCEC9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A4E1308"/>
    <w:multiLevelType w:val="multilevel"/>
    <w:tmpl w:val="7EF4C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3B810223"/>
    <w:multiLevelType w:val="multilevel"/>
    <w:tmpl w:val="59966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B821FE3"/>
    <w:multiLevelType w:val="multilevel"/>
    <w:tmpl w:val="DBCCA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3BA9792E"/>
    <w:multiLevelType w:val="multilevel"/>
    <w:tmpl w:val="34A4E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3CEB4DC8"/>
    <w:multiLevelType w:val="multilevel"/>
    <w:tmpl w:val="627C9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D232F77"/>
    <w:multiLevelType w:val="multilevel"/>
    <w:tmpl w:val="23C0D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D7318C5"/>
    <w:multiLevelType w:val="multilevel"/>
    <w:tmpl w:val="FA66B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F751B40"/>
    <w:multiLevelType w:val="multilevel"/>
    <w:tmpl w:val="523AFDC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406653C7"/>
    <w:multiLevelType w:val="multilevel"/>
    <w:tmpl w:val="5E16D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408D159D"/>
    <w:multiLevelType w:val="hybridMultilevel"/>
    <w:tmpl w:val="53EAC8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40DF7B08"/>
    <w:multiLevelType w:val="multilevel"/>
    <w:tmpl w:val="87068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198278A"/>
    <w:multiLevelType w:val="multilevel"/>
    <w:tmpl w:val="32C6648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41B323E4"/>
    <w:multiLevelType w:val="multilevel"/>
    <w:tmpl w:val="3C4CA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62F3F11"/>
    <w:multiLevelType w:val="multilevel"/>
    <w:tmpl w:val="8334E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46DB781E"/>
    <w:multiLevelType w:val="multilevel"/>
    <w:tmpl w:val="B782A44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47327CF3"/>
    <w:multiLevelType w:val="multilevel"/>
    <w:tmpl w:val="B9685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7501662"/>
    <w:multiLevelType w:val="hybridMultilevel"/>
    <w:tmpl w:val="DA489E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0" w15:restartNumberingAfterBreak="0">
    <w:nsid w:val="48B51726"/>
    <w:multiLevelType w:val="multilevel"/>
    <w:tmpl w:val="6240C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9883CAC"/>
    <w:multiLevelType w:val="multilevel"/>
    <w:tmpl w:val="81A03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C8265C4"/>
    <w:multiLevelType w:val="multilevel"/>
    <w:tmpl w:val="AB8EF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CD83E95"/>
    <w:multiLevelType w:val="multilevel"/>
    <w:tmpl w:val="50705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4D41732B"/>
    <w:multiLevelType w:val="multilevel"/>
    <w:tmpl w:val="12B86CB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4EAD1203"/>
    <w:multiLevelType w:val="multilevel"/>
    <w:tmpl w:val="50DEE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004751B"/>
    <w:multiLevelType w:val="hybridMultilevel"/>
    <w:tmpl w:val="ABEC05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7" w15:restartNumberingAfterBreak="0">
    <w:nsid w:val="510271D8"/>
    <w:multiLevelType w:val="hybridMultilevel"/>
    <w:tmpl w:val="52FA9FD6"/>
    <w:lvl w:ilvl="0" w:tplc="71146AAE">
      <w:start w:val="1"/>
      <w:numFmt w:val="bullet"/>
      <w:lvlText w:val="•"/>
      <w:lvlJc w:val="left"/>
      <w:pPr>
        <w:ind w:left="320" w:hanging="200"/>
      </w:pPr>
    </w:lvl>
    <w:lvl w:ilvl="1" w:tplc="27DA2A9E">
      <w:numFmt w:val="decimal"/>
      <w:lvlText w:val=""/>
      <w:lvlJc w:val="left"/>
    </w:lvl>
    <w:lvl w:ilvl="2" w:tplc="7D0CA942">
      <w:numFmt w:val="decimal"/>
      <w:lvlText w:val=""/>
      <w:lvlJc w:val="left"/>
    </w:lvl>
    <w:lvl w:ilvl="3" w:tplc="D302A4B4">
      <w:numFmt w:val="decimal"/>
      <w:lvlText w:val=""/>
      <w:lvlJc w:val="left"/>
    </w:lvl>
    <w:lvl w:ilvl="4" w:tplc="3EB299A0">
      <w:numFmt w:val="decimal"/>
      <w:lvlText w:val=""/>
      <w:lvlJc w:val="left"/>
    </w:lvl>
    <w:lvl w:ilvl="5" w:tplc="33E4215E">
      <w:numFmt w:val="decimal"/>
      <w:lvlText w:val=""/>
      <w:lvlJc w:val="left"/>
    </w:lvl>
    <w:lvl w:ilvl="6" w:tplc="5A4A226C">
      <w:numFmt w:val="decimal"/>
      <w:lvlText w:val=""/>
      <w:lvlJc w:val="left"/>
    </w:lvl>
    <w:lvl w:ilvl="7" w:tplc="FC4EEF36">
      <w:numFmt w:val="decimal"/>
      <w:lvlText w:val=""/>
      <w:lvlJc w:val="left"/>
    </w:lvl>
    <w:lvl w:ilvl="8" w:tplc="81A631A8">
      <w:numFmt w:val="decimal"/>
      <w:lvlText w:val=""/>
      <w:lvlJc w:val="left"/>
    </w:lvl>
  </w:abstractNum>
  <w:abstractNum w:abstractNumId="58" w15:restartNumberingAfterBreak="0">
    <w:nsid w:val="52456A4B"/>
    <w:multiLevelType w:val="multilevel"/>
    <w:tmpl w:val="2F4AB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44A6B1B"/>
    <w:multiLevelType w:val="multilevel"/>
    <w:tmpl w:val="82DCC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553B6E06"/>
    <w:multiLevelType w:val="hybridMultilevel"/>
    <w:tmpl w:val="428EAC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1" w15:restartNumberingAfterBreak="0">
    <w:nsid w:val="570F240E"/>
    <w:multiLevelType w:val="multilevel"/>
    <w:tmpl w:val="A8286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57C13D37"/>
    <w:multiLevelType w:val="multilevel"/>
    <w:tmpl w:val="2F7E7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8DF263F"/>
    <w:multiLevelType w:val="multilevel"/>
    <w:tmpl w:val="EBA0DF6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9AF611B"/>
    <w:multiLevelType w:val="multilevel"/>
    <w:tmpl w:val="4A98F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B341630"/>
    <w:multiLevelType w:val="multilevel"/>
    <w:tmpl w:val="B64C0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F367477"/>
    <w:multiLevelType w:val="multilevel"/>
    <w:tmpl w:val="86EED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607B2578"/>
    <w:multiLevelType w:val="multilevel"/>
    <w:tmpl w:val="47B8E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61BA6462"/>
    <w:multiLevelType w:val="multilevel"/>
    <w:tmpl w:val="BD424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622D2E6A"/>
    <w:multiLevelType w:val="multilevel"/>
    <w:tmpl w:val="84623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5BE06DF"/>
    <w:multiLevelType w:val="multilevel"/>
    <w:tmpl w:val="B5282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6C734E4"/>
    <w:multiLevelType w:val="multilevel"/>
    <w:tmpl w:val="BBA42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7183F65"/>
    <w:multiLevelType w:val="multilevel"/>
    <w:tmpl w:val="6D98E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674801CF"/>
    <w:multiLevelType w:val="multilevel"/>
    <w:tmpl w:val="47F02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78B1F4A"/>
    <w:multiLevelType w:val="multilevel"/>
    <w:tmpl w:val="19FC2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B8A52C2"/>
    <w:multiLevelType w:val="multilevel"/>
    <w:tmpl w:val="3BE2D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6C6D4F8A"/>
    <w:multiLevelType w:val="multilevel"/>
    <w:tmpl w:val="60DC5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6CAC4C93"/>
    <w:multiLevelType w:val="multilevel"/>
    <w:tmpl w:val="E884B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CEE381C"/>
    <w:multiLevelType w:val="multilevel"/>
    <w:tmpl w:val="91C00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D301E1E"/>
    <w:multiLevelType w:val="multilevel"/>
    <w:tmpl w:val="4E14A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EBD21A9"/>
    <w:multiLevelType w:val="multilevel"/>
    <w:tmpl w:val="F08AA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0CB66B3"/>
    <w:multiLevelType w:val="multilevel"/>
    <w:tmpl w:val="61C2B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71FD3C4B"/>
    <w:multiLevelType w:val="multilevel"/>
    <w:tmpl w:val="8E9A1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3" w15:restartNumberingAfterBreak="0">
    <w:nsid w:val="72B42EE5"/>
    <w:multiLevelType w:val="multilevel"/>
    <w:tmpl w:val="78C8F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73572284"/>
    <w:multiLevelType w:val="multilevel"/>
    <w:tmpl w:val="B84E0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3820BFD"/>
    <w:multiLevelType w:val="multilevel"/>
    <w:tmpl w:val="4FD65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73AC5622"/>
    <w:multiLevelType w:val="multilevel"/>
    <w:tmpl w:val="48C05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746E6861"/>
    <w:multiLevelType w:val="multilevel"/>
    <w:tmpl w:val="570E2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756333A7"/>
    <w:multiLevelType w:val="multilevel"/>
    <w:tmpl w:val="B70CD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77D9105D"/>
    <w:multiLevelType w:val="multilevel"/>
    <w:tmpl w:val="CA7CA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791458E2"/>
    <w:multiLevelType w:val="multilevel"/>
    <w:tmpl w:val="4C027A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796B4D2D"/>
    <w:multiLevelType w:val="multilevel"/>
    <w:tmpl w:val="0EBED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B0F40B5"/>
    <w:multiLevelType w:val="multilevel"/>
    <w:tmpl w:val="34A4D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7B2C2913"/>
    <w:multiLevelType w:val="multilevel"/>
    <w:tmpl w:val="DE1C6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B92638F"/>
    <w:multiLevelType w:val="multilevel"/>
    <w:tmpl w:val="66A07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BBF1714"/>
    <w:multiLevelType w:val="multilevel"/>
    <w:tmpl w:val="1E7CE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7CC01420"/>
    <w:multiLevelType w:val="hybridMultilevel"/>
    <w:tmpl w:val="9BB4B31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7" w15:restartNumberingAfterBreak="0">
    <w:nsid w:val="7ED50E79"/>
    <w:multiLevelType w:val="multilevel"/>
    <w:tmpl w:val="D5C43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FD25E8C"/>
    <w:multiLevelType w:val="hybridMultilevel"/>
    <w:tmpl w:val="76D89BB6"/>
    <w:lvl w:ilvl="0" w:tplc="69045D8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00340236">
    <w:abstractNumId w:val="23"/>
  </w:num>
  <w:num w:numId="2" w16cid:durableId="771630583">
    <w:abstractNumId w:val="31"/>
  </w:num>
  <w:num w:numId="3" w16cid:durableId="1679498335">
    <w:abstractNumId w:val="48"/>
  </w:num>
  <w:num w:numId="4" w16cid:durableId="1251812752">
    <w:abstractNumId w:val="58"/>
  </w:num>
  <w:num w:numId="5" w16cid:durableId="274217337">
    <w:abstractNumId w:val="52"/>
  </w:num>
  <w:num w:numId="6" w16cid:durableId="189418671">
    <w:abstractNumId w:val="1"/>
    <w:lvlOverride w:ilvl="0">
      <w:startOverride w:val="1"/>
    </w:lvlOverride>
  </w:num>
  <w:num w:numId="7" w16cid:durableId="637806046">
    <w:abstractNumId w:val="2"/>
  </w:num>
  <w:num w:numId="8" w16cid:durableId="842277238">
    <w:abstractNumId w:val="27"/>
  </w:num>
  <w:num w:numId="9" w16cid:durableId="56364325">
    <w:abstractNumId w:val="15"/>
  </w:num>
  <w:num w:numId="10" w16cid:durableId="1903364796">
    <w:abstractNumId w:val="68"/>
  </w:num>
  <w:num w:numId="11" w16cid:durableId="978649205">
    <w:abstractNumId w:val="85"/>
  </w:num>
  <w:num w:numId="12" w16cid:durableId="26881579">
    <w:abstractNumId w:val="0"/>
  </w:num>
  <w:num w:numId="13" w16cid:durableId="1859733462">
    <w:abstractNumId w:val="32"/>
  </w:num>
  <w:num w:numId="14" w16cid:durableId="165901266">
    <w:abstractNumId w:val="77"/>
  </w:num>
  <w:num w:numId="15" w16cid:durableId="1060863682">
    <w:abstractNumId w:val="28"/>
  </w:num>
  <w:num w:numId="16" w16cid:durableId="576786390">
    <w:abstractNumId w:val="91"/>
  </w:num>
  <w:num w:numId="17" w16cid:durableId="997535320">
    <w:abstractNumId w:val="57"/>
    <w:lvlOverride w:ilvl="0">
      <w:startOverride w:val="1"/>
    </w:lvlOverride>
  </w:num>
  <w:num w:numId="18" w16cid:durableId="1022900734">
    <w:abstractNumId w:val="7"/>
  </w:num>
  <w:num w:numId="19" w16cid:durableId="1560358340">
    <w:abstractNumId w:val="98"/>
  </w:num>
  <w:num w:numId="20" w16cid:durableId="1320841058">
    <w:abstractNumId w:val="62"/>
  </w:num>
  <w:num w:numId="21" w16cid:durableId="1499805100">
    <w:abstractNumId w:val="36"/>
  </w:num>
  <w:num w:numId="22" w16cid:durableId="450368565">
    <w:abstractNumId w:val="40"/>
  </w:num>
  <w:num w:numId="23" w16cid:durableId="787428610">
    <w:abstractNumId w:val="63"/>
  </w:num>
  <w:num w:numId="24" w16cid:durableId="1355232888">
    <w:abstractNumId w:val="11"/>
  </w:num>
  <w:num w:numId="25" w16cid:durableId="1146702179">
    <w:abstractNumId w:val="87"/>
  </w:num>
  <w:num w:numId="26" w16cid:durableId="1158771437">
    <w:abstractNumId w:val="35"/>
  </w:num>
  <w:num w:numId="27" w16cid:durableId="1407844920">
    <w:abstractNumId w:val="12"/>
  </w:num>
  <w:num w:numId="28" w16cid:durableId="22480857">
    <w:abstractNumId w:val="13"/>
  </w:num>
  <w:num w:numId="29" w16cid:durableId="1096168846">
    <w:abstractNumId w:val="59"/>
  </w:num>
  <w:num w:numId="30" w16cid:durableId="2032606942">
    <w:abstractNumId w:val="72"/>
  </w:num>
  <w:num w:numId="31" w16cid:durableId="1425103534">
    <w:abstractNumId w:val="5"/>
  </w:num>
  <w:num w:numId="32" w16cid:durableId="1933007680">
    <w:abstractNumId w:val="24"/>
  </w:num>
  <w:num w:numId="33" w16cid:durableId="2004775344">
    <w:abstractNumId w:val="17"/>
  </w:num>
  <w:num w:numId="34" w16cid:durableId="1318343866">
    <w:abstractNumId w:val="66"/>
  </w:num>
  <w:num w:numId="35" w16cid:durableId="1694989846">
    <w:abstractNumId w:val="21"/>
  </w:num>
  <w:num w:numId="36" w16cid:durableId="1345085578">
    <w:abstractNumId w:val="89"/>
  </w:num>
  <w:num w:numId="37" w16cid:durableId="931201313">
    <w:abstractNumId w:val="67"/>
  </w:num>
  <w:num w:numId="38" w16cid:durableId="1574663641">
    <w:abstractNumId w:val="46"/>
  </w:num>
  <w:num w:numId="39" w16cid:durableId="2134909032">
    <w:abstractNumId w:val="54"/>
  </w:num>
  <w:num w:numId="40" w16cid:durableId="1894779184">
    <w:abstractNumId w:val="76"/>
  </w:num>
  <w:num w:numId="41" w16cid:durableId="179205385">
    <w:abstractNumId w:val="33"/>
  </w:num>
  <w:num w:numId="42" w16cid:durableId="1483620290">
    <w:abstractNumId w:val="92"/>
  </w:num>
  <w:num w:numId="43" w16cid:durableId="646738893">
    <w:abstractNumId w:val="19"/>
  </w:num>
  <w:num w:numId="44" w16cid:durableId="2064256099">
    <w:abstractNumId w:val="47"/>
  </w:num>
  <w:num w:numId="45" w16cid:durableId="110905740">
    <w:abstractNumId w:val="82"/>
  </w:num>
  <w:num w:numId="46" w16cid:durableId="1168909198">
    <w:abstractNumId w:val="53"/>
  </w:num>
  <w:num w:numId="47" w16cid:durableId="281614016">
    <w:abstractNumId w:val="44"/>
  </w:num>
  <w:num w:numId="48" w16cid:durableId="1603755682">
    <w:abstractNumId w:val="75"/>
  </w:num>
  <w:num w:numId="49" w16cid:durableId="601036984">
    <w:abstractNumId w:val="29"/>
  </w:num>
  <w:num w:numId="50" w16cid:durableId="2036416588">
    <w:abstractNumId w:val="8"/>
  </w:num>
  <w:num w:numId="51" w16cid:durableId="543830588">
    <w:abstractNumId w:val="86"/>
  </w:num>
  <w:num w:numId="52" w16cid:durableId="1915117479">
    <w:abstractNumId w:val="30"/>
  </w:num>
  <w:num w:numId="53" w16cid:durableId="297027666">
    <w:abstractNumId w:val="65"/>
  </w:num>
  <w:num w:numId="54" w16cid:durableId="331447193">
    <w:abstractNumId w:val="22"/>
  </w:num>
  <w:num w:numId="55" w16cid:durableId="1149399667">
    <w:abstractNumId w:val="70"/>
  </w:num>
  <w:num w:numId="56" w16cid:durableId="369189787">
    <w:abstractNumId w:val="93"/>
  </w:num>
  <w:num w:numId="57" w16cid:durableId="1964996425">
    <w:abstractNumId w:val="6"/>
  </w:num>
  <w:num w:numId="58" w16cid:durableId="1973904825">
    <w:abstractNumId w:val="55"/>
  </w:num>
  <w:num w:numId="59" w16cid:durableId="978995133">
    <w:abstractNumId w:val="51"/>
  </w:num>
  <w:num w:numId="60" w16cid:durableId="1066368819">
    <w:abstractNumId w:val="80"/>
  </w:num>
  <w:num w:numId="61" w16cid:durableId="1511025184">
    <w:abstractNumId w:val="16"/>
  </w:num>
  <w:num w:numId="62" w16cid:durableId="1569345536">
    <w:abstractNumId w:val="18"/>
  </w:num>
  <w:num w:numId="63" w16cid:durableId="1078819057">
    <w:abstractNumId w:val="74"/>
  </w:num>
  <w:num w:numId="64" w16cid:durableId="2128085362">
    <w:abstractNumId w:val="14"/>
  </w:num>
  <w:num w:numId="65" w16cid:durableId="774323810">
    <w:abstractNumId w:val="26"/>
  </w:num>
  <w:num w:numId="66" w16cid:durableId="1325889139">
    <w:abstractNumId w:val="83"/>
  </w:num>
  <w:num w:numId="67" w16cid:durableId="1790314667">
    <w:abstractNumId w:val="61"/>
  </w:num>
  <w:num w:numId="68" w16cid:durableId="605423732">
    <w:abstractNumId w:val="41"/>
  </w:num>
  <w:num w:numId="69" w16cid:durableId="660239190">
    <w:abstractNumId w:val="81"/>
  </w:num>
  <w:num w:numId="70" w16cid:durableId="992220237">
    <w:abstractNumId w:val="43"/>
  </w:num>
  <w:num w:numId="71" w16cid:durableId="590240878">
    <w:abstractNumId w:val="3"/>
  </w:num>
  <w:num w:numId="72" w16cid:durableId="1108163003">
    <w:abstractNumId w:val="37"/>
  </w:num>
  <w:num w:numId="73" w16cid:durableId="236979204">
    <w:abstractNumId w:val="69"/>
  </w:num>
  <w:num w:numId="74" w16cid:durableId="1696418123">
    <w:abstractNumId w:val="39"/>
  </w:num>
  <w:num w:numId="75" w16cid:durableId="1330672384">
    <w:abstractNumId w:val="95"/>
  </w:num>
  <w:num w:numId="76" w16cid:durableId="480385084">
    <w:abstractNumId w:val="10"/>
  </w:num>
  <w:num w:numId="77" w16cid:durableId="1173227138">
    <w:abstractNumId w:val="88"/>
  </w:num>
  <w:num w:numId="78" w16cid:durableId="51196132">
    <w:abstractNumId w:val="79"/>
  </w:num>
  <w:num w:numId="79" w16cid:durableId="1228032371">
    <w:abstractNumId w:val="71"/>
  </w:num>
  <w:num w:numId="80" w16cid:durableId="829057245">
    <w:abstractNumId w:val="97"/>
  </w:num>
  <w:num w:numId="81" w16cid:durableId="1683161881">
    <w:abstractNumId w:val="38"/>
  </w:num>
  <w:num w:numId="82" w16cid:durableId="1440754706">
    <w:abstractNumId w:val="94"/>
  </w:num>
  <w:num w:numId="83" w16cid:durableId="1132363128">
    <w:abstractNumId w:val="90"/>
  </w:num>
  <w:num w:numId="84" w16cid:durableId="1012222917">
    <w:abstractNumId w:val="50"/>
  </w:num>
  <w:num w:numId="85" w16cid:durableId="771626662">
    <w:abstractNumId w:val="25"/>
  </w:num>
  <w:num w:numId="86" w16cid:durableId="953172271">
    <w:abstractNumId w:val="4"/>
  </w:num>
  <w:num w:numId="87" w16cid:durableId="437679626">
    <w:abstractNumId w:val="78"/>
  </w:num>
  <w:num w:numId="88" w16cid:durableId="1037659757">
    <w:abstractNumId w:val="34"/>
  </w:num>
  <w:num w:numId="89" w16cid:durableId="712659427">
    <w:abstractNumId w:val="20"/>
  </w:num>
  <w:num w:numId="90" w16cid:durableId="1672874253">
    <w:abstractNumId w:val="9"/>
  </w:num>
  <w:num w:numId="91" w16cid:durableId="277177378">
    <w:abstractNumId w:val="64"/>
  </w:num>
  <w:num w:numId="92" w16cid:durableId="1113675559">
    <w:abstractNumId w:val="45"/>
  </w:num>
  <w:num w:numId="93" w16cid:durableId="1192886807">
    <w:abstractNumId w:val="84"/>
  </w:num>
  <w:num w:numId="94" w16cid:durableId="510871578">
    <w:abstractNumId w:val="73"/>
  </w:num>
  <w:num w:numId="95" w16cid:durableId="877862305">
    <w:abstractNumId w:val="56"/>
  </w:num>
  <w:num w:numId="96" w16cid:durableId="1797332154">
    <w:abstractNumId w:val="49"/>
  </w:num>
  <w:num w:numId="97" w16cid:durableId="833573505">
    <w:abstractNumId w:val="60"/>
  </w:num>
  <w:num w:numId="98" w16cid:durableId="1255630233">
    <w:abstractNumId w:val="96"/>
  </w:num>
  <w:num w:numId="99" w16cid:durableId="152256019">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DAE"/>
    <w:rsid w:val="00060608"/>
    <w:rsid w:val="001168A4"/>
    <w:rsid w:val="002A226A"/>
    <w:rsid w:val="00376D50"/>
    <w:rsid w:val="004833D2"/>
    <w:rsid w:val="00491EE7"/>
    <w:rsid w:val="004E6565"/>
    <w:rsid w:val="0055688C"/>
    <w:rsid w:val="005630D5"/>
    <w:rsid w:val="005B5C08"/>
    <w:rsid w:val="006B71A8"/>
    <w:rsid w:val="006B7D7B"/>
    <w:rsid w:val="007B4A2F"/>
    <w:rsid w:val="009706B3"/>
    <w:rsid w:val="009A4421"/>
    <w:rsid w:val="009B6090"/>
    <w:rsid w:val="009E70C6"/>
    <w:rsid w:val="00A12804"/>
    <w:rsid w:val="00A62B0A"/>
    <w:rsid w:val="00AC420D"/>
    <w:rsid w:val="00AF4702"/>
    <w:rsid w:val="00B377F1"/>
    <w:rsid w:val="00B75B53"/>
    <w:rsid w:val="00CD6906"/>
    <w:rsid w:val="00CF722E"/>
    <w:rsid w:val="00D5432B"/>
    <w:rsid w:val="00E10F01"/>
    <w:rsid w:val="00E874AC"/>
    <w:rsid w:val="00EA44E0"/>
    <w:rsid w:val="00EE2D2A"/>
    <w:rsid w:val="00EE5DAE"/>
    <w:rsid w:val="00F02A69"/>
    <w:rsid w:val="00F45025"/>
    <w:rsid w:val="00FF09B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B5A2FD"/>
  <w15:chartTrackingRefBased/>
  <w15:docId w15:val="{A73407F0-58A2-40ED-8DA8-0A0F30FAA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EE5DAE"/>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EE5DAE"/>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unhideWhenUsed/>
    <w:qFormat/>
    <w:rsid w:val="00EE5DAE"/>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EE5DAE"/>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EE5DAE"/>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EE5DAE"/>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EE5DAE"/>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EE5DAE"/>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EE5DAE"/>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E5DAE"/>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EE5DAE"/>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rsid w:val="00EE5DAE"/>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EE5DAE"/>
    <w:rPr>
      <w:rFonts w:cstheme="majorBidi"/>
      <w:color w:val="0F4761" w:themeColor="accent1" w:themeShade="BF"/>
      <w:sz w:val="28"/>
      <w:szCs w:val="28"/>
    </w:rPr>
  </w:style>
  <w:style w:type="character" w:customStyle="1" w:styleId="50">
    <w:name w:val="标题 5 字符"/>
    <w:basedOn w:val="a0"/>
    <w:link w:val="5"/>
    <w:uiPriority w:val="9"/>
    <w:semiHidden/>
    <w:rsid w:val="00EE5DAE"/>
    <w:rPr>
      <w:rFonts w:cstheme="majorBidi"/>
      <w:color w:val="0F4761" w:themeColor="accent1" w:themeShade="BF"/>
      <w:sz w:val="24"/>
    </w:rPr>
  </w:style>
  <w:style w:type="character" w:customStyle="1" w:styleId="60">
    <w:name w:val="标题 6 字符"/>
    <w:basedOn w:val="a0"/>
    <w:link w:val="6"/>
    <w:uiPriority w:val="9"/>
    <w:semiHidden/>
    <w:rsid w:val="00EE5DAE"/>
    <w:rPr>
      <w:rFonts w:cstheme="majorBidi"/>
      <w:b/>
      <w:bCs/>
      <w:color w:val="0F4761" w:themeColor="accent1" w:themeShade="BF"/>
    </w:rPr>
  </w:style>
  <w:style w:type="character" w:customStyle="1" w:styleId="70">
    <w:name w:val="标题 7 字符"/>
    <w:basedOn w:val="a0"/>
    <w:link w:val="7"/>
    <w:uiPriority w:val="9"/>
    <w:semiHidden/>
    <w:rsid w:val="00EE5DAE"/>
    <w:rPr>
      <w:rFonts w:cstheme="majorBidi"/>
      <w:b/>
      <w:bCs/>
      <w:color w:val="595959" w:themeColor="text1" w:themeTint="A6"/>
    </w:rPr>
  </w:style>
  <w:style w:type="character" w:customStyle="1" w:styleId="80">
    <w:name w:val="标题 8 字符"/>
    <w:basedOn w:val="a0"/>
    <w:link w:val="8"/>
    <w:uiPriority w:val="9"/>
    <w:semiHidden/>
    <w:rsid w:val="00EE5DAE"/>
    <w:rPr>
      <w:rFonts w:cstheme="majorBidi"/>
      <w:color w:val="595959" w:themeColor="text1" w:themeTint="A6"/>
    </w:rPr>
  </w:style>
  <w:style w:type="character" w:customStyle="1" w:styleId="90">
    <w:name w:val="标题 9 字符"/>
    <w:basedOn w:val="a0"/>
    <w:link w:val="9"/>
    <w:uiPriority w:val="9"/>
    <w:semiHidden/>
    <w:rsid w:val="00EE5DAE"/>
    <w:rPr>
      <w:rFonts w:eastAsiaTheme="majorEastAsia" w:cstheme="majorBidi"/>
      <w:color w:val="595959" w:themeColor="text1" w:themeTint="A6"/>
    </w:rPr>
  </w:style>
  <w:style w:type="paragraph" w:styleId="a3">
    <w:name w:val="Title"/>
    <w:basedOn w:val="a"/>
    <w:next w:val="a"/>
    <w:link w:val="a4"/>
    <w:uiPriority w:val="10"/>
    <w:qFormat/>
    <w:rsid w:val="00EE5DAE"/>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EE5DAE"/>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EE5DAE"/>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EE5DAE"/>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EE5DAE"/>
    <w:pPr>
      <w:spacing w:before="160"/>
      <w:jc w:val="center"/>
    </w:pPr>
    <w:rPr>
      <w:i/>
      <w:iCs/>
      <w:color w:val="404040" w:themeColor="text1" w:themeTint="BF"/>
    </w:rPr>
  </w:style>
  <w:style w:type="character" w:customStyle="1" w:styleId="a8">
    <w:name w:val="引用 字符"/>
    <w:basedOn w:val="a0"/>
    <w:link w:val="a7"/>
    <w:uiPriority w:val="29"/>
    <w:rsid w:val="00EE5DAE"/>
    <w:rPr>
      <w:i/>
      <w:iCs/>
      <w:color w:val="404040" w:themeColor="text1" w:themeTint="BF"/>
    </w:rPr>
  </w:style>
  <w:style w:type="paragraph" w:styleId="a9">
    <w:name w:val="List Paragraph"/>
    <w:basedOn w:val="a"/>
    <w:qFormat/>
    <w:rsid w:val="00EE5DAE"/>
    <w:pPr>
      <w:ind w:left="720"/>
      <w:contextualSpacing/>
    </w:pPr>
  </w:style>
  <w:style w:type="character" w:styleId="aa">
    <w:name w:val="Intense Emphasis"/>
    <w:basedOn w:val="a0"/>
    <w:uiPriority w:val="21"/>
    <w:qFormat/>
    <w:rsid w:val="00EE5DAE"/>
    <w:rPr>
      <w:i/>
      <w:iCs/>
      <w:color w:val="0F4761" w:themeColor="accent1" w:themeShade="BF"/>
    </w:rPr>
  </w:style>
  <w:style w:type="paragraph" w:styleId="ab">
    <w:name w:val="Intense Quote"/>
    <w:basedOn w:val="a"/>
    <w:next w:val="a"/>
    <w:link w:val="ac"/>
    <w:uiPriority w:val="30"/>
    <w:qFormat/>
    <w:rsid w:val="00EE5D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EE5DAE"/>
    <w:rPr>
      <w:i/>
      <w:iCs/>
      <w:color w:val="0F4761" w:themeColor="accent1" w:themeShade="BF"/>
    </w:rPr>
  </w:style>
  <w:style w:type="character" w:styleId="ad">
    <w:name w:val="Intense Reference"/>
    <w:basedOn w:val="a0"/>
    <w:uiPriority w:val="32"/>
    <w:qFormat/>
    <w:rsid w:val="00EE5DAE"/>
    <w:rPr>
      <w:b/>
      <w:bCs/>
      <w:smallCaps/>
      <w:color w:val="0F4761" w:themeColor="accent1" w:themeShade="BF"/>
      <w:spacing w:val="5"/>
    </w:rPr>
  </w:style>
  <w:style w:type="paragraph" w:styleId="ae">
    <w:name w:val="header"/>
    <w:basedOn w:val="a"/>
    <w:link w:val="af"/>
    <w:uiPriority w:val="99"/>
    <w:unhideWhenUsed/>
    <w:rsid w:val="00B75B53"/>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B75B53"/>
    <w:rPr>
      <w:sz w:val="18"/>
      <w:szCs w:val="18"/>
    </w:rPr>
  </w:style>
  <w:style w:type="paragraph" w:styleId="af0">
    <w:name w:val="footer"/>
    <w:basedOn w:val="a"/>
    <w:link w:val="af1"/>
    <w:uiPriority w:val="99"/>
    <w:unhideWhenUsed/>
    <w:rsid w:val="00B75B53"/>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B75B53"/>
    <w:rPr>
      <w:sz w:val="18"/>
      <w:szCs w:val="18"/>
    </w:rPr>
  </w:style>
  <w:style w:type="numbering" w:customStyle="1" w:styleId="11">
    <w:name w:val="无列表1"/>
    <w:next w:val="a2"/>
    <w:uiPriority w:val="99"/>
    <w:semiHidden/>
    <w:unhideWhenUsed/>
    <w:rsid w:val="00B75B53"/>
  </w:style>
  <w:style w:type="character" w:customStyle="1" w:styleId="12">
    <w:name w:val="超链接1"/>
    <w:basedOn w:val="a0"/>
    <w:uiPriority w:val="99"/>
    <w:semiHidden/>
    <w:unhideWhenUsed/>
    <w:rsid w:val="00B75B53"/>
    <w:rPr>
      <w:color w:val="0563C1"/>
      <w:u w:val="single"/>
    </w:rPr>
  </w:style>
  <w:style w:type="character" w:customStyle="1" w:styleId="13">
    <w:name w:val="访问过的超链接1"/>
    <w:basedOn w:val="a0"/>
    <w:uiPriority w:val="99"/>
    <w:semiHidden/>
    <w:unhideWhenUsed/>
    <w:rsid w:val="00B75B53"/>
    <w:rPr>
      <w:color w:val="954F72"/>
      <w:u w:val="single"/>
    </w:rPr>
  </w:style>
  <w:style w:type="paragraph" w:customStyle="1" w:styleId="msonormal0">
    <w:name w:val="msonormal"/>
    <w:basedOn w:val="a"/>
    <w:rsid w:val="00B75B53"/>
    <w:pPr>
      <w:widowControl/>
      <w:spacing w:before="100" w:beforeAutospacing="1" w:after="100" w:afterAutospacing="1" w:line="240" w:lineRule="auto"/>
    </w:pPr>
    <w:rPr>
      <w:rFonts w:ascii="Times New Roman" w:eastAsia="Times New Roman" w:hAnsi="Times New Roman" w:cs="Times New Roman"/>
      <w:kern w:val="0"/>
      <w:sz w:val="24"/>
      <w:lang w:val="en-GB" w:eastAsia="en-US"/>
      <w14:ligatures w14:val="none"/>
    </w:rPr>
  </w:style>
  <w:style w:type="paragraph" w:styleId="af2">
    <w:name w:val="Normal (Web)"/>
    <w:basedOn w:val="a"/>
    <w:uiPriority w:val="99"/>
    <w:semiHidden/>
    <w:unhideWhenUsed/>
    <w:rsid w:val="00B75B53"/>
    <w:pPr>
      <w:widowControl/>
      <w:spacing w:after="200" w:line="276" w:lineRule="auto"/>
    </w:pPr>
    <w:rPr>
      <w:rFonts w:ascii="Times New Roman" w:eastAsia="Calibri" w:hAnsi="Times New Roman" w:cs="Times New Roman"/>
      <w:kern w:val="0"/>
      <w:sz w:val="24"/>
      <w:lang w:val="en-GB" w:eastAsia="en-US"/>
      <w14:ligatures w14:val="none"/>
    </w:rPr>
  </w:style>
  <w:style w:type="paragraph" w:styleId="TOC1">
    <w:name w:val="toc 1"/>
    <w:basedOn w:val="a"/>
    <w:next w:val="a"/>
    <w:autoRedefine/>
    <w:uiPriority w:val="39"/>
    <w:unhideWhenUsed/>
    <w:rsid w:val="00B75B53"/>
    <w:pPr>
      <w:widowControl/>
      <w:spacing w:after="100" w:line="240" w:lineRule="auto"/>
    </w:pPr>
    <w:rPr>
      <w:rFonts w:ascii="Times New Roman" w:eastAsia="Times New Roman" w:hAnsi="Times New Roman" w:cs="Times New Roman"/>
      <w:kern w:val="0"/>
      <w:sz w:val="24"/>
      <w:lang w:val="en-GB" w:eastAsia="en-US"/>
      <w14:ligatures w14:val="none"/>
    </w:rPr>
  </w:style>
  <w:style w:type="paragraph" w:styleId="TOC2">
    <w:name w:val="toc 2"/>
    <w:basedOn w:val="a"/>
    <w:next w:val="a"/>
    <w:autoRedefine/>
    <w:uiPriority w:val="39"/>
    <w:unhideWhenUsed/>
    <w:rsid w:val="00B75B53"/>
    <w:pPr>
      <w:widowControl/>
      <w:spacing w:after="100" w:line="240" w:lineRule="auto"/>
      <w:ind w:left="240"/>
    </w:pPr>
    <w:rPr>
      <w:rFonts w:ascii="Times New Roman" w:eastAsia="Times New Roman" w:hAnsi="Times New Roman" w:cs="Times New Roman"/>
      <w:kern w:val="0"/>
      <w:sz w:val="24"/>
      <w:lang w:val="en-GB" w:eastAsia="en-US"/>
      <w14:ligatures w14:val="none"/>
    </w:rPr>
  </w:style>
  <w:style w:type="paragraph" w:styleId="af3">
    <w:name w:val="annotation text"/>
    <w:basedOn w:val="a"/>
    <w:link w:val="af4"/>
    <w:uiPriority w:val="99"/>
    <w:semiHidden/>
    <w:unhideWhenUsed/>
    <w:rsid w:val="00B75B53"/>
    <w:pPr>
      <w:widowControl/>
      <w:spacing w:after="0" w:line="240" w:lineRule="auto"/>
    </w:pPr>
    <w:rPr>
      <w:rFonts w:ascii="Times New Roman" w:eastAsia="Times New Roman" w:hAnsi="Times New Roman" w:cs="Times New Roman"/>
      <w:kern w:val="0"/>
      <w:sz w:val="20"/>
      <w:szCs w:val="20"/>
      <w:lang w:val="en-GB" w:eastAsia="en-US"/>
      <w14:ligatures w14:val="none"/>
    </w:rPr>
  </w:style>
  <w:style w:type="character" w:customStyle="1" w:styleId="af4">
    <w:name w:val="批注文字 字符"/>
    <w:basedOn w:val="a0"/>
    <w:link w:val="af3"/>
    <w:uiPriority w:val="99"/>
    <w:semiHidden/>
    <w:rsid w:val="00B75B53"/>
    <w:rPr>
      <w:rFonts w:ascii="Times New Roman" w:eastAsia="Times New Roman" w:hAnsi="Times New Roman" w:cs="Times New Roman"/>
      <w:kern w:val="0"/>
      <w:sz w:val="20"/>
      <w:szCs w:val="20"/>
      <w:lang w:val="en-GB" w:eastAsia="en-US"/>
      <w14:ligatures w14:val="none"/>
    </w:rPr>
  </w:style>
  <w:style w:type="paragraph" w:styleId="af5">
    <w:name w:val="annotation subject"/>
    <w:basedOn w:val="af3"/>
    <w:next w:val="af3"/>
    <w:link w:val="af6"/>
    <w:uiPriority w:val="99"/>
    <w:semiHidden/>
    <w:unhideWhenUsed/>
    <w:rsid w:val="00B75B53"/>
    <w:rPr>
      <w:b/>
      <w:bCs/>
    </w:rPr>
  </w:style>
  <w:style w:type="character" w:customStyle="1" w:styleId="af6">
    <w:name w:val="批注主题 字符"/>
    <w:basedOn w:val="af4"/>
    <w:link w:val="af5"/>
    <w:uiPriority w:val="99"/>
    <w:semiHidden/>
    <w:rsid w:val="00B75B53"/>
    <w:rPr>
      <w:rFonts w:ascii="Times New Roman" w:eastAsia="Times New Roman" w:hAnsi="Times New Roman" w:cs="Times New Roman"/>
      <w:b/>
      <w:bCs/>
      <w:kern w:val="0"/>
      <w:sz w:val="20"/>
      <w:szCs w:val="20"/>
      <w:lang w:val="en-GB" w:eastAsia="en-US"/>
      <w14:ligatures w14:val="none"/>
    </w:rPr>
  </w:style>
  <w:style w:type="paragraph" w:styleId="af7">
    <w:name w:val="Balloon Text"/>
    <w:basedOn w:val="a"/>
    <w:link w:val="af8"/>
    <w:uiPriority w:val="99"/>
    <w:semiHidden/>
    <w:unhideWhenUsed/>
    <w:rsid w:val="00B75B53"/>
    <w:pPr>
      <w:widowControl/>
      <w:spacing w:after="0" w:line="240" w:lineRule="auto"/>
    </w:pPr>
    <w:rPr>
      <w:rFonts w:ascii="Segoe UI" w:eastAsia="Times New Roman" w:hAnsi="Segoe UI" w:cs="Segoe UI"/>
      <w:kern w:val="0"/>
      <w:sz w:val="18"/>
      <w:szCs w:val="18"/>
      <w:lang w:val="en-GB" w:eastAsia="en-US"/>
      <w14:ligatures w14:val="none"/>
    </w:rPr>
  </w:style>
  <w:style w:type="character" w:customStyle="1" w:styleId="af8">
    <w:name w:val="批注框文本 字符"/>
    <w:basedOn w:val="a0"/>
    <w:link w:val="af7"/>
    <w:uiPriority w:val="99"/>
    <w:semiHidden/>
    <w:rsid w:val="00B75B53"/>
    <w:rPr>
      <w:rFonts w:ascii="Segoe UI" w:eastAsia="Times New Roman" w:hAnsi="Segoe UI" w:cs="Segoe UI"/>
      <w:kern w:val="0"/>
      <w:sz w:val="18"/>
      <w:szCs w:val="18"/>
      <w:lang w:val="en-GB" w:eastAsia="en-US"/>
      <w14:ligatures w14:val="none"/>
    </w:rPr>
  </w:style>
  <w:style w:type="paragraph" w:styleId="af9">
    <w:name w:val="No Spacing"/>
    <w:autoRedefine/>
    <w:uiPriority w:val="1"/>
    <w:qFormat/>
    <w:rsid w:val="00B75B53"/>
    <w:pPr>
      <w:spacing w:before="120" w:after="120" w:line="480" w:lineRule="auto"/>
    </w:pPr>
    <w:rPr>
      <w:rFonts w:ascii="Times New Roman" w:eastAsia="等线" w:hAnsi="Times New Roman" w:cs="Arial"/>
      <w:kern w:val="0"/>
      <w:sz w:val="24"/>
      <w:szCs w:val="22"/>
      <w:lang w:eastAsia="en-US"/>
      <w14:ligatures w14:val="none"/>
    </w:rPr>
  </w:style>
  <w:style w:type="paragraph" w:customStyle="1" w:styleId="TOC10">
    <w:name w:val="TOC 标题1"/>
    <w:basedOn w:val="1"/>
    <w:next w:val="a"/>
    <w:uiPriority w:val="39"/>
    <w:semiHidden/>
    <w:unhideWhenUsed/>
    <w:qFormat/>
    <w:rsid w:val="00B75B53"/>
    <w:pPr>
      <w:widowControl/>
      <w:spacing w:before="240" w:after="0" w:line="256" w:lineRule="auto"/>
      <w:outlineLvl w:val="9"/>
    </w:pPr>
    <w:rPr>
      <w:rFonts w:ascii="Calibri Light" w:eastAsia="等线 Light" w:hAnsi="Calibri Light" w:cs="Times New Roman"/>
      <w:kern w:val="0"/>
      <w:sz w:val="32"/>
      <w:szCs w:val="32"/>
      <w:lang w:eastAsia="en-US"/>
      <w14:ligatures w14:val="none"/>
    </w:rPr>
  </w:style>
  <w:style w:type="paragraph" w:customStyle="1" w:styleId="font-claude-response-body">
    <w:name w:val="font-claude-response-body"/>
    <w:basedOn w:val="a"/>
    <w:rsid w:val="00B75B53"/>
    <w:pPr>
      <w:widowControl/>
      <w:spacing w:before="100" w:beforeAutospacing="1" w:after="100" w:afterAutospacing="1" w:line="240" w:lineRule="auto"/>
    </w:pPr>
    <w:rPr>
      <w:rFonts w:ascii="Times New Roman" w:eastAsia="Times New Roman" w:hAnsi="Times New Roman" w:cs="Times New Roman"/>
      <w:kern w:val="0"/>
      <w:sz w:val="24"/>
      <w:lang w:val="en-GB" w:eastAsia="en-US"/>
      <w14:ligatures w14:val="none"/>
    </w:rPr>
  </w:style>
  <w:style w:type="paragraph" w:customStyle="1" w:styleId="chat-msgtext">
    <w:name w:val="chat-msg__text"/>
    <w:basedOn w:val="a"/>
    <w:rsid w:val="00B75B53"/>
    <w:pPr>
      <w:widowControl/>
      <w:spacing w:before="100" w:beforeAutospacing="1" w:after="100" w:afterAutospacing="1" w:line="240" w:lineRule="auto"/>
    </w:pPr>
    <w:rPr>
      <w:rFonts w:ascii="Times New Roman" w:eastAsia="Times New Roman" w:hAnsi="Times New Roman" w:cs="Times New Roman"/>
      <w:kern w:val="0"/>
      <w:sz w:val="24"/>
      <w:lang w:val="en-GB" w:eastAsia="en-US"/>
      <w14:ligatures w14:val="none"/>
    </w:rPr>
  </w:style>
  <w:style w:type="character" w:styleId="afa">
    <w:name w:val="annotation reference"/>
    <w:basedOn w:val="a0"/>
    <w:uiPriority w:val="99"/>
    <w:semiHidden/>
    <w:unhideWhenUsed/>
    <w:rsid w:val="00B75B53"/>
    <w:rPr>
      <w:sz w:val="16"/>
      <w:szCs w:val="16"/>
    </w:rPr>
  </w:style>
  <w:style w:type="character" w:styleId="afb">
    <w:name w:val="Placeholder Text"/>
    <w:basedOn w:val="a0"/>
    <w:uiPriority w:val="99"/>
    <w:semiHidden/>
    <w:rsid w:val="00B75B53"/>
    <w:rPr>
      <w:color w:val="808080"/>
    </w:rPr>
  </w:style>
  <w:style w:type="table" w:styleId="afc">
    <w:name w:val="Table Grid"/>
    <w:basedOn w:val="a1"/>
    <w:uiPriority w:val="39"/>
    <w:rsid w:val="00B75B53"/>
    <w:pPr>
      <w:spacing w:after="0" w:line="240" w:lineRule="auto"/>
    </w:pPr>
    <w:rPr>
      <w:rFonts w:ascii="Calibri" w:eastAsia="Times New Roman" w:hAnsi="Calibri" w:cs="Arial"/>
      <w:kern w:val="0"/>
      <w:szCs w:val="22"/>
      <w:lang w:eastAsia="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d">
    <w:name w:val="Hyperlink"/>
    <w:basedOn w:val="a0"/>
    <w:uiPriority w:val="99"/>
    <w:unhideWhenUsed/>
    <w:rsid w:val="00B75B53"/>
    <w:rPr>
      <w:color w:val="467886" w:themeColor="hyperlink"/>
      <w:u w:val="single"/>
    </w:rPr>
  </w:style>
  <w:style w:type="character" w:styleId="afe">
    <w:name w:val="FollowedHyperlink"/>
    <w:basedOn w:val="a0"/>
    <w:uiPriority w:val="99"/>
    <w:semiHidden/>
    <w:unhideWhenUsed/>
    <w:rsid w:val="00B75B53"/>
    <w:rPr>
      <w:color w:val="96607D" w:themeColor="followedHyperlink"/>
      <w:u w:val="single"/>
    </w:rPr>
  </w:style>
  <w:style w:type="paragraph" w:styleId="TOC">
    <w:name w:val="TOC Heading"/>
    <w:basedOn w:val="1"/>
    <w:next w:val="a"/>
    <w:uiPriority w:val="39"/>
    <w:unhideWhenUsed/>
    <w:qFormat/>
    <w:rsid w:val="00AF4702"/>
    <w:pPr>
      <w:spacing w:before="340" w:after="330" w:line="578" w:lineRule="auto"/>
      <w:outlineLvl w:val="9"/>
    </w:pPr>
    <w:rPr>
      <w:rFonts w:asciiTheme="minorHAnsi" w:eastAsiaTheme="minorEastAsia" w:hAnsiTheme="minorHAnsi" w:cstheme="minorBidi"/>
      <w:b/>
      <w:bCs/>
      <w:color w:val="auto"/>
      <w:kern w:val="44"/>
      <w:sz w:val="44"/>
      <w:szCs w:val="44"/>
    </w:rPr>
  </w:style>
  <w:style w:type="numbering" w:customStyle="1" w:styleId="21">
    <w:name w:val="无列表2"/>
    <w:next w:val="a2"/>
    <w:uiPriority w:val="99"/>
    <w:semiHidden/>
    <w:unhideWhenUsed/>
    <w:rsid w:val="00AF4702"/>
  </w:style>
  <w:style w:type="character" w:styleId="aff">
    <w:name w:val="Strong"/>
    <w:basedOn w:val="a0"/>
    <w:uiPriority w:val="22"/>
    <w:qFormat/>
    <w:rsid w:val="00AF4702"/>
    <w:rPr>
      <w:b/>
      <w:bCs/>
    </w:rPr>
  </w:style>
  <w:style w:type="table" w:customStyle="1" w:styleId="14">
    <w:name w:val="网格型1"/>
    <w:basedOn w:val="a1"/>
    <w:next w:val="afc"/>
    <w:uiPriority w:val="39"/>
    <w:rsid w:val="00AF4702"/>
    <w:pPr>
      <w:spacing w:after="0" w:line="240" w:lineRule="auto"/>
    </w:pPr>
    <w:rPr>
      <w:kern w:val="0"/>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f0">
    <w:name w:val="Unresolved Mention"/>
    <w:basedOn w:val="a0"/>
    <w:uiPriority w:val="99"/>
    <w:semiHidden/>
    <w:unhideWhenUsed/>
    <w:rsid w:val="00AF4702"/>
    <w:rPr>
      <w:color w:val="605E5C"/>
      <w:shd w:val="clear" w:color="auto" w:fill="E1DFDD"/>
    </w:rPr>
  </w:style>
  <w:style w:type="numbering" w:customStyle="1" w:styleId="31">
    <w:name w:val="无列表3"/>
    <w:next w:val="a2"/>
    <w:uiPriority w:val="99"/>
    <w:semiHidden/>
    <w:unhideWhenUsed/>
    <w:rsid w:val="00F02A69"/>
  </w:style>
  <w:style w:type="table" w:customStyle="1" w:styleId="22">
    <w:name w:val="网格型2"/>
    <w:basedOn w:val="a1"/>
    <w:next w:val="afc"/>
    <w:uiPriority w:val="39"/>
    <w:rsid w:val="00F02A69"/>
    <w:pPr>
      <w:spacing w:after="0" w:line="240" w:lineRule="auto"/>
    </w:pPr>
    <w:rPr>
      <w:kern w:val="0"/>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f1">
    <w:name w:val="footnote reference"/>
    <w:basedOn w:val="a0"/>
    <w:uiPriority w:val="99"/>
    <w:semiHidden/>
    <w:unhideWhenUsed/>
    <w:rsid w:val="00F02A6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e.gov.cn/srcsite/A17/moe_943/moe_946/202305/t20230511_1059219.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zgjssw.gov.cn/fabuting/shengweiwenjian/202406/t20240611_8309373.s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jyj.suzhou.gov.cn/szjyj/tajy/202412/b931ae4791e542d18b11a544797553f6/files/052ca9c388aa4fa296bbf24970fbc591.pdf" TargetMode="External"/><Relationship Id="rId4" Type="http://schemas.openxmlformats.org/officeDocument/2006/relationships/webSettings" Target="webSettings.xml"/><Relationship Id="rId9" Type="http://schemas.openxmlformats.org/officeDocument/2006/relationships/hyperlink" Target="https://edu.nanjing.gov.cn/xwdt/gqdt/202406/t20240611_4687187.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258</TotalTime>
  <Pages>65</Pages>
  <Words>24405</Words>
  <Characters>139112</Characters>
  <Application>Microsoft Office Word</Application>
  <DocSecurity>0</DocSecurity>
  <Lines>1159</Lines>
  <Paragraphs>326</Paragraphs>
  <ScaleCrop>false</ScaleCrop>
  <Company/>
  <LinksUpToDate>false</LinksUpToDate>
  <CharactersWithSpaces>163191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夜阎 如月</dc:creator>
  <cp:keywords/>
  <dc:description/>
  <cp:lastModifiedBy>夜阎 如月</cp:lastModifiedBy>
  <cp:revision>24</cp:revision>
  <dcterms:created xsi:type="dcterms:W3CDTF">2026-04-13T11:28:00Z</dcterms:created>
  <dcterms:modified xsi:type="dcterms:W3CDTF">2026-04-22T06:00:00Z</dcterms:modified>
</cp:coreProperties>
</file>