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rFonts w:ascii="Calibri" w:cs="Calibri" w:eastAsia="Calibri" w:hAnsi="Calibri"/>
        </w:rPr>
      </w:pPr>
      <w:r w:rsidDel="00000000" w:rsidR="00000000" w:rsidRPr="00000000">
        <w:rPr>
          <w:rFonts w:ascii="Calibri" w:cs="Calibri" w:eastAsia="Calibri" w:hAnsi="Calibri"/>
          <w:b w:val="1"/>
          <w:rtl w:val="0"/>
        </w:rPr>
        <w:t xml:space="preserve">Petronius Satyricon 32</w:t>
      </w:r>
      <w:r w:rsidDel="00000000" w:rsidR="00000000" w:rsidRPr="00000000">
        <w:rPr>
          <w:rtl w:val="0"/>
        </w:rPr>
      </w:r>
    </w:p>
    <w:p w:rsidR="00000000" w:rsidDel="00000000" w:rsidP="00000000" w:rsidRDefault="00000000" w:rsidRPr="00000000" w14:paraId="00000001">
      <w:pPr>
        <w:rPr>
          <w:rFonts w:ascii="Calibri" w:cs="Calibri" w:eastAsia="Calibri" w:hAnsi="Calibri"/>
        </w:rPr>
      </w:pPr>
      <w:r w:rsidDel="00000000" w:rsidR="00000000" w:rsidRPr="00000000">
        <w:rPr>
          <w:rFonts w:ascii="Calibri" w:cs="Calibri" w:eastAsia="Calibri" w:hAnsi="Calibri"/>
          <w:rtl w:val="0"/>
        </w:rPr>
        <w:t xml:space="preserve">The Satyricon is generally accepted to have been authored by Nero’s courtier Gaius Petronius, who was described by Tacitus in his Annals</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is the first and only known latin novel until Apuleius’ </w:t>
      </w:r>
      <w:r w:rsidDel="00000000" w:rsidR="00000000" w:rsidRPr="00000000">
        <w:rPr>
          <w:rFonts w:ascii="Calibri" w:cs="Calibri" w:eastAsia="Calibri" w:hAnsi="Calibri"/>
          <w:i w:val="1"/>
          <w:rtl w:val="0"/>
        </w:rPr>
        <w:t xml:space="preserve">Metamorphoses</w:t>
      </w:r>
      <w:r w:rsidDel="00000000" w:rsidR="00000000" w:rsidRPr="00000000">
        <w:rPr>
          <w:rFonts w:ascii="Calibri" w:cs="Calibri" w:eastAsia="Calibri" w:hAnsi="Calibri"/>
          <w:rtl w:val="0"/>
        </w:rPr>
        <w:t xml:space="preserve"> and originated around the time of Nero</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It follows the antics of narrator and protagonist Encolpius through Italy and later to the table of Trimalchio</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It is considered an important piece of literature due to the window it offers into the lives of the lower classes in Rome. While little of it has been recovered, making its structure and style difficult to determine, it has been established that the “traditional title of his work, </w:t>
      </w:r>
      <w:r w:rsidDel="00000000" w:rsidR="00000000" w:rsidRPr="00000000">
        <w:rPr>
          <w:rFonts w:ascii="Calibri" w:cs="Calibri" w:eastAsia="Calibri" w:hAnsi="Calibri"/>
          <w:i w:val="1"/>
          <w:rtl w:val="0"/>
        </w:rPr>
        <w:t xml:space="preserve">Satyricon</w:t>
      </w:r>
      <w:r w:rsidDel="00000000" w:rsidR="00000000" w:rsidRPr="00000000">
        <w:rPr>
          <w:rFonts w:ascii="Calibri" w:cs="Calibri" w:eastAsia="Calibri" w:hAnsi="Calibri"/>
          <w:rtl w:val="0"/>
        </w:rPr>
        <w:t xml:space="preserve">, is derived from the word </w:t>
      </w:r>
      <w:r w:rsidDel="00000000" w:rsidR="00000000" w:rsidRPr="00000000">
        <w:rPr>
          <w:rFonts w:ascii="Calibri" w:cs="Calibri" w:eastAsia="Calibri" w:hAnsi="Calibri"/>
          <w:i w:val="1"/>
          <w:rtl w:val="0"/>
        </w:rPr>
        <w:t xml:space="preserve">Satura, a medley</w:t>
      </w:r>
      <w:r w:rsidDel="00000000" w:rsidR="00000000" w:rsidRPr="00000000">
        <w:rPr>
          <w:rFonts w:ascii="Calibri" w:cs="Calibri" w:eastAsia="Calibri" w:hAnsi="Calibri"/>
          <w:rtl w:val="0"/>
        </w:rPr>
        <w:t xml:space="preserve">, and means that he was free to pass at will from subject to subject, and from prose to verse and back”</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w:t>
      </w:r>
      <w:r w:rsidDel="00000000" w:rsidR="00000000" w:rsidRPr="00000000">
        <w:rPr>
          <w:rtl w:val="0"/>
        </w:rPr>
      </w:r>
    </w:p>
    <w:p w:rsidR="00000000" w:rsidDel="00000000" w:rsidP="00000000" w:rsidRDefault="00000000" w:rsidRPr="00000000" w14:paraId="00000002">
      <w:pPr>
        <w:rPr>
          <w:rFonts w:ascii="Calibri" w:cs="Calibri" w:eastAsia="Calibri" w:hAnsi="Calibri"/>
        </w:rPr>
      </w:pPr>
      <w:r w:rsidDel="00000000" w:rsidR="00000000" w:rsidRPr="00000000">
        <w:rPr>
          <w:rtl w:val="0"/>
        </w:rPr>
      </w:r>
    </w:p>
    <w:p w:rsidR="00000000" w:rsidDel="00000000" w:rsidP="00000000" w:rsidRDefault="00000000" w:rsidRPr="00000000" w14:paraId="00000003">
      <w:pPr>
        <w:rPr>
          <w:rFonts w:ascii="Calibri" w:cs="Calibri" w:eastAsia="Calibri" w:hAnsi="Calibri"/>
        </w:rPr>
      </w:pPr>
      <w:r w:rsidDel="00000000" w:rsidR="00000000" w:rsidRPr="00000000">
        <w:rPr>
          <w:rFonts w:ascii="Calibri" w:cs="Calibri" w:eastAsia="Calibri" w:hAnsi="Calibri"/>
          <w:rtl w:val="0"/>
        </w:rPr>
        <w:t xml:space="preserve">Section 32 of Petronius’ Satyricon is part of a larger portion of the novel describing a dinner or banquet thrown by Trimalchio, a former slave who has become wealthy, titled “Cena Trimalchionis”. Section 32 is a description of Trimalchio intended to portray him as ridiculous; he enters the dining hall, for example, on a pillow that is described as the “tiniest of pillows”</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The superlative adjective of ‘tiniest’ is clearly intended to immediately show him as a comic figure, further reinforced by the next line, “A laugh escaped the unwary”</w:t>
      </w:r>
      <w:r w:rsidDel="00000000" w:rsidR="00000000" w:rsidRPr="00000000">
        <w:rPr>
          <w:rFonts w:ascii="Calibri" w:cs="Calibri" w:eastAsia="Calibri" w:hAnsi="Calibri"/>
          <w:vertAlign w:val="superscript"/>
          <w:rtl w:val="0"/>
        </w:rPr>
        <w:t xml:space="preserve">5</w:t>
      </w:r>
      <w:r w:rsidDel="00000000" w:rsidR="00000000" w:rsidRPr="00000000">
        <w:rPr>
          <w:rFonts w:ascii="Calibri" w:cs="Calibri" w:eastAsia="Calibri" w:hAnsi="Calibri"/>
          <w:rtl w:val="0"/>
        </w:rPr>
        <w:t xml:space="preserve">. The adjective ‘unwary’ might also again be indicative of how ridiculous his appearance is, with the determiner in “the unwary”</w:t>
      </w:r>
      <w:r w:rsidDel="00000000" w:rsidR="00000000" w:rsidRPr="00000000">
        <w:rPr>
          <w:rFonts w:ascii="Calibri" w:cs="Calibri" w:eastAsia="Calibri" w:hAnsi="Calibri"/>
          <w:vertAlign w:val="superscript"/>
          <w:rtl w:val="0"/>
        </w:rPr>
        <w:t xml:space="preserve">5</w:t>
      </w:r>
      <w:r w:rsidDel="00000000" w:rsidR="00000000" w:rsidRPr="00000000">
        <w:rPr>
          <w:rFonts w:ascii="Calibri" w:cs="Calibri" w:eastAsia="Calibri" w:hAnsi="Calibri"/>
          <w:rtl w:val="0"/>
        </w:rPr>
        <w:t xml:space="preserve"> being suggestive of a part of the group unused to Trimalchio. This is especially likely when taken into consideration that Trimalchio, later in section 32, is described as having many rings and bracelets like an ivory bangle</w:t>
      </w:r>
      <w:r w:rsidDel="00000000" w:rsidR="00000000" w:rsidRPr="00000000">
        <w:rPr>
          <w:rFonts w:ascii="Calibri" w:cs="Calibri" w:eastAsia="Calibri" w:hAnsi="Calibri"/>
          <w:vertAlign w:val="superscript"/>
          <w:rtl w:val="0"/>
        </w:rPr>
        <w:t xml:space="preserve">9</w:t>
      </w:r>
      <w:r w:rsidDel="00000000" w:rsidR="00000000" w:rsidRPr="00000000">
        <w:rPr>
          <w:rFonts w:ascii="Calibri" w:cs="Calibri" w:eastAsia="Calibri" w:hAnsi="Calibri"/>
          <w:rtl w:val="0"/>
        </w:rPr>
        <w:t xml:space="preserve">; his appearance would be especially strange given that the implication of their surprise is that most Roman men of his wealth didn’t wear so much or such obviously expensive jewellery.</w:t>
      </w:r>
    </w:p>
    <w:p w:rsidR="00000000" w:rsidDel="00000000" w:rsidP="00000000" w:rsidRDefault="00000000" w:rsidRPr="00000000" w14:paraId="00000004">
      <w:pPr>
        <w:rPr>
          <w:rFonts w:ascii="Calibri" w:cs="Calibri" w:eastAsia="Calibri" w:hAnsi="Calibri"/>
        </w:rPr>
      </w:pPr>
      <w:r w:rsidDel="00000000" w:rsidR="00000000" w:rsidRPr="00000000">
        <w:rPr>
          <w:rtl w:val="0"/>
        </w:rPr>
      </w:r>
    </w:p>
    <w:p w:rsidR="00000000" w:rsidDel="00000000" w:rsidP="00000000" w:rsidRDefault="00000000" w:rsidRPr="00000000" w14:paraId="00000005">
      <w:pPr>
        <w:rPr>
          <w:rFonts w:ascii="Calibri" w:cs="Calibri" w:eastAsia="Calibri" w:hAnsi="Calibri"/>
        </w:rPr>
      </w:pPr>
      <w:r w:rsidDel="00000000" w:rsidR="00000000" w:rsidRPr="00000000">
        <w:rPr>
          <w:rFonts w:ascii="Calibri" w:cs="Calibri" w:eastAsia="Calibri" w:hAnsi="Calibri"/>
          <w:rtl w:val="0"/>
        </w:rPr>
        <w:t xml:space="preserve">Trimalchio is further shown to be overly ostentatious and gaudy to a degree that the narrator Encolpius implies that he seems to find obscene. He describes Tremalchius as wearing a scarlet cloak</w:t>
      </w:r>
      <w:r w:rsidDel="00000000" w:rsidR="00000000" w:rsidRPr="00000000">
        <w:rPr>
          <w:rFonts w:ascii="Calibri" w:cs="Calibri" w:eastAsia="Calibri" w:hAnsi="Calibri"/>
          <w:vertAlign w:val="superscript"/>
          <w:rtl w:val="0"/>
        </w:rPr>
        <w:t xml:space="preserve">5</w:t>
      </w:r>
      <w:r w:rsidDel="00000000" w:rsidR="00000000" w:rsidRPr="00000000">
        <w:rPr>
          <w:rFonts w:ascii="Calibri" w:cs="Calibri" w:eastAsia="Calibri" w:hAnsi="Calibri"/>
          <w:rtl w:val="0"/>
        </w:rPr>
        <w:t xml:space="preserve">, and the inclusion of this detail might have been intended to draw attention to his false grandeur and seeming arrogance; while purple was only worn by emperors or for ceremonies due to the extreme difficulty in making the dye</w:t>
      </w:r>
      <w:r w:rsidDel="00000000" w:rsidR="00000000" w:rsidRPr="00000000">
        <w:rPr>
          <w:rFonts w:ascii="Calibri" w:cs="Calibri" w:eastAsia="Calibri" w:hAnsi="Calibri"/>
          <w:vertAlign w:val="superscript"/>
        </w:rPr>
        <w:footnoteReference w:customMarkFollows="0" w:id="5"/>
      </w:r>
      <w:r w:rsidDel="00000000" w:rsidR="00000000" w:rsidRPr="00000000">
        <w:rPr>
          <w:rFonts w:ascii="Calibri" w:cs="Calibri" w:eastAsia="Calibri" w:hAnsi="Calibri"/>
          <w:rtl w:val="0"/>
        </w:rPr>
        <w:t xml:space="preserve">, scarlet was only slightly easier to produce and so was typically worn by officers or people of high rank, as suggested by Amy Butler Greenfield</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so a scarlet cloak worn by a former slave would have seemed incredibly incongruous as well as laughable. Trimalchio’s shaven head</w:t>
      </w:r>
      <w:r w:rsidDel="00000000" w:rsidR="00000000" w:rsidRPr="00000000">
        <w:rPr>
          <w:rFonts w:ascii="Calibri" w:cs="Calibri" w:eastAsia="Calibri" w:hAnsi="Calibri"/>
          <w:vertAlign w:val="superscript"/>
          <w:rtl w:val="0"/>
        </w:rPr>
        <w:t xml:space="preserve">5</w:t>
      </w:r>
      <w:r w:rsidDel="00000000" w:rsidR="00000000" w:rsidRPr="00000000">
        <w:rPr>
          <w:rFonts w:ascii="Calibri" w:cs="Calibri" w:eastAsia="Calibri" w:hAnsi="Calibri"/>
          <w:rtl w:val="0"/>
        </w:rPr>
        <w:t xml:space="preserve"> might also be another reference to his status as an object of ridicule within the scene - emperor Nero’s statues and the coins depicting him, during whose reign it is generally accepted the </w:t>
      </w:r>
      <w:r w:rsidDel="00000000" w:rsidR="00000000" w:rsidRPr="00000000">
        <w:rPr>
          <w:rFonts w:ascii="Calibri" w:cs="Calibri" w:eastAsia="Calibri" w:hAnsi="Calibri"/>
          <w:i w:val="1"/>
          <w:rtl w:val="0"/>
        </w:rPr>
        <w:t xml:space="preserve">Satyricon</w:t>
      </w:r>
      <w:r w:rsidDel="00000000" w:rsidR="00000000" w:rsidRPr="00000000">
        <w:rPr>
          <w:rFonts w:ascii="Calibri" w:cs="Calibri" w:eastAsia="Calibri" w:hAnsi="Calibri"/>
          <w:rtl w:val="0"/>
        </w:rPr>
        <w:t xml:space="preserve"> was written, almost always has curly hair</w:t>
      </w:r>
      <w:r w:rsidDel="00000000" w:rsidR="00000000" w:rsidRPr="00000000">
        <w:rPr>
          <w:rFonts w:ascii="Calibri" w:cs="Calibri" w:eastAsia="Calibri" w:hAnsi="Calibri"/>
          <w:vertAlign w:val="superscript"/>
        </w:rPr>
        <w:footnoteReference w:customMarkFollows="0" w:id="7"/>
      </w:r>
      <w:r w:rsidDel="00000000" w:rsidR="00000000" w:rsidRPr="00000000">
        <w:rPr>
          <w:rFonts w:ascii="Calibri" w:cs="Calibri" w:eastAsia="Calibri" w:hAnsi="Calibri"/>
          <w:rtl w:val="0"/>
        </w:rPr>
        <w:t xml:space="preserve"> and as it was quite likely he set trends, much like contemporary celebrities, it can be assumed men also tended to wear their hair similarly. Trimalchio’s baldness might, thus, have been seen as another point of ridicule.</w:t>
      </w:r>
    </w:p>
    <w:p w:rsidR="00000000" w:rsidDel="00000000" w:rsidP="00000000" w:rsidRDefault="00000000" w:rsidRPr="00000000" w14:paraId="00000006">
      <w:pPr>
        <w:rPr>
          <w:rFonts w:ascii="Calibri" w:cs="Calibri" w:eastAsia="Calibri" w:hAnsi="Calibri"/>
        </w:rPr>
      </w:pPr>
      <w:r w:rsidDel="00000000" w:rsidR="00000000" w:rsidRPr="00000000">
        <w:rPr>
          <w:rtl w:val="0"/>
        </w:rPr>
      </w:r>
    </w:p>
    <w:p w:rsidR="00000000" w:rsidDel="00000000" w:rsidP="00000000" w:rsidRDefault="00000000" w:rsidRPr="00000000" w14:paraId="00000007">
      <w:pPr>
        <w:rPr>
          <w:rFonts w:ascii="Calibri" w:cs="Calibri" w:eastAsia="Calibri" w:hAnsi="Calibri"/>
        </w:rPr>
      </w:pPr>
      <w:r w:rsidDel="00000000" w:rsidR="00000000" w:rsidRPr="00000000">
        <w:rPr>
          <w:rFonts w:ascii="Calibri" w:cs="Calibri" w:eastAsia="Calibri" w:hAnsi="Calibri"/>
          <w:rtl w:val="0"/>
        </w:rPr>
        <w:t xml:space="preserve">The ostentation that Trimalchio surrounds himself with is also another point of contention for the narrator Encolpius; he describes several pieces of jewellery, all of which being pieces that were likely incredibly expensive for the labour needed to produce, for example the ring with iron cut into stars</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which would have taken a skilled artisan to produce. This is especially highlighted with the line “Not content with this display of wealth”</w:t>
      </w:r>
      <w:r w:rsidDel="00000000" w:rsidR="00000000" w:rsidRPr="00000000">
        <w:rPr>
          <w:rFonts w:ascii="Calibri" w:cs="Calibri" w:eastAsia="Calibri" w:hAnsi="Calibri"/>
          <w:vertAlign w:val="superscript"/>
          <w:rtl w:val="0"/>
        </w:rPr>
        <w:t xml:space="preserve">9</w:t>
      </w:r>
      <w:r w:rsidDel="00000000" w:rsidR="00000000" w:rsidRPr="00000000">
        <w:rPr>
          <w:rFonts w:ascii="Calibri" w:cs="Calibri" w:eastAsia="Calibri" w:hAnsi="Calibri"/>
          <w:rtl w:val="0"/>
        </w:rPr>
        <w:t xml:space="preserve">, where ‘not content’ is indicative of, perhaps, an obsessive need of Trimalchio’s to surround himself with material wealth before he dies - within later sections it is shown that Trimalchio has a fear and obsession with death, mostly highlighted by his line “Ah me, so wine lives longer than miserable man”</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w:t>
      </w:r>
    </w:p>
    <w:p w:rsidR="00000000" w:rsidDel="00000000" w:rsidP="00000000" w:rsidRDefault="00000000" w:rsidRPr="00000000" w14:paraId="00000008">
      <w:pPr>
        <w:rPr>
          <w:rFonts w:ascii="Calibri" w:cs="Calibri" w:eastAsia="Calibri" w:hAnsi="Calibri"/>
        </w:rPr>
      </w:pPr>
      <w:r w:rsidDel="00000000" w:rsidR="00000000" w:rsidRPr="00000000">
        <w:rPr>
          <w:rtl w:val="0"/>
        </w:rPr>
      </w:r>
    </w:p>
    <w:p w:rsidR="00000000" w:rsidDel="00000000" w:rsidP="00000000" w:rsidRDefault="00000000" w:rsidRPr="00000000" w14:paraId="00000009">
      <w:pPr>
        <w:rPr>
          <w:rFonts w:ascii="Calibri" w:cs="Calibri" w:eastAsia="Calibri" w:hAnsi="Calibri"/>
        </w:rPr>
      </w:pPr>
      <w:r w:rsidDel="00000000" w:rsidR="00000000" w:rsidRPr="00000000">
        <w:rPr>
          <w:rFonts w:ascii="Calibri" w:cs="Calibri" w:eastAsia="Calibri" w:hAnsi="Calibri"/>
          <w:rtl w:val="0"/>
        </w:rPr>
        <w:t xml:space="preserve">His wearing of a “napkin with a broad stripe and fringes”</w:t>
      </w:r>
      <w:r w:rsidDel="00000000" w:rsidR="00000000" w:rsidRPr="00000000">
        <w:rPr>
          <w:rFonts w:ascii="Calibri" w:cs="Calibri" w:eastAsia="Calibri" w:hAnsi="Calibri"/>
          <w:vertAlign w:val="superscript"/>
          <w:rtl w:val="0"/>
        </w:rPr>
        <w:t xml:space="preserve">9</w:t>
      </w:r>
      <w:r w:rsidDel="00000000" w:rsidR="00000000" w:rsidRPr="00000000">
        <w:rPr>
          <w:rFonts w:ascii="Calibri" w:cs="Calibri" w:eastAsia="Calibri" w:hAnsi="Calibri"/>
          <w:rtl w:val="0"/>
        </w:rPr>
        <w:t xml:space="preserve"> might also have been meant to portray him as competitive with the elites by referencing official robes worn by magistrates</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 making himself seem more important by wearing those robes during a banquet, again making him an object of ridicule because formal dress likely had a time and place within which it was acceptable to wear certain clothing. It also reinforces how obsessive Trimalchio was about material wealth and social status as well as death as, later, he describes the image he would like inscribed on his tombstone which features him wearing those robes on his official seat</w:t>
      </w:r>
      <w:r w:rsidDel="00000000" w:rsidR="00000000" w:rsidRPr="00000000">
        <w:rPr>
          <w:rFonts w:ascii="Calibri" w:cs="Calibri" w:eastAsia="Calibri" w:hAnsi="Calibri"/>
          <w:vertAlign w:val="superscript"/>
        </w:rPr>
        <w:footnoteReference w:customMarkFollows="0" w:id="11"/>
      </w:r>
      <w:r w:rsidDel="00000000" w:rsidR="00000000" w:rsidRPr="00000000">
        <w:rPr>
          <w:rFonts w:ascii="Calibri" w:cs="Calibri" w:eastAsia="Calibri" w:hAnsi="Calibri"/>
          <w:rtl w:val="0"/>
        </w:rPr>
        <w:t xml:space="preserve">. It shows, perhaps, that he was preoccupied with imparting a sense of grandeur and importance not just in life but also in death; perhaps as a form of immortality, given his established obsession with death and his resulting determination to enjoy life.</w:t>
      </w:r>
    </w:p>
    <w:p w:rsidR="00000000" w:rsidDel="00000000" w:rsidP="00000000" w:rsidRDefault="00000000" w:rsidRPr="00000000" w14:paraId="0000000A">
      <w:pPr>
        <w:rPr>
          <w:rFonts w:ascii="Calibri" w:cs="Calibri" w:eastAsia="Calibri" w:hAnsi="Calibri"/>
        </w:rPr>
      </w:pPr>
      <w:r w:rsidDel="00000000" w:rsidR="00000000" w:rsidRPr="00000000">
        <w:rPr>
          <w:rtl w:val="0"/>
        </w:rPr>
      </w:r>
    </w:p>
    <w:p w:rsidR="00000000" w:rsidDel="00000000" w:rsidP="00000000" w:rsidRDefault="00000000" w:rsidRPr="00000000" w14:paraId="0000000B">
      <w:pPr>
        <w:rPr>
          <w:rFonts w:ascii="Calibri" w:cs="Calibri" w:eastAsia="Calibri" w:hAnsi="Calibri"/>
        </w:rPr>
      </w:pPr>
      <w:r w:rsidDel="00000000" w:rsidR="00000000" w:rsidRPr="00000000">
        <w:rPr>
          <w:rFonts w:ascii="Calibri" w:cs="Calibri" w:eastAsia="Calibri" w:hAnsi="Calibri"/>
          <w:rtl w:val="0"/>
        </w:rPr>
        <w:t xml:space="preserve">However, while Trimalchio is consistently portrayed as a comic figure narrator Encolpius is also to shown to have his faults, some of which very much in line with Trimalchio’s, throughout the novel. Like Trimalchio and his social blunders with his showing off of material goods, Encolpius also lacks social grace; in one section he becomes drunk</w:t>
      </w:r>
      <w:r w:rsidDel="00000000" w:rsidR="00000000" w:rsidRPr="00000000">
        <w:rPr>
          <w:rFonts w:ascii="Calibri" w:cs="Calibri" w:eastAsia="Calibri" w:hAnsi="Calibri"/>
          <w:vertAlign w:val="superscript"/>
        </w:rPr>
        <w:footnoteReference w:customMarkFollows="0" w:id="12"/>
      </w:r>
      <w:r w:rsidDel="00000000" w:rsidR="00000000" w:rsidRPr="00000000">
        <w:rPr>
          <w:rFonts w:ascii="Calibri" w:cs="Calibri" w:eastAsia="Calibri" w:hAnsi="Calibri"/>
          <w:rtl w:val="0"/>
        </w:rPr>
        <w:t xml:space="preserve"> and in another, while drunk, falls into a pool of water</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 He’s also shown to be manipulative, by pretending to be an enthusiast in order to be given food</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 and throughout the recovered parts of the story there are hints of Encolpius’ violent past</w:t>
      </w:r>
      <w:r w:rsidDel="00000000" w:rsidR="00000000" w:rsidRPr="00000000">
        <w:rPr>
          <w:rFonts w:ascii="Calibri" w:cs="Calibri" w:eastAsia="Calibri" w:hAnsi="Calibri"/>
          <w:vertAlign w:val="superscript"/>
        </w:rPr>
        <w:footnoteReference w:customMarkFollows="0" w:id="15"/>
      </w:r>
      <w:r w:rsidDel="00000000" w:rsidR="00000000" w:rsidRPr="00000000">
        <w:rPr>
          <w:rFonts w:ascii="Calibri" w:cs="Calibri" w:eastAsia="Calibri" w:hAnsi="Calibri"/>
          <w:rtl w:val="0"/>
        </w:rPr>
        <w:t xml:space="preserve">. All of this serves to show Encolpius as an untrustworthy narrator, in so far as his perceptions of the people he encounters; despite his aggrandising he, like Trimalchio, is a low-born member of Roman society.</w:t>
      </w:r>
      <w:r w:rsidDel="00000000" w:rsidR="00000000" w:rsidRPr="00000000">
        <w:br w:type="page"/>
      </w:r>
      <w:r w:rsidDel="00000000" w:rsidR="00000000" w:rsidRPr="00000000">
        <w:rPr>
          <w:rtl w:val="0"/>
        </w:rPr>
      </w:r>
    </w:p>
    <w:p w:rsidR="00000000" w:rsidDel="00000000" w:rsidP="00000000" w:rsidRDefault="00000000" w:rsidRPr="00000000" w14:paraId="0000000C">
      <w:pPr>
        <w:rPr>
          <w:rFonts w:ascii="Calibri" w:cs="Calibri" w:eastAsia="Calibri" w:hAnsi="Calibri"/>
        </w:rPr>
      </w:pPr>
      <w:r w:rsidDel="00000000" w:rsidR="00000000" w:rsidRPr="00000000">
        <w:rPr>
          <w:rFonts w:ascii="Calibri" w:cs="Calibri" w:eastAsia="Calibri" w:hAnsi="Calibri"/>
          <w:b w:val="1"/>
          <w:rtl w:val="0"/>
        </w:rPr>
        <w:t xml:space="preserve">Bibliography</w:t>
      </w:r>
      <w:r w:rsidDel="00000000" w:rsidR="00000000" w:rsidRPr="00000000">
        <w:rPr>
          <w:rtl w:val="0"/>
        </w:rPr>
      </w:r>
    </w:p>
    <w:p w:rsidR="00000000" w:rsidDel="00000000" w:rsidP="00000000" w:rsidRDefault="00000000" w:rsidRPr="00000000" w14:paraId="0000000D">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Petronius Arbiter. Petronius. Michael Heseltine. London. William Heinemann. 1913. Accessed at </w:t>
      </w:r>
      <w:hyperlink r:id="rId7">
        <w:r w:rsidDel="00000000" w:rsidR="00000000" w:rsidRPr="00000000">
          <w:rPr>
            <w:rFonts w:ascii="Calibri" w:cs="Calibri" w:eastAsia="Calibri" w:hAnsi="Calibri"/>
            <w:color w:val="1155cc"/>
            <w:u w:val="single"/>
            <w:rtl w:val="0"/>
          </w:rPr>
          <w:t xml:space="preserve">http://www.perseus.tufts.edu/hopper/text?doc=Perseus%3Atext%3A2007.01.0027%3Atext%3DSatyricon%3Asection%3D32</w:t>
        </w:r>
      </w:hyperlink>
      <w:r w:rsidDel="00000000" w:rsidR="00000000" w:rsidRPr="00000000">
        <w:rPr>
          <w:rtl w:val="0"/>
        </w:rPr>
      </w:r>
    </w:p>
    <w:p w:rsidR="00000000" w:rsidDel="00000000" w:rsidP="00000000" w:rsidRDefault="00000000" w:rsidRPr="00000000" w14:paraId="0000000E">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Tacitus, Annals. 16, Complete Works of Tacitus. Tacitus. Alfred John Church. William Jackson Brodribb. Sara Bryant. edited for Perseus. New York. Random House, Inc. Random House, Inc. reprinted 1942. </w:t>
      </w:r>
      <w:hyperlink r:id="rId8">
        <w:r w:rsidDel="00000000" w:rsidR="00000000" w:rsidRPr="00000000">
          <w:rPr>
            <w:rFonts w:ascii="Calibri" w:cs="Calibri" w:eastAsia="Calibri" w:hAnsi="Calibri"/>
            <w:color w:val="1155cc"/>
            <w:u w:val="single"/>
            <w:rtl w:val="0"/>
          </w:rPr>
          <w:t xml:space="preserve">http://www.perseus.tufts.edu/hopper/text?doc=Perseus%3Atext%3A1999.02.0078%3Abook%3D16%3Achapter%3D18</w:t>
        </w:r>
      </w:hyperlink>
      <w:r w:rsidDel="00000000" w:rsidR="00000000" w:rsidRPr="00000000">
        <w:rPr>
          <w:rtl w:val="0"/>
        </w:rPr>
      </w:r>
    </w:p>
    <w:p w:rsidR="00000000" w:rsidDel="00000000" w:rsidP="00000000" w:rsidRDefault="00000000" w:rsidRPr="00000000" w14:paraId="0000000F">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Völker, T., &amp; Rohmann, D. (2011). "Praenomen Petronii": The Date And Author Of The Satyricon Reconsidered. The Classical Quarterly, 61(2), 660-676. Retrieved from </w:t>
      </w:r>
      <w:hyperlink r:id="rId9">
        <w:r w:rsidDel="00000000" w:rsidR="00000000" w:rsidRPr="00000000">
          <w:rPr>
            <w:rFonts w:ascii="Calibri" w:cs="Calibri" w:eastAsia="Calibri" w:hAnsi="Calibri"/>
            <w:color w:val="1155cc"/>
            <w:u w:val="single"/>
            <w:rtl w:val="0"/>
          </w:rPr>
          <w:t xml:space="preserve">http://www.jstor.org/stable/41301560</w:t>
        </w:r>
      </w:hyperlink>
      <w:r w:rsidDel="00000000" w:rsidR="00000000" w:rsidRPr="00000000">
        <w:rPr>
          <w:rtl w:val="0"/>
        </w:rPr>
      </w:r>
    </w:p>
    <w:p w:rsidR="00000000" w:rsidDel="00000000" w:rsidP="00000000" w:rsidRDefault="00000000" w:rsidRPr="00000000" w14:paraId="00000010">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 Groß-Albenhausen, Kirsten (Frankfurt/Main), Eck, Werner (Cologne), Habermehl, Peter (Berlin), Meier, Mischa (Bielefeld) and Franke, Thomas (Bochum), (2006), Petronius, Brill’s New Pauly, Antiquity volumes, edited by: Hubert Cancik and , Helmuth Schneider, English Edition by: Christine F. Salazar, Classical Tradition volumes edited by: Manfred Landfester, English Edition by: Francis G. Gentry. Consulted online on 14 December 2018 </w:t>
      </w:r>
      <w:hyperlink r:id="rId10">
        <w:r w:rsidDel="00000000" w:rsidR="00000000" w:rsidRPr="00000000">
          <w:rPr>
            <w:rFonts w:ascii="Calibri" w:cs="Calibri" w:eastAsia="Calibri" w:hAnsi="Calibri"/>
            <w:color w:val="1155cc"/>
            <w:u w:val="single"/>
            <w:rtl w:val="0"/>
          </w:rPr>
          <w:t xml:space="preserve">http://dx.doi.org/10.1163/1574-9347_bnp_e916440</w:t>
        </w:r>
      </w:hyperlink>
      <w:r w:rsidDel="00000000" w:rsidR="00000000" w:rsidRPr="00000000">
        <w:rPr>
          <w:rtl w:val="0"/>
        </w:rPr>
      </w:r>
    </w:p>
    <w:p w:rsidR="00000000" w:rsidDel="00000000" w:rsidP="00000000" w:rsidRDefault="00000000" w:rsidRPr="00000000" w14:paraId="00000011">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Petronius, Seneca Satyricon. Apocolocyntosis, Translated by Michael Heseltine, W. H. D. Rouse. Revised by E. H. Warmington. </w:t>
      </w:r>
      <w:hyperlink r:id="rId11">
        <w:r w:rsidDel="00000000" w:rsidR="00000000" w:rsidRPr="00000000">
          <w:rPr>
            <w:rFonts w:ascii="Calibri" w:cs="Calibri" w:eastAsia="Calibri" w:hAnsi="Calibri"/>
            <w:color w:val="1155cc"/>
            <w:u w:val="single"/>
            <w:rtl w:val="0"/>
          </w:rPr>
          <w:t xml:space="preserve">https://www.loebclassics.com/view/LCL015/1913/pb_LCL015.xiii.xml?result=1&amp;rskey=mptYh8</w:t>
        </w:r>
      </w:hyperlink>
      <w:r w:rsidDel="00000000" w:rsidR="00000000" w:rsidRPr="00000000">
        <w:rPr>
          <w:rtl w:val="0"/>
        </w:rPr>
      </w:r>
    </w:p>
    <w:p w:rsidR="00000000" w:rsidDel="00000000" w:rsidP="00000000" w:rsidRDefault="00000000" w:rsidRPr="00000000" w14:paraId="00000012">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Greenfield, A B (2007), A Perfect Red</w:t>
      </w:r>
    </w:p>
    <w:p w:rsidR="00000000" w:rsidDel="00000000" w:rsidP="00000000" w:rsidRDefault="00000000" w:rsidRPr="00000000" w14:paraId="00000013">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Jacoby, D. (2004). </w:t>
      </w:r>
      <w:r w:rsidDel="00000000" w:rsidR="00000000" w:rsidRPr="00000000">
        <w:rPr>
          <w:rFonts w:ascii="Calibri" w:cs="Calibri" w:eastAsia="Calibri" w:hAnsi="Calibri"/>
          <w:i w:val="1"/>
          <w:rtl w:val="0"/>
        </w:rPr>
        <w:t xml:space="preserve">Silk Economics and Cross-Cultural Artistic Interaction: Byzantium, the Muslim World, and the Christian West</w:t>
      </w:r>
      <w:r w:rsidDel="00000000" w:rsidR="00000000" w:rsidRPr="00000000">
        <w:rPr>
          <w:rFonts w:ascii="Calibri" w:cs="Calibri" w:eastAsia="Calibri" w:hAnsi="Calibri"/>
          <w:rtl w:val="0"/>
        </w:rPr>
        <w:t xml:space="preserve">. Dumbarton Oaks Papers, 58, 197-240.</w:t>
      </w:r>
    </w:p>
    <w:p w:rsidR="00000000" w:rsidDel="00000000" w:rsidP="00000000" w:rsidRDefault="00000000" w:rsidRPr="00000000" w14:paraId="00000014">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RIC I (second edition) Nero 607, RPC 3632, seen  at </w:t>
      </w:r>
      <w:hyperlink r:id="rId12">
        <w:r w:rsidDel="00000000" w:rsidR="00000000" w:rsidRPr="00000000">
          <w:rPr>
            <w:rFonts w:ascii="Calibri" w:cs="Calibri" w:eastAsia="Calibri" w:hAnsi="Calibri"/>
            <w:color w:val="1155cc"/>
            <w:u w:val="single"/>
            <w:rtl w:val="0"/>
          </w:rPr>
          <w:t xml:space="preserve">http://numismatics.org/collection/1944.100.55153</w:t>
        </w:r>
      </w:hyperlink>
      <w:r w:rsidDel="00000000" w:rsidR="00000000" w:rsidRPr="00000000">
        <w:rPr>
          <w:rFonts w:ascii="Calibri" w:cs="Calibri" w:eastAsia="Calibri" w:hAnsi="Calibri"/>
          <w:rtl w:val="0"/>
        </w:rPr>
        <w:t xml:space="preserve"> on 14/12/18</w:t>
      </w:r>
    </w:p>
    <w:p w:rsidR="00000000" w:rsidDel="00000000" w:rsidP="00000000" w:rsidRDefault="00000000" w:rsidRPr="00000000" w14:paraId="00000015">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Edmonson, J. C., in Edmondson, J. C., and Keith, A. (2008), (Editors) Roman Dress and the Fabrics of Roman Culture, University of Toronto Press</w:t>
      </w:r>
    </w:p>
    <w:p w:rsidR="00000000" w:rsidDel="00000000" w:rsidP="00000000" w:rsidRDefault="00000000" w:rsidRPr="00000000" w14:paraId="00000016">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Jacoby, D. (2004). Silk Economics and Cross-Cultural Artistic Interaction: Byzantium, the Muslim World, and the Christian West. Dumbarton Oaks Papers, 58, 197-240.</w:t>
      </w:r>
    </w:p>
    <w:p w:rsidR="00000000" w:rsidDel="00000000" w:rsidP="00000000" w:rsidRDefault="00000000" w:rsidRPr="00000000" w14:paraId="00000017">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Petronius, Seneca Satyricon. Apocolocyntosis, Translated By Michael Heseltine, W. H. D. Rouse. Revised By E. H. Warmington.</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Tac. Ann. 16.18-19</w:t>
      </w:r>
    </w:p>
  </w:footnote>
  <w:footnote w:id="1">
    <w:p w:rsidR="00000000" w:rsidDel="00000000" w:rsidP="00000000" w:rsidRDefault="00000000" w:rsidRPr="00000000" w14:paraId="0000001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Völker, T., &amp; Rohmann, D. (2011). "Praenomen Petronii": The Date And Author Of The Satyricon Reconsidered. The Classical Quarterly, 61(2), 660-676.</w:t>
      </w:r>
    </w:p>
  </w:footnote>
  <w:footnote w:id="2">
    <w:p w:rsidR="00000000" w:rsidDel="00000000" w:rsidP="00000000" w:rsidRDefault="00000000" w:rsidRPr="00000000" w14:paraId="0000001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Groß-Albenhausen, Kirsten (Frankfurt/Main), Eck, Werner (Cologne), Habermehl, Peter (Berlin), Meier, Mischa (Bielefeld) and Franke, Thomas (Bochum), (2006), </w:t>
      </w:r>
      <w:r w:rsidDel="00000000" w:rsidR="00000000" w:rsidRPr="00000000">
        <w:rPr>
          <w:i w:val="1"/>
          <w:sz w:val="20"/>
          <w:szCs w:val="20"/>
          <w:rtl w:val="0"/>
        </w:rPr>
        <w:t xml:space="preserve">Petronius</w:t>
      </w:r>
      <w:r w:rsidDel="00000000" w:rsidR="00000000" w:rsidRPr="00000000">
        <w:rPr>
          <w:sz w:val="20"/>
          <w:szCs w:val="20"/>
          <w:rtl w:val="0"/>
        </w:rPr>
        <w:t xml:space="preserve">, Brill’s New Pauly, Antiquity volumes, edited by: Hubert Cancik and , Helmuth Schneider, English Edition by: Christine F. Salazar, Classical Tradition volumes edited by: Manfred Landfester, English Edition by: Francis G. Gentry.</w:t>
      </w:r>
    </w:p>
  </w:footnote>
  <w:footnote w:id="3">
    <w:p w:rsidR="00000000" w:rsidDel="00000000" w:rsidP="00000000" w:rsidRDefault="00000000" w:rsidRPr="00000000" w14:paraId="0000001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Petronius, Seneca Satyricon. Apocolocyntosis, Translated By Michael Heseltine, W. H. D. Rouse. Revised By E. H. Warmington. P.12</w:t>
      </w:r>
    </w:p>
  </w:footnote>
  <w:footnote w:id="4">
    <w:p w:rsidR="00000000" w:rsidDel="00000000" w:rsidP="00000000" w:rsidRDefault="00000000" w:rsidRPr="00000000" w14:paraId="0000001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Petronius, </w:t>
      </w:r>
      <w:r w:rsidDel="00000000" w:rsidR="00000000" w:rsidRPr="00000000">
        <w:rPr>
          <w:i w:val="1"/>
          <w:sz w:val="20"/>
          <w:szCs w:val="20"/>
          <w:rtl w:val="0"/>
        </w:rPr>
        <w:t xml:space="preserve">Satyricon</w:t>
      </w:r>
      <w:r w:rsidDel="00000000" w:rsidR="00000000" w:rsidRPr="00000000">
        <w:rPr>
          <w:sz w:val="20"/>
          <w:szCs w:val="20"/>
          <w:rtl w:val="0"/>
        </w:rPr>
        <w:t xml:space="preserve">. 32</w:t>
      </w:r>
    </w:p>
  </w:footnote>
  <w:footnote w:id="6">
    <w:p w:rsidR="00000000" w:rsidDel="00000000" w:rsidP="00000000" w:rsidRDefault="00000000" w:rsidRPr="00000000" w14:paraId="0000001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Greenfield, A B (2007), </w:t>
      </w:r>
      <w:r w:rsidDel="00000000" w:rsidR="00000000" w:rsidRPr="00000000">
        <w:rPr>
          <w:i w:val="1"/>
          <w:sz w:val="20"/>
          <w:szCs w:val="20"/>
          <w:rtl w:val="0"/>
        </w:rPr>
        <w:t xml:space="preserve">A Perfect Red</w:t>
      </w:r>
      <w:r w:rsidDel="00000000" w:rsidR="00000000" w:rsidRPr="00000000">
        <w:rPr>
          <w:sz w:val="20"/>
          <w:szCs w:val="20"/>
          <w:rtl w:val="0"/>
        </w:rPr>
        <w:t xml:space="preserve">, p. 5</w:t>
      </w:r>
    </w:p>
  </w:footnote>
  <w:footnote w:id="5">
    <w:p w:rsidR="00000000" w:rsidDel="00000000" w:rsidP="00000000" w:rsidRDefault="00000000" w:rsidRPr="00000000" w14:paraId="0000001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dye is made from certain species of mollusks; in addition to the extreme difficulty in collecting the animals and the high intensity of labour in order to make them into a dye, according to David Jacoby the mollusks had a low yield rate, where 12,000 snails could only make 1.4 grams of dye (Jacoby, D. (2004). </w:t>
      </w:r>
      <w:r w:rsidDel="00000000" w:rsidR="00000000" w:rsidRPr="00000000">
        <w:rPr>
          <w:i w:val="1"/>
          <w:sz w:val="20"/>
          <w:szCs w:val="20"/>
          <w:rtl w:val="0"/>
        </w:rPr>
        <w:t xml:space="preserve">Silk Economics and Cross-Cultural Artistic Interaction: Byzantium, the Muslim World, and the Christian West</w:t>
      </w:r>
      <w:r w:rsidDel="00000000" w:rsidR="00000000" w:rsidRPr="00000000">
        <w:rPr>
          <w:sz w:val="20"/>
          <w:szCs w:val="20"/>
          <w:rtl w:val="0"/>
        </w:rPr>
        <w:t xml:space="preserve">. Dumbarton Oaks Papers, 58, 197-240.)</w:t>
      </w:r>
    </w:p>
  </w:footnote>
  <w:footnote w:id="7">
    <w:p w:rsidR="00000000" w:rsidDel="00000000" w:rsidP="00000000" w:rsidRDefault="00000000" w:rsidRPr="00000000" w14:paraId="0000001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Such as the RIC I (second edition) Nero 607, RPC 3632</w:t>
      </w:r>
    </w:p>
  </w:footnote>
  <w:footnote w:id="8">
    <w:p w:rsidR="00000000" w:rsidDel="00000000" w:rsidP="00000000" w:rsidRDefault="00000000" w:rsidRPr="00000000" w14:paraId="0000002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Petronius, </w:t>
      </w:r>
      <w:r w:rsidDel="00000000" w:rsidR="00000000" w:rsidRPr="00000000">
        <w:rPr>
          <w:i w:val="1"/>
          <w:sz w:val="20"/>
          <w:szCs w:val="20"/>
          <w:rtl w:val="0"/>
        </w:rPr>
        <w:t xml:space="preserve">Satyricon</w:t>
      </w:r>
      <w:r w:rsidDel="00000000" w:rsidR="00000000" w:rsidRPr="00000000">
        <w:rPr>
          <w:sz w:val="20"/>
          <w:szCs w:val="20"/>
          <w:rtl w:val="0"/>
        </w:rPr>
        <w:t xml:space="preserve">. 32</w:t>
      </w:r>
    </w:p>
  </w:footnote>
  <w:footnote w:id="9">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Petronius, </w:t>
      </w:r>
      <w:r w:rsidDel="00000000" w:rsidR="00000000" w:rsidRPr="00000000">
        <w:rPr>
          <w:i w:val="1"/>
          <w:sz w:val="20"/>
          <w:szCs w:val="20"/>
          <w:rtl w:val="0"/>
        </w:rPr>
        <w:t xml:space="preserve">Satyricon</w:t>
      </w:r>
      <w:r w:rsidDel="00000000" w:rsidR="00000000" w:rsidRPr="00000000">
        <w:rPr>
          <w:sz w:val="20"/>
          <w:szCs w:val="20"/>
          <w:rtl w:val="0"/>
        </w:rPr>
        <w:t xml:space="preserve">.</w:t>
      </w:r>
      <w:r w:rsidDel="00000000" w:rsidR="00000000" w:rsidRPr="00000000">
        <w:rPr>
          <w:sz w:val="20"/>
          <w:szCs w:val="20"/>
          <w:rtl w:val="0"/>
        </w:rPr>
        <w:t xml:space="preserve"> 34</w:t>
      </w:r>
    </w:p>
  </w:footnote>
  <w:footnote w:id="12">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Petronius, Satyricon. 64</w:t>
      </w:r>
    </w:p>
  </w:footnote>
  <w:footnote w:id="13">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Petronius, </w:t>
      </w:r>
      <w:r w:rsidDel="00000000" w:rsidR="00000000" w:rsidRPr="00000000">
        <w:rPr>
          <w:i w:val="1"/>
          <w:sz w:val="20"/>
          <w:szCs w:val="20"/>
          <w:rtl w:val="0"/>
        </w:rPr>
        <w:t xml:space="preserve">Satyricon</w:t>
      </w:r>
      <w:r w:rsidDel="00000000" w:rsidR="00000000" w:rsidRPr="00000000">
        <w:rPr>
          <w:sz w:val="20"/>
          <w:szCs w:val="20"/>
          <w:rtl w:val="0"/>
        </w:rPr>
        <w:t xml:space="preserve">. 72</w:t>
      </w:r>
    </w:p>
  </w:footnote>
  <w:footnote w:id="14">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Petronius, </w:t>
      </w:r>
      <w:r w:rsidDel="00000000" w:rsidR="00000000" w:rsidRPr="00000000">
        <w:rPr>
          <w:i w:val="1"/>
          <w:sz w:val="20"/>
          <w:szCs w:val="20"/>
          <w:rtl w:val="0"/>
        </w:rPr>
        <w:t xml:space="preserve">Satyricon</w:t>
      </w:r>
      <w:r w:rsidDel="00000000" w:rsidR="00000000" w:rsidRPr="00000000">
        <w:rPr>
          <w:sz w:val="20"/>
          <w:szCs w:val="20"/>
          <w:rtl w:val="0"/>
        </w:rPr>
        <w:t xml:space="preserve">. 10</w:t>
      </w:r>
    </w:p>
  </w:footnote>
  <w:footnote w:id="15">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Such as Petronius, </w:t>
      </w:r>
      <w:r w:rsidDel="00000000" w:rsidR="00000000" w:rsidRPr="00000000">
        <w:rPr>
          <w:i w:val="1"/>
          <w:sz w:val="20"/>
          <w:szCs w:val="20"/>
          <w:rtl w:val="0"/>
        </w:rPr>
        <w:t xml:space="preserve">Satyricon</w:t>
      </w:r>
      <w:r w:rsidDel="00000000" w:rsidR="00000000" w:rsidRPr="00000000">
        <w:rPr>
          <w:sz w:val="20"/>
          <w:szCs w:val="20"/>
          <w:rtl w:val="0"/>
        </w:rPr>
        <w:t xml:space="preserve">. 9 and Petronius, </w:t>
      </w:r>
      <w:r w:rsidDel="00000000" w:rsidR="00000000" w:rsidRPr="00000000">
        <w:rPr>
          <w:i w:val="1"/>
          <w:sz w:val="20"/>
          <w:szCs w:val="20"/>
          <w:rtl w:val="0"/>
        </w:rPr>
        <w:t xml:space="preserve">Satyricon</w:t>
      </w:r>
      <w:r w:rsidDel="00000000" w:rsidR="00000000" w:rsidRPr="00000000">
        <w:rPr>
          <w:sz w:val="20"/>
          <w:szCs w:val="20"/>
          <w:rtl w:val="0"/>
        </w:rPr>
        <w:t xml:space="preserve">. 81</w:t>
      </w:r>
    </w:p>
  </w:footnote>
  <w:footnote w:id="10">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Edmonson, J. C., in Edmondson, J. C., and Keith, A. (2008), (Editors) Roman Dress and the Fabrics of Roman Culture, University of Toronto Press</w:t>
      </w:r>
    </w:p>
  </w:footnote>
  <w:footnote w:id="11">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Petronius, </w:t>
      </w:r>
      <w:r w:rsidDel="00000000" w:rsidR="00000000" w:rsidRPr="00000000">
        <w:rPr>
          <w:i w:val="1"/>
          <w:sz w:val="20"/>
          <w:szCs w:val="20"/>
          <w:rtl w:val="0"/>
        </w:rPr>
        <w:t xml:space="preserve">Satyricon</w:t>
      </w:r>
      <w:r w:rsidDel="00000000" w:rsidR="00000000" w:rsidRPr="00000000">
        <w:rPr>
          <w:sz w:val="20"/>
          <w:szCs w:val="20"/>
          <w:rtl w:val="0"/>
        </w:rPr>
        <w:t xml:space="preserve">. 71</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yperlink" Target="https://www.loebclassics.com/view/LCL015/1913/pb_LCL015.xiii.xml?result=1&amp;rskey=mptYh8" TargetMode="External"/><Relationship Id="rId10" Type="http://schemas.openxmlformats.org/officeDocument/2006/relationships/hyperlink" Target="http://dx.doi.org/10.1163/1574-9347_bnp_e916440" TargetMode="External"/><Relationship Id="rId12" Type="http://schemas.openxmlformats.org/officeDocument/2006/relationships/hyperlink" Target="http://numismatics.org/collection/1944.100.55153" TargetMode="External"/><Relationship Id="rId9" Type="http://schemas.openxmlformats.org/officeDocument/2006/relationships/hyperlink" Target="http://www.jstor.org/stable/41301560"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www.perseus.tufts.edu/hopper/text?doc=Perseus%3Atext%3A2007.01.0027%3Atext%3DSatyricon%3Asection%3D32" TargetMode="External"/><Relationship Id="rId8" Type="http://schemas.openxmlformats.org/officeDocument/2006/relationships/hyperlink" Target="http://www.perseus.tufts.edu/hopper/text?doc=Perseus%3Atext%3A1999.02.0078%3Abook%3D16%3Achapter%3D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