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webextensions/taskpanes.xml" ContentType="application/vnd.ms-office.webextensiontaskpanes+xml"/>
  <Override PartName="/word/webextensions/webextension.xml" ContentType="application/vnd.ms-office.webextension+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 Type="http://schemas.microsoft.com/office/2011/relationships/webextensiontaskpanes" Target="word/webextensions/taskpanes.xml" Id="R8bf23bc4bc404618"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68C7938" wp14:paraId="7149CE42" wp14:textId="765D399C">
      <w:pPr>
        <w:pStyle w:val="Title"/>
        <w:rPr>
          <w:rFonts w:ascii="Arial" w:hAnsi="Arial" w:eastAsia="Arial" w:cs="Arial"/>
          <w:noProof w:val="0"/>
          <w:lang w:val="en-US"/>
        </w:rPr>
      </w:pPr>
    </w:p>
    <w:p w:rsidR="568C7938" w:rsidP="568C7938" w:rsidRDefault="568C7938" w14:paraId="51E2CAC4" w14:textId="7338FF33">
      <w:pPr>
        <w:jc w:val="center"/>
      </w:pPr>
    </w:p>
    <w:p xmlns:wp14="http://schemas.microsoft.com/office/word/2010/wordml" w:rsidP="568C7938" wp14:paraId="508F9960" wp14:textId="00988C72">
      <w:pPr>
        <w:spacing w:before="212" w:beforeAutospacing="off" w:after="160" w:afterAutospacing="off" w:line="276" w:lineRule="auto"/>
        <w:jc w:val="center"/>
        <w:rPr>
          <w:rFonts w:ascii="Arial" w:hAnsi="Arial" w:eastAsia="Arial" w:cs="Arial"/>
        </w:rPr>
      </w:pPr>
      <w:r w:rsidR="6AA1D107">
        <w:drawing>
          <wp:inline xmlns:wp14="http://schemas.microsoft.com/office/word/2010/wordprocessingDrawing" wp14:editId="513339AE" wp14:anchorId="450EC1ED">
            <wp:extent cx="3000375" cy="1200150"/>
            <wp:effectExtent l="0" t="0" r="0" b="0"/>
            <wp:docPr id="1709761214" name="" descr="Picture, Picture" title=""/>
            <wp:cNvGraphicFramePr>
              <a:graphicFrameLocks noChangeAspect="1"/>
            </wp:cNvGraphicFramePr>
            <a:graphic>
              <a:graphicData uri="http://schemas.openxmlformats.org/drawingml/2006/picture">
                <pic:pic>
                  <pic:nvPicPr>
                    <pic:cNvPr id="0" name=""/>
                    <pic:cNvPicPr/>
                  </pic:nvPicPr>
                  <pic:blipFill>
                    <a:blip r:embed="R0c2ea45410ab457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000375" cy="1200150"/>
                    </a:xfrm>
                    <a:prstGeom prst="rect">
                      <a:avLst/>
                    </a:prstGeom>
                  </pic:spPr>
                </pic:pic>
              </a:graphicData>
            </a:graphic>
          </wp:inline>
        </w:drawing>
      </w:r>
      <w:r>
        <w:br/>
      </w:r>
    </w:p>
    <w:p xmlns:wp14="http://schemas.microsoft.com/office/word/2010/wordml" w:rsidP="568C7938" wp14:paraId="60968B4D" wp14:textId="59F45579">
      <w:pPr>
        <w:pStyle w:val="Normal"/>
        <w:spacing w:before="212" w:beforeAutospacing="off" w:after="160" w:afterAutospacing="off"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48"/>
          <w:szCs w:val="48"/>
          <w:u w:val="none"/>
          <w:lang w:val="en-US"/>
        </w:rPr>
      </w:pPr>
      <w:r w:rsidRPr="568C7938" w:rsidR="4FF7AE0C">
        <w:rPr>
          <w:rFonts w:ascii="Arial" w:hAnsi="Arial" w:eastAsia="Arial" w:cs="Arial"/>
          <w:b w:val="1"/>
          <w:bCs w:val="1"/>
          <w:i w:val="0"/>
          <w:iCs w:val="0"/>
          <w:caps w:val="0"/>
          <w:smallCaps w:val="0"/>
          <w:strike w:val="0"/>
          <w:dstrike w:val="0"/>
          <w:color w:val="000000" w:themeColor="text1" w:themeTint="FF" w:themeShade="FF"/>
          <w:sz w:val="48"/>
          <w:szCs w:val="48"/>
          <w:u w:val="none"/>
        </w:rPr>
        <w:t xml:space="preserve">Module Name: </w:t>
      </w:r>
      <w:r w:rsidRPr="568C7938" w:rsidR="4FF7AE0C">
        <w:rPr>
          <w:rFonts w:ascii="Arial" w:hAnsi="Arial" w:eastAsia="Arial" w:cs="Arial"/>
          <w:sz w:val="48"/>
          <w:szCs w:val="48"/>
        </w:rPr>
        <w:t>Professional Career Development</w:t>
      </w:r>
    </w:p>
    <w:p xmlns:wp14="http://schemas.microsoft.com/office/word/2010/wordml" w:rsidP="568C7938" wp14:paraId="40DA4F23" wp14:textId="52832185">
      <w:pPr>
        <w:spacing w:before="212" w:beforeAutospacing="off" w:after="160" w:afterAutospacing="off" w:line="360" w:lineRule="auto"/>
        <w:jc w:val="left"/>
        <w:rPr>
          <w:rFonts w:ascii="Arial" w:hAnsi="Arial" w:eastAsia="Arial" w:cs="Arial"/>
          <w:b w:val="0"/>
          <w:bCs w:val="0"/>
          <w:i w:val="0"/>
          <w:iCs w:val="0"/>
          <w:caps w:val="0"/>
          <w:smallCaps w:val="0"/>
          <w:noProof w:val="0"/>
          <w:color w:val="000000" w:themeColor="text1" w:themeTint="FF" w:themeShade="FF"/>
          <w:sz w:val="48"/>
          <w:szCs w:val="48"/>
          <w:lang w:val="en-US"/>
        </w:rPr>
      </w:pPr>
      <w:r w:rsidRPr="568C7938" w:rsidR="4FF7AE0C">
        <w:rPr>
          <w:rFonts w:ascii="Arial" w:hAnsi="Arial" w:eastAsia="Arial" w:cs="Arial"/>
          <w:b w:val="1"/>
          <w:bCs w:val="1"/>
          <w:i w:val="0"/>
          <w:iCs w:val="0"/>
          <w:caps w:val="0"/>
          <w:smallCaps w:val="0"/>
          <w:strike w:val="0"/>
          <w:dstrike w:val="0"/>
          <w:color w:val="000000" w:themeColor="text1" w:themeTint="FF" w:themeShade="FF"/>
          <w:sz w:val="48"/>
          <w:szCs w:val="48"/>
          <w:u w:val="none"/>
        </w:rPr>
        <w:t xml:space="preserve">Module Code:  </w:t>
      </w:r>
      <w:r w:rsidRPr="568C7938" w:rsidR="4FF7AE0C">
        <w:rPr>
          <w:rFonts w:ascii="Arial" w:hAnsi="Arial" w:eastAsia="Arial" w:cs="Arial"/>
          <w:b w:val="0"/>
          <w:bCs w:val="0"/>
          <w:i w:val="0"/>
          <w:iCs w:val="0"/>
          <w:caps w:val="0"/>
          <w:smallCaps w:val="0"/>
          <w:strike w:val="0"/>
          <w:dstrike w:val="0"/>
          <w:color w:val="000000" w:themeColor="text1" w:themeTint="FF" w:themeShade="FF"/>
          <w:sz w:val="48"/>
          <w:szCs w:val="48"/>
          <w:u w:val="none"/>
        </w:rPr>
        <w:t>BMSW4012</w:t>
      </w:r>
    </w:p>
    <w:p xmlns:wp14="http://schemas.microsoft.com/office/word/2010/wordml" w:rsidP="568C7938" wp14:paraId="06737D7E" wp14:textId="6BFFAFB3">
      <w:pPr>
        <w:spacing w:before="212" w:beforeAutospacing="off" w:after="160" w:afterAutospacing="off" w:line="360" w:lineRule="auto"/>
        <w:jc w:val="left"/>
        <w:rPr>
          <w:rFonts w:ascii="Arial" w:hAnsi="Arial" w:eastAsia="Arial" w:cs="Arial"/>
          <w:b w:val="0"/>
          <w:bCs w:val="0"/>
          <w:i w:val="0"/>
          <w:iCs w:val="0"/>
          <w:caps w:val="0"/>
          <w:smallCaps w:val="0"/>
          <w:noProof w:val="0"/>
          <w:color w:val="000000" w:themeColor="text1" w:themeTint="FF" w:themeShade="FF"/>
          <w:sz w:val="48"/>
          <w:szCs w:val="48"/>
          <w:lang w:val="en-US"/>
        </w:rPr>
      </w:pPr>
      <w:r w:rsidRPr="568C7938" w:rsidR="4FF7AE0C">
        <w:rPr>
          <w:rFonts w:ascii="Arial" w:hAnsi="Arial" w:eastAsia="Arial" w:cs="Arial"/>
          <w:b w:val="1"/>
          <w:bCs w:val="1"/>
          <w:i w:val="0"/>
          <w:iCs w:val="0"/>
          <w:caps w:val="0"/>
          <w:smallCaps w:val="0"/>
          <w:strike w:val="0"/>
          <w:dstrike w:val="0"/>
          <w:color w:val="000000" w:themeColor="text1" w:themeTint="FF" w:themeShade="FF"/>
          <w:sz w:val="48"/>
          <w:szCs w:val="48"/>
          <w:u w:val="none"/>
        </w:rPr>
        <w:t xml:space="preserve">Assignment Name: </w:t>
      </w:r>
      <w:r w:rsidRPr="568C7938" w:rsidR="3E693C2E">
        <w:rPr>
          <w:rFonts w:ascii="Arial" w:hAnsi="Arial" w:eastAsia="Arial" w:cs="Arial"/>
          <w:sz w:val="48"/>
          <w:szCs w:val="48"/>
        </w:rPr>
        <w:t>Individual Reflection Certificate of Higher Education</w:t>
      </w:r>
      <w:r w:rsidRPr="568C7938" w:rsidR="3E693C2E">
        <w:rPr>
          <w:rFonts w:ascii="Arial" w:hAnsi="Arial" w:eastAsia="Arial" w:cs="Arial"/>
          <w:b w:val="1"/>
          <w:bCs w:val="1"/>
          <w:i w:val="0"/>
          <w:iCs w:val="0"/>
          <w:caps w:val="0"/>
          <w:smallCaps w:val="0"/>
          <w:strike w:val="0"/>
          <w:dstrike w:val="0"/>
          <w:color w:val="000000" w:themeColor="text1" w:themeTint="FF" w:themeShade="FF"/>
          <w:sz w:val="48"/>
          <w:szCs w:val="48"/>
          <w:u w:val="none"/>
        </w:rPr>
        <w:t xml:space="preserve"> </w:t>
      </w:r>
    </w:p>
    <w:p xmlns:wp14="http://schemas.microsoft.com/office/word/2010/wordml" w:rsidP="568C7938" wp14:paraId="45D58C93" wp14:textId="34FE1499">
      <w:pPr>
        <w:spacing w:before="212" w:beforeAutospacing="off" w:after="160" w:afterAutospacing="off" w:line="360" w:lineRule="auto"/>
        <w:jc w:val="left"/>
        <w:rPr>
          <w:rFonts w:ascii="Arial" w:hAnsi="Arial" w:eastAsia="Arial" w:cs="Arial"/>
          <w:b w:val="0"/>
          <w:bCs w:val="0"/>
          <w:i w:val="0"/>
          <w:iCs w:val="0"/>
          <w:caps w:val="0"/>
          <w:smallCaps w:val="0"/>
          <w:noProof w:val="0"/>
          <w:color w:val="000000" w:themeColor="text1" w:themeTint="FF" w:themeShade="FF"/>
          <w:sz w:val="48"/>
          <w:szCs w:val="48"/>
          <w:lang w:val="en-US"/>
        </w:rPr>
      </w:pPr>
      <w:r w:rsidRPr="568C7938" w:rsidR="4FF7AE0C">
        <w:rPr>
          <w:rFonts w:ascii="Arial" w:hAnsi="Arial" w:eastAsia="Arial" w:cs="Arial"/>
          <w:b w:val="1"/>
          <w:bCs w:val="1"/>
          <w:i w:val="0"/>
          <w:iCs w:val="0"/>
          <w:caps w:val="0"/>
          <w:smallCaps w:val="0"/>
          <w:strike w:val="0"/>
          <w:dstrike w:val="0"/>
          <w:color w:val="000000" w:themeColor="text1" w:themeTint="FF" w:themeShade="FF"/>
          <w:sz w:val="48"/>
          <w:szCs w:val="48"/>
          <w:u w:val="none"/>
        </w:rPr>
        <w:t xml:space="preserve">Student Name: </w:t>
      </w:r>
      <w:r w:rsidRPr="568C7938" w:rsidR="4FF7AE0C">
        <w:rPr>
          <w:rFonts w:ascii="Arial" w:hAnsi="Arial" w:eastAsia="Arial" w:cs="Arial"/>
          <w:b w:val="0"/>
          <w:bCs w:val="0"/>
          <w:i w:val="0"/>
          <w:iCs w:val="0"/>
          <w:caps w:val="0"/>
          <w:smallCaps w:val="0"/>
          <w:strike w:val="0"/>
          <w:dstrike w:val="0"/>
          <w:color w:val="000000" w:themeColor="text1" w:themeTint="FF" w:themeShade="FF"/>
          <w:sz w:val="48"/>
          <w:szCs w:val="48"/>
          <w:u w:val="none"/>
        </w:rPr>
        <w:t>Xiaoli Shao</w:t>
      </w:r>
    </w:p>
    <w:p xmlns:wp14="http://schemas.microsoft.com/office/word/2010/wordml" w:rsidP="568C7938" wp14:paraId="03C259F5" wp14:textId="20CC391B">
      <w:pPr>
        <w:spacing w:before="3" w:beforeAutospacing="off" w:after="160" w:afterAutospacing="off" w:line="360" w:lineRule="auto"/>
        <w:jc w:val="left"/>
        <w:rPr>
          <w:rFonts w:ascii="Arial" w:hAnsi="Arial" w:eastAsia="Arial" w:cs="Arial"/>
          <w:b w:val="0"/>
          <w:bCs w:val="0"/>
          <w:i w:val="0"/>
          <w:iCs w:val="0"/>
          <w:caps w:val="0"/>
          <w:smallCaps w:val="0"/>
          <w:noProof w:val="0"/>
          <w:color w:val="000000" w:themeColor="text1" w:themeTint="FF" w:themeShade="FF"/>
          <w:sz w:val="48"/>
          <w:szCs w:val="48"/>
          <w:lang w:val="en-US"/>
        </w:rPr>
      </w:pPr>
      <w:r w:rsidRPr="568C7938" w:rsidR="4FF7AE0C">
        <w:rPr>
          <w:rFonts w:ascii="Arial" w:hAnsi="Arial" w:eastAsia="Arial" w:cs="Arial"/>
          <w:b w:val="1"/>
          <w:bCs w:val="1"/>
          <w:i w:val="0"/>
          <w:iCs w:val="0"/>
          <w:caps w:val="0"/>
          <w:smallCaps w:val="0"/>
          <w:strike w:val="0"/>
          <w:dstrike w:val="0"/>
          <w:color w:val="000000" w:themeColor="text1" w:themeTint="FF" w:themeShade="FF"/>
          <w:sz w:val="48"/>
          <w:szCs w:val="48"/>
          <w:u w:val="none"/>
        </w:rPr>
        <w:t>Student Number:</w:t>
      </w:r>
      <w:r w:rsidRPr="568C7938" w:rsidR="4FF7AE0C">
        <w:rPr>
          <w:rFonts w:ascii="Arial" w:hAnsi="Arial" w:eastAsia="Arial" w:cs="Arial"/>
          <w:b w:val="0"/>
          <w:bCs w:val="0"/>
          <w:i w:val="0"/>
          <w:iCs w:val="0"/>
          <w:caps w:val="0"/>
          <w:smallCaps w:val="0"/>
          <w:strike w:val="0"/>
          <w:dstrike w:val="0"/>
          <w:color w:val="000000" w:themeColor="text1" w:themeTint="FF" w:themeShade="FF"/>
          <w:sz w:val="48"/>
          <w:szCs w:val="48"/>
          <w:u w:val="none"/>
        </w:rPr>
        <w:t xml:space="preserve"> 2440261</w:t>
      </w:r>
    </w:p>
    <w:p w:rsidR="4FF7AE0C" w:rsidP="568C7938" w:rsidRDefault="4FF7AE0C" w14:paraId="5AF8EEE7" w14:textId="76553E88">
      <w:pPr>
        <w:spacing w:before="0" w:beforeAutospacing="off" w:after="160" w:afterAutospacing="off" w:line="360" w:lineRule="auto"/>
        <w:jc w:val="left"/>
        <w:rPr>
          <w:rFonts w:ascii="Arial" w:hAnsi="Arial" w:eastAsia="Arial" w:cs="Arial"/>
          <w:sz w:val="48"/>
          <w:szCs w:val="48"/>
        </w:rPr>
      </w:pPr>
      <w:r w:rsidRPr="568C7938" w:rsidR="4FF7AE0C">
        <w:rPr>
          <w:rFonts w:ascii="Arial" w:hAnsi="Arial" w:eastAsia="Arial" w:cs="Arial"/>
          <w:b w:val="1"/>
          <w:bCs w:val="1"/>
          <w:i w:val="0"/>
          <w:iCs w:val="0"/>
          <w:caps w:val="0"/>
          <w:smallCaps w:val="0"/>
          <w:strike w:val="0"/>
          <w:dstrike w:val="0"/>
          <w:color w:val="000000" w:themeColor="text1" w:themeTint="FF" w:themeShade="FF"/>
          <w:sz w:val="48"/>
          <w:szCs w:val="48"/>
          <w:u w:val="none"/>
        </w:rPr>
        <w:t xml:space="preserve">Lecturer: </w:t>
      </w:r>
      <w:r w:rsidRPr="568C7938" w:rsidR="091A3AB3">
        <w:rPr>
          <w:rFonts w:ascii="Arial" w:hAnsi="Arial" w:eastAsia="Arial" w:cs="Arial"/>
          <w:sz w:val="48"/>
          <w:szCs w:val="48"/>
        </w:rPr>
        <w:t>Muhammad Cassamo</w:t>
      </w:r>
      <w:r>
        <w:br/>
      </w:r>
    </w:p>
    <w:p w:rsidR="50C6C8B5" w:rsidP="568C7938" w:rsidRDefault="50C6C8B5" w14:paraId="2DE2B27C" w14:textId="68F0620B">
      <w:pPr>
        <w:spacing w:before="0" w:beforeAutospacing="off" w:after="160" w:afterAutospacing="off" w:line="360" w:lineRule="auto"/>
        <w:jc w:val="left"/>
        <w:rPr>
          <w:rFonts w:ascii="Arial" w:hAnsi="Arial" w:eastAsia="Arial" w:cs="Arial"/>
        </w:rPr>
      </w:pPr>
      <w:r w:rsidRPr="568C7938" w:rsidR="50C6C8B5">
        <w:rPr>
          <w:rFonts w:ascii="Arial" w:hAnsi="Arial" w:eastAsia="Arial" w:cs="Arial"/>
        </w:rPr>
        <w:t xml:space="preserve">What is career development? As a child, when my parents asked, 'What do you want to be when you grow up?' I </w:t>
      </w:r>
      <w:r w:rsidRPr="568C7938" w:rsidR="50C6C8B5">
        <w:rPr>
          <w:rFonts w:ascii="Arial" w:hAnsi="Arial" w:eastAsia="Arial" w:cs="Arial"/>
        </w:rPr>
        <w:t>immediately</w:t>
      </w:r>
      <w:r w:rsidRPr="568C7938" w:rsidR="50C6C8B5">
        <w:rPr>
          <w:rFonts w:ascii="Arial" w:hAnsi="Arial" w:eastAsia="Arial" w:cs="Arial"/>
        </w:rPr>
        <w:t xml:space="preserve"> answered, 'A singer!' - simply because singing was my greatest passion. Later in primary school, when my Chinese teacher posed the same question, my aspiration changed to becoming a teacher, inspired by my admiration for her. Throughout my educational journey, this question has resurfaced repeatedly, whether asked by others or myself. With each passing phase, my career vision has evolved, reflecting my changing experiences and influences</w:t>
      </w:r>
      <w:r w:rsidRPr="568C7938" w:rsidR="50C6C8B5">
        <w:rPr>
          <w:rFonts w:ascii="Arial" w:hAnsi="Arial" w:eastAsia="Arial" w:cs="Arial"/>
        </w:rPr>
        <w:t xml:space="preserve">.  </w:t>
      </w:r>
      <w:r w:rsidRPr="568C7938" w:rsidR="50C6C8B5">
        <w:rPr>
          <w:rFonts w:ascii="Arial" w:hAnsi="Arial" w:eastAsia="Arial" w:cs="Arial"/>
        </w:rPr>
        <w:t xml:space="preserve"> </w:t>
      </w:r>
    </w:p>
    <w:p w:rsidR="50C6C8B5" w:rsidP="568C7938" w:rsidRDefault="50C6C8B5" w14:paraId="43A1D297" w14:textId="6F650F7E">
      <w:pPr>
        <w:pStyle w:val="Normal"/>
        <w:spacing w:line="360" w:lineRule="auto"/>
      </w:pPr>
      <w:r w:rsidRPr="568C7938" w:rsidR="50C6C8B5">
        <w:rPr>
          <w:rFonts w:ascii="Arial" w:hAnsi="Arial" w:eastAsia="Arial" w:cs="Arial"/>
        </w:rPr>
        <w:t xml:space="preserve">Therefore, career development is a life-long process that manages and progresses my career life.  Gaining new skills, and knowledge, and adapting to changing life circumstances are factors that can influence my ability to make strategic choices for achieving a long-term professional career (Career Development Institute, 2025).   </w:t>
      </w:r>
    </w:p>
    <w:p w:rsidR="50C6C8B5" w:rsidP="568C7938" w:rsidRDefault="50C6C8B5" w14:paraId="104809A9" w14:textId="2C05182C">
      <w:pPr>
        <w:pStyle w:val="Normal"/>
        <w:spacing w:line="360" w:lineRule="auto"/>
      </w:pPr>
      <w:r w:rsidRPr="568C7938" w:rsidR="50C6C8B5">
        <w:rPr>
          <w:rFonts w:ascii="Arial" w:hAnsi="Arial" w:eastAsia="Arial" w:cs="Arial"/>
        </w:rPr>
        <w:t xml:space="preserve">Professional career development requires personal growth through different strategies, techniques and tools. In the professional career development module, I have studied some tools such as Rolfe et al.’s framework, the Jahari Windows, personal SWOT analysis, Honey and Mumford’s learning style, RIASEC personality types, the SMART goals. I realised that the benefits of utilizing these tools are systematically to help me to understand my strengths, to set my targets and plan my career paths even to guide me to achieve career objectives.   </w:t>
      </w:r>
    </w:p>
    <w:p w:rsidR="50C6C8B5" w:rsidP="568C7938" w:rsidRDefault="50C6C8B5" w14:paraId="6FDA87E2" w14:textId="01149F79">
      <w:pPr>
        <w:pStyle w:val="Normal"/>
        <w:spacing w:line="360" w:lineRule="auto"/>
      </w:pPr>
      <w:r w:rsidRPr="568C7938" w:rsidR="50C6C8B5">
        <w:rPr>
          <w:rFonts w:ascii="Arial" w:hAnsi="Arial" w:eastAsia="Arial" w:cs="Arial"/>
        </w:rPr>
        <w:t xml:space="preserve">At the same time, individual reflection is an essential skill for everyone. It happens in everyday life. It can drive me to get the depth and honest image inside of me, such as my strengths and potential, as well as weaknesses, fears and doubts. I can take charge of my mindset, emotions, and actions to reach my approach (Cottrell, 2021). Through this reflective essay, I will use a very commonly used tool which is Rolfe et al. Framework. It is based on three questions step by step, “what?", "so what?", and “Now what?” (Rolfe et al.,2001). This is also mentioned as the “question-based reflection" method in the book “Skills for Success, “(Cottrell, 2021).  </w:t>
      </w:r>
    </w:p>
    <w:p w:rsidR="50C6C8B5" w:rsidP="568C7938" w:rsidRDefault="50C6C8B5" w14:paraId="43E6A1EA" w14:textId="6ACC7A31">
      <w:pPr>
        <w:pStyle w:val="Normal"/>
        <w:spacing w:line="360" w:lineRule="auto"/>
      </w:pPr>
      <w:r w:rsidRPr="568C7938" w:rsidR="50C6C8B5">
        <w:rPr>
          <w:rFonts w:ascii="Arial" w:hAnsi="Arial" w:eastAsia="Arial" w:cs="Arial"/>
        </w:rPr>
        <w:t xml:space="preserve">In this module, I have learned about mindset, there are Two types: the fixed mindset and in contrast, the growth mindset. The growth mindset is the key to success, which can be developed by challenge, practice and reflection (Dreck, 2006). When comparing the characteristics of both types of mindsets, I realized I don’t exclusively have either a fixed or growth mindset. For instance, while I’m confident in my ability to learn a new language when facing challenges, I’m less certain about mastering something like sailing based on my current skills. More importantly, I have a self-awareness about my strengths. Additionally, the Johari Window is one of the psychological tools to define personal strength. There are four windows to explore: open area, blind area, hidden area, and unknown area. The Open Area represents traits we recognize in ourselves and that others also see in us. In contrast, the Blind Area contains aspects which others perceive about us, but we remain unaware of them. The Hidden Area includes qualities we intentionally keep private, hiding them from others. Finally, the Unknown Area includes undiscovered potential—traits that neither we nor others have yet recognized. Self-evaluation is essential to me—I strive to assess myself honestly, gaining deeper self-awareness to sustain my strengths while acknowledging my weaknesses, for example in blind and hidden areas. By doing so, I can minimize their influence on my career and daily life, ensuring continuous growth and improvement. It also serves as a powerful tool for understanding others' perceptions of me and building positive relationships with them (Lowes, 2020).  </w:t>
      </w:r>
    </w:p>
    <w:p w:rsidR="50C6C8B5" w:rsidP="568C7938" w:rsidRDefault="50C6C8B5" w14:paraId="35A90914" w14:textId="69ACAEA7">
      <w:pPr>
        <w:pStyle w:val="Normal"/>
        <w:spacing w:line="360" w:lineRule="auto"/>
      </w:pPr>
      <w:r w:rsidRPr="568C7938" w:rsidR="50C6C8B5">
        <w:rPr>
          <w:rFonts w:ascii="Arial" w:hAnsi="Arial" w:eastAsia="Arial" w:cs="Arial"/>
        </w:rPr>
        <w:t xml:space="preserve">Similarly, the personal Strengths-Weaknesses-Opportunities-Threats analysis was introduced in the module. It is an instrumental tool known as SWOT analysis (Triscari, 2023). I've tried to evaluate myself as objectively as possible, incorporating perspectives from those around me. This tool helps me identify both my strengths and weaknesses, along with external factors that significantly influence me and my career. With these perspectives, I can work on improving my limitations and developing strategies to adapt to challenges. For instance, when I began my first hospitality job as a student, I was initially limited to room service duties for the first few months. Later, back pain became a challenge, and the operational experience I gained - combined with my strengths of being warm-hearted, organized, and multilingual - enabled my transition to a receptionist role. In the same way, I strongly believe it is also beneficial for opening a small business. It can help me to consider diverse perspectives, face risks, design strategies and plan to achieve my objectives (Fojtíková, 2014).  </w:t>
      </w:r>
    </w:p>
    <w:p w:rsidR="50C6C8B5" w:rsidP="568C7938" w:rsidRDefault="50C6C8B5" w14:paraId="0E1C80C3" w14:textId="0B2A83EF">
      <w:pPr>
        <w:pStyle w:val="Normal"/>
        <w:spacing w:line="360" w:lineRule="auto"/>
      </w:pPr>
      <w:r w:rsidRPr="568C7938" w:rsidR="50C6C8B5">
        <w:rPr>
          <w:rFonts w:ascii="Arial" w:hAnsi="Arial" w:eastAsia="Arial" w:cs="Arial"/>
        </w:rPr>
        <w:t xml:space="preserve">Furthermore, I conducted the Honey and Mumford learning styles questionnaire survey in the class. The Honey &amp; Mumford learning styles is developed by Honey and Mumford (1986), in order to measure different personal learning styles that suit me best. There are four types of learning styles: Activists, reflectors, theorists and pragmatists. Activists are very curious about new challenges but get bored if the excitement disappears. Reflectors are thoughtful people, they are good listeners and enjoy observing people, collecting all information from themselves and others, make sure they have a good overview before they act. Theorists tend to treat problems in a step-by-step logical way, am best with logical theories. They are good at analysis and synthesis. At last, pragmatists are actively seeking new concepts and opportunities, often impatient with overanalyse and open-ended discussion. They are down-to-earth problem-solvers who treat challenges as opportunities (Swailes, 1999). According to the test result, I was identified as a pragmatist. I partly agree with the results. After moving to Cardiff, I couldn’t continue my Subway assistant manager role. The Employability Skills program caught my interest, even though writing—a weak point for me—was a key requirement. I saw it as a chance to improve my English, and it worked. However, I recognized that my learning style adapts to different situations: I can also be a reflector, theorist and activist depending on which situation I am in. Indeed, I realized I need all these learning styles for my professional career and personal development.   </w:t>
      </w:r>
    </w:p>
    <w:p w:rsidR="50C6C8B5" w:rsidP="568C7938" w:rsidRDefault="50C6C8B5" w14:paraId="3C5F40BC" w14:textId="08A14CEA">
      <w:pPr>
        <w:pStyle w:val="Normal"/>
        <w:spacing w:line="360" w:lineRule="auto"/>
      </w:pPr>
      <w:r w:rsidRPr="568C7938" w:rsidR="50C6C8B5">
        <w:rPr>
          <w:rFonts w:ascii="Arial" w:hAnsi="Arial" w:eastAsia="Arial" w:cs="Arial"/>
        </w:rPr>
        <w:t xml:space="preserve">Additionally, to help find our ideal career, we did a Holland code career quiz based on Holland’s career Theory which concluded 6 types of career interest: Realistic, Investigative, Artistic, Social, Enterprising, and Conventional (RIASEC). "It is the most well-known, widely researched, and frequently applied theory in professional career development ( Mountassir,2024). It aims to explore and evaluate our career interest tendencies, identify our deepest passions, and guide our career orientation (Sembiring, 2024). The quiz results showed me that the primary interest area is building. Builder is in the category of Realistic, likes practical operations; and problem-solver who prefers to deal with objects but not abstract concepts. My core values are practicality, productivity, independence, and physical skills. The key personality traits are realistic, sensible, mechanical, traditional and down-to-earth. For example, these traits were clearly demonstrated in my previous role as a Sandwich Artist at Subway. Following initial training, I quickly mastered operational techniques and procedures. My independence and problem-solving ability were noticed by the manager, so I was promoted to supervisor in just 3 months. What I found interesting is builder tends to be pragmatist. This reaffirms the earlier-drawn result in Honey and Mumford's learning styles. Besides, my second and third interest areas are thinking and helping, the results helped me to define my career interest, reveal my traits, and give me neutral suggestions. After carefully considering these results, I’m planning a career direction that truly fits who I am. Now, at this stage of my life, I see myself thriving in social and helping professions—where I can connect with others and create a positive impact.   </w:t>
      </w:r>
    </w:p>
    <w:p w:rsidR="50C6C8B5" w:rsidP="568C7938" w:rsidRDefault="50C6C8B5" w14:paraId="0DB3688B" w14:textId="526481AF">
      <w:pPr>
        <w:pStyle w:val="Normal"/>
        <w:spacing w:line="360" w:lineRule="auto"/>
      </w:pPr>
      <w:r w:rsidRPr="568C7938" w:rsidR="50C6C8B5">
        <w:rPr>
          <w:rFonts w:ascii="Arial" w:hAnsi="Arial" w:eastAsia="Arial" w:cs="Arial"/>
        </w:rPr>
        <w:t xml:space="preserve">Furthermore, the SMART goals (Specific, Measurable, Achievable, Relevant, and Time-bound) are widely recognized as the gold standard in effective goal-setting methodology. Specificity stands at the centre of the framework. SMART goals require well defined, measurable and time-bound objectives. Evidence shows such objectives more likely be achieved than non-specific objectives (Pietsch, S. et al. 2024). Since enrolling in the employability skills course and learning about SMART goals, I have set a clear objective to improve my English skills. Specifically, I will read for 30 minutes daily using my 14-year-old daughter’s books, ideally before bedtime. This practice will help expand my vocabulary and enhance my writing skills through exposure to proper language structures. I plan to continue this routine until the end of the spring term. This goal plan has boosted my confidence in tackling my coursework. I’ve also recognized it can be as a long-term objective, as improving my English will benefit my future career prospects. </w:t>
      </w:r>
    </w:p>
    <w:p w:rsidR="50C6C8B5" w:rsidP="568C7938" w:rsidRDefault="50C6C8B5" w14:paraId="4BF2CD88" w14:textId="3B203C43">
      <w:pPr>
        <w:pStyle w:val="Normal"/>
        <w:spacing w:line="360" w:lineRule="auto"/>
        <w:rPr>
          <w:rFonts w:ascii="Arial" w:hAnsi="Arial" w:eastAsia="Arial" w:cs="Arial"/>
        </w:rPr>
      </w:pPr>
      <w:r w:rsidRPr="568C7938" w:rsidR="50C6C8B5">
        <w:rPr>
          <w:rFonts w:ascii="Arial" w:hAnsi="Arial" w:eastAsia="Arial" w:cs="Arial"/>
        </w:rPr>
        <w:t xml:space="preserve">In summary, both self-assessment tools and goal-setting methodologies play significant roles in professional career development and personal growths. To work my path towards success, I must regular check self-assessment and correct unnecessary setbacks, to achieve </w:t>
      </w:r>
      <w:r w:rsidRPr="568C7938" w:rsidR="50C6C8B5">
        <w:rPr>
          <w:rFonts w:ascii="Arial" w:hAnsi="Arial" w:eastAsia="Arial" w:cs="Arial"/>
        </w:rPr>
        <w:t>objectives</w:t>
      </w:r>
      <w:r w:rsidRPr="568C7938" w:rsidR="50C6C8B5">
        <w:rPr>
          <w:rFonts w:ascii="Arial" w:hAnsi="Arial" w:eastAsia="Arial" w:cs="Arial"/>
        </w:rPr>
        <w:t xml:space="preserve"> more efficiently. </w:t>
      </w:r>
    </w:p>
    <w:p w:rsidR="6CFAB931" w:rsidP="568C7938" w:rsidRDefault="6CFAB931" w14:paraId="0580DC1A" w14:textId="48AB8800">
      <w:pPr>
        <w:pStyle w:val="Normal"/>
        <w:spacing w:line="360" w:lineRule="auto"/>
        <w:rPr>
          <w:rFonts w:ascii="Arial" w:hAnsi="Arial" w:eastAsia="Arial" w:cs="Arial"/>
        </w:rPr>
      </w:pPr>
      <w:r w:rsidRPr="568C7938" w:rsidR="6CFAB931">
        <w:rPr>
          <w:rFonts w:ascii="Arial" w:hAnsi="Arial" w:eastAsia="Arial" w:cs="Arial"/>
        </w:rPr>
        <w:t>Refer</w:t>
      </w:r>
      <w:r w:rsidRPr="568C7938" w:rsidR="6CFAB931">
        <w:rPr>
          <w:rFonts w:ascii="Arial" w:hAnsi="Arial" w:eastAsia="Arial" w:cs="Arial"/>
        </w:rPr>
        <w:t>ences</w:t>
      </w:r>
    </w:p>
    <w:p w:rsidR="5B557095" w:rsidP="568C7938" w:rsidRDefault="5B557095" w14:paraId="47DF70A6" w14:textId="7594065C">
      <w:pPr>
        <w:spacing w:before="0" w:beforeAutospacing="off" w:after="0" w:afterAutospacing="off" w:line="360" w:lineRule="auto"/>
        <w:rPr>
          <w:rFonts w:ascii="Arial" w:hAnsi="Arial" w:eastAsia="Arial" w:cs="Arial"/>
          <w:noProof w:val="0"/>
          <w:sz w:val="24"/>
          <w:szCs w:val="24"/>
          <w:lang w:val="en-GB"/>
        </w:rPr>
      </w:pPr>
      <w:r w:rsidRPr="568C7938" w:rsidR="5B557095">
        <w:rPr>
          <w:rFonts w:ascii="Arial" w:hAnsi="Arial" w:eastAsia="Arial" w:cs="Arial"/>
          <w:b w:val="0"/>
          <w:bCs w:val="0"/>
          <w:i w:val="0"/>
          <w:iCs w:val="0"/>
          <w:caps w:val="0"/>
          <w:smallCaps w:val="0"/>
          <w:noProof w:val="0"/>
          <w:color w:val="000000" w:themeColor="text1" w:themeTint="FF" w:themeShade="FF"/>
          <w:sz w:val="24"/>
          <w:szCs w:val="24"/>
          <w:lang w:val="en-GB"/>
        </w:rPr>
        <w:t xml:space="preserve">Career development institute (2025) </w:t>
      </w:r>
      <w:r w:rsidRPr="568C7938" w:rsidR="5B557095">
        <w:rPr>
          <w:rFonts w:ascii="Arial" w:hAnsi="Arial" w:eastAsia="Arial" w:cs="Arial"/>
          <w:b w:val="0"/>
          <w:bCs w:val="0"/>
          <w:i w:val="1"/>
          <w:iCs w:val="1"/>
          <w:caps w:val="0"/>
          <w:smallCaps w:val="0"/>
          <w:noProof w:val="0"/>
          <w:color w:val="000000" w:themeColor="text1" w:themeTint="FF" w:themeShade="FF"/>
          <w:sz w:val="24"/>
          <w:szCs w:val="24"/>
          <w:lang w:val="en-GB"/>
        </w:rPr>
        <w:t xml:space="preserve">What is career development? </w:t>
      </w:r>
      <w:r w:rsidRPr="568C7938" w:rsidR="5B557095">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f04eb168cffa41c6">
        <w:r w:rsidRPr="568C7938" w:rsidR="5B557095">
          <w:rPr>
            <w:rStyle w:val="Hyperlink"/>
            <w:rFonts w:ascii="Arial" w:hAnsi="Arial" w:eastAsia="Arial" w:cs="Arial"/>
            <w:b w:val="0"/>
            <w:bCs w:val="0"/>
            <w:i w:val="0"/>
            <w:iCs w:val="0"/>
            <w:caps w:val="0"/>
            <w:smallCaps w:val="0"/>
            <w:strike w:val="0"/>
            <w:dstrike w:val="0"/>
            <w:noProof w:val="0"/>
            <w:color w:val="0066CC"/>
            <w:sz w:val="24"/>
            <w:szCs w:val="24"/>
            <w:u w:val="none"/>
            <w:lang w:val="en-GB"/>
          </w:rPr>
          <w:t>https://www.thecdi.net/about-us/career-development-and-the-cdi/what-is-career-development</w:t>
        </w:r>
      </w:hyperlink>
      <w:r w:rsidRPr="568C7938" w:rsidR="5B55709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13 June 2025).</w:t>
      </w:r>
      <w:r w:rsidRPr="568C7938" w:rsidR="5B557095">
        <w:rPr>
          <w:rFonts w:ascii="Arial" w:hAnsi="Arial" w:eastAsia="Arial" w:cs="Arial"/>
          <w:noProof w:val="0"/>
          <w:sz w:val="24"/>
          <w:szCs w:val="24"/>
          <w:lang w:val="en-GB"/>
        </w:rPr>
        <w:t xml:space="preserve"> </w:t>
      </w:r>
    </w:p>
    <w:p w:rsidR="1CC5BACB" w:rsidP="568C7938" w:rsidRDefault="1CC5BACB" w14:paraId="331B2574" w14:textId="6AAB7DDE">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68C7938" w:rsidR="1CC5BACB">
        <w:rPr>
          <w:rFonts w:ascii="Arial" w:hAnsi="Arial" w:eastAsia="Arial" w:cs="Arial"/>
          <w:b w:val="0"/>
          <w:bCs w:val="0"/>
          <w:i w:val="0"/>
          <w:iCs w:val="0"/>
          <w:caps w:val="0"/>
          <w:smallCaps w:val="0"/>
          <w:noProof w:val="0"/>
          <w:color w:val="000000" w:themeColor="text1" w:themeTint="FF" w:themeShade="FF"/>
          <w:sz w:val="24"/>
          <w:szCs w:val="24"/>
          <w:lang w:val="en-GB"/>
        </w:rPr>
        <w:t xml:space="preserve">Cottrell, S. (2023) </w:t>
      </w:r>
      <w:r w:rsidRPr="568C7938" w:rsidR="1CC5BACB">
        <w:rPr>
          <w:rFonts w:ascii="Arial" w:hAnsi="Arial" w:eastAsia="Arial" w:cs="Arial"/>
          <w:b w:val="0"/>
          <w:bCs w:val="0"/>
          <w:i w:val="1"/>
          <w:iCs w:val="1"/>
          <w:caps w:val="0"/>
          <w:smallCaps w:val="0"/>
          <w:noProof w:val="0"/>
          <w:color w:val="000000" w:themeColor="text1" w:themeTint="FF" w:themeShade="FF"/>
          <w:sz w:val="24"/>
          <w:szCs w:val="24"/>
          <w:lang w:val="en-GB"/>
        </w:rPr>
        <w:t xml:space="preserve">Critical thinking </w:t>
      </w:r>
      <w:r w:rsidRPr="568C7938" w:rsidR="1CC5BACB">
        <w:rPr>
          <w:rFonts w:ascii="Arial" w:hAnsi="Arial" w:eastAsia="Arial" w:cs="Arial"/>
          <w:b w:val="0"/>
          <w:bCs w:val="0"/>
          <w:i w:val="1"/>
          <w:iCs w:val="1"/>
          <w:caps w:val="0"/>
          <w:smallCaps w:val="0"/>
          <w:noProof w:val="0"/>
          <w:color w:val="000000" w:themeColor="text1" w:themeTint="FF" w:themeShade="FF"/>
          <w:sz w:val="24"/>
          <w:szCs w:val="24"/>
          <w:lang w:val="en-GB"/>
        </w:rPr>
        <w:t>skills:</w:t>
      </w:r>
      <w:r w:rsidRPr="568C7938" w:rsidR="1CC5BACB">
        <w:rPr>
          <w:rFonts w:ascii="Arial" w:hAnsi="Arial" w:eastAsia="Arial" w:cs="Arial"/>
          <w:b w:val="0"/>
          <w:bCs w:val="0"/>
          <w:i w:val="1"/>
          <w:iCs w:val="1"/>
          <w:caps w:val="0"/>
          <w:smallCaps w:val="0"/>
          <w:noProof w:val="0"/>
          <w:color w:val="000000" w:themeColor="text1" w:themeTint="FF" w:themeShade="FF"/>
          <w:sz w:val="24"/>
          <w:szCs w:val="24"/>
          <w:lang w:val="en-GB"/>
        </w:rPr>
        <w:t xml:space="preserve"> effective analysis, </w:t>
      </w:r>
      <w:r w:rsidRPr="568C7938" w:rsidR="1CC5BACB">
        <w:rPr>
          <w:rFonts w:ascii="Arial" w:hAnsi="Arial" w:eastAsia="Arial" w:cs="Arial"/>
          <w:b w:val="0"/>
          <w:bCs w:val="0"/>
          <w:i w:val="1"/>
          <w:iCs w:val="1"/>
          <w:caps w:val="0"/>
          <w:smallCaps w:val="0"/>
          <w:noProof w:val="0"/>
          <w:color w:val="000000" w:themeColor="text1" w:themeTint="FF" w:themeShade="FF"/>
          <w:sz w:val="24"/>
          <w:szCs w:val="24"/>
          <w:lang w:val="en-GB"/>
        </w:rPr>
        <w:t>argument</w:t>
      </w:r>
      <w:r w:rsidRPr="568C7938" w:rsidR="1CC5BACB">
        <w:rPr>
          <w:rFonts w:ascii="Arial" w:hAnsi="Arial" w:eastAsia="Arial" w:cs="Arial"/>
          <w:b w:val="0"/>
          <w:bCs w:val="0"/>
          <w:i w:val="1"/>
          <w:iCs w:val="1"/>
          <w:caps w:val="0"/>
          <w:smallCaps w:val="0"/>
          <w:noProof w:val="0"/>
          <w:color w:val="000000" w:themeColor="text1" w:themeTint="FF" w:themeShade="FF"/>
          <w:sz w:val="24"/>
          <w:szCs w:val="24"/>
          <w:lang w:val="en-GB"/>
        </w:rPr>
        <w:t xml:space="preserve"> and reflection. </w:t>
      </w:r>
      <w:r w:rsidRPr="568C7938" w:rsidR="1CC5BACB">
        <w:rPr>
          <w:rFonts w:ascii="Arial" w:hAnsi="Arial" w:eastAsia="Arial" w:cs="Arial"/>
          <w:b w:val="0"/>
          <w:bCs w:val="0"/>
          <w:i w:val="0"/>
          <w:iCs w:val="0"/>
          <w:caps w:val="0"/>
          <w:smallCaps w:val="0"/>
          <w:noProof w:val="0"/>
          <w:color w:val="000000" w:themeColor="text1" w:themeTint="FF" w:themeShade="FF"/>
          <w:sz w:val="24"/>
          <w:szCs w:val="24"/>
          <w:lang w:val="en-GB"/>
        </w:rPr>
        <w:t xml:space="preserve">4th </w:t>
      </w:r>
      <w:r w:rsidRPr="568C7938" w:rsidR="1CC5BACB">
        <w:rPr>
          <w:rFonts w:ascii="Arial" w:hAnsi="Arial" w:eastAsia="Arial" w:cs="Arial"/>
          <w:b w:val="0"/>
          <w:bCs w:val="0"/>
          <w:i w:val="0"/>
          <w:iCs w:val="0"/>
          <w:caps w:val="0"/>
          <w:smallCaps w:val="0"/>
          <w:noProof w:val="0"/>
          <w:color w:val="000000" w:themeColor="text1" w:themeTint="FF" w:themeShade="FF"/>
          <w:sz w:val="24"/>
          <w:szCs w:val="24"/>
          <w:lang w:val="en-GB"/>
        </w:rPr>
        <w:t>edn</w:t>
      </w:r>
      <w:r w:rsidRPr="568C7938" w:rsidR="1CC5BACB">
        <w:rPr>
          <w:rFonts w:ascii="Arial" w:hAnsi="Arial" w:eastAsia="Arial" w:cs="Arial"/>
          <w:b w:val="0"/>
          <w:bCs w:val="0"/>
          <w:i w:val="0"/>
          <w:iCs w:val="0"/>
          <w:caps w:val="0"/>
          <w:smallCaps w:val="0"/>
          <w:noProof w:val="0"/>
          <w:color w:val="000000" w:themeColor="text1" w:themeTint="FF" w:themeShade="FF"/>
          <w:sz w:val="24"/>
          <w:szCs w:val="24"/>
          <w:lang w:val="en-GB"/>
        </w:rPr>
        <w:t>. London: Bloomsbury Academic.</w:t>
      </w:r>
    </w:p>
    <w:p w:rsidR="28AD587A" w:rsidP="568C7938" w:rsidRDefault="28AD587A" w14:paraId="158FFFBF" w14:textId="1C532BE9">
      <w:pPr>
        <w:spacing w:before="0" w:beforeAutospacing="off" w:after="0" w:afterAutospacing="off" w:line="360" w:lineRule="auto"/>
        <w:rPr>
          <w:rFonts w:ascii="Arial" w:hAnsi="Arial" w:eastAsia="Arial" w:cs="Arial"/>
          <w:noProof w:val="0"/>
          <w:sz w:val="24"/>
          <w:szCs w:val="24"/>
          <w:lang w:val="en-GB"/>
        </w:rPr>
      </w:pPr>
      <w:r w:rsidRPr="568C7938" w:rsidR="28AD587A">
        <w:rPr>
          <w:rFonts w:ascii="Arial" w:hAnsi="Arial" w:eastAsia="Arial" w:cs="Arial"/>
          <w:noProof w:val="0"/>
          <w:sz w:val="24"/>
          <w:szCs w:val="24"/>
          <w:lang w:val="en-GB"/>
        </w:rPr>
        <w:t xml:space="preserve">Cottrell, S. (2021) </w:t>
      </w:r>
      <w:r w:rsidRPr="568C7938" w:rsidR="28AD587A">
        <w:rPr>
          <w:rFonts w:ascii="Arial" w:hAnsi="Arial" w:eastAsia="Arial" w:cs="Arial"/>
          <w:i w:val="1"/>
          <w:iCs w:val="1"/>
          <w:noProof w:val="0"/>
          <w:sz w:val="24"/>
          <w:szCs w:val="24"/>
          <w:lang w:val="en-GB"/>
        </w:rPr>
        <w:t>Skills for success: personal development and employability</w:t>
      </w:r>
      <w:r w:rsidRPr="568C7938" w:rsidR="28AD587A">
        <w:rPr>
          <w:rFonts w:ascii="Arial" w:hAnsi="Arial" w:eastAsia="Arial" w:cs="Arial"/>
          <w:noProof w:val="0"/>
          <w:sz w:val="24"/>
          <w:szCs w:val="24"/>
          <w:lang w:val="en-GB"/>
        </w:rPr>
        <w:t>. 4th edition. London: Red Globe Press.</w:t>
      </w:r>
    </w:p>
    <w:p w:rsidR="55A8DA7E" w:rsidP="568C7938" w:rsidRDefault="55A8DA7E" w14:paraId="2F74D4C6" w14:textId="0777E0C8">
      <w:pPr>
        <w:spacing w:line="360" w:lineRule="auto"/>
        <w:rPr>
          <w:rFonts w:ascii="Arial" w:hAnsi="Arial" w:eastAsia="Arial" w:cs="Arial"/>
          <w:b w:val="0"/>
          <w:bCs w:val="0"/>
          <w:i w:val="0"/>
          <w:iCs w:val="0"/>
          <w:caps w:val="0"/>
          <w:smallCaps w:val="0"/>
          <w:color w:val="000000" w:themeColor="text1" w:themeTint="FF" w:themeShade="FF"/>
          <w:sz w:val="24"/>
          <w:szCs w:val="24"/>
        </w:rPr>
      </w:pPr>
      <w:r w:rsidRPr="568C7938" w:rsidR="55A8DA7E">
        <w:rPr>
          <w:rFonts w:ascii="Arial" w:hAnsi="Arial" w:eastAsia="Arial" w:cs="Arial"/>
          <w:b w:val="0"/>
          <w:bCs w:val="0"/>
          <w:i w:val="0"/>
          <w:iCs w:val="0"/>
          <w:caps w:val="0"/>
          <w:smallCaps w:val="0"/>
          <w:color w:val="000000" w:themeColor="text1" w:themeTint="FF" w:themeShade="FF"/>
          <w:sz w:val="24"/>
          <w:szCs w:val="24"/>
        </w:rPr>
        <w:t>Rolfe, G., Freshwater, D. and Jasper, M. (2001)</w:t>
      </w:r>
      <w:r w:rsidRPr="568C7938" w:rsidR="55A8DA7E">
        <w:rPr>
          <w:rFonts w:ascii="Arial" w:hAnsi="Arial" w:eastAsia="Arial" w:cs="Arial"/>
          <w:b w:val="0"/>
          <w:bCs w:val="0"/>
          <w:i w:val="1"/>
          <w:iCs w:val="1"/>
          <w:caps w:val="0"/>
          <w:smallCaps w:val="0"/>
          <w:color w:val="000000" w:themeColor="text1" w:themeTint="FF" w:themeShade="FF"/>
          <w:sz w:val="24"/>
          <w:szCs w:val="24"/>
        </w:rPr>
        <w:t xml:space="preserve"> Critical reflection for nursing and the helping professions: A user's guide.</w:t>
      </w:r>
      <w:r w:rsidRPr="568C7938" w:rsidR="55A8DA7E">
        <w:rPr>
          <w:rFonts w:ascii="Arial" w:hAnsi="Arial" w:eastAsia="Arial" w:cs="Arial"/>
          <w:b w:val="0"/>
          <w:bCs w:val="0"/>
          <w:i w:val="0"/>
          <w:iCs w:val="0"/>
          <w:caps w:val="0"/>
          <w:smallCaps w:val="0"/>
          <w:color w:val="000000" w:themeColor="text1" w:themeTint="FF" w:themeShade="FF"/>
          <w:sz w:val="24"/>
          <w:szCs w:val="24"/>
        </w:rPr>
        <w:t xml:space="preserve"> Basingstoke: Palgrave Macmillan.</w:t>
      </w:r>
    </w:p>
    <w:p w:rsidR="4D7135A1" w:rsidP="568C7938" w:rsidRDefault="4D7135A1" w14:paraId="7D412BEC" w14:textId="7FF25076">
      <w:pPr>
        <w:spacing w:line="360" w:lineRule="auto"/>
        <w:rPr>
          <w:rFonts w:ascii="Arial" w:hAnsi="Arial" w:eastAsia="Arial" w:cs="Arial"/>
          <w:noProof w:val="0"/>
          <w:sz w:val="24"/>
          <w:szCs w:val="24"/>
          <w:lang w:val="en-GB"/>
        </w:rPr>
      </w:pPr>
      <w:r w:rsidRPr="568C7938" w:rsidR="4D7135A1">
        <w:rPr>
          <w:rFonts w:ascii="Arial" w:hAnsi="Arial" w:eastAsia="Arial" w:cs="Arial"/>
          <w:noProof w:val="0"/>
          <w:sz w:val="24"/>
          <w:szCs w:val="24"/>
          <w:lang w:val="en-GB"/>
        </w:rPr>
        <w:t xml:space="preserve">Dweck, C.S. (2006) </w:t>
      </w:r>
      <w:r w:rsidRPr="568C7938" w:rsidR="4D7135A1">
        <w:rPr>
          <w:rFonts w:ascii="Arial" w:hAnsi="Arial" w:eastAsia="Arial" w:cs="Arial"/>
          <w:i w:val="1"/>
          <w:iCs w:val="1"/>
          <w:noProof w:val="0"/>
          <w:sz w:val="24"/>
          <w:szCs w:val="24"/>
          <w:lang w:val="en-GB"/>
        </w:rPr>
        <w:t>Mindset :</w:t>
      </w:r>
      <w:r w:rsidRPr="568C7938" w:rsidR="4D7135A1">
        <w:rPr>
          <w:rFonts w:ascii="Arial" w:hAnsi="Arial" w:eastAsia="Arial" w:cs="Arial"/>
          <w:i w:val="1"/>
          <w:iCs w:val="1"/>
          <w:noProof w:val="0"/>
          <w:sz w:val="24"/>
          <w:szCs w:val="24"/>
          <w:lang w:val="en-GB"/>
        </w:rPr>
        <w:t xml:space="preserve"> the new psychology of success</w:t>
      </w:r>
      <w:r w:rsidRPr="568C7938" w:rsidR="4D7135A1">
        <w:rPr>
          <w:rFonts w:ascii="Arial" w:hAnsi="Arial" w:eastAsia="Arial" w:cs="Arial"/>
          <w:noProof w:val="0"/>
          <w:sz w:val="24"/>
          <w:szCs w:val="24"/>
          <w:lang w:val="en-GB"/>
        </w:rPr>
        <w:t>. New York: Random House.</w:t>
      </w:r>
    </w:p>
    <w:p w:rsidR="3DA732C8" w:rsidP="568C7938" w:rsidRDefault="3DA732C8" w14:paraId="23279A02" w14:textId="65831A7C">
      <w:pPr>
        <w:spacing w:line="360" w:lineRule="auto"/>
        <w:rPr>
          <w:rFonts w:ascii="Arial" w:hAnsi="Arial" w:eastAsia="Arial" w:cs="Arial"/>
          <w:noProof w:val="0"/>
          <w:sz w:val="24"/>
          <w:szCs w:val="24"/>
          <w:lang w:val="en-GB"/>
        </w:rPr>
      </w:pPr>
      <w:r w:rsidRPr="568C7938" w:rsidR="3DA732C8">
        <w:rPr>
          <w:rFonts w:ascii="Arial" w:hAnsi="Arial" w:eastAsia="Arial" w:cs="Arial"/>
          <w:noProof w:val="0"/>
          <w:sz w:val="24"/>
          <w:szCs w:val="24"/>
          <w:lang w:val="en-GB"/>
        </w:rPr>
        <w:t xml:space="preserve">Lowes, R. (2020) ‘Knowing You: Personal Tutoring, Learning Analytics and the Johari Window’, </w:t>
      </w:r>
      <w:r w:rsidRPr="568C7938" w:rsidR="3DA732C8">
        <w:rPr>
          <w:rFonts w:ascii="Arial" w:hAnsi="Arial" w:eastAsia="Arial" w:cs="Arial"/>
          <w:i w:val="1"/>
          <w:iCs w:val="1"/>
          <w:noProof w:val="0"/>
          <w:sz w:val="24"/>
          <w:szCs w:val="24"/>
          <w:lang w:val="en-GB"/>
        </w:rPr>
        <w:t>Frontiers in education (Lausanne)</w:t>
      </w:r>
      <w:r w:rsidRPr="568C7938" w:rsidR="3DA732C8">
        <w:rPr>
          <w:rFonts w:ascii="Arial" w:hAnsi="Arial" w:eastAsia="Arial" w:cs="Arial"/>
          <w:noProof w:val="0"/>
          <w:sz w:val="24"/>
          <w:szCs w:val="24"/>
          <w:lang w:val="en-GB"/>
        </w:rPr>
        <w:t xml:space="preserve">, 5. Available at: </w:t>
      </w:r>
      <w:hyperlink r:id="R29fc382e29684951">
        <w:r w:rsidRPr="568C7938" w:rsidR="3DA732C8">
          <w:rPr>
            <w:rStyle w:val="Hyperlink"/>
            <w:rFonts w:ascii="Arial" w:hAnsi="Arial" w:eastAsia="Arial" w:cs="Arial"/>
            <w:noProof w:val="0"/>
            <w:sz w:val="24"/>
            <w:szCs w:val="24"/>
            <w:lang w:val="en-GB"/>
          </w:rPr>
          <w:t>https://doi.org/10.3389/feduc.2020.00101</w:t>
        </w:r>
      </w:hyperlink>
      <w:r w:rsidRPr="568C7938" w:rsidR="3DA732C8">
        <w:rPr>
          <w:rFonts w:ascii="Arial" w:hAnsi="Arial" w:eastAsia="Arial" w:cs="Arial"/>
          <w:noProof w:val="0"/>
          <w:sz w:val="24"/>
          <w:szCs w:val="24"/>
          <w:lang w:val="en-GB"/>
        </w:rPr>
        <w:t>.</w:t>
      </w:r>
    </w:p>
    <w:p w:rsidR="01811135" w:rsidP="568C7938" w:rsidRDefault="01811135" w14:paraId="16C19FFD" w14:textId="38CEBF6C">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68C7938" w:rsidR="01811135">
        <w:rPr>
          <w:rFonts w:ascii="Arial" w:hAnsi="Arial" w:eastAsia="Arial" w:cs="Arial"/>
          <w:b w:val="0"/>
          <w:bCs w:val="0"/>
          <w:i w:val="0"/>
          <w:iCs w:val="0"/>
          <w:caps w:val="0"/>
          <w:smallCaps w:val="0"/>
          <w:noProof w:val="0"/>
          <w:color w:val="000000" w:themeColor="text1" w:themeTint="FF" w:themeShade="FF"/>
          <w:sz w:val="24"/>
          <w:szCs w:val="24"/>
          <w:lang w:val="en-GB"/>
        </w:rPr>
        <w:t xml:space="preserve">Triscari, C.A., Rutherford, R.B., </w:t>
      </w:r>
      <w:r w:rsidRPr="568C7938" w:rsidR="01811135">
        <w:rPr>
          <w:rFonts w:ascii="Arial" w:hAnsi="Arial" w:eastAsia="Arial" w:cs="Arial"/>
          <w:b w:val="0"/>
          <w:bCs w:val="0"/>
          <w:i w:val="0"/>
          <w:iCs w:val="0"/>
          <w:caps w:val="0"/>
          <w:smallCaps w:val="0"/>
          <w:noProof w:val="0"/>
          <w:color w:val="000000" w:themeColor="text1" w:themeTint="FF" w:themeShade="FF"/>
          <w:sz w:val="24"/>
          <w:szCs w:val="24"/>
          <w:lang w:val="en-GB"/>
        </w:rPr>
        <w:t>DiMercurio</w:t>
      </w:r>
      <w:r w:rsidRPr="568C7938" w:rsidR="01811135">
        <w:rPr>
          <w:rFonts w:ascii="Arial" w:hAnsi="Arial" w:eastAsia="Arial" w:cs="Arial"/>
          <w:b w:val="0"/>
          <w:bCs w:val="0"/>
          <w:i w:val="0"/>
          <w:iCs w:val="0"/>
          <w:caps w:val="0"/>
          <w:smallCaps w:val="0"/>
          <w:noProof w:val="0"/>
          <w:color w:val="000000" w:themeColor="text1" w:themeTint="FF" w:themeShade="FF"/>
          <w:sz w:val="24"/>
          <w:szCs w:val="24"/>
          <w:lang w:val="en-GB"/>
        </w:rPr>
        <w:t xml:space="preserve">, C. and Franzos, M.A. (2023) 'SWOT: Analysis of Strategic Approaches in Total Force Fitness and Whole Health Summit', </w:t>
      </w:r>
      <w:r w:rsidRPr="568C7938" w:rsidR="01811135">
        <w:rPr>
          <w:rFonts w:ascii="Arial" w:hAnsi="Arial" w:eastAsia="Arial" w:cs="Arial"/>
          <w:b w:val="0"/>
          <w:bCs w:val="0"/>
          <w:i w:val="1"/>
          <w:iCs w:val="1"/>
          <w:caps w:val="0"/>
          <w:smallCaps w:val="0"/>
          <w:noProof w:val="0"/>
          <w:color w:val="000000" w:themeColor="text1" w:themeTint="FF" w:themeShade="FF"/>
          <w:sz w:val="24"/>
          <w:szCs w:val="24"/>
          <w:lang w:val="en-GB"/>
        </w:rPr>
        <w:t xml:space="preserve">Military medicine, </w:t>
      </w:r>
      <w:r w:rsidRPr="568C7938" w:rsidR="01811135">
        <w:rPr>
          <w:rFonts w:ascii="Arial" w:hAnsi="Arial" w:eastAsia="Arial" w:cs="Arial"/>
          <w:b w:val="0"/>
          <w:bCs w:val="0"/>
          <w:i w:val="0"/>
          <w:iCs w:val="0"/>
          <w:caps w:val="0"/>
          <w:smallCaps w:val="0"/>
          <w:noProof w:val="0"/>
          <w:color w:val="000000" w:themeColor="text1" w:themeTint="FF" w:themeShade="FF"/>
          <w:sz w:val="24"/>
          <w:szCs w:val="24"/>
          <w:lang w:val="en-GB"/>
        </w:rPr>
        <w:t>188(Supplement_5), pp. 33–37 Available at: 10.1093/</w:t>
      </w:r>
      <w:r w:rsidRPr="568C7938" w:rsidR="01811135">
        <w:rPr>
          <w:rFonts w:ascii="Arial" w:hAnsi="Arial" w:eastAsia="Arial" w:cs="Arial"/>
          <w:b w:val="0"/>
          <w:bCs w:val="0"/>
          <w:i w:val="0"/>
          <w:iCs w:val="0"/>
          <w:caps w:val="0"/>
          <w:smallCaps w:val="0"/>
          <w:noProof w:val="0"/>
          <w:color w:val="000000" w:themeColor="text1" w:themeTint="FF" w:themeShade="FF"/>
          <w:sz w:val="24"/>
          <w:szCs w:val="24"/>
          <w:lang w:val="en-GB"/>
        </w:rPr>
        <w:t>milmed</w:t>
      </w:r>
      <w:r w:rsidRPr="568C7938" w:rsidR="01811135">
        <w:rPr>
          <w:rFonts w:ascii="Arial" w:hAnsi="Arial" w:eastAsia="Arial" w:cs="Arial"/>
          <w:b w:val="0"/>
          <w:bCs w:val="0"/>
          <w:i w:val="0"/>
          <w:iCs w:val="0"/>
          <w:caps w:val="0"/>
          <w:smallCaps w:val="0"/>
          <w:noProof w:val="0"/>
          <w:color w:val="000000" w:themeColor="text1" w:themeTint="FF" w:themeShade="FF"/>
          <w:sz w:val="24"/>
          <w:szCs w:val="24"/>
          <w:lang w:val="en-GB"/>
        </w:rPr>
        <w:t>/usad133.</w:t>
      </w:r>
      <w:r w:rsidRPr="568C7938" w:rsidR="01811135">
        <w:rPr>
          <w:rFonts w:ascii="Arial" w:hAnsi="Arial" w:eastAsia="Arial" w:cs="Arial"/>
          <w:noProof w:val="0"/>
          <w:sz w:val="24"/>
          <w:szCs w:val="24"/>
          <w:lang w:val="en-GB"/>
        </w:rPr>
        <w:t xml:space="preserve"> </w:t>
      </w:r>
    </w:p>
    <w:p w:rsidR="0319E32E" w:rsidP="568C7938" w:rsidRDefault="0319E32E" w14:paraId="7F6F1723" w14:textId="65E04DEA">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68C7938" w:rsidR="0319E32E">
        <w:rPr>
          <w:rFonts w:ascii="Arial" w:hAnsi="Arial" w:eastAsia="Arial" w:cs="Arial"/>
          <w:noProof w:val="0"/>
          <w:sz w:val="24"/>
          <w:szCs w:val="24"/>
          <w:lang w:val="en-GB"/>
        </w:rPr>
        <w:t xml:space="preserve">Swailes, S. and Senior, B. (1999) ‘The Dimensionality of Honey and Mumford’s Learning Styles Questionnaire’, </w:t>
      </w:r>
      <w:r w:rsidRPr="568C7938" w:rsidR="0319E32E">
        <w:rPr>
          <w:rFonts w:ascii="Arial" w:hAnsi="Arial" w:eastAsia="Arial" w:cs="Arial"/>
          <w:i w:val="1"/>
          <w:iCs w:val="1"/>
          <w:noProof w:val="0"/>
          <w:sz w:val="24"/>
          <w:szCs w:val="24"/>
          <w:lang w:val="en-GB"/>
        </w:rPr>
        <w:t>International journal of selection and assessment</w:t>
      </w:r>
      <w:r w:rsidRPr="568C7938" w:rsidR="0319E32E">
        <w:rPr>
          <w:rFonts w:ascii="Arial" w:hAnsi="Arial" w:eastAsia="Arial" w:cs="Arial"/>
          <w:noProof w:val="0"/>
          <w:sz w:val="24"/>
          <w:szCs w:val="24"/>
          <w:lang w:val="en-GB"/>
        </w:rPr>
        <w:t xml:space="preserve">, 7(1), pp. 1–11. Available at: </w:t>
      </w:r>
      <w:hyperlink r:id="R6f5f20a79d6d4862">
        <w:r w:rsidRPr="568C7938" w:rsidR="0319E32E">
          <w:rPr>
            <w:rStyle w:val="Hyperlink"/>
            <w:rFonts w:ascii="Arial" w:hAnsi="Arial" w:eastAsia="Arial" w:cs="Arial"/>
            <w:noProof w:val="0"/>
            <w:sz w:val="24"/>
            <w:szCs w:val="24"/>
            <w:lang w:val="en-GB"/>
          </w:rPr>
          <w:t>https://doi.org/10.1111/1468-2389.00099</w:t>
        </w:r>
      </w:hyperlink>
      <w:r w:rsidRPr="568C7938" w:rsidR="0319E32E">
        <w:rPr>
          <w:rFonts w:ascii="Arial" w:hAnsi="Arial" w:eastAsia="Arial" w:cs="Arial"/>
          <w:noProof w:val="0"/>
          <w:sz w:val="24"/>
          <w:szCs w:val="24"/>
          <w:lang w:val="en-GB"/>
        </w:rPr>
        <w:t>.</w:t>
      </w:r>
    </w:p>
    <w:p w:rsidR="451228BE" w:rsidP="568C7938" w:rsidRDefault="451228BE" w14:paraId="45F0EDF2" w14:textId="45FE2329">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68C7938" w:rsidR="451228BE">
        <w:rPr>
          <w:rFonts w:ascii="Arial" w:hAnsi="Arial" w:eastAsia="Arial" w:cs="Arial"/>
          <w:b w:val="0"/>
          <w:bCs w:val="0"/>
          <w:i w:val="0"/>
          <w:iCs w:val="0"/>
          <w:caps w:val="0"/>
          <w:smallCaps w:val="0"/>
          <w:noProof w:val="0"/>
          <w:color w:val="000000" w:themeColor="text1" w:themeTint="FF" w:themeShade="FF"/>
          <w:sz w:val="24"/>
          <w:szCs w:val="24"/>
          <w:lang w:val="en-GB"/>
        </w:rPr>
        <w:t xml:space="preserve">Fojtíková, I. (2014) 'SWOT analysis of the Czech Radon programme', </w:t>
      </w:r>
      <w:r w:rsidRPr="568C7938" w:rsidR="451228BE">
        <w:rPr>
          <w:rFonts w:ascii="Arial" w:hAnsi="Arial" w:eastAsia="Arial" w:cs="Arial"/>
          <w:b w:val="0"/>
          <w:bCs w:val="0"/>
          <w:i w:val="1"/>
          <w:iCs w:val="1"/>
          <w:caps w:val="0"/>
          <w:smallCaps w:val="0"/>
          <w:noProof w:val="0"/>
          <w:color w:val="000000" w:themeColor="text1" w:themeTint="FF" w:themeShade="FF"/>
          <w:sz w:val="24"/>
          <w:szCs w:val="24"/>
          <w:lang w:val="en-GB"/>
        </w:rPr>
        <w:t xml:space="preserve">Radiation Protection Dosimetry, </w:t>
      </w:r>
      <w:r w:rsidRPr="568C7938" w:rsidR="451228BE">
        <w:rPr>
          <w:rFonts w:ascii="Arial" w:hAnsi="Arial" w:eastAsia="Arial" w:cs="Arial"/>
          <w:b w:val="0"/>
          <w:bCs w:val="0"/>
          <w:i w:val="0"/>
          <w:iCs w:val="0"/>
          <w:caps w:val="0"/>
          <w:smallCaps w:val="0"/>
          <w:noProof w:val="0"/>
          <w:color w:val="000000" w:themeColor="text1" w:themeTint="FF" w:themeShade="FF"/>
          <w:sz w:val="24"/>
          <w:szCs w:val="24"/>
          <w:lang w:val="en-GB"/>
        </w:rPr>
        <w:t>160(1-3), pp. 35–37 Available at: 10.1093/</w:t>
      </w:r>
      <w:r w:rsidRPr="568C7938" w:rsidR="451228BE">
        <w:rPr>
          <w:rFonts w:ascii="Arial" w:hAnsi="Arial" w:eastAsia="Arial" w:cs="Arial"/>
          <w:b w:val="0"/>
          <w:bCs w:val="0"/>
          <w:i w:val="0"/>
          <w:iCs w:val="0"/>
          <w:caps w:val="0"/>
          <w:smallCaps w:val="0"/>
          <w:noProof w:val="0"/>
          <w:color w:val="000000" w:themeColor="text1" w:themeTint="FF" w:themeShade="FF"/>
          <w:sz w:val="24"/>
          <w:szCs w:val="24"/>
          <w:lang w:val="en-GB"/>
        </w:rPr>
        <w:t>rpd</w:t>
      </w:r>
      <w:r w:rsidRPr="568C7938" w:rsidR="451228BE">
        <w:rPr>
          <w:rFonts w:ascii="Arial" w:hAnsi="Arial" w:eastAsia="Arial" w:cs="Arial"/>
          <w:b w:val="0"/>
          <w:bCs w:val="0"/>
          <w:i w:val="0"/>
          <w:iCs w:val="0"/>
          <w:caps w:val="0"/>
          <w:smallCaps w:val="0"/>
          <w:noProof w:val="0"/>
          <w:color w:val="000000" w:themeColor="text1" w:themeTint="FF" w:themeShade="FF"/>
          <w:sz w:val="24"/>
          <w:szCs w:val="24"/>
          <w:lang w:val="en-GB"/>
        </w:rPr>
        <w:t>/ncu102.</w:t>
      </w:r>
    </w:p>
    <w:p w:rsidR="568C7938" w:rsidP="568C7938" w:rsidRDefault="568C7938" w14:paraId="735136E8" w14:textId="0C4BBCE2">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28A7954" w:rsidP="568C7938" w:rsidRDefault="128A7954" w14:paraId="7FCBE141" w14:textId="3A202146">
      <w:pPr>
        <w:spacing w:line="360" w:lineRule="auto"/>
        <w:rPr>
          <w:rFonts w:ascii="Arial" w:hAnsi="Arial" w:eastAsia="Arial" w:cs="Arial"/>
          <w:noProof w:val="0"/>
          <w:sz w:val="24"/>
          <w:szCs w:val="24"/>
          <w:lang w:val="en-GB"/>
        </w:rPr>
      </w:pPr>
      <w:r w:rsidRPr="568C7938" w:rsidR="128A7954">
        <w:rPr>
          <w:rFonts w:ascii="Arial" w:hAnsi="Arial" w:eastAsia="Arial" w:cs="Arial"/>
          <w:noProof w:val="0"/>
          <w:sz w:val="24"/>
          <w:szCs w:val="24"/>
          <w:lang w:val="en-GB"/>
        </w:rPr>
        <w:t>Sembiring</w:t>
      </w:r>
      <w:r w:rsidRPr="568C7938" w:rsidR="128A7954">
        <w:rPr>
          <w:rFonts w:ascii="Arial" w:hAnsi="Arial" w:eastAsia="Arial" w:cs="Arial"/>
          <w:noProof w:val="0"/>
          <w:sz w:val="24"/>
          <w:szCs w:val="24"/>
          <w:lang w:val="en-GB"/>
        </w:rPr>
        <w:t xml:space="preserve">, M., </w:t>
      </w:r>
      <w:r w:rsidRPr="568C7938" w:rsidR="128A7954">
        <w:rPr>
          <w:rFonts w:ascii="Arial" w:hAnsi="Arial" w:eastAsia="Arial" w:cs="Arial"/>
          <w:noProof w:val="0"/>
          <w:sz w:val="24"/>
          <w:szCs w:val="24"/>
          <w:lang w:val="en-GB"/>
        </w:rPr>
        <w:t>Tarigan</w:t>
      </w:r>
      <w:r w:rsidRPr="568C7938" w:rsidR="128A7954">
        <w:rPr>
          <w:rFonts w:ascii="Arial" w:hAnsi="Arial" w:eastAsia="Arial" w:cs="Arial"/>
          <w:noProof w:val="0"/>
          <w:sz w:val="24"/>
          <w:szCs w:val="24"/>
          <w:lang w:val="en-GB"/>
        </w:rPr>
        <w:t xml:space="preserve">, T.N. and </w:t>
      </w:r>
      <w:r w:rsidRPr="568C7938" w:rsidR="128A7954">
        <w:rPr>
          <w:rFonts w:ascii="Arial" w:hAnsi="Arial" w:eastAsia="Arial" w:cs="Arial"/>
          <w:noProof w:val="0"/>
          <w:sz w:val="24"/>
          <w:szCs w:val="24"/>
          <w:lang w:val="en-GB"/>
        </w:rPr>
        <w:t>Lumbbanbatu</w:t>
      </w:r>
      <w:r w:rsidRPr="568C7938" w:rsidR="128A7954">
        <w:rPr>
          <w:rFonts w:ascii="Arial" w:hAnsi="Arial" w:eastAsia="Arial" w:cs="Arial"/>
          <w:noProof w:val="0"/>
          <w:sz w:val="24"/>
          <w:szCs w:val="24"/>
          <w:lang w:val="en-GB"/>
        </w:rPr>
        <w:t xml:space="preserve">, J.S. (2024) ‘Analysis of students career interests of senior high school based on Holland’s career interest theory’, </w:t>
      </w:r>
      <w:r w:rsidRPr="568C7938" w:rsidR="128A7954">
        <w:rPr>
          <w:rFonts w:ascii="Arial" w:hAnsi="Arial" w:eastAsia="Arial" w:cs="Arial"/>
          <w:i w:val="1"/>
          <w:iCs w:val="1"/>
          <w:noProof w:val="0"/>
          <w:sz w:val="24"/>
          <w:szCs w:val="24"/>
          <w:lang w:val="en-GB"/>
        </w:rPr>
        <w:t>JPPI (</w:t>
      </w:r>
      <w:r w:rsidRPr="568C7938" w:rsidR="128A7954">
        <w:rPr>
          <w:rFonts w:ascii="Arial" w:hAnsi="Arial" w:eastAsia="Arial" w:cs="Arial"/>
          <w:i w:val="1"/>
          <w:iCs w:val="1"/>
          <w:noProof w:val="0"/>
          <w:sz w:val="24"/>
          <w:szCs w:val="24"/>
          <w:lang w:val="en-GB"/>
        </w:rPr>
        <w:t>Jurnal</w:t>
      </w:r>
      <w:r w:rsidRPr="568C7938" w:rsidR="128A7954">
        <w:rPr>
          <w:rFonts w:ascii="Arial" w:hAnsi="Arial" w:eastAsia="Arial" w:cs="Arial"/>
          <w:i w:val="1"/>
          <w:iCs w:val="1"/>
          <w:noProof w:val="0"/>
          <w:sz w:val="24"/>
          <w:szCs w:val="24"/>
          <w:lang w:val="en-GB"/>
        </w:rPr>
        <w:t xml:space="preserve"> </w:t>
      </w:r>
      <w:r w:rsidRPr="568C7938" w:rsidR="128A7954">
        <w:rPr>
          <w:rFonts w:ascii="Arial" w:hAnsi="Arial" w:eastAsia="Arial" w:cs="Arial"/>
          <w:i w:val="1"/>
          <w:iCs w:val="1"/>
          <w:noProof w:val="0"/>
          <w:sz w:val="24"/>
          <w:szCs w:val="24"/>
          <w:lang w:val="en-GB"/>
        </w:rPr>
        <w:t>Penelitian</w:t>
      </w:r>
      <w:r w:rsidRPr="568C7938" w:rsidR="128A7954">
        <w:rPr>
          <w:rFonts w:ascii="Arial" w:hAnsi="Arial" w:eastAsia="Arial" w:cs="Arial"/>
          <w:i w:val="1"/>
          <w:iCs w:val="1"/>
          <w:noProof w:val="0"/>
          <w:sz w:val="24"/>
          <w:szCs w:val="24"/>
          <w:lang w:val="en-GB"/>
        </w:rPr>
        <w:t xml:space="preserve"> Pendidikan Indonesia) (Online)</w:t>
      </w:r>
      <w:r w:rsidRPr="568C7938" w:rsidR="128A7954">
        <w:rPr>
          <w:rFonts w:ascii="Arial" w:hAnsi="Arial" w:eastAsia="Arial" w:cs="Arial"/>
          <w:noProof w:val="0"/>
          <w:sz w:val="24"/>
          <w:szCs w:val="24"/>
          <w:lang w:val="en-GB"/>
        </w:rPr>
        <w:t xml:space="preserve">, 10(4), pp. 628–640. Available at: </w:t>
      </w:r>
      <w:hyperlink r:id="R827f705dfbbf4507">
        <w:r w:rsidRPr="568C7938" w:rsidR="128A7954">
          <w:rPr>
            <w:rStyle w:val="Hyperlink"/>
            <w:rFonts w:ascii="Arial" w:hAnsi="Arial" w:eastAsia="Arial" w:cs="Arial"/>
            <w:noProof w:val="0"/>
            <w:sz w:val="24"/>
            <w:szCs w:val="24"/>
            <w:lang w:val="en-GB"/>
          </w:rPr>
          <w:t>https://doi.org/10.29210/020244839</w:t>
        </w:r>
      </w:hyperlink>
      <w:r w:rsidRPr="568C7938" w:rsidR="128A7954">
        <w:rPr>
          <w:rFonts w:ascii="Arial" w:hAnsi="Arial" w:eastAsia="Arial" w:cs="Arial"/>
          <w:noProof w:val="0"/>
          <w:sz w:val="24"/>
          <w:szCs w:val="24"/>
          <w:lang w:val="en-GB"/>
        </w:rPr>
        <w:t>.</w:t>
      </w:r>
    </w:p>
    <w:p w:rsidR="3A3D91A8" w:rsidP="568C7938" w:rsidRDefault="3A3D91A8" w14:paraId="2793E1F4" w14:textId="6A85D78E">
      <w:pPr>
        <w:spacing w:line="360" w:lineRule="auto"/>
        <w:rPr>
          <w:rFonts w:ascii="Arial" w:hAnsi="Arial" w:eastAsia="Arial" w:cs="Arial"/>
          <w:noProof w:val="0"/>
          <w:sz w:val="24"/>
          <w:szCs w:val="24"/>
          <w:lang w:val="en-GB"/>
        </w:rPr>
      </w:pPr>
      <w:r w:rsidRPr="568C7938" w:rsidR="3A3D91A8">
        <w:rPr>
          <w:rFonts w:ascii="Arial" w:hAnsi="Arial" w:eastAsia="Arial" w:cs="Arial"/>
          <w:noProof w:val="0"/>
          <w:sz w:val="24"/>
          <w:szCs w:val="24"/>
          <w:lang w:val="en-GB"/>
        </w:rPr>
        <w:t>Mountassir</w:t>
      </w:r>
      <w:r w:rsidRPr="568C7938" w:rsidR="3A3D91A8">
        <w:rPr>
          <w:rFonts w:ascii="Arial" w:hAnsi="Arial" w:eastAsia="Arial" w:cs="Arial"/>
          <w:noProof w:val="0"/>
          <w:sz w:val="24"/>
          <w:szCs w:val="24"/>
          <w:lang w:val="en-GB"/>
        </w:rPr>
        <w:t xml:space="preserve"> </w:t>
      </w:r>
      <w:r w:rsidRPr="568C7938" w:rsidR="3A3D91A8">
        <w:rPr>
          <w:rFonts w:ascii="Arial" w:hAnsi="Arial" w:eastAsia="Arial" w:cs="Arial"/>
          <w:noProof w:val="0"/>
          <w:sz w:val="24"/>
          <w:szCs w:val="24"/>
          <w:lang w:val="en-GB"/>
        </w:rPr>
        <w:t>Zemzami</w:t>
      </w:r>
      <w:r w:rsidRPr="568C7938" w:rsidR="3A3D91A8">
        <w:rPr>
          <w:rFonts w:ascii="Arial" w:hAnsi="Arial" w:eastAsia="Arial" w:cs="Arial"/>
          <w:noProof w:val="0"/>
          <w:sz w:val="24"/>
          <w:szCs w:val="24"/>
          <w:lang w:val="en-GB"/>
        </w:rPr>
        <w:t xml:space="preserve"> and Said Lotfi (2024) ‘Development and Initial Validation of a Career Preference Scale (CPS-15F): An Underlying Model of Holland’s Theory for Measuring Career Interests’, </w:t>
      </w:r>
      <w:r w:rsidRPr="568C7938" w:rsidR="3A3D91A8">
        <w:rPr>
          <w:rFonts w:ascii="Arial" w:hAnsi="Arial" w:eastAsia="Arial" w:cs="Arial"/>
          <w:i w:val="1"/>
          <w:iCs w:val="1"/>
          <w:noProof w:val="0"/>
          <w:sz w:val="24"/>
          <w:szCs w:val="24"/>
          <w:lang w:val="en-GB"/>
        </w:rPr>
        <w:t xml:space="preserve">Islamic </w:t>
      </w:r>
      <w:r w:rsidRPr="568C7938" w:rsidR="3A3D91A8">
        <w:rPr>
          <w:rFonts w:ascii="Arial" w:hAnsi="Arial" w:eastAsia="Arial" w:cs="Arial"/>
          <w:i w:val="1"/>
          <w:iCs w:val="1"/>
          <w:noProof w:val="0"/>
          <w:sz w:val="24"/>
          <w:szCs w:val="24"/>
          <w:lang w:val="en-GB"/>
        </w:rPr>
        <w:t>guidance</w:t>
      </w:r>
      <w:r w:rsidRPr="568C7938" w:rsidR="3A3D91A8">
        <w:rPr>
          <w:rFonts w:ascii="Arial" w:hAnsi="Arial" w:eastAsia="Arial" w:cs="Arial"/>
          <w:i w:val="1"/>
          <w:iCs w:val="1"/>
          <w:noProof w:val="0"/>
          <w:sz w:val="24"/>
          <w:szCs w:val="24"/>
          <w:lang w:val="en-GB"/>
        </w:rPr>
        <w:t xml:space="preserve"> and </w:t>
      </w:r>
      <w:r w:rsidRPr="568C7938" w:rsidR="3A3D91A8">
        <w:rPr>
          <w:rFonts w:ascii="Arial" w:hAnsi="Arial" w:eastAsia="Arial" w:cs="Arial"/>
          <w:i w:val="1"/>
          <w:iCs w:val="1"/>
          <w:noProof w:val="0"/>
          <w:sz w:val="24"/>
          <w:szCs w:val="24"/>
          <w:lang w:val="en-GB"/>
        </w:rPr>
        <w:t>counseling</w:t>
      </w:r>
      <w:r w:rsidRPr="568C7938" w:rsidR="3A3D91A8">
        <w:rPr>
          <w:rFonts w:ascii="Arial" w:hAnsi="Arial" w:eastAsia="Arial" w:cs="Arial"/>
          <w:i w:val="1"/>
          <w:iCs w:val="1"/>
          <w:noProof w:val="0"/>
          <w:sz w:val="24"/>
          <w:szCs w:val="24"/>
          <w:lang w:val="en-GB"/>
        </w:rPr>
        <w:t xml:space="preserve"> journal (Online)</w:t>
      </w:r>
      <w:r w:rsidRPr="568C7938" w:rsidR="3A3D91A8">
        <w:rPr>
          <w:rFonts w:ascii="Arial" w:hAnsi="Arial" w:eastAsia="Arial" w:cs="Arial"/>
          <w:noProof w:val="0"/>
          <w:sz w:val="24"/>
          <w:szCs w:val="24"/>
          <w:lang w:val="en-GB"/>
        </w:rPr>
        <w:t xml:space="preserve">, 7(1). Available at: </w:t>
      </w:r>
      <w:hyperlink r:id="R47166c6d1b0e4af9">
        <w:r w:rsidRPr="568C7938" w:rsidR="3A3D91A8">
          <w:rPr>
            <w:rStyle w:val="Hyperlink"/>
            <w:rFonts w:ascii="Arial" w:hAnsi="Arial" w:eastAsia="Arial" w:cs="Arial"/>
            <w:noProof w:val="0"/>
            <w:sz w:val="24"/>
            <w:szCs w:val="24"/>
            <w:lang w:val="en-GB"/>
          </w:rPr>
          <w:t>https://doi.org/10.25217/0020247439200</w:t>
        </w:r>
      </w:hyperlink>
      <w:r w:rsidRPr="568C7938" w:rsidR="3A3D91A8">
        <w:rPr>
          <w:rFonts w:ascii="Arial" w:hAnsi="Arial" w:eastAsia="Arial" w:cs="Arial"/>
          <w:noProof w:val="0"/>
          <w:sz w:val="24"/>
          <w:szCs w:val="24"/>
          <w:lang w:val="en-GB"/>
        </w:rPr>
        <w:t>.</w:t>
      </w:r>
    </w:p>
    <w:p w:rsidR="3A506394" w:rsidP="568C7938" w:rsidRDefault="3A506394" w14:paraId="37BF5B2B" w14:textId="27287D63">
      <w:pPr>
        <w:spacing w:line="360" w:lineRule="auto"/>
        <w:rPr>
          <w:rFonts w:ascii="Arial" w:hAnsi="Arial" w:eastAsia="Arial" w:cs="Arial"/>
          <w:noProof w:val="0"/>
          <w:sz w:val="24"/>
          <w:szCs w:val="24"/>
          <w:lang w:val="en-GB"/>
        </w:rPr>
      </w:pPr>
      <w:r w:rsidRPr="568C7938" w:rsidR="3A506394">
        <w:rPr>
          <w:rFonts w:ascii="Arial" w:hAnsi="Arial" w:eastAsia="Arial" w:cs="Arial"/>
          <w:noProof w:val="0"/>
          <w:sz w:val="24"/>
          <w:szCs w:val="24"/>
          <w:lang w:val="en-GB"/>
        </w:rPr>
        <w:t xml:space="preserve">Pietsch, S. </w:t>
      </w:r>
      <w:r w:rsidRPr="568C7938" w:rsidR="3A506394">
        <w:rPr>
          <w:rFonts w:ascii="Arial" w:hAnsi="Arial" w:eastAsia="Arial" w:cs="Arial"/>
          <w:i w:val="1"/>
          <w:iCs w:val="1"/>
          <w:noProof w:val="0"/>
          <w:sz w:val="24"/>
          <w:szCs w:val="24"/>
          <w:lang w:val="en-GB"/>
        </w:rPr>
        <w:t>et al.</w:t>
      </w:r>
      <w:r w:rsidRPr="568C7938" w:rsidR="3A506394">
        <w:rPr>
          <w:rFonts w:ascii="Arial" w:hAnsi="Arial" w:eastAsia="Arial" w:cs="Arial"/>
          <w:noProof w:val="0"/>
          <w:sz w:val="24"/>
          <w:szCs w:val="24"/>
          <w:lang w:val="en-GB"/>
        </w:rPr>
        <w:t xml:space="preserve"> (2024) ‘SMART goals are no more effective for creative performance than do-your-best goals or non-specific, exploratory “open goals”’, </w:t>
      </w:r>
      <w:r w:rsidRPr="568C7938" w:rsidR="3A506394">
        <w:rPr>
          <w:rFonts w:ascii="Arial" w:hAnsi="Arial" w:eastAsia="Arial" w:cs="Arial"/>
          <w:i w:val="1"/>
          <w:iCs w:val="1"/>
          <w:noProof w:val="0"/>
          <w:sz w:val="24"/>
          <w:szCs w:val="24"/>
          <w:lang w:val="en-GB"/>
        </w:rPr>
        <w:t>Educational psychology (Dorchester-on-Thames)</w:t>
      </w:r>
      <w:r w:rsidRPr="568C7938" w:rsidR="3A506394">
        <w:rPr>
          <w:rFonts w:ascii="Arial" w:hAnsi="Arial" w:eastAsia="Arial" w:cs="Arial"/>
          <w:noProof w:val="0"/>
          <w:sz w:val="24"/>
          <w:szCs w:val="24"/>
          <w:lang w:val="en-GB"/>
        </w:rPr>
        <w:t xml:space="preserve">, 44(9–10), pp. 946–962. Available at: </w:t>
      </w:r>
      <w:hyperlink r:id="R0584693ee9fd421e">
        <w:r w:rsidRPr="568C7938" w:rsidR="3A506394">
          <w:rPr>
            <w:rStyle w:val="Hyperlink"/>
            <w:rFonts w:ascii="Arial" w:hAnsi="Arial" w:eastAsia="Arial" w:cs="Arial"/>
            <w:noProof w:val="0"/>
            <w:sz w:val="24"/>
            <w:szCs w:val="24"/>
            <w:lang w:val="en-GB"/>
          </w:rPr>
          <w:t>https://doi.org/10.1080/01443410.2024.2420818</w:t>
        </w:r>
      </w:hyperlink>
      <w:r w:rsidRPr="568C7938" w:rsidR="3A506394">
        <w:rPr>
          <w:rFonts w:ascii="Arial" w:hAnsi="Arial" w:eastAsia="Arial" w:cs="Arial"/>
          <w:noProof w:val="0"/>
          <w:sz w:val="24"/>
          <w:szCs w:val="24"/>
          <w:lang w:val="en-GB"/>
        </w:rPr>
        <w:t>.</w:t>
      </w:r>
    </w:p>
    <w:p w:rsidR="568C7938" w:rsidP="568C7938" w:rsidRDefault="568C7938" w14:paraId="7A7192A9" w14:textId="54D53739">
      <w:pPr>
        <w:spacing w:line="360" w:lineRule="auto"/>
        <w:rPr>
          <w:rFonts w:ascii="Arial" w:hAnsi="Arial" w:eastAsia="Arial" w:cs="Arial"/>
          <w:noProof w:val="0"/>
          <w:sz w:val="24"/>
          <w:szCs w:val="24"/>
          <w:lang w:val="en-GB"/>
        </w:rPr>
      </w:pPr>
    </w:p>
    <w:p w:rsidR="568C7938" w:rsidP="568C7938" w:rsidRDefault="568C7938" w14:paraId="606584EE" w14:textId="778D5CF5">
      <w:pPr>
        <w:spacing w:line="360" w:lineRule="auto"/>
        <w:rPr>
          <w:rFonts w:ascii="Arial" w:hAnsi="Arial" w:eastAsia="Arial" w:cs="Arial"/>
          <w:noProof w:val="0"/>
          <w:sz w:val="24"/>
          <w:szCs w:val="24"/>
          <w:lang w:val="en-GB"/>
        </w:rPr>
      </w:pPr>
    </w:p>
    <w:p w:rsidR="568C7938" w:rsidP="568C7938" w:rsidRDefault="568C7938" w14:paraId="4E675B27" w14:textId="4226E6E7">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568C7938" w:rsidP="568C7938" w:rsidRDefault="568C7938" w14:paraId="4EC65888" w14:textId="788F5BC0">
      <w:pPr>
        <w:spacing w:before="0" w:beforeAutospacing="off" w:after="0" w:afterAutospacing="off" w:line="360" w:lineRule="auto"/>
        <w:rPr>
          <w:rFonts w:ascii="Arial" w:hAnsi="Arial" w:eastAsia="Arial" w:cs="Arial"/>
          <w:i w:val="0"/>
          <w:iCs w:val="0"/>
          <w:noProof w:val="0"/>
          <w:sz w:val="24"/>
          <w:szCs w:val="24"/>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9CD8D17"/>
    <w:rsid w:val="0002AD4E"/>
    <w:rsid w:val="0036BA79"/>
    <w:rsid w:val="00418FF2"/>
    <w:rsid w:val="00716CDA"/>
    <w:rsid w:val="0087567A"/>
    <w:rsid w:val="008FD27E"/>
    <w:rsid w:val="00BE3DCF"/>
    <w:rsid w:val="00C7BE81"/>
    <w:rsid w:val="00C9BBB0"/>
    <w:rsid w:val="01811135"/>
    <w:rsid w:val="01A2DB70"/>
    <w:rsid w:val="01E792A8"/>
    <w:rsid w:val="022843AA"/>
    <w:rsid w:val="025E580D"/>
    <w:rsid w:val="029D2E25"/>
    <w:rsid w:val="02C4C091"/>
    <w:rsid w:val="02DF75F2"/>
    <w:rsid w:val="02F133D5"/>
    <w:rsid w:val="02FC1081"/>
    <w:rsid w:val="0319E32E"/>
    <w:rsid w:val="0383AA82"/>
    <w:rsid w:val="038490C9"/>
    <w:rsid w:val="03A358E0"/>
    <w:rsid w:val="03B260CD"/>
    <w:rsid w:val="03CBF3A9"/>
    <w:rsid w:val="03FCFE00"/>
    <w:rsid w:val="0406D036"/>
    <w:rsid w:val="0426CF93"/>
    <w:rsid w:val="04A6B461"/>
    <w:rsid w:val="04D3002E"/>
    <w:rsid w:val="04DC1535"/>
    <w:rsid w:val="051E6A9D"/>
    <w:rsid w:val="057F0425"/>
    <w:rsid w:val="05BA9C56"/>
    <w:rsid w:val="05BB36FC"/>
    <w:rsid w:val="05D46590"/>
    <w:rsid w:val="06485D09"/>
    <w:rsid w:val="064BC823"/>
    <w:rsid w:val="064CDDF6"/>
    <w:rsid w:val="0680ADC1"/>
    <w:rsid w:val="0685B09E"/>
    <w:rsid w:val="068A4416"/>
    <w:rsid w:val="06A6BA91"/>
    <w:rsid w:val="06A8E62B"/>
    <w:rsid w:val="06B58E39"/>
    <w:rsid w:val="06CA8AA4"/>
    <w:rsid w:val="06FC9920"/>
    <w:rsid w:val="0768B758"/>
    <w:rsid w:val="08213126"/>
    <w:rsid w:val="08EF64C3"/>
    <w:rsid w:val="091A3AB3"/>
    <w:rsid w:val="09301D16"/>
    <w:rsid w:val="095C57D1"/>
    <w:rsid w:val="09764F65"/>
    <w:rsid w:val="09A95BAA"/>
    <w:rsid w:val="09C2B4B8"/>
    <w:rsid w:val="0A4F9F4B"/>
    <w:rsid w:val="0A57A2CD"/>
    <w:rsid w:val="0A936C4E"/>
    <w:rsid w:val="0AB6B580"/>
    <w:rsid w:val="0B00DF4D"/>
    <w:rsid w:val="0BCC2B42"/>
    <w:rsid w:val="0BD15B54"/>
    <w:rsid w:val="0BDD5E42"/>
    <w:rsid w:val="0C540DE2"/>
    <w:rsid w:val="0CC4A601"/>
    <w:rsid w:val="0D175902"/>
    <w:rsid w:val="0D584A00"/>
    <w:rsid w:val="0DD7B794"/>
    <w:rsid w:val="0DF01C76"/>
    <w:rsid w:val="0E463206"/>
    <w:rsid w:val="0E470572"/>
    <w:rsid w:val="0E559AAA"/>
    <w:rsid w:val="0F3A7277"/>
    <w:rsid w:val="0F6768E9"/>
    <w:rsid w:val="100322CC"/>
    <w:rsid w:val="10520902"/>
    <w:rsid w:val="106A8B8D"/>
    <w:rsid w:val="10903A6B"/>
    <w:rsid w:val="11247A84"/>
    <w:rsid w:val="11A6BCE6"/>
    <w:rsid w:val="11ACA244"/>
    <w:rsid w:val="11B2036D"/>
    <w:rsid w:val="11DDF862"/>
    <w:rsid w:val="1212F71B"/>
    <w:rsid w:val="124C8A0E"/>
    <w:rsid w:val="128A7954"/>
    <w:rsid w:val="13238501"/>
    <w:rsid w:val="1371D9E1"/>
    <w:rsid w:val="13BDC71C"/>
    <w:rsid w:val="142E6C58"/>
    <w:rsid w:val="145A3527"/>
    <w:rsid w:val="14C142E0"/>
    <w:rsid w:val="14D6F852"/>
    <w:rsid w:val="14F0BD49"/>
    <w:rsid w:val="154F6F5D"/>
    <w:rsid w:val="155445CA"/>
    <w:rsid w:val="1565490E"/>
    <w:rsid w:val="157EF031"/>
    <w:rsid w:val="163E59CB"/>
    <w:rsid w:val="1653F1B2"/>
    <w:rsid w:val="16E5E5A8"/>
    <w:rsid w:val="17750449"/>
    <w:rsid w:val="17B36B4A"/>
    <w:rsid w:val="17B6B39F"/>
    <w:rsid w:val="17BCF92A"/>
    <w:rsid w:val="182053FD"/>
    <w:rsid w:val="1830B267"/>
    <w:rsid w:val="185EAF83"/>
    <w:rsid w:val="18727B0E"/>
    <w:rsid w:val="1885260B"/>
    <w:rsid w:val="18A511DD"/>
    <w:rsid w:val="18A8D8C7"/>
    <w:rsid w:val="18B8F0F1"/>
    <w:rsid w:val="18E84A4E"/>
    <w:rsid w:val="18F6FE2C"/>
    <w:rsid w:val="19193FAC"/>
    <w:rsid w:val="1984AA25"/>
    <w:rsid w:val="199AA504"/>
    <w:rsid w:val="19C0E2B5"/>
    <w:rsid w:val="1A4A6349"/>
    <w:rsid w:val="1A61FDBD"/>
    <w:rsid w:val="1B084E2F"/>
    <w:rsid w:val="1B2C2D8F"/>
    <w:rsid w:val="1B439656"/>
    <w:rsid w:val="1B814AED"/>
    <w:rsid w:val="1BC02FE3"/>
    <w:rsid w:val="1BFB35FA"/>
    <w:rsid w:val="1C786C4F"/>
    <w:rsid w:val="1CC406E2"/>
    <w:rsid w:val="1CC5BACB"/>
    <w:rsid w:val="1CDC9B22"/>
    <w:rsid w:val="1D6ACC86"/>
    <w:rsid w:val="1D9BD3A2"/>
    <w:rsid w:val="1E016B3E"/>
    <w:rsid w:val="1E12B32B"/>
    <w:rsid w:val="1E9A2C70"/>
    <w:rsid w:val="1EC4E580"/>
    <w:rsid w:val="1EEC0C1B"/>
    <w:rsid w:val="1F5005BD"/>
    <w:rsid w:val="1F6BB0EC"/>
    <w:rsid w:val="1FD84F97"/>
    <w:rsid w:val="1FEB2072"/>
    <w:rsid w:val="200C175F"/>
    <w:rsid w:val="20608726"/>
    <w:rsid w:val="209B3E8F"/>
    <w:rsid w:val="20D54D99"/>
    <w:rsid w:val="2108F7FE"/>
    <w:rsid w:val="21397350"/>
    <w:rsid w:val="214406A9"/>
    <w:rsid w:val="21970AB0"/>
    <w:rsid w:val="22271FE7"/>
    <w:rsid w:val="226FFD3C"/>
    <w:rsid w:val="227648D2"/>
    <w:rsid w:val="238FE387"/>
    <w:rsid w:val="23E52CCE"/>
    <w:rsid w:val="240F8C3E"/>
    <w:rsid w:val="2460E4D1"/>
    <w:rsid w:val="24C26CEE"/>
    <w:rsid w:val="2520D270"/>
    <w:rsid w:val="2520E1DA"/>
    <w:rsid w:val="2546BACB"/>
    <w:rsid w:val="25514404"/>
    <w:rsid w:val="2573C771"/>
    <w:rsid w:val="259038A6"/>
    <w:rsid w:val="25B7D758"/>
    <w:rsid w:val="25DD0250"/>
    <w:rsid w:val="25EB8963"/>
    <w:rsid w:val="26526BBA"/>
    <w:rsid w:val="2673481F"/>
    <w:rsid w:val="27070D19"/>
    <w:rsid w:val="2745BAF8"/>
    <w:rsid w:val="27526704"/>
    <w:rsid w:val="275D7DA5"/>
    <w:rsid w:val="27A9384D"/>
    <w:rsid w:val="27C5E074"/>
    <w:rsid w:val="27C64960"/>
    <w:rsid w:val="27E13EF6"/>
    <w:rsid w:val="284F38D0"/>
    <w:rsid w:val="28643CD5"/>
    <w:rsid w:val="2897BD78"/>
    <w:rsid w:val="28A8B0E3"/>
    <w:rsid w:val="28AD587A"/>
    <w:rsid w:val="28CC85C5"/>
    <w:rsid w:val="28FF3419"/>
    <w:rsid w:val="29354026"/>
    <w:rsid w:val="293EE737"/>
    <w:rsid w:val="293F0ADC"/>
    <w:rsid w:val="29CDC40B"/>
    <w:rsid w:val="2A500F55"/>
    <w:rsid w:val="2A5135D3"/>
    <w:rsid w:val="2AE0ABF6"/>
    <w:rsid w:val="2B02AC91"/>
    <w:rsid w:val="2B2ABD71"/>
    <w:rsid w:val="2B3AACF2"/>
    <w:rsid w:val="2B4D85B1"/>
    <w:rsid w:val="2B9827BF"/>
    <w:rsid w:val="2BEE92FC"/>
    <w:rsid w:val="2C0FF768"/>
    <w:rsid w:val="2C8BA4E5"/>
    <w:rsid w:val="2CB3B98D"/>
    <w:rsid w:val="2CE0D7ED"/>
    <w:rsid w:val="2CFA24FF"/>
    <w:rsid w:val="2D41AA38"/>
    <w:rsid w:val="2DDB0852"/>
    <w:rsid w:val="2E2A736B"/>
    <w:rsid w:val="2E4552B4"/>
    <w:rsid w:val="2E62AAEB"/>
    <w:rsid w:val="2E74E3F6"/>
    <w:rsid w:val="2E80FA7F"/>
    <w:rsid w:val="2E9C0A84"/>
    <w:rsid w:val="2EAE3930"/>
    <w:rsid w:val="2EF874BA"/>
    <w:rsid w:val="2F221CE2"/>
    <w:rsid w:val="2F37168C"/>
    <w:rsid w:val="2F6707C8"/>
    <w:rsid w:val="2FA15CF7"/>
    <w:rsid w:val="2FCB2A7C"/>
    <w:rsid w:val="2FD05834"/>
    <w:rsid w:val="2FE96AAD"/>
    <w:rsid w:val="2FF77CBF"/>
    <w:rsid w:val="30455F4B"/>
    <w:rsid w:val="30474195"/>
    <w:rsid w:val="3092A2FF"/>
    <w:rsid w:val="30963F18"/>
    <w:rsid w:val="30EB0188"/>
    <w:rsid w:val="3129BC6C"/>
    <w:rsid w:val="3140028A"/>
    <w:rsid w:val="3148B2F9"/>
    <w:rsid w:val="31803D9C"/>
    <w:rsid w:val="31946164"/>
    <w:rsid w:val="319A8504"/>
    <w:rsid w:val="3219F10A"/>
    <w:rsid w:val="321A6D7C"/>
    <w:rsid w:val="322D202C"/>
    <w:rsid w:val="324D2508"/>
    <w:rsid w:val="3271BE4B"/>
    <w:rsid w:val="3321305E"/>
    <w:rsid w:val="3344DAA1"/>
    <w:rsid w:val="33453080"/>
    <w:rsid w:val="33D50969"/>
    <w:rsid w:val="344E363F"/>
    <w:rsid w:val="349FFFBB"/>
    <w:rsid w:val="34A9CC7D"/>
    <w:rsid w:val="35005DB6"/>
    <w:rsid w:val="350EFB72"/>
    <w:rsid w:val="359A046B"/>
    <w:rsid w:val="35A498AA"/>
    <w:rsid w:val="3614E2F9"/>
    <w:rsid w:val="363171F7"/>
    <w:rsid w:val="36403803"/>
    <w:rsid w:val="36FB89D3"/>
    <w:rsid w:val="372FE9AC"/>
    <w:rsid w:val="3775763E"/>
    <w:rsid w:val="37C3DAB2"/>
    <w:rsid w:val="37E4FC7C"/>
    <w:rsid w:val="37F7536F"/>
    <w:rsid w:val="3822B5C4"/>
    <w:rsid w:val="38577C6A"/>
    <w:rsid w:val="38E5605D"/>
    <w:rsid w:val="3911728F"/>
    <w:rsid w:val="391F2E28"/>
    <w:rsid w:val="39411DBD"/>
    <w:rsid w:val="3978B4DF"/>
    <w:rsid w:val="3990F42A"/>
    <w:rsid w:val="39E84759"/>
    <w:rsid w:val="39EAE130"/>
    <w:rsid w:val="3A3D91A8"/>
    <w:rsid w:val="3A4E328E"/>
    <w:rsid w:val="3A506394"/>
    <w:rsid w:val="3A63A4E4"/>
    <w:rsid w:val="3A7034C3"/>
    <w:rsid w:val="3A799975"/>
    <w:rsid w:val="3ACA0F33"/>
    <w:rsid w:val="3AD0F330"/>
    <w:rsid w:val="3B9AF924"/>
    <w:rsid w:val="3BC8F70B"/>
    <w:rsid w:val="3BECD8D4"/>
    <w:rsid w:val="3C209936"/>
    <w:rsid w:val="3C3E7F1F"/>
    <w:rsid w:val="3C9154F5"/>
    <w:rsid w:val="3CF5FFD2"/>
    <w:rsid w:val="3CFD8A0F"/>
    <w:rsid w:val="3D53C67A"/>
    <w:rsid w:val="3DA732C8"/>
    <w:rsid w:val="3DB521FB"/>
    <w:rsid w:val="3DFFB82D"/>
    <w:rsid w:val="3E086028"/>
    <w:rsid w:val="3E11E3ED"/>
    <w:rsid w:val="3E693C2E"/>
    <w:rsid w:val="3EB4C816"/>
    <w:rsid w:val="3ED6A64D"/>
    <w:rsid w:val="3EEA229D"/>
    <w:rsid w:val="3F15A37A"/>
    <w:rsid w:val="3F2CD2C2"/>
    <w:rsid w:val="3F52795F"/>
    <w:rsid w:val="3F662A2D"/>
    <w:rsid w:val="3F66DCF3"/>
    <w:rsid w:val="402DD171"/>
    <w:rsid w:val="40675944"/>
    <w:rsid w:val="4069FCDC"/>
    <w:rsid w:val="407A6068"/>
    <w:rsid w:val="408DA66E"/>
    <w:rsid w:val="40CE663E"/>
    <w:rsid w:val="40F017A1"/>
    <w:rsid w:val="410A1311"/>
    <w:rsid w:val="4123E580"/>
    <w:rsid w:val="4224DE33"/>
    <w:rsid w:val="42269DA5"/>
    <w:rsid w:val="423E4F8A"/>
    <w:rsid w:val="428E06C4"/>
    <w:rsid w:val="42BBC044"/>
    <w:rsid w:val="43826CFF"/>
    <w:rsid w:val="439F4C1C"/>
    <w:rsid w:val="43A7D13A"/>
    <w:rsid w:val="43D00358"/>
    <w:rsid w:val="44509E28"/>
    <w:rsid w:val="445A4B1A"/>
    <w:rsid w:val="445C721B"/>
    <w:rsid w:val="44723429"/>
    <w:rsid w:val="451228BE"/>
    <w:rsid w:val="4518FD4E"/>
    <w:rsid w:val="4556CBF3"/>
    <w:rsid w:val="45E24B10"/>
    <w:rsid w:val="460E46E3"/>
    <w:rsid w:val="4638A5D1"/>
    <w:rsid w:val="47631BE7"/>
    <w:rsid w:val="476BE1CE"/>
    <w:rsid w:val="47A20BE3"/>
    <w:rsid w:val="47E6C26F"/>
    <w:rsid w:val="47F14DEE"/>
    <w:rsid w:val="48292C5B"/>
    <w:rsid w:val="482B7915"/>
    <w:rsid w:val="4835DE1C"/>
    <w:rsid w:val="485010E4"/>
    <w:rsid w:val="486C4BC0"/>
    <w:rsid w:val="48866D17"/>
    <w:rsid w:val="48DAAE29"/>
    <w:rsid w:val="48E57DE0"/>
    <w:rsid w:val="4977F032"/>
    <w:rsid w:val="49991697"/>
    <w:rsid w:val="49B9BD53"/>
    <w:rsid w:val="4A19041D"/>
    <w:rsid w:val="4A341740"/>
    <w:rsid w:val="4A400F46"/>
    <w:rsid w:val="4ABFD31E"/>
    <w:rsid w:val="4B11606B"/>
    <w:rsid w:val="4B706DF3"/>
    <w:rsid w:val="4B725958"/>
    <w:rsid w:val="4BADAA4B"/>
    <w:rsid w:val="4BD7855A"/>
    <w:rsid w:val="4BE917FB"/>
    <w:rsid w:val="4BE9BB96"/>
    <w:rsid w:val="4C3DC159"/>
    <w:rsid w:val="4CA1B316"/>
    <w:rsid w:val="4CBD84DB"/>
    <w:rsid w:val="4CD0A8C8"/>
    <w:rsid w:val="4D1BE87E"/>
    <w:rsid w:val="4D294791"/>
    <w:rsid w:val="4D7135A1"/>
    <w:rsid w:val="4DAA514F"/>
    <w:rsid w:val="4E44DF2E"/>
    <w:rsid w:val="4E8EA6EA"/>
    <w:rsid w:val="4EB29EA0"/>
    <w:rsid w:val="4EBAFCFB"/>
    <w:rsid w:val="4ECD1009"/>
    <w:rsid w:val="4EDB04C9"/>
    <w:rsid w:val="4F01E6D3"/>
    <w:rsid w:val="4F049F58"/>
    <w:rsid w:val="4F212BCD"/>
    <w:rsid w:val="4F472AA6"/>
    <w:rsid w:val="4F6B6CE9"/>
    <w:rsid w:val="4F8C60E4"/>
    <w:rsid w:val="4FA67E4E"/>
    <w:rsid w:val="4FF1C407"/>
    <w:rsid w:val="4FF7AE0C"/>
    <w:rsid w:val="507CEF1F"/>
    <w:rsid w:val="50C6C8B5"/>
    <w:rsid w:val="50F41612"/>
    <w:rsid w:val="50F42F93"/>
    <w:rsid w:val="50FE5B89"/>
    <w:rsid w:val="51072BE6"/>
    <w:rsid w:val="515BA35A"/>
    <w:rsid w:val="5180709D"/>
    <w:rsid w:val="51CAA687"/>
    <w:rsid w:val="51EDBACF"/>
    <w:rsid w:val="525096BC"/>
    <w:rsid w:val="52F7C2E5"/>
    <w:rsid w:val="533EC391"/>
    <w:rsid w:val="53624788"/>
    <w:rsid w:val="54476F9D"/>
    <w:rsid w:val="5464F863"/>
    <w:rsid w:val="5499D51D"/>
    <w:rsid w:val="54F2AC07"/>
    <w:rsid w:val="55069850"/>
    <w:rsid w:val="5536EA2B"/>
    <w:rsid w:val="55A8DA7E"/>
    <w:rsid w:val="55B8159C"/>
    <w:rsid w:val="55D4CCA6"/>
    <w:rsid w:val="55E5C715"/>
    <w:rsid w:val="55FA50A4"/>
    <w:rsid w:val="5609047C"/>
    <w:rsid w:val="568C7938"/>
    <w:rsid w:val="56958F5A"/>
    <w:rsid w:val="56C46716"/>
    <w:rsid w:val="56CABF5B"/>
    <w:rsid w:val="5740C086"/>
    <w:rsid w:val="577AD4A2"/>
    <w:rsid w:val="57AE6418"/>
    <w:rsid w:val="582C4B99"/>
    <w:rsid w:val="583F05BE"/>
    <w:rsid w:val="584DDA8D"/>
    <w:rsid w:val="586041AC"/>
    <w:rsid w:val="5869B86D"/>
    <w:rsid w:val="5899DC18"/>
    <w:rsid w:val="589F9C14"/>
    <w:rsid w:val="58A970A5"/>
    <w:rsid w:val="591966AC"/>
    <w:rsid w:val="592A59A1"/>
    <w:rsid w:val="592F032F"/>
    <w:rsid w:val="5957CBDF"/>
    <w:rsid w:val="596EF3AF"/>
    <w:rsid w:val="597CBCDE"/>
    <w:rsid w:val="598C11BF"/>
    <w:rsid w:val="59AB6F06"/>
    <w:rsid w:val="59D4D6D0"/>
    <w:rsid w:val="5A004B8D"/>
    <w:rsid w:val="5AB25BF7"/>
    <w:rsid w:val="5AF4B63C"/>
    <w:rsid w:val="5B26F078"/>
    <w:rsid w:val="5B4CEAB5"/>
    <w:rsid w:val="5B557095"/>
    <w:rsid w:val="5B704AD6"/>
    <w:rsid w:val="5BAC84C2"/>
    <w:rsid w:val="5C8E3F38"/>
    <w:rsid w:val="5C8FE9F5"/>
    <w:rsid w:val="5CB70FBB"/>
    <w:rsid w:val="5CE012E2"/>
    <w:rsid w:val="5D33FA18"/>
    <w:rsid w:val="5D785AC7"/>
    <w:rsid w:val="5EA54A35"/>
    <w:rsid w:val="5F0638B3"/>
    <w:rsid w:val="5F308576"/>
    <w:rsid w:val="5F5378A3"/>
    <w:rsid w:val="5F80639B"/>
    <w:rsid w:val="5F85AC9C"/>
    <w:rsid w:val="5FA13D1B"/>
    <w:rsid w:val="5FAE14CD"/>
    <w:rsid w:val="601FF22F"/>
    <w:rsid w:val="60B6DFA0"/>
    <w:rsid w:val="6109748B"/>
    <w:rsid w:val="6157C5BD"/>
    <w:rsid w:val="61758A5F"/>
    <w:rsid w:val="61B5CFF6"/>
    <w:rsid w:val="61BE895B"/>
    <w:rsid w:val="61ED5121"/>
    <w:rsid w:val="61F28F2F"/>
    <w:rsid w:val="62787B4C"/>
    <w:rsid w:val="6292EB62"/>
    <w:rsid w:val="6315C84B"/>
    <w:rsid w:val="637717FB"/>
    <w:rsid w:val="63D2798B"/>
    <w:rsid w:val="63D8C4F9"/>
    <w:rsid w:val="63DD4F98"/>
    <w:rsid w:val="641D722F"/>
    <w:rsid w:val="6446F5BB"/>
    <w:rsid w:val="64C4AD0D"/>
    <w:rsid w:val="652A2BF3"/>
    <w:rsid w:val="654124A4"/>
    <w:rsid w:val="6582D5AD"/>
    <w:rsid w:val="660C1D8D"/>
    <w:rsid w:val="6673CAB5"/>
    <w:rsid w:val="66901F2F"/>
    <w:rsid w:val="66ED15BD"/>
    <w:rsid w:val="675FAAB9"/>
    <w:rsid w:val="676D1180"/>
    <w:rsid w:val="676F221A"/>
    <w:rsid w:val="67BF9070"/>
    <w:rsid w:val="67CFF39C"/>
    <w:rsid w:val="683E7D25"/>
    <w:rsid w:val="6890F250"/>
    <w:rsid w:val="690FAECC"/>
    <w:rsid w:val="692B9B79"/>
    <w:rsid w:val="694D30A5"/>
    <w:rsid w:val="69D98619"/>
    <w:rsid w:val="6A721524"/>
    <w:rsid w:val="6A8EA7BA"/>
    <w:rsid w:val="6A99D1C1"/>
    <w:rsid w:val="6AA1D107"/>
    <w:rsid w:val="6BD82E65"/>
    <w:rsid w:val="6C025A1D"/>
    <w:rsid w:val="6C30B0F0"/>
    <w:rsid w:val="6C516DA2"/>
    <w:rsid w:val="6C54BED2"/>
    <w:rsid w:val="6C5CD8DF"/>
    <w:rsid w:val="6CCFEE91"/>
    <w:rsid w:val="6CF120CC"/>
    <w:rsid w:val="6CFAB931"/>
    <w:rsid w:val="6D11730B"/>
    <w:rsid w:val="6D18ED49"/>
    <w:rsid w:val="6D6A9C08"/>
    <w:rsid w:val="6D7DD560"/>
    <w:rsid w:val="6D8163EF"/>
    <w:rsid w:val="6D82376C"/>
    <w:rsid w:val="6D83FBAF"/>
    <w:rsid w:val="6DA07382"/>
    <w:rsid w:val="6DC11326"/>
    <w:rsid w:val="6E071F68"/>
    <w:rsid w:val="6E56C24B"/>
    <w:rsid w:val="6E7FD570"/>
    <w:rsid w:val="6EC9CFA1"/>
    <w:rsid w:val="6F116792"/>
    <w:rsid w:val="6F13274D"/>
    <w:rsid w:val="6F4FE22B"/>
    <w:rsid w:val="6F93439B"/>
    <w:rsid w:val="6FB032E8"/>
    <w:rsid w:val="6FF269B2"/>
    <w:rsid w:val="6FFC954B"/>
    <w:rsid w:val="7012EA0F"/>
    <w:rsid w:val="7069B47F"/>
    <w:rsid w:val="707B609D"/>
    <w:rsid w:val="7091D0BA"/>
    <w:rsid w:val="70BCE6C3"/>
    <w:rsid w:val="70DE3576"/>
    <w:rsid w:val="7120F35F"/>
    <w:rsid w:val="712C28F3"/>
    <w:rsid w:val="7185CCDD"/>
    <w:rsid w:val="71A12E61"/>
    <w:rsid w:val="71C13A06"/>
    <w:rsid w:val="71CDC45E"/>
    <w:rsid w:val="72D95916"/>
    <w:rsid w:val="72E4074F"/>
    <w:rsid w:val="73156FCC"/>
    <w:rsid w:val="731A4506"/>
    <w:rsid w:val="73273C74"/>
    <w:rsid w:val="7376051D"/>
    <w:rsid w:val="73762866"/>
    <w:rsid w:val="737B7663"/>
    <w:rsid w:val="73979B60"/>
    <w:rsid w:val="73C2E075"/>
    <w:rsid w:val="73CA6AD4"/>
    <w:rsid w:val="7421D821"/>
    <w:rsid w:val="743274C9"/>
    <w:rsid w:val="744B9EE7"/>
    <w:rsid w:val="7513443C"/>
    <w:rsid w:val="75708B69"/>
    <w:rsid w:val="757B8087"/>
    <w:rsid w:val="75B7A4FA"/>
    <w:rsid w:val="75F88F6C"/>
    <w:rsid w:val="760C154B"/>
    <w:rsid w:val="76787EC4"/>
    <w:rsid w:val="774ED272"/>
    <w:rsid w:val="777AB2DB"/>
    <w:rsid w:val="77A8A3E8"/>
    <w:rsid w:val="7809B886"/>
    <w:rsid w:val="78164EA1"/>
    <w:rsid w:val="786E4B2E"/>
    <w:rsid w:val="793D887F"/>
    <w:rsid w:val="79AB21CC"/>
    <w:rsid w:val="79CD8D17"/>
    <w:rsid w:val="79D02AB9"/>
    <w:rsid w:val="7A1B9E18"/>
    <w:rsid w:val="7A61A3A8"/>
    <w:rsid w:val="7B348B67"/>
    <w:rsid w:val="7B76E216"/>
    <w:rsid w:val="7BA11478"/>
    <w:rsid w:val="7BE4B768"/>
    <w:rsid w:val="7BF381BE"/>
    <w:rsid w:val="7C4CCFDA"/>
    <w:rsid w:val="7C5FFC3E"/>
    <w:rsid w:val="7C6294A0"/>
    <w:rsid w:val="7C81DB12"/>
    <w:rsid w:val="7CB43381"/>
    <w:rsid w:val="7D1DA3AC"/>
    <w:rsid w:val="7D1E98AE"/>
    <w:rsid w:val="7D9F803C"/>
    <w:rsid w:val="7DAB5AA4"/>
    <w:rsid w:val="7DE773E5"/>
    <w:rsid w:val="7E26104F"/>
    <w:rsid w:val="7EA95AF9"/>
    <w:rsid w:val="7EAFFABF"/>
    <w:rsid w:val="7EB61B1D"/>
    <w:rsid w:val="7EEF60C4"/>
    <w:rsid w:val="7F731E95"/>
    <w:rsid w:val="7FD020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CD8D17"/>
  <w15:chartTrackingRefBased/>
  <w15:docId w15:val="{6F7B6B09-B99D-471B-99EF-2104FA83ADF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68C7938"/>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568C793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568C793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568C7938"/>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568C7938"/>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568C7938"/>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568C7938"/>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568C7938"/>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568C7938"/>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568C7938"/>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568C7938"/>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568C7938"/>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568C7938"/>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568C7938"/>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568C793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2.png" Id="R0c2ea45410ab457d" /><Relationship Type="http://schemas.openxmlformats.org/officeDocument/2006/relationships/hyperlink" Target="https://www.thecdi.net/about-us/career-development-and-the-cdi/what-is-career-development" TargetMode="External" Id="Rf04eb168cffa41c6" /><Relationship Type="http://schemas.openxmlformats.org/officeDocument/2006/relationships/hyperlink" Target="https://doi.org/10.3389/feduc.2020.00101" TargetMode="External" Id="R29fc382e29684951" /><Relationship Type="http://schemas.openxmlformats.org/officeDocument/2006/relationships/hyperlink" Target="https://doi.org/10.1111/1468-2389.00099" TargetMode="External" Id="R6f5f20a79d6d4862" /><Relationship Type="http://schemas.openxmlformats.org/officeDocument/2006/relationships/hyperlink" Target="https://doi.org/10.29210/020244839" TargetMode="External" Id="R827f705dfbbf4507" /><Relationship Type="http://schemas.openxmlformats.org/officeDocument/2006/relationships/hyperlink" Target="https://doi.org/10.25217/0020247439200" TargetMode="External" Id="R47166c6d1b0e4af9" /><Relationship Type="http://schemas.openxmlformats.org/officeDocument/2006/relationships/hyperlink" Target="https://doi.org/10.1080/01443410.2024.2420818" TargetMode="External" Id="R0584693ee9fd421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&#65279;<?xml version="1.0" encoding="utf-8"?><Relationships xmlns="http://schemas.openxmlformats.org/package/2006/relationships"><Relationship Type="http://schemas.microsoft.com/office/2011/relationships/webextension" Target="/word/webextensions/webextension.xml" Id="R657d17cbc36849a7" /></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657d17cbc36849a7"/>
  </wetp:taskpane>
</wetp:taskpanes>
</file>

<file path=word/webextensions/webextension.xml><?xml version="1.0" encoding="utf-8"?>
<we:webextension xmlns:we="http://schemas.microsoft.com/office/webextensions/webextension/2010/11" id="6d58136a-215f-4bee-b1c1-3b3dd60b5cde">
  <we:reference id="8c1c3d44-57e9-40d7-86e4-4adf61fea1dd" version="2.1.0.2" store="excatalog" storeType="excatalog"/>
  <we:alternateReferences>
    <we:reference id="WA104380122" version="2.1.0.2" store="en-us" storeType="omex"/>
  </we:alternateReferences>
  <we:properties>
    <we:property name="rcm.version" value="2"/>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currentFolder" value="{&quot;depth&quot;:0,&quot;id&quot;:&quot;all&quot;,&quot;name&quot;:&quot;All references&quot;,&quot;parentId&quot;:null,&quot;position&quot;:-2,&quot;isShared&quot;:false}"/>
  </we:properties>
  <we:bindings/>
  <we:snapshot xmlns:r="http://schemas.openxmlformats.org/officeDocument/2006/relationships"/>
</we:webextension>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2025-06-10T21:13:08.7863513Z</dcterms:created>
  <dcterms:modified xsi:type="dcterms:W3CDTF">2025-06-17T02:38:31.2111554Z</dcterms:modified>
  <dc:creator>Xiaoli Shao (2440261)</dc:creator>
  <lastModifiedBy>Xiaoli Shao (2440261)</lastModifiedBy>
</coreProperties>
</file>