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3CDF7" w14:textId="77777777" w:rsidR="00E067A8" w:rsidRDefault="00ED5964">
      <w:r>
        <w:rPr>
          <w:noProof/>
          <w:sz w:val="22"/>
        </w:rPr>
        <w:drawing>
          <wp:inline distT="0" distB="0" distL="0" distR="0" wp14:anchorId="4CBDC492" wp14:editId="272AF70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24132C0" w14:textId="77777777" w:rsidR="00ED5964" w:rsidRDefault="00ED5964"/>
    <w:p w14:paraId="4A44EE87" w14:textId="77777777" w:rsidR="00ED5964" w:rsidRDefault="00ED5964"/>
    <w:p w14:paraId="517F97C5" w14:textId="77777777" w:rsidR="006A5CFC" w:rsidRDefault="006A5CFC"/>
    <w:p w14:paraId="26EE3B88" w14:textId="77777777" w:rsidR="006A5CFC" w:rsidRDefault="006A5CFC"/>
    <w:p w14:paraId="1C6E9784" w14:textId="77777777" w:rsidR="00ED5964" w:rsidRDefault="00ED5964"/>
    <w:p w14:paraId="59B764E4" w14:textId="3662C333" w:rsidR="00ED5964" w:rsidRDefault="00ED5964" w:rsidP="00ED5964">
      <w:pPr>
        <w:jc w:val="both"/>
        <w:rPr>
          <w:rFonts w:asciiTheme="minorBidi" w:hAnsiTheme="minorBidi"/>
          <w:sz w:val="28"/>
          <w:szCs w:val="28"/>
        </w:rPr>
      </w:pPr>
      <w:r>
        <w:rPr>
          <w:rFonts w:asciiTheme="minorBidi" w:hAnsiTheme="minorBidi"/>
          <w:sz w:val="22"/>
          <w:szCs w:val="28"/>
        </w:rPr>
        <w:t xml:space="preserve">Name: </w:t>
      </w:r>
      <w:r w:rsidR="00544A01">
        <w:rPr>
          <w:rFonts w:asciiTheme="minorBidi" w:hAnsiTheme="minorBidi"/>
          <w:sz w:val="22"/>
          <w:szCs w:val="28"/>
        </w:rPr>
        <w:t>Amidu George Wallace</w:t>
      </w:r>
    </w:p>
    <w:p w14:paraId="6BA652AC" w14:textId="44FE2FE8" w:rsidR="00ED5964" w:rsidRDefault="00ED5964" w:rsidP="00ED5964">
      <w:pPr>
        <w:jc w:val="both"/>
        <w:rPr>
          <w:rFonts w:asciiTheme="minorBidi" w:hAnsiTheme="minorBidi"/>
          <w:sz w:val="28"/>
          <w:szCs w:val="28"/>
        </w:rPr>
      </w:pPr>
      <w:r>
        <w:rPr>
          <w:rFonts w:asciiTheme="minorBidi" w:hAnsiTheme="minorBidi"/>
          <w:sz w:val="22"/>
          <w:szCs w:val="28"/>
        </w:rPr>
        <w:t xml:space="preserve">Student ID: </w:t>
      </w:r>
      <w:r w:rsidR="00544A01">
        <w:rPr>
          <w:rFonts w:asciiTheme="minorBidi" w:hAnsiTheme="minorBidi"/>
          <w:sz w:val="22"/>
          <w:szCs w:val="28"/>
        </w:rPr>
        <w:t>2544485</w:t>
      </w:r>
    </w:p>
    <w:p w14:paraId="66BE7423" w14:textId="12CC6E91" w:rsidR="00ED5964" w:rsidRPr="006D5FBC" w:rsidRDefault="00ED5964" w:rsidP="00ED5964">
      <w:pPr>
        <w:jc w:val="both"/>
        <w:rPr>
          <w:rFonts w:asciiTheme="minorBidi" w:hAnsiTheme="minorBidi"/>
          <w:sz w:val="22"/>
        </w:rPr>
      </w:pPr>
      <w:r>
        <w:rPr>
          <w:rFonts w:asciiTheme="minorBidi" w:hAnsiTheme="minorBidi"/>
          <w:sz w:val="22"/>
          <w:szCs w:val="28"/>
        </w:rPr>
        <w:t xml:space="preserve">Module Code: </w:t>
      </w:r>
      <w:r w:rsidR="006D5FBC" w:rsidRPr="006D5FBC">
        <w:rPr>
          <w:rFonts w:asciiTheme="minorBidi" w:hAnsiTheme="minorBidi"/>
          <w:sz w:val="22"/>
        </w:rPr>
        <w:t>LCHS4001</w:t>
      </w:r>
    </w:p>
    <w:p w14:paraId="337A5309" w14:textId="67787279" w:rsidR="00ED5964" w:rsidRDefault="00ED5964" w:rsidP="00ED5964">
      <w:pPr>
        <w:jc w:val="both"/>
        <w:rPr>
          <w:rFonts w:asciiTheme="minorBidi" w:hAnsiTheme="minorBidi"/>
          <w:sz w:val="28"/>
          <w:szCs w:val="28"/>
        </w:rPr>
      </w:pPr>
      <w:r>
        <w:rPr>
          <w:rFonts w:asciiTheme="minorBidi" w:hAnsiTheme="minorBidi"/>
          <w:sz w:val="22"/>
          <w:szCs w:val="28"/>
        </w:rPr>
        <w:t xml:space="preserve">Module: </w:t>
      </w:r>
      <w:r w:rsidR="006D5FBC">
        <w:rPr>
          <w:rFonts w:asciiTheme="minorBidi" w:hAnsiTheme="minorBidi"/>
          <w:sz w:val="22"/>
          <w:szCs w:val="28"/>
        </w:rPr>
        <w:t>Academic and Employability Skills</w:t>
      </w:r>
    </w:p>
    <w:p w14:paraId="76D03E75" w14:textId="4D9A9D30" w:rsidR="00ED5964" w:rsidRDefault="00ED5964" w:rsidP="00ED5964">
      <w:pPr>
        <w:jc w:val="both"/>
        <w:rPr>
          <w:rFonts w:asciiTheme="minorBidi" w:hAnsiTheme="minorBidi"/>
          <w:sz w:val="28"/>
          <w:szCs w:val="28"/>
        </w:rPr>
      </w:pPr>
      <w:r>
        <w:rPr>
          <w:rFonts w:asciiTheme="minorBidi" w:hAnsiTheme="minorBidi"/>
          <w:sz w:val="22"/>
          <w:szCs w:val="28"/>
        </w:rPr>
        <w:t xml:space="preserve">Lecturer: </w:t>
      </w:r>
      <w:r w:rsidR="006D5FBC">
        <w:rPr>
          <w:rFonts w:asciiTheme="minorBidi" w:hAnsiTheme="minorBidi"/>
          <w:sz w:val="22"/>
          <w:szCs w:val="28"/>
        </w:rPr>
        <w:t>Rajeev Nath</w:t>
      </w:r>
    </w:p>
    <w:p w14:paraId="2DF90591" w14:textId="77777777" w:rsidR="00ED5964" w:rsidRDefault="00ED5964" w:rsidP="00ED5964">
      <w:pPr>
        <w:jc w:val="both"/>
        <w:rPr>
          <w:rFonts w:asciiTheme="minorBidi" w:hAnsiTheme="minorBidi"/>
          <w:sz w:val="28"/>
          <w:szCs w:val="28"/>
        </w:rPr>
      </w:pPr>
    </w:p>
    <w:p w14:paraId="45575747" w14:textId="77777777" w:rsidR="00ED5964" w:rsidRDefault="00ED5964" w:rsidP="00ED5964">
      <w:pPr>
        <w:jc w:val="both"/>
        <w:rPr>
          <w:rFonts w:asciiTheme="minorBidi" w:hAnsiTheme="minorBidi"/>
          <w:sz w:val="28"/>
          <w:szCs w:val="28"/>
        </w:rPr>
      </w:pPr>
    </w:p>
    <w:p w14:paraId="42BC2332" w14:textId="77777777" w:rsidR="00ED5964" w:rsidRDefault="00ED5964" w:rsidP="00ED5964">
      <w:pPr>
        <w:jc w:val="both"/>
        <w:rPr>
          <w:rFonts w:asciiTheme="minorBidi" w:hAnsiTheme="minorBidi"/>
          <w:sz w:val="28"/>
          <w:szCs w:val="28"/>
        </w:rPr>
      </w:pPr>
    </w:p>
    <w:p w14:paraId="469F1E4A" w14:textId="77777777" w:rsidR="00ED5964" w:rsidRDefault="00ED5964" w:rsidP="00ED5964">
      <w:pPr>
        <w:jc w:val="both"/>
        <w:rPr>
          <w:rFonts w:asciiTheme="minorBidi" w:hAnsiTheme="minorBidi"/>
          <w:sz w:val="28"/>
          <w:szCs w:val="28"/>
        </w:rPr>
      </w:pPr>
    </w:p>
    <w:p w14:paraId="6159D0A7" w14:textId="77777777" w:rsidR="00ED5964" w:rsidRDefault="00ED5964" w:rsidP="00ED5964">
      <w:pPr>
        <w:jc w:val="both"/>
        <w:rPr>
          <w:rFonts w:asciiTheme="minorBidi" w:hAnsiTheme="minorBidi"/>
          <w:sz w:val="28"/>
          <w:szCs w:val="28"/>
        </w:rPr>
      </w:pPr>
    </w:p>
    <w:p w14:paraId="4DA6735B" w14:textId="77777777" w:rsidR="00ED5964" w:rsidRDefault="00ED5964" w:rsidP="00ED5964">
      <w:pPr>
        <w:jc w:val="both"/>
        <w:rPr>
          <w:rFonts w:asciiTheme="minorBidi" w:hAnsiTheme="minorBidi"/>
          <w:sz w:val="28"/>
          <w:szCs w:val="28"/>
        </w:rPr>
      </w:pPr>
    </w:p>
    <w:p w14:paraId="05A437FD" w14:textId="77777777" w:rsidR="00ED5964" w:rsidRDefault="00ED5964" w:rsidP="00ED5964">
      <w:pPr>
        <w:jc w:val="both"/>
        <w:rPr>
          <w:rFonts w:asciiTheme="minorBidi" w:hAnsiTheme="minorBidi"/>
          <w:sz w:val="28"/>
          <w:szCs w:val="28"/>
        </w:rPr>
      </w:pPr>
    </w:p>
    <w:p w14:paraId="080494CB" w14:textId="73D0D39D" w:rsidR="00ED5964" w:rsidRDefault="00ED5964" w:rsidP="00ED5964">
      <w:pPr>
        <w:jc w:val="both"/>
        <w:rPr>
          <w:rFonts w:asciiTheme="minorBidi" w:hAnsiTheme="minorBidi"/>
          <w:sz w:val="28"/>
          <w:szCs w:val="28"/>
        </w:rPr>
      </w:pPr>
      <w:r>
        <w:rPr>
          <w:rFonts w:asciiTheme="minorBidi" w:hAnsiTheme="minorBidi"/>
          <w:sz w:val="22"/>
          <w:szCs w:val="28"/>
        </w:rPr>
        <w:tab/>
      </w:r>
      <w:r>
        <w:rPr>
          <w:rFonts w:asciiTheme="minorBidi" w:hAnsiTheme="minorBidi"/>
          <w:sz w:val="22"/>
          <w:szCs w:val="28"/>
        </w:rPr>
        <w:tab/>
      </w:r>
      <w:r>
        <w:rPr>
          <w:rFonts w:asciiTheme="minorBidi" w:hAnsiTheme="minorBidi"/>
          <w:sz w:val="22"/>
          <w:szCs w:val="28"/>
        </w:rPr>
        <w:tab/>
      </w:r>
      <w:r w:rsidR="006A5CFC">
        <w:rPr>
          <w:rFonts w:asciiTheme="minorBidi" w:hAnsiTheme="minorBidi"/>
          <w:sz w:val="22"/>
          <w:szCs w:val="28"/>
        </w:rPr>
        <w:tab/>
      </w:r>
      <w:r>
        <w:rPr>
          <w:rFonts w:asciiTheme="minorBidi" w:hAnsiTheme="minorBidi"/>
          <w:sz w:val="22"/>
          <w:szCs w:val="28"/>
        </w:rPr>
        <w:t xml:space="preserve">Submitted on: </w:t>
      </w:r>
      <w:r w:rsidR="006D5FBC">
        <w:rPr>
          <w:rFonts w:asciiTheme="minorBidi" w:hAnsiTheme="minorBidi"/>
          <w:sz w:val="22"/>
          <w:szCs w:val="28"/>
        </w:rPr>
        <w:t>16/08/2026</w:t>
      </w:r>
    </w:p>
    <w:p w14:paraId="32CCE5D8" w14:textId="77777777" w:rsidR="00ED5964" w:rsidRDefault="00ED5964" w:rsidP="00ED5964">
      <w:pPr>
        <w:jc w:val="both"/>
        <w:rPr>
          <w:rFonts w:asciiTheme="minorBidi" w:hAnsiTheme="minorBidi"/>
          <w:sz w:val="28"/>
          <w:szCs w:val="28"/>
        </w:rPr>
      </w:pPr>
    </w:p>
    <w:p w14:paraId="799A6ED9" w14:textId="77777777" w:rsidR="00ED5964" w:rsidRDefault="00ED5964" w:rsidP="00ED5964">
      <w:pPr>
        <w:jc w:val="both"/>
        <w:rPr>
          <w:rFonts w:asciiTheme="minorBidi" w:hAnsiTheme="minorBidi"/>
          <w:sz w:val="28"/>
          <w:szCs w:val="28"/>
        </w:rPr>
      </w:pPr>
    </w:p>
    <w:p w14:paraId="349B83CD" w14:textId="77777777" w:rsidR="00ED5964" w:rsidRDefault="00ED5964" w:rsidP="00ED5964">
      <w:pPr>
        <w:jc w:val="both"/>
        <w:rPr>
          <w:rFonts w:asciiTheme="minorBidi" w:hAnsiTheme="minorBidi"/>
          <w:sz w:val="28"/>
          <w:szCs w:val="28"/>
        </w:rPr>
      </w:pPr>
    </w:p>
    <w:p w14:paraId="4D1C2ACF" w14:textId="77777777" w:rsidR="00ED5964" w:rsidRDefault="00ED5964" w:rsidP="00ED5964">
      <w:pPr>
        <w:jc w:val="both"/>
        <w:rPr>
          <w:rFonts w:asciiTheme="minorBidi" w:hAnsiTheme="minorBidi"/>
          <w:sz w:val="28"/>
          <w:szCs w:val="28"/>
        </w:rPr>
      </w:pPr>
    </w:p>
    <w:p w14:paraId="4CA33126" w14:textId="77777777" w:rsidR="00ED5964" w:rsidRDefault="00ED5964" w:rsidP="00ED5964">
      <w:pPr>
        <w:jc w:val="both"/>
        <w:rPr>
          <w:rFonts w:asciiTheme="minorBidi" w:hAnsiTheme="minorBidi"/>
          <w:sz w:val="28"/>
          <w:szCs w:val="28"/>
        </w:rPr>
      </w:pPr>
    </w:p>
    <w:p w14:paraId="2BA15280"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6E6CE37" w14:textId="77777777" w:rsidR="00184A9A" w:rsidRPr="002976D4" w:rsidRDefault="00184A9A">
          <w:pPr>
            <w:pStyle w:val="TOCHeading"/>
            <w:rPr>
              <w:color w:val="4472C4" w:themeColor="accent1"/>
            </w:rPr>
          </w:pPr>
          <w:r w:rsidRPr="0CF501EC">
            <w:rPr>
              <w:color w:val="4471C4"/>
            </w:rPr>
            <w:t>Table of Contents</w:t>
          </w:r>
        </w:p>
        <w:p w14:paraId="37762C4F" w14:textId="260A7FFD" w:rsidR="007E5E82" w:rsidRDefault="0156E134">
          <w:pPr>
            <w:pStyle w:val="TOC1"/>
            <w:tabs>
              <w:tab w:val="right" w:leader="dot" w:pos="9016"/>
            </w:tabs>
            <w:rPr>
              <w:rFonts w:asciiTheme="minorHAnsi" w:hAnsiTheme="minorHAnsi" w:cstheme="minorBidi"/>
              <w:b w:val="0"/>
              <w:bCs w:val="0"/>
              <w:i w:val="0"/>
              <w:iCs w:val="0"/>
              <w:noProof/>
              <w:lang w:eastAsia="en-GB"/>
            </w:rPr>
          </w:pPr>
          <w:r>
            <w:fldChar w:fldCharType="begin"/>
          </w:r>
          <w:r w:rsidR="00184A9A">
            <w:instrText>TOC \o "1-3" \z \u \h</w:instrText>
          </w:r>
          <w:r>
            <w:fldChar w:fldCharType="separate"/>
          </w:r>
          <w:hyperlink w:anchor="_Toc237783105" w:history="1">
            <w:r w:rsidR="007E5E82" w:rsidRPr="002D3046">
              <w:rPr>
                <w:rStyle w:val="Hyperlink"/>
                <w:noProof/>
              </w:rPr>
              <w:t>1 Introduction</w:t>
            </w:r>
            <w:r w:rsidR="007E5E82">
              <w:rPr>
                <w:noProof/>
                <w:webHidden/>
              </w:rPr>
              <w:tab/>
            </w:r>
            <w:r w:rsidR="007E5E82">
              <w:rPr>
                <w:noProof/>
                <w:webHidden/>
              </w:rPr>
              <w:fldChar w:fldCharType="begin"/>
            </w:r>
            <w:r w:rsidR="007E5E82">
              <w:rPr>
                <w:noProof/>
                <w:webHidden/>
              </w:rPr>
              <w:instrText xml:space="preserve"> PAGEREF _Toc237783105 \h </w:instrText>
            </w:r>
            <w:r w:rsidR="007E5E82">
              <w:rPr>
                <w:noProof/>
                <w:webHidden/>
              </w:rPr>
            </w:r>
            <w:r w:rsidR="007E5E82">
              <w:rPr>
                <w:noProof/>
                <w:webHidden/>
              </w:rPr>
              <w:fldChar w:fldCharType="separate"/>
            </w:r>
            <w:r w:rsidR="007E5E82">
              <w:rPr>
                <w:noProof/>
                <w:webHidden/>
              </w:rPr>
              <w:t>3</w:t>
            </w:r>
            <w:r w:rsidR="007E5E82">
              <w:rPr>
                <w:noProof/>
                <w:webHidden/>
              </w:rPr>
              <w:fldChar w:fldCharType="end"/>
            </w:r>
          </w:hyperlink>
        </w:p>
        <w:p w14:paraId="4B8E960F" w14:textId="606B5503" w:rsidR="007E5E82" w:rsidRDefault="007E5E82">
          <w:pPr>
            <w:pStyle w:val="TOC1"/>
            <w:tabs>
              <w:tab w:val="right" w:leader="dot" w:pos="9016"/>
            </w:tabs>
            <w:rPr>
              <w:rFonts w:asciiTheme="minorHAnsi" w:hAnsiTheme="minorHAnsi" w:cstheme="minorBidi"/>
              <w:b w:val="0"/>
              <w:bCs w:val="0"/>
              <w:i w:val="0"/>
              <w:iCs w:val="0"/>
              <w:noProof/>
              <w:lang w:eastAsia="en-GB"/>
            </w:rPr>
          </w:pPr>
          <w:hyperlink w:anchor="_Toc237783106" w:history="1">
            <w:r w:rsidRPr="002D3046">
              <w:rPr>
                <w:rStyle w:val="Hyperlink"/>
                <w:noProof/>
              </w:rPr>
              <w:t>2 Care Assistant in the Health and Social Care Field</w:t>
            </w:r>
            <w:r>
              <w:rPr>
                <w:noProof/>
                <w:webHidden/>
              </w:rPr>
              <w:tab/>
            </w:r>
            <w:r>
              <w:rPr>
                <w:noProof/>
                <w:webHidden/>
              </w:rPr>
              <w:fldChar w:fldCharType="begin"/>
            </w:r>
            <w:r>
              <w:rPr>
                <w:noProof/>
                <w:webHidden/>
              </w:rPr>
              <w:instrText xml:space="preserve"> PAGEREF _Toc237783106 \h </w:instrText>
            </w:r>
            <w:r>
              <w:rPr>
                <w:noProof/>
                <w:webHidden/>
              </w:rPr>
            </w:r>
            <w:r>
              <w:rPr>
                <w:noProof/>
                <w:webHidden/>
              </w:rPr>
              <w:fldChar w:fldCharType="separate"/>
            </w:r>
            <w:r>
              <w:rPr>
                <w:noProof/>
                <w:webHidden/>
              </w:rPr>
              <w:t>3</w:t>
            </w:r>
            <w:r>
              <w:rPr>
                <w:noProof/>
                <w:webHidden/>
              </w:rPr>
              <w:fldChar w:fldCharType="end"/>
            </w:r>
          </w:hyperlink>
        </w:p>
        <w:p w14:paraId="381FA29A" w14:textId="48563279" w:rsidR="007E5E82" w:rsidRDefault="007E5E82">
          <w:pPr>
            <w:pStyle w:val="TOC2"/>
            <w:tabs>
              <w:tab w:val="right" w:leader="dot" w:pos="9016"/>
            </w:tabs>
            <w:rPr>
              <w:rFonts w:asciiTheme="minorHAnsi" w:hAnsiTheme="minorHAnsi" w:cstheme="minorBidi"/>
              <w:b w:val="0"/>
              <w:bCs w:val="0"/>
              <w:noProof/>
              <w:sz w:val="24"/>
              <w:szCs w:val="24"/>
              <w:lang w:eastAsia="en-GB"/>
            </w:rPr>
          </w:pPr>
          <w:hyperlink w:anchor="_Toc237783107" w:history="1">
            <w:r w:rsidRPr="002D3046">
              <w:rPr>
                <w:rStyle w:val="Hyperlink"/>
                <w:noProof/>
              </w:rPr>
              <w:t>2.1 Description of Care Assistant in Health and Social Care</w:t>
            </w:r>
            <w:r>
              <w:rPr>
                <w:noProof/>
                <w:webHidden/>
              </w:rPr>
              <w:tab/>
            </w:r>
            <w:r>
              <w:rPr>
                <w:noProof/>
                <w:webHidden/>
              </w:rPr>
              <w:fldChar w:fldCharType="begin"/>
            </w:r>
            <w:r>
              <w:rPr>
                <w:noProof/>
                <w:webHidden/>
              </w:rPr>
              <w:instrText xml:space="preserve"> PAGEREF _Toc237783107 \h </w:instrText>
            </w:r>
            <w:r>
              <w:rPr>
                <w:noProof/>
                <w:webHidden/>
              </w:rPr>
            </w:r>
            <w:r>
              <w:rPr>
                <w:noProof/>
                <w:webHidden/>
              </w:rPr>
              <w:fldChar w:fldCharType="separate"/>
            </w:r>
            <w:r>
              <w:rPr>
                <w:noProof/>
                <w:webHidden/>
              </w:rPr>
              <w:t>3</w:t>
            </w:r>
            <w:r>
              <w:rPr>
                <w:noProof/>
                <w:webHidden/>
              </w:rPr>
              <w:fldChar w:fldCharType="end"/>
            </w:r>
          </w:hyperlink>
        </w:p>
        <w:p w14:paraId="30ADD007" w14:textId="4C6B0797" w:rsidR="007E5E82" w:rsidRDefault="007E5E82">
          <w:pPr>
            <w:pStyle w:val="TOC2"/>
            <w:tabs>
              <w:tab w:val="right" w:leader="dot" w:pos="9016"/>
            </w:tabs>
            <w:rPr>
              <w:rFonts w:asciiTheme="minorHAnsi" w:hAnsiTheme="minorHAnsi" w:cstheme="minorBidi"/>
              <w:b w:val="0"/>
              <w:bCs w:val="0"/>
              <w:noProof/>
              <w:sz w:val="24"/>
              <w:szCs w:val="24"/>
              <w:lang w:eastAsia="en-GB"/>
            </w:rPr>
          </w:pPr>
          <w:hyperlink w:anchor="_Toc237783108" w:history="1">
            <w:r w:rsidRPr="002D3046">
              <w:rPr>
                <w:rStyle w:val="Hyperlink"/>
                <w:noProof/>
              </w:rPr>
              <w:t>2.2 Explanation of Most Significant Skills Needed for Care Assistant in Health and Social Care</w:t>
            </w:r>
            <w:r>
              <w:rPr>
                <w:noProof/>
                <w:webHidden/>
              </w:rPr>
              <w:tab/>
            </w:r>
            <w:r>
              <w:rPr>
                <w:noProof/>
                <w:webHidden/>
              </w:rPr>
              <w:fldChar w:fldCharType="begin"/>
            </w:r>
            <w:r>
              <w:rPr>
                <w:noProof/>
                <w:webHidden/>
              </w:rPr>
              <w:instrText xml:space="preserve"> PAGEREF _Toc237783108 \h </w:instrText>
            </w:r>
            <w:r>
              <w:rPr>
                <w:noProof/>
                <w:webHidden/>
              </w:rPr>
            </w:r>
            <w:r>
              <w:rPr>
                <w:noProof/>
                <w:webHidden/>
              </w:rPr>
              <w:fldChar w:fldCharType="separate"/>
            </w:r>
            <w:r>
              <w:rPr>
                <w:noProof/>
                <w:webHidden/>
              </w:rPr>
              <w:t>3</w:t>
            </w:r>
            <w:r>
              <w:rPr>
                <w:noProof/>
                <w:webHidden/>
              </w:rPr>
              <w:fldChar w:fldCharType="end"/>
            </w:r>
          </w:hyperlink>
        </w:p>
        <w:p w14:paraId="17126D78" w14:textId="78884D43" w:rsidR="007E5E82" w:rsidRDefault="007E5E82">
          <w:pPr>
            <w:pStyle w:val="TOC1"/>
            <w:tabs>
              <w:tab w:val="right" w:leader="dot" w:pos="9016"/>
            </w:tabs>
            <w:rPr>
              <w:rFonts w:asciiTheme="minorHAnsi" w:hAnsiTheme="minorHAnsi" w:cstheme="minorBidi"/>
              <w:b w:val="0"/>
              <w:bCs w:val="0"/>
              <w:i w:val="0"/>
              <w:iCs w:val="0"/>
              <w:noProof/>
              <w:lang w:eastAsia="en-GB"/>
            </w:rPr>
          </w:pPr>
          <w:hyperlink w:anchor="_Toc237783109" w:history="1">
            <w:r w:rsidRPr="002D3046">
              <w:rPr>
                <w:rStyle w:val="Hyperlink"/>
                <w:noProof/>
              </w:rPr>
              <w:t>3 Strategies for Skill Improvement for Care Assistants</w:t>
            </w:r>
            <w:r>
              <w:rPr>
                <w:noProof/>
                <w:webHidden/>
              </w:rPr>
              <w:tab/>
            </w:r>
            <w:r>
              <w:rPr>
                <w:noProof/>
                <w:webHidden/>
              </w:rPr>
              <w:fldChar w:fldCharType="begin"/>
            </w:r>
            <w:r>
              <w:rPr>
                <w:noProof/>
                <w:webHidden/>
              </w:rPr>
              <w:instrText xml:space="preserve"> PAGEREF _Toc237783109 \h </w:instrText>
            </w:r>
            <w:r>
              <w:rPr>
                <w:noProof/>
                <w:webHidden/>
              </w:rPr>
            </w:r>
            <w:r>
              <w:rPr>
                <w:noProof/>
                <w:webHidden/>
              </w:rPr>
              <w:fldChar w:fldCharType="separate"/>
            </w:r>
            <w:r>
              <w:rPr>
                <w:noProof/>
                <w:webHidden/>
              </w:rPr>
              <w:t>4</w:t>
            </w:r>
            <w:r>
              <w:rPr>
                <w:noProof/>
                <w:webHidden/>
              </w:rPr>
              <w:fldChar w:fldCharType="end"/>
            </w:r>
          </w:hyperlink>
        </w:p>
        <w:p w14:paraId="38FE4EAA" w14:textId="16666B66" w:rsidR="007E5E82" w:rsidRDefault="007E5E82">
          <w:pPr>
            <w:pStyle w:val="TOC2"/>
            <w:tabs>
              <w:tab w:val="right" w:leader="dot" w:pos="9016"/>
            </w:tabs>
            <w:rPr>
              <w:rFonts w:asciiTheme="minorHAnsi" w:hAnsiTheme="minorHAnsi" w:cstheme="minorBidi"/>
              <w:b w:val="0"/>
              <w:bCs w:val="0"/>
              <w:noProof/>
              <w:sz w:val="24"/>
              <w:szCs w:val="24"/>
              <w:lang w:eastAsia="en-GB"/>
            </w:rPr>
          </w:pPr>
          <w:hyperlink w:anchor="_Toc237783110" w:history="1">
            <w:r w:rsidRPr="002D3046">
              <w:rPr>
                <w:rStyle w:val="Hyperlink"/>
                <w:noProof/>
              </w:rPr>
              <w:t>3.1 Three Strategies to Improve the Skills for Care Assistants</w:t>
            </w:r>
            <w:r>
              <w:rPr>
                <w:noProof/>
                <w:webHidden/>
              </w:rPr>
              <w:tab/>
            </w:r>
            <w:r>
              <w:rPr>
                <w:noProof/>
                <w:webHidden/>
              </w:rPr>
              <w:fldChar w:fldCharType="begin"/>
            </w:r>
            <w:r>
              <w:rPr>
                <w:noProof/>
                <w:webHidden/>
              </w:rPr>
              <w:instrText xml:space="preserve"> PAGEREF _Toc237783110 \h </w:instrText>
            </w:r>
            <w:r>
              <w:rPr>
                <w:noProof/>
                <w:webHidden/>
              </w:rPr>
            </w:r>
            <w:r>
              <w:rPr>
                <w:noProof/>
                <w:webHidden/>
              </w:rPr>
              <w:fldChar w:fldCharType="separate"/>
            </w:r>
            <w:r>
              <w:rPr>
                <w:noProof/>
                <w:webHidden/>
              </w:rPr>
              <w:t>4</w:t>
            </w:r>
            <w:r>
              <w:rPr>
                <w:noProof/>
                <w:webHidden/>
              </w:rPr>
              <w:fldChar w:fldCharType="end"/>
            </w:r>
          </w:hyperlink>
        </w:p>
        <w:p w14:paraId="0F1CA0D5" w14:textId="26198B30" w:rsidR="007E5E82" w:rsidRDefault="007E5E82">
          <w:pPr>
            <w:pStyle w:val="TOC1"/>
            <w:tabs>
              <w:tab w:val="right" w:leader="dot" w:pos="9016"/>
            </w:tabs>
            <w:rPr>
              <w:rFonts w:asciiTheme="minorHAnsi" w:hAnsiTheme="minorHAnsi" w:cstheme="minorBidi"/>
              <w:b w:val="0"/>
              <w:bCs w:val="0"/>
              <w:i w:val="0"/>
              <w:iCs w:val="0"/>
              <w:noProof/>
              <w:lang w:eastAsia="en-GB"/>
            </w:rPr>
          </w:pPr>
          <w:hyperlink w:anchor="_Toc237783111" w:history="1">
            <w:r w:rsidRPr="002D3046">
              <w:rPr>
                <w:rStyle w:val="Hyperlink"/>
                <w:noProof/>
              </w:rPr>
              <w:t>4 Conclusion</w:t>
            </w:r>
            <w:r>
              <w:rPr>
                <w:noProof/>
                <w:webHidden/>
              </w:rPr>
              <w:tab/>
            </w:r>
            <w:r>
              <w:rPr>
                <w:noProof/>
                <w:webHidden/>
              </w:rPr>
              <w:fldChar w:fldCharType="begin"/>
            </w:r>
            <w:r>
              <w:rPr>
                <w:noProof/>
                <w:webHidden/>
              </w:rPr>
              <w:instrText xml:space="preserve"> PAGEREF _Toc237783111 \h </w:instrText>
            </w:r>
            <w:r>
              <w:rPr>
                <w:noProof/>
                <w:webHidden/>
              </w:rPr>
            </w:r>
            <w:r>
              <w:rPr>
                <w:noProof/>
                <w:webHidden/>
              </w:rPr>
              <w:fldChar w:fldCharType="separate"/>
            </w:r>
            <w:r>
              <w:rPr>
                <w:noProof/>
                <w:webHidden/>
              </w:rPr>
              <w:t>5</w:t>
            </w:r>
            <w:r>
              <w:rPr>
                <w:noProof/>
                <w:webHidden/>
              </w:rPr>
              <w:fldChar w:fldCharType="end"/>
            </w:r>
          </w:hyperlink>
        </w:p>
        <w:p w14:paraId="5852D362" w14:textId="658C1904" w:rsidR="007E5E82" w:rsidRDefault="007E5E82">
          <w:pPr>
            <w:pStyle w:val="TOC1"/>
            <w:tabs>
              <w:tab w:val="right" w:leader="dot" w:pos="9016"/>
            </w:tabs>
            <w:rPr>
              <w:rFonts w:asciiTheme="minorHAnsi" w:hAnsiTheme="minorHAnsi" w:cstheme="minorBidi"/>
              <w:b w:val="0"/>
              <w:bCs w:val="0"/>
              <w:i w:val="0"/>
              <w:iCs w:val="0"/>
              <w:noProof/>
              <w:lang w:eastAsia="en-GB"/>
            </w:rPr>
          </w:pPr>
          <w:hyperlink w:anchor="_Toc237783112" w:history="1">
            <w:r w:rsidRPr="002D3046">
              <w:rPr>
                <w:rStyle w:val="Hyperlink"/>
                <w:noProof/>
              </w:rPr>
              <w:t>5 Reference List</w:t>
            </w:r>
            <w:r>
              <w:rPr>
                <w:noProof/>
                <w:webHidden/>
              </w:rPr>
              <w:tab/>
            </w:r>
            <w:r>
              <w:rPr>
                <w:noProof/>
                <w:webHidden/>
              </w:rPr>
              <w:fldChar w:fldCharType="begin"/>
            </w:r>
            <w:r>
              <w:rPr>
                <w:noProof/>
                <w:webHidden/>
              </w:rPr>
              <w:instrText xml:space="preserve"> PAGEREF _Toc237783112 \h </w:instrText>
            </w:r>
            <w:r>
              <w:rPr>
                <w:noProof/>
                <w:webHidden/>
              </w:rPr>
            </w:r>
            <w:r>
              <w:rPr>
                <w:noProof/>
                <w:webHidden/>
              </w:rPr>
              <w:fldChar w:fldCharType="separate"/>
            </w:r>
            <w:r>
              <w:rPr>
                <w:noProof/>
                <w:webHidden/>
              </w:rPr>
              <w:t>6</w:t>
            </w:r>
            <w:r>
              <w:rPr>
                <w:noProof/>
                <w:webHidden/>
              </w:rPr>
              <w:fldChar w:fldCharType="end"/>
            </w:r>
          </w:hyperlink>
        </w:p>
        <w:p w14:paraId="5A98EDA0" w14:textId="7C8445CB" w:rsidR="0156E134" w:rsidRDefault="0156E134" w:rsidP="0156E134">
          <w:pPr>
            <w:pStyle w:val="TOC2"/>
            <w:tabs>
              <w:tab w:val="right" w:leader="dot" w:pos="9015"/>
            </w:tabs>
            <w:rPr>
              <w:rStyle w:val="Hyperlink"/>
            </w:rPr>
          </w:pPr>
          <w:r>
            <w:fldChar w:fldCharType="end"/>
          </w:r>
        </w:p>
      </w:sdtContent>
    </w:sdt>
    <w:p w14:paraId="37E105EB" w14:textId="77777777" w:rsidR="00184A9A" w:rsidRPr="00242974" w:rsidRDefault="00184A9A"/>
    <w:p w14:paraId="4EACDD57" w14:textId="77777777" w:rsidR="00ED5964" w:rsidRPr="00242974" w:rsidRDefault="00ED5964" w:rsidP="00ED5964">
      <w:pPr>
        <w:jc w:val="both"/>
        <w:rPr>
          <w:rFonts w:asciiTheme="minorBidi" w:hAnsiTheme="minorBidi"/>
          <w:b/>
          <w:bCs/>
          <w:sz w:val="28"/>
          <w:szCs w:val="28"/>
        </w:rPr>
      </w:pPr>
    </w:p>
    <w:p w14:paraId="58B42BB2" w14:textId="77777777" w:rsidR="00ED5964" w:rsidRPr="00242974" w:rsidRDefault="00ED5964" w:rsidP="00ED5964">
      <w:pPr>
        <w:jc w:val="both"/>
        <w:rPr>
          <w:rFonts w:asciiTheme="minorBidi" w:hAnsiTheme="minorBidi"/>
          <w:b/>
          <w:bCs/>
          <w:sz w:val="28"/>
          <w:szCs w:val="28"/>
        </w:rPr>
      </w:pPr>
    </w:p>
    <w:p w14:paraId="12FD2462" w14:textId="77777777" w:rsidR="00ED5964" w:rsidRPr="00242974" w:rsidRDefault="00ED5964" w:rsidP="00ED5964">
      <w:pPr>
        <w:jc w:val="both"/>
        <w:rPr>
          <w:rFonts w:asciiTheme="minorBidi" w:hAnsiTheme="minorBidi"/>
          <w:b/>
          <w:bCs/>
          <w:sz w:val="28"/>
          <w:szCs w:val="28"/>
        </w:rPr>
      </w:pPr>
    </w:p>
    <w:p w14:paraId="1469797A" w14:textId="77777777" w:rsidR="00ED5964" w:rsidRPr="00242974" w:rsidRDefault="00ED5964" w:rsidP="00ED5964">
      <w:pPr>
        <w:jc w:val="both"/>
        <w:rPr>
          <w:rFonts w:asciiTheme="minorBidi" w:hAnsiTheme="minorBidi"/>
          <w:b/>
          <w:bCs/>
          <w:sz w:val="28"/>
          <w:szCs w:val="28"/>
        </w:rPr>
      </w:pPr>
    </w:p>
    <w:p w14:paraId="2D6607CD" w14:textId="77777777" w:rsidR="00ED5964" w:rsidRPr="00242974" w:rsidRDefault="00ED5964" w:rsidP="00ED5964">
      <w:pPr>
        <w:jc w:val="both"/>
        <w:rPr>
          <w:rFonts w:asciiTheme="minorBidi" w:hAnsiTheme="minorBidi"/>
          <w:b/>
          <w:bCs/>
          <w:sz w:val="28"/>
          <w:szCs w:val="28"/>
        </w:rPr>
      </w:pPr>
    </w:p>
    <w:p w14:paraId="3E460C14" w14:textId="77777777" w:rsidR="00ED5964" w:rsidRPr="00242974" w:rsidRDefault="00ED5964" w:rsidP="00ED5964">
      <w:pPr>
        <w:jc w:val="both"/>
        <w:rPr>
          <w:rFonts w:asciiTheme="minorBidi" w:hAnsiTheme="minorBidi"/>
          <w:b/>
          <w:bCs/>
          <w:sz w:val="28"/>
          <w:szCs w:val="28"/>
        </w:rPr>
      </w:pPr>
    </w:p>
    <w:p w14:paraId="204A357B" w14:textId="77777777" w:rsidR="00ED5964" w:rsidRPr="00242974" w:rsidRDefault="00ED5964" w:rsidP="00ED5964">
      <w:pPr>
        <w:jc w:val="both"/>
        <w:rPr>
          <w:rFonts w:asciiTheme="minorBidi" w:hAnsiTheme="minorBidi"/>
          <w:b/>
          <w:bCs/>
          <w:sz w:val="28"/>
          <w:szCs w:val="28"/>
        </w:rPr>
      </w:pPr>
    </w:p>
    <w:p w14:paraId="59F27DD5" w14:textId="77777777" w:rsidR="00ED5964" w:rsidRPr="00242974" w:rsidRDefault="00ED5964" w:rsidP="00ED5964">
      <w:pPr>
        <w:jc w:val="both"/>
        <w:rPr>
          <w:rFonts w:asciiTheme="minorBidi" w:hAnsiTheme="minorBidi"/>
          <w:b/>
          <w:bCs/>
          <w:sz w:val="28"/>
          <w:szCs w:val="28"/>
        </w:rPr>
      </w:pPr>
    </w:p>
    <w:p w14:paraId="46D23F87" w14:textId="77777777" w:rsidR="00ED5964" w:rsidRPr="00242974" w:rsidRDefault="00ED5964" w:rsidP="00ED5964">
      <w:pPr>
        <w:jc w:val="both"/>
        <w:rPr>
          <w:rFonts w:asciiTheme="minorBidi" w:hAnsiTheme="minorBidi"/>
          <w:b/>
          <w:bCs/>
          <w:sz w:val="28"/>
          <w:szCs w:val="28"/>
        </w:rPr>
      </w:pPr>
    </w:p>
    <w:p w14:paraId="0ADBEE25" w14:textId="77777777" w:rsidR="005709B1" w:rsidRPr="00242974" w:rsidRDefault="005709B1" w:rsidP="005709B1"/>
    <w:p w14:paraId="324BBB96" w14:textId="77777777" w:rsidR="002E71BA" w:rsidRPr="00242974" w:rsidRDefault="002E71BA">
      <w:pPr>
        <w:rPr>
          <w:b/>
          <w:bCs/>
          <w:sz w:val="21"/>
          <w:szCs w:val="21"/>
        </w:rPr>
      </w:pPr>
      <w:r w:rsidRPr="00242974">
        <w:rPr>
          <w:b/>
          <w:bCs/>
          <w:sz w:val="22"/>
          <w:szCs w:val="21"/>
        </w:rPr>
        <w:br w:type="page"/>
      </w:r>
    </w:p>
    <w:p w14:paraId="20A6E8A8" w14:textId="00E9DC8E" w:rsidR="003C7AE0" w:rsidRDefault="00000000" w:rsidP="006D5FBC">
      <w:pPr>
        <w:pStyle w:val="Heading1"/>
      </w:pPr>
      <w:bookmarkStart w:id="0" w:name="_Toc237783105"/>
      <w:r>
        <w:lastRenderedPageBreak/>
        <w:t>1</w:t>
      </w:r>
      <w:r w:rsidR="006D5FBC">
        <w:t xml:space="preserve"> </w:t>
      </w:r>
      <w:r>
        <w:t>Introduction</w:t>
      </w:r>
      <w:bookmarkEnd w:id="0"/>
    </w:p>
    <w:p w14:paraId="3E383E3D" w14:textId="086D6328" w:rsidR="003C7AE0" w:rsidRDefault="00000000">
      <w:r>
        <w:rPr>
          <w:sz w:val="22"/>
        </w:rPr>
        <w:t xml:space="preserve">Health and social care </w:t>
      </w:r>
      <w:r w:rsidR="006D5FBC">
        <w:rPr>
          <w:sz w:val="22"/>
        </w:rPr>
        <w:t>depend</w:t>
      </w:r>
      <w:r>
        <w:rPr>
          <w:sz w:val="22"/>
        </w:rPr>
        <w:t xml:space="preserve"> on a range of professional roles working together to protect wellbeing, promote independence and provide safe, respectful support. The Care Assistant is an important member of this workforce because the role involves direct contact with people who may require assistance with personal care, daily activities and maintaining their quality of life. This report examines the contribution of the Care Assistant within health and social care and considers the skills needed to perform the role effectively. It first describes the role and its main responsibilities, then explains three significant skills: communication, person-centred practice and safeguarding awareness. The report then considers strategies for strengthening these skills before concluding with their importance to safe and high-quality care.</w:t>
      </w:r>
    </w:p>
    <w:p w14:paraId="0EB86F66" w14:textId="77777777" w:rsidR="003C7AE0" w:rsidRDefault="00000000" w:rsidP="006D5FBC">
      <w:pPr>
        <w:pStyle w:val="Heading1"/>
      </w:pPr>
      <w:bookmarkStart w:id="1" w:name="_Toc237783106"/>
      <w:r>
        <w:t>2 Care Assistant in the Health and Social Care Field</w:t>
      </w:r>
      <w:bookmarkEnd w:id="1"/>
    </w:p>
    <w:p w14:paraId="5496493C" w14:textId="77777777" w:rsidR="003C7AE0" w:rsidRDefault="00000000">
      <w:pPr>
        <w:pStyle w:val="Heading2"/>
      </w:pPr>
      <w:bookmarkStart w:id="2" w:name="_Toc237783107"/>
      <w:r>
        <w:t>2.1 Description of Care Assistant in Health and Social Care</w:t>
      </w:r>
      <w:bookmarkEnd w:id="2"/>
    </w:p>
    <w:p w14:paraId="248470F2" w14:textId="77777777" w:rsidR="003C7AE0" w:rsidRDefault="00000000">
      <w:r>
        <w:rPr>
          <w:sz w:val="22"/>
        </w:rPr>
        <w:t>A Care Assistant provides practical and personal support to people who draw on care and support services, helping them to live as independently and safely as possible. The Department of Health and Social Care (DHSC, 2024) identifies care or support workers as staff who may provide personal care, assistance with everyday life and support for independent living across settings such as residential services, supported living and people's own homes. The role is therefore important because the quality of everyday interactions can influence dignity, safety, comfort and participation in ordinary life. Care Assistants may support washing, dressing, continence, nutrition and hydration, mobility and other daily activities, while also observing changes in a person's condition and reporting concerns to appropriate colleagues. The work requires more than completing physical tasks because care must be adapted to individual needs, preferences and choices.</w:t>
      </w:r>
    </w:p>
    <w:p w14:paraId="07EDA7D8" w14:textId="77777777" w:rsidR="003C7AE0" w:rsidRDefault="00000000">
      <w:r>
        <w:rPr>
          <w:sz w:val="22"/>
        </w:rPr>
        <w:t>Effective performance also depends on interpersonal and practical skills. The current adult social care workforce pathway emphasises positive relationships, teamwork, organised working, compassion, empathy and responsiveness to feedback (DHSC, 2026). A Care Assistant must therefore communicate clearly with individuals, relatives and colleagues, respect privacy and consent, recognise signs of possible abuse or deterioration, and follow workplace procedures. These responsibilities are closely connected with the Care Quality Commission's (CQC, 2026) fundamental standards, which require care to be person-centred, respectful, consent-based and safe. The role consequently combines direct practical support with professional judgement, observation, reliability and a commitment to treating each person as an individual.</w:t>
      </w:r>
    </w:p>
    <w:p w14:paraId="434CB839" w14:textId="77777777" w:rsidR="003C7AE0" w:rsidRDefault="00000000">
      <w:pPr>
        <w:pStyle w:val="Heading2"/>
      </w:pPr>
      <w:bookmarkStart w:id="3" w:name="_Toc237783108"/>
      <w:r>
        <w:t>2.2 Explanation of Most Significant Skills Needed for Care Assistant in Health and Social Care</w:t>
      </w:r>
      <w:bookmarkEnd w:id="3"/>
    </w:p>
    <w:p w14:paraId="714449BB" w14:textId="77777777" w:rsidR="003C7AE0" w:rsidRDefault="00000000">
      <w:r>
        <w:rPr>
          <w:sz w:val="22"/>
        </w:rPr>
        <w:t xml:space="preserve">Communication is one of the most significant skills for a Care Assistant because everyday care depends on understanding what a person needs, wants and is able to express. The DHSC (2026) pathway states that care workers should understand communication and language needs and use a range of communication methods. In practice, this may involve </w:t>
      </w:r>
      <w:r>
        <w:rPr>
          <w:sz w:val="22"/>
        </w:rPr>
        <w:lastRenderedPageBreak/>
        <w:t>speaking calmly to a person before assisting with personal care, checking consent, listening to preferences and using non-verbal cues where speech is difficult. Communication is also essential when reporting a change in a person's condition to a senior colleague. Recent research involving nursing assistants found that education in person-centred communication increased awareness of how communication skills are developed and refined (</w:t>
      </w:r>
      <w:proofErr w:type="spellStart"/>
      <w:r>
        <w:rPr>
          <w:sz w:val="22"/>
        </w:rPr>
        <w:t>Höglander</w:t>
      </w:r>
      <w:proofErr w:type="spellEnd"/>
      <w:r>
        <w:rPr>
          <w:sz w:val="22"/>
        </w:rPr>
        <w:t xml:space="preserve"> et al., 2023). This indicates that effective communication is not simply a personal characteristic but a professional skill that can be strengthened through learning and practice.</w:t>
      </w:r>
    </w:p>
    <w:p w14:paraId="63CD81C5" w14:textId="77777777" w:rsidR="003C7AE0" w:rsidRDefault="00000000">
      <w:r>
        <w:rPr>
          <w:sz w:val="22"/>
        </w:rPr>
        <w:t>Person-centred practice is another essential skill because care should reflect the individual's needs, preferences, rights and level of independence rather than treating every person in the same way. The CQC (2026) states that care should be tailored to individual needs and preferences and that people should be treated with dignity and respect. A Care Assistant demonstrates this skill by offering realistic choices, maintaining privacy during personal care, encouraging a person to complete tasks they can safely manage and respecting cultural or personal preferences. For example, rather than completing a person's morning routine without discussion, the Care Assistant can ask how the person would like to be supported and allow sufficient time for participation. This approach supports autonomy and dignity while making care more responsive to the individual.</w:t>
      </w:r>
    </w:p>
    <w:p w14:paraId="5DF83FB3" w14:textId="77777777" w:rsidR="003C7AE0" w:rsidRDefault="00000000">
      <w:r>
        <w:rPr>
          <w:sz w:val="22"/>
        </w:rPr>
        <w:t>Safeguarding and safety awareness are equally important because Care Assistants are often in a position to notice changes, risks or behaviours that may not be immediately visible to other professionals. The CQC (2026) identifies protection from abuse and avoidable harm as fundamental requirements of care, while DHSC (2024) places safe practice, appropriate competence and professional responsibility within the wider care workforce framework. A Care Assistant may notice unexplained bruising, a sudden change in behaviour, poor nutrition, unsafe mobility or signs of neglect and must follow the organisation's reporting and safeguarding procedures rather than ignoring the concern. Infection prevention is also part of safe practice; DHSC guidance (2024) sets out infection prevention and control principles for adult social care settings. Weak safeguarding awareness, communication or person-centred practice can therefore contribute to missed risks, loss of dignity, poor continuity of care and avoidable harm. Research into simulation-based training for health care assistants found that experiential training improved confidence in communication and helped staff understand the experiences of people living with dementia (O'Connor et al., 2021), demonstrating the practical value of developing these skills.</w:t>
      </w:r>
    </w:p>
    <w:p w14:paraId="17B0ADC4" w14:textId="05E03563" w:rsidR="003C7AE0" w:rsidRDefault="00000000" w:rsidP="006D5FBC">
      <w:pPr>
        <w:pStyle w:val="Heading1"/>
      </w:pPr>
      <w:bookmarkStart w:id="4" w:name="_Toc237783109"/>
      <w:r>
        <w:t xml:space="preserve">3 Strategies for Skill Improvement for Care </w:t>
      </w:r>
      <w:r w:rsidR="006D5FBC">
        <w:t>Assistants</w:t>
      </w:r>
      <w:bookmarkEnd w:id="4"/>
    </w:p>
    <w:p w14:paraId="7006F5B7" w14:textId="55A290AF" w:rsidR="003C7AE0" w:rsidRDefault="00000000">
      <w:pPr>
        <w:pStyle w:val="Heading2"/>
      </w:pPr>
      <w:bookmarkStart w:id="5" w:name="_Toc237783110"/>
      <w:r>
        <w:t xml:space="preserve">3.1 Three Strategies to Improve the Skills for Care </w:t>
      </w:r>
      <w:r w:rsidR="006D5FBC">
        <w:t>Assistants</w:t>
      </w:r>
      <w:bookmarkEnd w:id="5"/>
    </w:p>
    <w:p w14:paraId="560D728D" w14:textId="77777777" w:rsidR="003C7AE0" w:rsidRDefault="00000000">
      <w:r>
        <w:rPr>
          <w:sz w:val="22"/>
        </w:rPr>
        <w:t xml:space="preserve">A structured communication skills programme is an appropriate strategy for improving communication because it gives Care Assistants opportunities to practise listening, questioning, explaining and responding to different communication needs. Training can use role-play based on realistic situations, such as supporting a distressed person, communicating with someone with dementia or reporting a concern to a senior worker. Mackey et al. (2023) found that communication training for personal care assistants was associated with increased confidence in communicating with residents. Similarly, </w:t>
      </w:r>
      <w:proofErr w:type="spellStart"/>
      <w:r>
        <w:rPr>
          <w:sz w:val="22"/>
        </w:rPr>
        <w:t>Höglander</w:t>
      </w:r>
      <w:proofErr w:type="spellEnd"/>
      <w:r>
        <w:rPr>
          <w:sz w:val="22"/>
        </w:rPr>
        <w:t xml:space="preserve"> </w:t>
      </w:r>
      <w:r>
        <w:rPr>
          <w:sz w:val="22"/>
        </w:rPr>
        <w:lastRenderedPageBreak/>
        <w:t>et al. (2023) reported that an educational intervention increased nursing assistants' understanding of person-centred communication. Regular short practice sessions followed by feedback can therefore turn communication principles into consistent workplace behaviour.</w:t>
      </w:r>
    </w:p>
    <w:p w14:paraId="5CF07BD7" w14:textId="77777777" w:rsidR="003C7AE0" w:rsidRDefault="00000000">
      <w:r>
        <w:rPr>
          <w:sz w:val="22"/>
        </w:rPr>
        <w:t>Supervision and reflective practice provide a useful strategy for developing person-centred practice. During supervision, a Care Assistant can review a recent interaction, consider whether the individual's choices and dignity were fully respected, identify what could have been done differently and agree an action for future practice. This approach encourages continuous improvement rather than treating training as a one-off activity. The DHSC (2026) care workforce pathway expects workers to take responsibility for developing their knowledge and skills and to remain open and responsive to feedback. For example, if a person appeared reluctant during personal care, supervision could be used to examine whether communication, timing, privacy or the person's preferences affected the interaction. The agreed learning could then be applied during subsequent shifts.</w:t>
      </w:r>
    </w:p>
    <w:p w14:paraId="10CBC12C" w14:textId="77777777" w:rsidR="003C7AE0" w:rsidRDefault="00000000">
      <w:r>
        <w:rPr>
          <w:sz w:val="22"/>
        </w:rPr>
        <w:t>Mandatory training combined with supervised practice is a suitable strategy for strengthening safeguarding and safety awareness. Training should cover safeguarding procedures, infection prevention and control, moving and handling, recognising deterioration and accurate reporting, followed by supervised application in the workplace. DHSC (2024) provides specific infection prevention and control guidance for adult social care, while the adult social care workforce pathway sets out minimum knowledge and skills required for safe practice (DHSC, 2026). Simulation can also strengthen practical confidence; O'Connor et al. (2021) found that simulation-based learning helped health care assistants develop communication and understanding in care-home situations. Used alongside supervision and competency checks, this strategy can help staff recognise risks earlier and respond according to established procedures.</w:t>
      </w:r>
    </w:p>
    <w:p w14:paraId="73BE7532" w14:textId="77777777" w:rsidR="003C7AE0" w:rsidRDefault="00000000" w:rsidP="006D5FBC">
      <w:pPr>
        <w:pStyle w:val="Heading1"/>
      </w:pPr>
      <w:bookmarkStart w:id="6" w:name="_Toc237783111"/>
      <w:r>
        <w:t>4 Conclusion</w:t>
      </w:r>
      <w:bookmarkEnd w:id="6"/>
    </w:p>
    <w:p w14:paraId="6CA2F28D" w14:textId="77777777" w:rsidR="003C7AE0" w:rsidRDefault="00000000">
      <w:pPr>
        <w:rPr>
          <w:sz w:val="22"/>
        </w:rPr>
      </w:pPr>
      <w:r>
        <w:rPr>
          <w:sz w:val="22"/>
        </w:rPr>
        <w:t>The Care Assistant has a central role in delivering safe, respectful and person-centred support within health and social care. The role involves practical assistance as well as communication, observation, teamwork and responsibility for dignity and safety. Communication enables needs and concerns to be understood and shared, while person-centred practice protects choice, privacy and independence. Safeguarding and safety awareness help prevent avoidable harm and ensure concerns are acted upon appropriately. The three skills can be strengthened through structured communication training, reflective supervision and a combination of mandatory training with supervised practice. Together, these approaches support consistent professional development and contribute to care that is safer, more responsive and more respectful of the people receiving support.</w:t>
      </w:r>
    </w:p>
    <w:p w14:paraId="17C981C9" w14:textId="77777777" w:rsidR="006D5FBC" w:rsidRDefault="006D5FBC">
      <w:pPr>
        <w:rPr>
          <w:sz w:val="22"/>
        </w:rPr>
      </w:pPr>
    </w:p>
    <w:p w14:paraId="0963BDBD" w14:textId="77777777" w:rsidR="006D5FBC" w:rsidRDefault="006D5FBC"/>
    <w:p w14:paraId="424000EF" w14:textId="77777777" w:rsidR="003C7AE0" w:rsidRDefault="00000000" w:rsidP="006D5FBC">
      <w:pPr>
        <w:pStyle w:val="Heading1"/>
      </w:pPr>
      <w:bookmarkStart w:id="7" w:name="_Toc237783112"/>
      <w:r>
        <w:lastRenderedPageBreak/>
        <w:t>5 Reference List</w:t>
      </w:r>
      <w:bookmarkEnd w:id="7"/>
    </w:p>
    <w:p w14:paraId="2C70B874" w14:textId="77777777" w:rsidR="003C7AE0" w:rsidRDefault="00000000">
      <w:r>
        <w:rPr>
          <w:sz w:val="22"/>
        </w:rPr>
        <w:t>Care Quality Commission (CQC) (2026) The fundamental standards of care. Available at: https://www.cqc.org.uk/about-us/fundamental-standards (Accessed: 9 August 2026).</w:t>
      </w:r>
    </w:p>
    <w:p w14:paraId="7B60F5A1" w14:textId="77777777" w:rsidR="003C7AE0" w:rsidRDefault="00000000">
      <w:r>
        <w:rPr>
          <w:sz w:val="22"/>
        </w:rPr>
        <w:t>Department of Health and Social Care (DHSC) (2022) Infection prevention and control in adult social care settings. Available at: https://www.gov.uk/government/publications/infection-prevention-and-control-in-adult-social-care-settings (Accessed: 9 August 2026).</w:t>
      </w:r>
    </w:p>
    <w:p w14:paraId="51BC2A3B" w14:textId="77777777" w:rsidR="003C7AE0" w:rsidRDefault="00000000">
      <w:r>
        <w:rPr>
          <w:sz w:val="22"/>
        </w:rPr>
        <w:t>Department of Health and Social Care (DHSC) (2024) Care workforce pathway for adult social care. Available at: https://www.gov.uk/government/publications/care-workforce-pathway-for-adult-social-care (Accessed: 9 August 2026).</w:t>
      </w:r>
    </w:p>
    <w:p w14:paraId="3AAD064E" w14:textId="77777777" w:rsidR="003C7AE0" w:rsidRDefault="00000000">
      <w:r>
        <w:rPr>
          <w:sz w:val="22"/>
        </w:rPr>
        <w:t>Department of Health and Social Care (DHSC) (2026) Care or support worker role category. Available at: https://www.gov.uk/government/publications/care-workforce-pathway-for-adult-social-care/care-or-support-worker-role-category (Accessed: 9 August 2026).</w:t>
      </w:r>
    </w:p>
    <w:p w14:paraId="1AD7B541" w14:textId="77777777" w:rsidR="003C7AE0" w:rsidRDefault="00000000">
      <w:proofErr w:type="spellStart"/>
      <w:r>
        <w:rPr>
          <w:sz w:val="22"/>
        </w:rPr>
        <w:t>Höglander</w:t>
      </w:r>
      <w:proofErr w:type="spellEnd"/>
      <w:r>
        <w:rPr>
          <w:sz w:val="22"/>
        </w:rPr>
        <w:t xml:space="preserve">, J., Holmström, I.K., Gustafsson, T., Lindberg, E., Maurin Söderholm, H., Hedén, L., von </w:t>
      </w:r>
      <w:proofErr w:type="spellStart"/>
      <w:r>
        <w:rPr>
          <w:sz w:val="22"/>
        </w:rPr>
        <w:t>Heideken</w:t>
      </w:r>
      <w:proofErr w:type="spellEnd"/>
      <w:r>
        <w:rPr>
          <w:sz w:val="22"/>
        </w:rPr>
        <w:t xml:space="preserve"> Wågert, P. and </w:t>
      </w:r>
      <w:proofErr w:type="spellStart"/>
      <w:r>
        <w:rPr>
          <w:sz w:val="22"/>
        </w:rPr>
        <w:t>Sundler</w:t>
      </w:r>
      <w:proofErr w:type="spellEnd"/>
      <w:r>
        <w:rPr>
          <w:sz w:val="22"/>
        </w:rPr>
        <w:t>, A.J. (2023) ‘Sometimes you need an eye-opener’: A qualitative study on nursing assistants' experiences of developing communication skills through an educational intervention on person-centred communication. Nursing Open, 10(7), pp. 4557–4566.</w:t>
      </w:r>
    </w:p>
    <w:p w14:paraId="60514D10" w14:textId="77777777" w:rsidR="003C7AE0" w:rsidRDefault="00000000">
      <w:r>
        <w:rPr>
          <w:sz w:val="22"/>
        </w:rPr>
        <w:t>Mackey, P.J., Hampton, I., Wells, Y., Haines, S. and Solly, K. (2023) ‘Evaluation of the impact of The Little Things training on personal care assistants' confidence to communicate with residents in aged care’. Australasian Journal on Ageing, 42(1), pp. 213–220.</w:t>
      </w:r>
    </w:p>
    <w:p w14:paraId="2A063F79" w14:textId="77777777" w:rsidR="003C7AE0" w:rsidRDefault="00000000">
      <w:r>
        <w:rPr>
          <w:sz w:val="22"/>
        </w:rPr>
        <w:t>O'Connor, S., Kinsman, L., Gilmartin-Thomas, J., Coppinger, T., Buist, A., McNulty, A. and others (2021) ‘This adds another perspective’: Qualitative descriptive study evaluating simulation-based training for health care assistants, to enhance the quality of care in nursing homes. International Journal of Environmental Research and Public Health, 18(8), 3995.</w:t>
      </w:r>
    </w:p>
    <w:sectPr w:rsidR="003C7AE0"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9C258" w14:textId="77777777" w:rsidR="00C34E55" w:rsidRDefault="00C34E55" w:rsidP="003C7C97">
      <w:pPr>
        <w:spacing w:after="0" w:line="240" w:lineRule="auto"/>
      </w:pPr>
      <w:r>
        <w:separator/>
      </w:r>
    </w:p>
  </w:endnote>
  <w:endnote w:type="continuationSeparator" w:id="0">
    <w:p w14:paraId="421A6DDF" w14:textId="77777777" w:rsidR="00C34E55" w:rsidRDefault="00C34E5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E88C2" w14:textId="77777777" w:rsidR="00C34E55" w:rsidRDefault="00C34E55" w:rsidP="003C7C97">
      <w:pPr>
        <w:spacing w:after="0" w:line="240" w:lineRule="auto"/>
      </w:pPr>
      <w:r>
        <w:separator/>
      </w:r>
    </w:p>
  </w:footnote>
  <w:footnote w:type="continuationSeparator" w:id="0">
    <w:p w14:paraId="75C3FED7" w14:textId="77777777" w:rsidR="00C34E55" w:rsidRDefault="00C34E5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120C5E46"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F896B22"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0B2EBF83"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B75C4E2"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0E6A788"/>
    <w:lvl w:ilvl="0" w:tplc="BCCC5174">
      <w:start w:val="1"/>
      <w:numFmt w:val="bullet"/>
      <w:lvlText w:val=""/>
      <w:lvlJc w:val="left"/>
      <w:pPr>
        <w:ind w:left="720" w:hanging="360"/>
      </w:pPr>
      <w:rPr>
        <w:rFonts w:ascii="Symbol" w:hAnsi="Symbol" w:hint="default"/>
      </w:rPr>
    </w:lvl>
    <w:lvl w:ilvl="1" w:tplc="507405BA">
      <w:start w:val="1"/>
      <w:numFmt w:val="bullet"/>
      <w:lvlText w:val="o"/>
      <w:lvlJc w:val="left"/>
      <w:pPr>
        <w:ind w:left="1440" w:hanging="360"/>
      </w:pPr>
      <w:rPr>
        <w:rFonts w:ascii="Courier New" w:hAnsi="Courier New" w:hint="default"/>
      </w:rPr>
    </w:lvl>
    <w:lvl w:ilvl="2" w:tplc="281AF0B6">
      <w:start w:val="1"/>
      <w:numFmt w:val="bullet"/>
      <w:lvlText w:val=""/>
      <w:lvlJc w:val="left"/>
      <w:pPr>
        <w:ind w:left="2160" w:hanging="360"/>
      </w:pPr>
      <w:rPr>
        <w:rFonts w:ascii="Wingdings" w:hAnsi="Wingdings" w:hint="default"/>
      </w:rPr>
    </w:lvl>
    <w:lvl w:ilvl="3" w:tplc="3F38ACA2">
      <w:start w:val="1"/>
      <w:numFmt w:val="bullet"/>
      <w:lvlText w:val=""/>
      <w:lvlJc w:val="left"/>
      <w:pPr>
        <w:ind w:left="2880" w:hanging="360"/>
      </w:pPr>
      <w:rPr>
        <w:rFonts w:ascii="Symbol" w:hAnsi="Symbol" w:hint="default"/>
      </w:rPr>
    </w:lvl>
    <w:lvl w:ilvl="4" w:tplc="3A16C4E0">
      <w:start w:val="1"/>
      <w:numFmt w:val="bullet"/>
      <w:lvlText w:val="o"/>
      <w:lvlJc w:val="left"/>
      <w:pPr>
        <w:ind w:left="3600" w:hanging="360"/>
      </w:pPr>
      <w:rPr>
        <w:rFonts w:ascii="Courier New" w:hAnsi="Courier New" w:hint="default"/>
      </w:rPr>
    </w:lvl>
    <w:lvl w:ilvl="5" w:tplc="4988689E">
      <w:start w:val="1"/>
      <w:numFmt w:val="bullet"/>
      <w:lvlText w:val=""/>
      <w:lvlJc w:val="left"/>
      <w:pPr>
        <w:ind w:left="4320" w:hanging="360"/>
      </w:pPr>
      <w:rPr>
        <w:rFonts w:ascii="Wingdings" w:hAnsi="Wingdings" w:hint="default"/>
      </w:rPr>
    </w:lvl>
    <w:lvl w:ilvl="6" w:tplc="1390E166">
      <w:start w:val="1"/>
      <w:numFmt w:val="bullet"/>
      <w:lvlText w:val=""/>
      <w:lvlJc w:val="left"/>
      <w:pPr>
        <w:ind w:left="5040" w:hanging="360"/>
      </w:pPr>
      <w:rPr>
        <w:rFonts w:ascii="Symbol" w:hAnsi="Symbol" w:hint="default"/>
      </w:rPr>
    </w:lvl>
    <w:lvl w:ilvl="7" w:tplc="8142303E">
      <w:start w:val="1"/>
      <w:numFmt w:val="bullet"/>
      <w:lvlText w:val="o"/>
      <w:lvlJc w:val="left"/>
      <w:pPr>
        <w:ind w:left="5760" w:hanging="360"/>
      </w:pPr>
      <w:rPr>
        <w:rFonts w:ascii="Courier New" w:hAnsi="Courier New" w:hint="default"/>
      </w:rPr>
    </w:lvl>
    <w:lvl w:ilvl="8" w:tplc="0598F73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3489460"/>
    <w:lvl w:ilvl="0" w:tplc="D1A06548">
      <w:start w:val="1"/>
      <w:numFmt w:val="bullet"/>
      <w:lvlText w:val=""/>
      <w:lvlJc w:val="left"/>
      <w:pPr>
        <w:ind w:left="720" w:hanging="360"/>
      </w:pPr>
      <w:rPr>
        <w:rFonts w:ascii="Symbol" w:hAnsi="Symbol" w:hint="default"/>
      </w:rPr>
    </w:lvl>
    <w:lvl w:ilvl="1" w:tplc="F6BE858E">
      <w:start w:val="1"/>
      <w:numFmt w:val="bullet"/>
      <w:lvlText w:val="o"/>
      <w:lvlJc w:val="left"/>
      <w:pPr>
        <w:ind w:left="1440" w:hanging="360"/>
      </w:pPr>
      <w:rPr>
        <w:rFonts w:ascii="Courier New" w:hAnsi="Courier New" w:hint="default"/>
      </w:rPr>
    </w:lvl>
    <w:lvl w:ilvl="2" w:tplc="3A30CE1A">
      <w:start w:val="1"/>
      <w:numFmt w:val="bullet"/>
      <w:lvlText w:val=""/>
      <w:lvlJc w:val="left"/>
      <w:pPr>
        <w:ind w:left="2160" w:hanging="360"/>
      </w:pPr>
      <w:rPr>
        <w:rFonts w:ascii="Wingdings" w:hAnsi="Wingdings" w:hint="default"/>
      </w:rPr>
    </w:lvl>
    <w:lvl w:ilvl="3" w:tplc="3F6A139C">
      <w:start w:val="1"/>
      <w:numFmt w:val="bullet"/>
      <w:lvlText w:val=""/>
      <w:lvlJc w:val="left"/>
      <w:pPr>
        <w:ind w:left="2880" w:hanging="360"/>
      </w:pPr>
      <w:rPr>
        <w:rFonts w:ascii="Symbol" w:hAnsi="Symbol" w:hint="default"/>
      </w:rPr>
    </w:lvl>
    <w:lvl w:ilvl="4" w:tplc="BD4226F8">
      <w:start w:val="1"/>
      <w:numFmt w:val="bullet"/>
      <w:lvlText w:val="o"/>
      <w:lvlJc w:val="left"/>
      <w:pPr>
        <w:ind w:left="3600" w:hanging="360"/>
      </w:pPr>
      <w:rPr>
        <w:rFonts w:ascii="Courier New" w:hAnsi="Courier New" w:hint="default"/>
      </w:rPr>
    </w:lvl>
    <w:lvl w:ilvl="5" w:tplc="4F04A308">
      <w:start w:val="1"/>
      <w:numFmt w:val="bullet"/>
      <w:lvlText w:val=""/>
      <w:lvlJc w:val="left"/>
      <w:pPr>
        <w:ind w:left="4320" w:hanging="360"/>
      </w:pPr>
      <w:rPr>
        <w:rFonts w:ascii="Wingdings" w:hAnsi="Wingdings" w:hint="default"/>
      </w:rPr>
    </w:lvl>
    <w:lvl w:ilvl="6" w:tplc="FE0CB49C">
      <w:start w:val="1"/>
      <w:numFmt w:val="bullet"/>
      <w:lvlText w:val=""/>
      <w:lvlJc w:val="left"/>
      <w:pPr>
        <w:ind w:left="5040" w:hanging="360"/>
      </w:pPr>
      <w:rPr>
        <w:rFonts w:ascii="Symbol" w:hAnsi="Symbol" w:hint="default"/>
      </w:rPr>
    </w:lvl>
    <w:lvl w:ilvl="7" w:tplc="64349B12">
      <w:start w:val="1"/>
      <w:numFmt w:val="bullet"/>
      <w:lvlText w:val="o"/>
      <w:lvlJc w:val="left"/>
      <w:pPr>
        <w:ind w:left="5760" w:hanging="360"/>
      </w:pPr>
      <w:rPr>
        <w:rFonts w:ascii="Courier New" w:hAnsi="Courier New" w:hint="default"/>
      </w:rPr>
    </w:lvl>
    <w:lvl w:ilvl="8" w:tplc="95F6A2C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D918EC0C"/>
    <w:lvl w:ilvl="0" w:tplc="32462E88">
      <w:start w:val="1"/>
      <w:numFmt w:val="bullet"/>
      <w:lvlText w:val=""/>
      <w:lvlJc w:val="left"/>
      <w:pPr>
        <w:ind w:left="720" w:hanging="360"/>
      </w:pPr>
      <w:rPr>
        <w:rFonts w:ascii="Symbol" w:hAnsi="Symbol" w:hint="default"/>
      </w:rPr>
    </w:lvl>
    <w:lvl w:ilvl="1" w:tplc="7E54D748">
      <w:start w:val="1"/>
      <w:numFmt w:val="bullet"/>
      <w:lvlText w:val="o"/>
      <w:lvlJc w:val="left"/>
      <w:pPr>
        <w:ind w:left="1440" w:hanging="360"/>
      </w:pPr>
      <w:rPr>
        <w:rFonts w:ascii="Courier New" w:hAnsi="Courier New" w:hint="default"/>
      </w:rPr>
    </w:lvl>
    <w:lvl w:ilvl="2" w:tplc="8A60E842">
      <w:start w:val="1"/>
      <w:numFmt w:val="bullet"/>
      <w:lvlText w:val=""/>
      <w:lvlJc w:val="left"/>
      <w:pPr>
        <w:ind w:left="2160" w:hanging="360"/>
      </w:pPr>
      <w:rPr>
        <w:rFonts w:ascii="Wingdings" w:hAnsi="Wingdings" w:hint="default"/>
      </w:rPr>
    </w:lvl>
    <w:lvl w:ilvl="3" w:tplc="DFB81258">
      <w:start w:val="1"/>
      <w:numFmt w:val="bullet"/>
      <w:lvlText w:val=""/>
      <w:lvlJc w:val="left"/>
      <w:pPr>
        <w:ind w:left="2880" w:hanging="360"/>
      </w:pPr>
      <w:rPr>
        <w:rFonts w:ascii="Symbol" w:hAnsi="Symbol" w:hint="default"/>
      </w:rPr>
    </w:lvl>
    <w:lvl w:ilvl="4" w:tplc="FF424948">
      <w:start w:val="1"/>
      <w:numFmt w:val="bullet"/>
      <w:lvlText w:val="o"/>
      <w:lvlJc w:val="left"/>
      <w:pPr>
        <w:ind w:left="3600" w:hanging="360"/>
      </w:pPr>
      <w:rPr>
        <w:rFonts w:ascii="Courier New" w:hAnsi="Courier New" w:hint="default"/>
      </w:rPr>
    </w:lvl>
    <w:lvl w:ilvl="5" w:tplc="DB7A8728">
      <w:start w:val="1"/>
      <w:numFmt w:val="bullet"/>
      <w:lvlText w:val=""/>
      <w:lvlJc w:val="left"/>
      <w:pPr>
        <w:ind w:left="4320" w:hanging="360"/>
      </w:pPr>
      <w:rPr>
        <w:rFonts w:ascii="Wingdings" w:hAnsi="Wingdings" w:hint="default"/>
      </w:rPr>
    </w:lvl>
    <w:lvl w:ilvl="6" w:tplc="A298281E">
      <w:start w:val="1"/>
      <w:numFmt w:val="bullet"/>
      <w:lvlText w:val=""/>
      <w:lvlJc w:val="left"/>
      <w:pPr>
        <w:ind w:left="5040" w:hanging="360"/>
      </w:pPr>
      <w:rPr>
        <w:rFonts w:ascii="Symbol" w:hAnsi="Symbol" w:hint="default"/>
      </w:rPr>
    </w:lvl>
    <w:lvl w:ilvl="7" w:tplc="6BFE6D44">
      <w:start w:val="1"/>
      <w:numFmt w:val="bullet"/>
      <w:lvlText w:val="o"/>
      <w:lvlJc w:val="left"/>
      <w:pPr>
        <w:ind w:left="5760" w:hanging="360"/>
      </w:pPr>
      <w:rPr>
        <w:rFonts w:ascii="Courier New" w:hAnsi="Courier New" w:hint="default"/>
      </w:rPr>
    </w:lvl>
    <w:lvl w:ilvl="8" w:tplc="439AE28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41CB2FE"/>
    <w:lvl w:ilvl="0" w:tplc="528EA354">
      <w:start w:val="1"/>
      <w:numFmt w:val="bullet"/>
      <w:lvlText w:val=""/>
      <w:lvlJc w:val="left"/>
      <w:pPr>
        <w:ind w:left="720" w:hanging="360"/>
      </w:pPr>
      <w:rPr>
        <w:rFonts w:ascii="Symbol" w:hAnsi="Symbol" w:hint="default"/>
      </w:rPr>
    </w:lvl>
    <w:lvl w:ilvl="1" w:tplc="577A6A12">
      <w:start w:val="1"/>
      <w:numFmt w:val="bullet"/>
      <w:lvlText w:val="o"/>
      <w:lvlJc w:val="left"/>
      <w:pPr>
        <w:ind w:left="1440" w:hanging="360"/>
      </w:pPr>
      <w:rPr>
        <w:rFonts w:ascii="Courier New" w:hAnsi="Courier New" w:hint="default"/>
      </w:rPr>
    </w:lvl>
    <w:lvl w:ilvl="2" w:tplc="AB123E66">
      <w:start w:val="1"/>
      <w:numFmt w:val="bullet"/>
      <w:lvlText w:val=""/>
      <w:lvlJc w:val="left"/>
      <w:pPr>
        <w:ind w:left="2160" w:hanging="360"/>
      </w:pPr>
      <w:rPr>
        <w:rFonts w:ascii="Wingdings" w:hAnsi="Wingdings" w:hint="default"/>
      </w:rPr>
    </w:lvl>
    <w:lvl w:ilvl="3" w:tplc="3C98F876">
      <w:start w:val="1"/>
      <w:numFmt w:val="bullet"/>
      <w:lvlText w:val=""/>
      <w:lvlJc w:val="left"/>
      <w:pPr>
        <w:ind w:left="2880" w:hanging="360"/>
      </w:pPr>
      <w:rPr>
        <w:rFonts w:ascii="Symbol" w:hAnsi="Symbol" w:hint="default"/>
      </w:rPr>
    </w:lvl>
    <w:lvl w:ilvl="4" w:tplc="5DFAD7B8">
      <w:start w:val="1"/>
      <w:numFmt w:val="bullet"/>
      <w:lvlText w:val="o"/>
      <w:lvlJc w:val="left"/>
      <w:pPr>
        <w:ind w:left="3600" w:hanging="360"/>
      </w:pPr>
      <w:rPr>
        <w:rFonts w:ascii="Courier New" w:hAnsi="Courier New" w:hint="default"/>
      </w:rPr>
    </w:lvl>
    <w:lvl w:ilvl="5" w:tplc="25802C32">
      <w:start w:val="1"/>
      <w:numFmt w:val="bullet"/>
      <w:lvlText w:val=""/>
      <w:lvlJc w:val="left"/>
      <w:pPr>
        <w:ind w:left="4320" w:hanging="360"/>
      </w:pPr>
      <w:rPr>
        <w:rFonts w:ascii="Wingdings" w:hAnsi="Wingdings" w:hint="default"/>
      </w:rPr>
    </w:lvl>
    <w:lvl w:ilvl="6" w:tplc="D3D658C0">
      <w:start w:val="1"/>
      <w:numFmt w:val="bullet"/>
      <w:lvlText w:val=""/>
      <w:lvlJc w:val="left"/>
      <w:pPr>
        <w:ind w:left="5040" w:hanging="360"/>
      </w:pPr>
      <w:rPr>
        <w:rFonts w:ascii="Symbol" w:hAnsi="Symbol" w:hint="default"/>
      </w:rPr>
    </w:lvl>
    <w:lvl w:ilvl="7" w:tplc="38CC5764">
      <w:start w:val="1"/>
      <w:numFmt w:val="bullet"/>
      <w:lvlText w:val="o"/>
      <w:lvlJc w:val="left"/>
      <w:pPr>
        <w:ind w:left="5760" w:hanging="360"/>
      </w:pPr>
      <w:rPr>
        <w:rFonts w:ascii="Courier New" w:hAnsi="Courier New" w:hint="default"/>
      </w:rPr>
    </w:lvl>
    <w:lvl w:ilvl="8" w:tplc="3410ADE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2AA7470"/>
    <w:lvl w:ilvl="0" w:tplc="62CA64E6">
      <w:start w:val="1"/>
      <w:numFmt w:val="bullet"/>
      <w:lvlText w:val=""/>
      <w:lvlJc w:val="left"/>
      <w:pPr>
        <w:ind w:left="720" w:hanging="360"/>
      </w:pPr>
      <w:rPr>
        <w:rFonts w:ascii="Symbol" w:hAnsi="Symbol" w:hint="default"/>
      </w:rPr>
    </w:lvl>
    <w:lvl w:ilvl="1" w:tplc="4C48B48C">
      <w:start w:val="1"/>
      <w:numFmt w:val="bullet"/>
      <w:lvlText w:val="o"/>
      <w:lvlJc w:val="left"/>
      <w:pPr>
        <w:ind w:left="1440" w:hanging="360"/>
      </w:pPr>
      <w:rPr>
        <w:rFonts w:ascii="Courier New" w:hAnsi="Courier New" w:hint="default"/>
      </w:rPr>
    </w:lvl>
    <w:lvl w:ilvl="2" w:tplc="1068C940">
      <w:start w:val="1"/>
      <w:numFmt w:val="bullet"/>
      <w:lvlText w:val=""/>
      <w:lvlJc w:val="left"/>
      <w:pPr>
        <w:ind w:left="2160" w:hanging="360"/>
      </w:pPr>
      <w:rPr>
        <w:rFonts w:ascii="Wingdings" w:hAnsi="Wingdings" w:hint="default"/>
      </w:rPr>
    </w:lvl>
    <w:lvl w:ilvl="3" w:tplc="29D4FFF6">
      <w:start w:val="1"/>
      <w:numFmt w:val="bullet"/>
      <w:lvlText w:val=""/>
      <w:lvlJc w:val="left"/>
      <w:pPr>
        <w:ind w:left="2880" w:hanging="360"/>
      </w:pPr>
      <w:rPr>
        <w:rFonts w:ascii="Symbol" w:hAnsi="Symbol" w:hint="default"/>
      </w:rPr>
    </w:lvl>
    <w:lvl w:ilvl="4" w:tplc="371CAB28">
      <w:start w:val="1"/>
      <w:numFmt w:val="bullet"/>
      <w:lvlText w:val="o"/>
      <w:lvlJc w:val="left"/>
      <w:pPr>
        <w:ind w:left="3600" w:hanging="360"/>
      </w:pPr>
      <w:rPr>
        <w:rFonts w:ascii="Courier New" w:hAnsi="Courier New" w:hint="default"/>
      </w:rPr>
    </w:lvl>
    <w:lvl w:ilvl="5" w:tplc="B412C45A">
      <w:start w:val="1"/>
      <w:numFmt w:val="bullet"/>
      <w:lvlText w:val=""/>
      <w:lvlJc w:val="left"/>
      <w:pPr>
        <w:ind w:left="4320" w:hanging="360"/>
      </w:pPr>
      <w:rPr>
        <w:rFonts w:ascii="Wingdings" w:hAnsi="Wingdings" w:hint="default"/>
      </w:rPr>
    </w:lvl>
    <w:lvl w:ilvl="6" w:tplc="28ACA776">
      <w:start w:val="1"/>
      <w:numFmt w:val="bullet"/>
      <w:lvlText w:val=""/>
      <w:lvlJc w:val="left"/>
      <w:pPr>
        <w:ind w:left="5040" w:hanging="360"/>
      </w:pPr>
      <w:rPr>
        <w:rFonts w:ascii="Symbol" w:hAnsi="Symbol" w:hint="default"/>
      </w:rPr>
    </w:lvl>
    <w:lvl w:ilvl="7" w:tplc="0B8A08D2">
      <w:start w:val="1"/>
      <w:numFmt w:val="bullet"/>
      <w:lvlText w:val="o"/>
      <w:lvlJc w:val="left"/>
      <w:pPr>
        <w:ind w:left="5760" w:hanging="360"/>
      </w:pPr>
      <w:rPr>
        <w:rFonts w:ascii="Courier New" w:hAnsi="Courier New" w:hint="default"/>
      </w:rPr>
    </w:lvl>
    <w:lvl w:ilvl="8" w:tplc="D5A011D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3ACA9B8"/>
    <w:lvl w:ilvl="0" w:tplc="8A4C205C">
      <w:start w:val="1"/>
      <w:numFmt w:val="bullet"/>
      <w:lvlText w:val=""/>
      <w:lvlJc w:val="left"/>
      <w:pPr>
        <w:ind w:left="720" w:hanging="360"/>
      </w:pPr>
      <w:rPr>
        <w:rFonts w:ascii="Symbol" w:hAnsi="Symbol" w:hint="default"/>
      </w:rPr>
    </w:lvl>
    <w:lvl w:ilvl="1" w:tplc="BAFC081C">
      <w:start w:val="1"/>
      <w:numFmt w:val="bullet"/>
      <w:lvlText w:val="o"/>
      <w:lvlJc w:val="left"/>
      <w:pPr>
        <w:ind w:left="1440" w:hanging="360"/>
      </w:pPr>
      <w:rPr>
        <w:rFonts w:ascii="Courier New" w:hAnsi="Courier New" w:hint="default"/>
      </w:rPr>
    </w:lvl>
    <w:lvl w:ilvl="2" w:tplc="852A1C84">
      <w:start w:val="1"/>
      <w:numFmt w:val="bullet"/>
      <w:lvlText w:val=""/>
      <w:lvlJc w:val="left"/>
      <w:pPr>
        <w:ind w:left="2160" w:hanging="360"/>
      </w:pPr>
      <w:rPr>
        <w:rFonts w:ascii="Wingdings" w:hAnsi="Wingdings" w:hint="default"/>
      </w:rPr>
    </w:lvl>
    <w:lvl w:ilvl="3" w:tplc="4D10D27E">
      <w:start w:val="1"/>
      <w:numFmt w:val="bullet"/>
      <w:lvlText w:val=""/>
      <w:lvlJc w:val="left"/>
      <w:pPr>
        <w:ind w:left="2880" w:hanging="360"/>
      </w:pPr>
      <w:rPr>
        <w:rFonts w:ascii="Symbol" w:hAnsi="Symbol" w:hint="default"/>
      </w:rPr>
    </w:lvl>
    <w:lvl w:ilvl="4" w:tplc="C50843D2">
      <w:start w:val="1"/>
      <w:numFmt w:val="bullet"/>
      <w:lvlText w:val="o"/>
      <w:lvlJc w:val="left"/>
      <w:pPr>
        <w:ind w:left="3600" w:hanging="360"/>
      </w:pPr>
      <w:rPr>
        <w:rFonts w:ascii="Courier New" w:hAnsi="Courier New" w:hint="default"/>
      </w:rPr>
    </w:lvl>
    <w:lvl w:ilvl="5" w:tplc="34F05B46">
      <w:start w:val="1"/>
      <w:numFmt w:val="bullet"/>
      <w:lvlText w:val=""/>
      <w:lvlJc w:val="left"/>
      <w:pPr>
        <w:ind w:left="4320" w:hanging="360"/>
      </w:pPr>
      <w:rPr>
        <w:rFonts w:ascii="Wingdings" w:hAnsi="Wingdings" w:hint="default"/>
      </w:rPr>
    </w:lvl>
    <w:lvl w:ilvl="6" w:tplc="2592B4F4">
      <w:start w:val="1"/>
      <w:numFmt w:val="bullet"/>
      <w:lvlText w:val=""/>
      <w:lvlJc w:val="left"/>
      <w:pPr>
        <w:ind w:left="5040" w:hanging="360"/>
      </w:pPr>
      <w:rPr>
        <w:rFonts w:ascii="Symbol" w:hAnsi="Symbol" w:hint="default"/>
      </w:rPr>
    </w:lvl>
    <w:lvl w:ilvl="7" w:tplc="AA3EBA56">
      <w:start w:val="1"/>
      <w:numFmt w:val="bullet"/>
      <w:lvlText w:val="o"/>
      <w:lvlJc w:val="left"/>
      <w:pPr>
        <w:ind w:left="5760" w:hanging="360"/>
      </w:pPr>
      <w:rPr>
        <w:rFonts w:ascii="Courier New" w:hAnsi="Courier New" w:hint="default"/>
      </w:rPr>
    </w:lvl>
    <w:lvl w:ilvl="8" w:tplc="F266D96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0023467">
    <w:abstractNumId w:val="11"/>
  </w:num>
  <w:num w:numId="2" w16cid:durableId="819730796">
    <w:abstractNumId w:val="12"/>
  </w:num>
  <w:num w:numId="3" w16cid:durableId="59184145">
    <w:abstractNumId w:val="1"/>
  </w:num>
  <w:num w:numId="4" w16cid:durableId="537858655">
    <w:abstractNumId w:val="3"/>
  </w:num>
  <w:num w:numId="5" w16cid:durableId="1602568057">
    <w:abstractNumId w:val="15"/>
  </w:num>
  <w:num w:numId="6" w16cid:durableId="140183354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E7DEE"/>
    <w:rsid w:val="002F5066"/>
    <w:rsid w:val="003003FD"/>
    <w:rsid w:val="00310245"/>
    <w:rsid w:val="00316C95"/>
    <w:rsid w:val="003458DB"/>
    <w:rsid w:val="003523D3"/>
    <w:rsid w:val="00364C35"/>
    <w:rsid w:val="00396F60"/>
    <w:rsid w:val="003A51D6"/>
    <w:rsid w:val="003B125E"/>
    <w:rsid w:val="003B2A5E"/>
    <w:rsid w:val="003C7AE0"/>
    <w:rsid w:val="003C7C97"/>
    <w:rsid w:val="00406B8D"/>
    <w:rsid w:val="00410068"/>
    <w:rsid w:val="0041618E"/>
    <w:rsid w:val="0042295C"/>
    <w:rsid w:val="00426EEC"/>
    <w:rsid w:val="004466C3"/>
    <w:rsid w:val="004552CE"/>
    <w:rsid w:val="00481FF7"/>
    <w:rsid w:val="00500295"/>
    <w:rsid w:val="00501AAF"/>
    <w:rsid w:val="00527AFA"/>
    <w:rsid w:val="005419DA"/>
    <w:rsid w:val="00544A01"/>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D5FBC"/>
    <w:rsid w:val="006E005C"/>
    <w:rsid w:val="006E6EE5"/>
    <w:rsid w:val="006F0029"/>
    <w:rsid w:val="007138EF"/>
    <w:rsid w:val="007632A9"/>
    <w:rsid w:val="00774092"/>
    <w:rsid w:val="00782830"/>
    <w:rsid w:val="0078664A"/>
    <w:rsid w:val="007B0F6D"/>
    <w:rsid w:val="007C62C3"/>
    <w:rsid w:val="007D25AA"/>
    <w:rsid w:val="007E5E82"/>
    <w:rsid w:val="007F0873"/>
    <w:rsid w:val="00805726"/>
    <w:rsid w:val="00815117"/>
    <w:rsid w:val="00824CB1"/>
    <w:rsid w:val="008520F8"/>
    <w:rsid w:val="00855F34"/>
    <w:rsid w:val="008826B6"/>
    <w:rsid w:val="008A795C"/>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34E55"/>
    <w:rsid w:val="00C45272"/>
    <w:rsid w:val="00C47770"/>
    <w:rsid w:val="00C62642"/>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A78D1"/>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8E47AC"/>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1894</Words>
  <Characters>10802</Characters>
  <Application>Microsoft Office Word</Application>
  <DocSecurity>0</DocSecurity>
  <Lines>90</Lines>
  <Paragraphs>25</Paragraphs>
  <ScaleCrop>false</ScaleCrop>
  <Company>University of Wales Trinity Saint David</Company>
  <LinksUpToDate>false</LinksUpToDate>
  <CharactersWithSpaces>12671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Isha Kargbo (2542091)</cp:lastModifiedBy>
  <cp:revision>3</cp:revision>
  <dcterms:created xsi:type="dcterms:W3CDTF">2026-08-16T13:10:00Z</dcterms:created>
  <dcterms:modified xsi:type="dcterms:W3CDTF">2026-08-16T13:31:00Z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5eeed86d-4bf2-44dc-a165-e42e9ea0f8ce</vt:lpwstr>
  </property>
</Properties>
</file>