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9A927" w14:textId="295FB0FF" w:rsidR="004E64C0" w:rsidRDefault="004E64C0" w:rsidP="004E64C0">
      <w:pPr>
        <w:jc w:val="center"/>
        <w:rPr>
          <w:sz w:val="44"/>
          <w:szCs w:val="44"/>
        </w:rPr>
      </w:pPr>
      <w:r>
        <w:rPr>
          <w:sz w:val="44"/>
          <w:szCs w:val="44"/>
        </w:rPr>
        <w:t>Understanding Employment Law</w:t>
      </w:r>
    </w:p>
    <w:p w14:paraId="1FFAF1D8" w14:textId="77777777" w:rsidR="004E64C0" w:rsidRDefault="004E64C0" w:rsidP="004E64C0"/>
    <w:p w14:paraId="791CB98A" w14:textId="77777777" w:rsidR="004E64C0" w:rsidRDefault="004E64C0" w:rsidP="004E64C0">
      <w:pPr>
        <w:jc w:val="center"/>
        <w:rPr>
          <w:sz w:val="28"/>
          <w:szCs w:val="28"/>
        </w:rPr>
      </w:pPr>
      <w:r>
        <w:rPr>
          <w:sz w:val="28"/>
          <w:szCs w:val="28"/>
        </w:rPr>
        <w:t>Jodie Barnett</w:t>
      </w:r>
    </w:p>
    <w:p w14:paraId="5E06EDAC" w14:textId="77777777" w:rsidR="004E64C0" w:rsidRDefault="004E64C0" w:rsidP="004E64C0">
      <w:pPr>
        <w:jc w:val="center"/>
        <w:rPr>
          <w:sz w:val="28"/>
          <w:szCs w:val="28"/>
        </w:rPr>
      </w:pPr>
    </w:p>
    <w:p w14:paraId="4AD8DA24" w14:textId="68C745A8" w:rsidR="004E64C0" w:rsidRDefault="004E64C0" w:rsidP="004E64C0">
      <w:pPr>
        <w:jc w:val="center"/>
        <w:rPr>
          <w:sz w:val="28"/>
          <w:szCs w:val="28"/>
        </w:rPr>
      </w:pPr>
      <w:r>
        <w:rPr>
          <w:sz w:val="28"/>
          <w:szCs w:val="28"/>
        </w:rPr>
        <w:t xml:space="preserve">CIPD course number: </w:t>
      </w:r>
      <w:r>
        <w:rPr>
          <w:rFonts w:ascii="Arial" w:hAnsi="Arial" w:cs="Arial"/>
          <w:sz w:val="20"/>
          <w:szCs w:val="20"/>
        </w:rPr>
        <w:t>5CELW</w:t>
      </w:r>
    </w:p>
    <w:p w14:paraId="7C357E2D" w14:textId="77777777" w:rsidR="004E64C0" w:rsidRDefault="004E64C0" w:rsidP="004E64C0">
      <w:pPr>
        <w:jc w:val="center"/>
        <w:rPr>
          <w:sz w:val="28"/>
          <w:szCs w:val="28"/>
        </w:rPr>
      </w:pPr>
    </w:p>
    <w:p w14:paraId="2B368227" w14:textId="2B60914C" w:rsidR="004E64C0" w:rsidRDefault="004E64C0" w:rsidP="004E64C0">
      <w:pPr>
        <w:jc w:val="center"/>
        <w:rPr>
          <w:sz w:val="28"/>
          <w:szCs w:val="28"/>
        </w:rPr>
      </w:pPr>
      <w:r>
        <w:rPr>
          <w:sz w:val="28"/>
          <w:szCs w:val="28"/>
        </w:rPr>
        <w:t>CIPD Membership number: 2224083X</w:t>
      </w:r>
    </w:p>
    <w:p w14:paraId="32B2D206" w14:textId="77777777" w:rsidR="004E64C0" w:rsidRDefault="004E64C0" w:rsidP="004E64C0">
      <w:pPr>
        <w:jc w:val="center"/>
        <w:rPr>
          <w:sz w:val="28"/>
          <w:szCs w:val="28"/>
        </w:rPr>
      </w:pPr>
    </w:p>
    <w:p w14:paraId="0C9B71C5" w14:textId="43C65967" w:rsidR="004E64C0" w:rsidRPr="00476F35" w:rsidRDefault="004E64C0" w:rsidP="004E64C0">
      <w:pPr>
        <w:rPr>
          <w:b/>
          <w:bCs/>
          <w:sz w:val="28"/>
          <w:szCs w:val="28"/>
        </w:rPr>
      </w:pPr>
      <w:r w:rsidRPr="00476F35">
        <w:rPr>
          <w:b/>
          <w:bCs/>
          <w:sz w:val="28"/>
          <w:szCs w:val="28"/>
        </w:rPr>
        <w:t>Written response of between 500-750 words for each task.</w:t>
      </w:r>
    </w:p>
    <w:p w14:paraId="19C02ABE" w14:textId="59A5CDEC" w:rsidR="004E64C0" w:rsidRPr="00476F35" w:rsidRDefault="004E64C0" w:rsidP="004E64C0">
      <w:pPr>
        <w:pStyle w:val="NoSpacing"/>
        <w:rPr>
          <w:sz w:val="24"/>
          <w:szCs w:val="24"/>
        </w:rPr>
      </w:pPr>
      <w:r w:rsidRPr="00476F35">
        <w:rPr>
          <w:sz w:val="24"/>
          <w:szCs w:val="24"/>
        </w:rPr>
        <w:t>Task 1 - word count:</w:t>
      </w:r>
      <w:r w:rsidR="00710055">
        <w:rPr>
          <w:sz w:val="24"/>
          <w:szCs w:val="24"/>
        </w:rPr>
        <w:t xml:space="preserve"> </w:t>
      </w:r>
      <w:r w:rsidR="00710055" w:rsidRPr="00710055">
        <w:rPr>
          <w:b/>
          <w:bCs/>
          <w:sz w:val="24"/>
          <w:szCs w:val="24"/>
        </w:rPr>
        <w:t>6</w:t>
      </w:r>
      <w:r w:rsidR="002C367C">
        <w:rPr>
          <w:b/>
          <w:bCs/>
          <w:sz w:val="24"/>
          <w:szCs w:val="24"/>
        </w:rPr>
        <w:t>59</w:t>
      </w:r>
      <w:r w:rsidR="00710055" w:rsidRPr="00710055">
        <w:rPr>
          <w:b/>
          <w:bCs/>
          <w:sz w:val="24"/>
          <w:szCs w:val="24"/>
        </w:rPr>
        <w:t xml:space="preserve"> words</w:t>
      </w:r>
    </w:p>
    <w:p w14:paraId="062F55C2" w14:textId="62A49A24" w:rsidR="004E64C0" w:rsidRPr="00476F35" w:rsidRDefault="004E64C0" w:rsidP="004E64C0">
      <w:pPr>
        <w:pStyle w:val="NoSpacing"/>
        <w:rPr>
          <w:sz w:val="24"/>
          <w:szCs w:val="24"/>
        </w:rPr>
      </w:pPr>
      <w:r w:rsidRPr="00476F35">
        <w:rPr>
          <w:sz w:val="24"/>
          <w:szCs w:val="24"/>
        </w:rPr>
        <w:t>Task 2 – word count:</w:t>
      </w:r>
      <w:r w:rsidR="00EB555F">
        <w:rPr>
          <w:sz w:val="24"/>
          <w:szCs w:val="24"/>
        </w:rPr>
        <w:t xml:space="preserve"> </w:t>
      </w:r>
      <w:r w:rsidR="00EB555F" w:rsidRPr="00EB555F">
        <w:rPr>
          <w:b/>
          <w:bCs/>
          <w:sz w:val="24"/>
          <w:szCs w:val="24"/>
        </w:rPr>
        <w:t>686 words</w:t>
      </w:r>
    </w:p>
    <w:p w14:paraId="0867C991" w14:textId="501C20BD" w:rsidR="004E64C0" w:rsidRPr="00476F35" w:rsidRDefault="004E64C0" w:rsidP="004E64C0">
      <w:pPr>
        <w:pStyle w:val="NoSpacing"/>
        <w:rPr>
          <w:sz w:val="24"/>
          <w:szCs w:val="24"/>
        </w:rPr>
      </w:pPr>
      <w:r w:rsidRPr="00476F35">
        <w:rPr>
          <w:sz w:val="24"/>
          <w:szCs w:val="24"/>
        </w:rPr>
        <w:t>Task 3 – word count:</w:t>
      </w:r>
      <w:r w:rsidR="00924FB7">
        <w:rPr>
          <w:sz w:val="24"/>
          <w:szCs w:val="24"/>
        </w:rPr>
        <w:t xml:space="preserve"> </w:t>
      </w:r>
      <w:r w:rsidR="00924FB7" w:rsidRPr="00924FB7">
        <w:rPr>
          <w:b/>
          <w:bCs/>
          <w:sz w:val="24"/>
          <w:szCs w:val="24"/>
        </w:rPr>
        <w:t>615 words</w:t>
      </w:r>
    </w:p>
    <w:p w14:paraId="2399B6FB" w14:textId="3FCC28D3" w:rsidR="004E64C0" w:rsidRPr="00476F35" w:rsidRDefault="004E64C0" w:rsidP="004E64C0">
      <w:pPr>
        <w:pStyle w:val="NoSpacing"/>
        <w:rPr>
          <w:sz w:val="24"/>
          <w:szCs w:val="24"/>
        </w:rPr>
      </w:pPr>
      <w:r w:rsidRPr="00476F35">
        <w:rPr>
          <w:sz w:val="24"/>
          <w:szCs w:val="24"/>
        </w:rPr>
        <w:t>Task 4 – word count:</w:t>
      </w:r>
      <w:r w:rsidR="005E02C3">
        <w:rPr>
          <w:sz w:val="24"/>
          <w:szCs w:val="24"/>
        </w:rPr>
        <w:t xml:space="preserve"> </w:t>
      </w:r>
      <w:r w:rsidR="005E02C3" w:rsidRPr="005E02C3">
        <w:rPr>
          <w:b/>
          <w:bCs/>
          <w:sz w:val="24"/>
          <w:szCs w:val="24"/>
        </w:rPr>
        <w:t>583 words</w:t>
      </w:r>
    </w:p>
    <w:p w14:paraId="55B70361" w14:textId="4B04E989" w:rsidR="004E64C0" w:rsidRPr="00476F35" w:rsidRDefault="004E64C0" w:rsidP="004E64C0">
      <w:pPr>
        <w:pStyle w:val="NoSpacing"/>
        <w:rPr>
          <w:sz w:val="24"/>
          <w:szCs w:val="24"/>
        </w:rPr>
      </w:pPr>
      <w:r w:rsidRPr="00476F35">
        <w:rPr>
          <w:sz w:val="24"/>
          <w:szCs w:val="24"/>
        </w:rPr>
        <w:t>Task 5 – word count:</w:t>
      </w:r>
      <w:r w:rsidR="00396CD5">
        <w:rPr>
          <w:sz w:val="24"/>
          <w:szCs w:val="24"/>
        </w:rPr>
        <w:t xml:space="preserve"> </w:t>
      </w:r>
      <w:r w:rsidR="00396CD5" w:rsidRPr="00396CD5">
        <w:rPr>
          <w:b/>
          <w:bCs/>
          <w:sz w:val="24"/>
          <w:szCs w:val="24"/>
        </w:rPr>
        <w:t>556 words</w:t>
      </w:r>
    </w:p>
    <w:p w14:paraId="02B11F4C" w14:textId="081F29B4" w:rsidR="004E64C0" w:rsidRPr="00476F35" w:rsidRDefault="004E64C0" w:rsidP="004E64C0">
      <w:pPr>
        <w:pStyle w:val="NoSpacing"/>
        <w:rPr>
          <w:sz w:val="24"/>
          <w:szCs w:val="24"/>
        </w:rPr>
      </w:pPr>
      <w:r w:rsidRPr="00476F35">
        <w:rPr>
          <w:sz w:val="24"/>
          <w:szCs w:val="24"/>
        </w:rPr>
        <w:t xml:space="preserve">Task 6 – word count: </w:t>
      </w:r>
      <w:r w:rsidR="00D11ED7" w:rsidRPr="00D11ED7">
        <w:rPr>
          <w:b/>
          <w:bCs/>
          <w:sz w:val="24"/>
          <w:szCs w:val="24"/>
        </w:rPr>
        <w:t>623 words</w:t>
      </w:r>
    </w:p>
    <w:p w14:paraId="2D8AED59" w14:textId="77777777" w:rsidR="004E64C0" w:rsidRDefault="004E64C0" w:rsidP="004E64C0">
      <w:pPr>
        <w:jc w:val="center"/>
        <w:rPr>
          <w:sz w:val="28"/>
          <w:szCs w:val="28"/>
        </w:rPr>
      </w:pPr>
    </w:p>
    <w:p w14:paraId="1BD0702C" w14:textId="460DC3FB" w:rsidR="004E64C0" w:rsidRDefault="004E64C0" w:rsidP="004E64C0">
      <w:pPr>
        <w:rPr>
          <w:rFonts w:cs="Arial"/>
          <w:sz w:val="28"/>
          <w:szCs w:val="28"/>
        </w:rPr>
      </w:pPr>
      <w:r>
        <w:rPr>
          <w:rFonts w:cs="Arial"/>
          <w:sz w:val="28"/>
          <w:szCs w:val="28"/>
        </w:rPr>
        <w:t>By signing below, I confirm that the work/evidence presented is my own, unaided work. I understand the regulations pertaining to candidate malpractice and the action that may be taken as a result.</w:t>
      </w:r>
    </w:p>
    <w:p w14:paraId="19245884" w14:textId="77777777" w:rsidR="004E64C0" w:rsidRDefault="004E64C0" w:rsidP="004E64C0">
      <w:pPr>
        <w:rPr>
          <w:rFonts w:cs="Arial"/>
          <w:sz w:val="28"/>
          <w:szCs w:val="28"/>
        </w:rPr>
      </w:pPr>
    </w:p>
    <w:p w14:paraId="1B2CC66A" w14:textId="77777777" w:rsidR="004E64C0" w:rsidRDefault="004E64C0" w:rsidP="004E64C0">
      <w:pPr>
        <w:rPr>
          <w:rFonts w:cs="Arial"/>
          <w:sz w:val="28"/>
          <w:szCs w:val="28"/>
        </w:rPr>
      </w:pPr>
      <w:r>
        <w:rPr>
          <w:rFonts w:cs="Arial"/>
          <w:sz w:val="28"/>
          <w:szCs w:val="28"/>
        </w:rPr>
        <w:t xml:space="preserve">Signed: </w:t>
      </w:r>
      <w:r>
        <w:rPr>
          <w:noProof/>
          <w:lang w:eastAsia="en-GB"/>
        </w:rPr>
        <w:drawing>
          <wp:inline distT="0" distB="0" distL="0" distR="0" wp14:anchorId="55CAF562" wp14:editId="66349B5F">
            <wp:extent cx="1362075" cy="571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571500"/>
                    </a:xfrm>
                    <a:prstGeom prst="rect">
                      <a:avLst/>
                    </a:prstGeom>
                    <a:noFill/>
                    <a:ln>
                      <a:noFill/>
                    </a:ln>
                  </pic:spPr>
                </pic:pic>
              </a:graphicData>
            </a:graphic>
          </wp:inline>
        </w:drawing>
      </w:r>
    </w:p>
    <w:p w14:paraId="1FC4A3C1" w14:textId="2A732C99" w:rsidR="004E64C0" w:rsidRDefault="004E64C0" w:rsidP="004E64C0">
      <w:pPr>
        <w:rPr>
          <w:rFonts w:cs="Arial"/>
          <w:sz w:val="28"/>
          <w:szCs w:val="28"/>
        </w:rPr>
      </w:pPr>
      <w:r>
        <w:rPr>
          <w:rFonts w:cs="Arial"/>
          <w:sz w:val="28"/>
          <w:szCs w:val="28"/>
        </w:rPr>
        <w:t xml:space="preserve">Date: </w:t>
      </w:r>
      <w:r w:rsidR="00D11ED7">
        <w:rPr>
          <w:rFonts w:cs="Arial"/>
          <w:sz w:val="28"/>
          <w:szCs w:val="28"/>
        </w:rPr>
        <w:t>27</w:t>
      </w:r>
      <w:r w:rsidR="00D11ED7" w:rsidRPr="00D11ED7">
        <w:rPr>
          <w:rFonts w:cs="Arial"/>
          <w:sz w:val="28"/>
          <w:szCs w:val="28"/>
          <w:vertAlign w:val="superscript"/>
        </w:rPr>
        <w:t>th</w:t>
      </w:r>
      <w:r w:rsidR="00D11ED7">
        <w:rPr>
          <w:rFonts w:cs="Arial"/>
          <w:sz w:val="28"/>
          <w:szCs w:val="28"/>
        </w:rPr>
        <w:t xml:space="preserve"> </w:t>
      </w:r>
      <w:r>
        <w:rPr>
          <w:rFonts w:cs="Arial"/>
          <w:sz w:val="28"/>
          <w:szCs w:val="28"/>
        </w:rPr>
        <w:t>April 2020</w:t>
      </w:r>
    </w:p>
    <w:p w14:paraId="4F05EF2A" w14:textId="77777777" w:rsidR="004E64C0" w:rsidRDefault="004E64C0" w:rsidP="004E64C0">
      <w:pPr>
        <w:jc w:val="center"/>
        <w:rPr>
          <w:sz w:val="28"/>
          <w:szCs w:val="28"/>
        </w:rPr>
      </w:pPr>
    </w:p>
    <w:p w14:paraId="06C780C4" w14:textId="67ADC808" w:rsidR="00D270EC" w:rsidRDefault="00D270EC"/>
    <w:p w14:paraId="10DFCAED" w14:textId="7478AEC6" w:rsidR="00476F35" w:rsidRDefault="00476F35"/>
    <w:p w14:paraId="54D5E979" w14:textId="2D6AB76D" w:rsidR="00476F35" w:rsidRDefault="00476F35"/>
    <w:p w14:paraId="720B9CB9" w14:textId="4F4B8B2F" w:rsidR="00476F35" w:rsidRDefault="00476F35"/>
    <w:p w14:paraId="20276963" w14:textId="77777777" w:rsidR="00710055" w:rsidRDefault="00710055"/>
    <w:p w14:paraId="030C5CE6" w14:textId="0C549A8E" w:rsidR="00476F35" w:rsidRDefault="00476F35"/>
    <w:p w14:paraId="23DF449C" w14:textId="713A3E2A" w:rsidR="00476F35" w:rsidRDefault="00476F35" w:rsidP="002417AE"/>
    <w:p w14:paraId="626FCCBD" w14:textId="36F23DDA" w:rsidR="002417AE" w:rsidRDefault="002417AE" w:rsidP="002417AE">
      <w:pPr>
        <w:rPr>
          <w:rFonts w:cs="Arial"/>
          <w:b/>
          <w:bCs/>
          <w:sz w:val="28"/>
          <w:szCs w:val="28"/>
        </w:rPr>
      </w:pPr>
      <w:r>
        <w:rPr>
          <w:b/>
          <w:bCs/>
          <w:sz w:val="28"/>
          <w:szCs w:val="28"/>
        </w:rPr>
        <w:lastRenderedPageBreak/>
        <w:t xml:space="preserve">1. </w:t>
      </w:r>
      <w:r w:rsidRPr="002417AE">
        <w:rPr>
          <w:rFonts w:cs="Arial"/>
          <w:b/>
          <w:bCs/>
          <w:sz w:val="28"/>
          <w:szCs w:val="28"/>
        </w:rPr>
        <w:t>Explain the purpose of employment law and outline the role played by the tribunal and courts system in enforcing employment law.</w:t>
      </w:r>
    </w:p>
    <w:p w14:paraId="63F9FC25" w14:textId="4ED24F7D" w:rsidR="00FE5F91" w:rsidRDefault="001C339B" w:rsidP="002417AE">
      <w:pPr>
        <w:rPr>
          <w:rFonts w:ascii="Arial" w:hAnsi="Arial" w:cs="Arial"/>
          <w:sz w:val="24"/>
          <w:szCs w:val="24"/>
        </w:rPr>
      </w:pPr>
      <w:r w:rsidRPr="001C339B">
        <w:rPr>
          <w:rFonts w:ascii="Arial" w:hAnsi="Arial" w:cs="Arial"/>
          <w:sz w:val="24"/>
          <w:szCs w:val="24"/>
        </w:rPr>
        <w:t>(CIPD</w:t>
      </w:r>
      <w:r w:rsidR="00580C74">
        <w:rPr>
          <w:rFonts w:ascii="Arial" w:hAnsi="Arial" w:cs="Arial"/>
          <w:sz w:val="24"/>
          <w:szCs w:val="24"/>
        </w:rPr>
        <w:t>,</w:t>
      </w:r>
      <w:r w:rsidRPr="001C339B">
        <w:rPr>
          <w:rFonts w:ascii="Arial" w:hAnsi="Arial" w:cs="Arial"/>
          <w:sz w:val="24"/>
          <w:szCs w:val="24"/>
        </w:rPr>
        <w:t xml:space="preserve"> 2020</w:t>
      </w:r>
      <w:r w:rsidR="0095503C">
        <w:rPr>
          <w:rFonts w:ascii="Arial" w:hAnsi="Arial" w:cs="Arial"/>
          <w:sz w:val="24"/>
          <w:szCs w:val="24"/>
        </w:rPr>
        <w:t>a</w:t>
      </w:r>
      <w:r w:rsidRPr="001C339B">
        <w:rPr>
          <w:rFonts w:ascii="Arial" w:hAnsi="Arial" w:cs="Arial"/>
          <w:sz w:val="24"/>
          <w:szCs w:val="24"/>
        </w:rPr>
        <w:t>) refers to employment law</w:t>
      </w:r>
      <w:r>
        <w:rPr>
          <w:rFonts w:ascii="Arial" w:hAnsi="Arial" w:cs="Arial"/>
          <w:sz w:val="24"/>
          <w:szCs w:val="24"/>
        </w:rPr>
        <w:t xml:space="preserve"> as</w:t>
      </w:r>
      <w:r w:rsidRPr="001C339B">
        <w:rPr>
          <w:rFonts w:ascii="Arial" w:hAnsi="Arial" w:cs="Arial"/>
          <w:sz w:val="24"/>
          <w:szCs w:val="24"/>
        </w:rPr>
        <w:t xml:space="preserve"> regulating the relationship between employers and </w:t>
      </w:r>
      <w:r>
        <w:rPr>
          <w:rFonts w:ascii="Arial" w:hAnsi="Arial" w:cs="Arial"/>
          <w:sz w:val="24"/>
          <w:szCs w:val="24"/>
        </w:rPr>
        <w:t>employees. It governs what employers can expect from employees, what employers can ask employees to do, and employees’ rights at work</w:t>
      </w:r>
      <w:r w:rsidR="0053720C">
        <w:rPr>
          <w:rFonts w:ascii="Arial" w:hAnsi="Arial" w:cs="Arial"/>
          <w:sz w:val="24"/>
          <w:szCs w:val="24"/>
        </w:rPr>
        <w:t>.</w:t>
      </w:r>
      <w:r w:rsidR="00A83557">
        <w:rPr>
          <w:rFonts w:ascii="Arial" w:hAnsi="Arial" w:cs="Arial"/>
          <w:sz w:val="24"/>
          <w:szCs w:val="24"/>
        </w:rPr>
        <w:t xml:space="preserve"> It balances the power between employers and employees which deters the employer from unreasonably exploiting their powers. </w:t>
      </w:r>
      <w:r w:rsidR="00392AC1">
        <w:rPr>
          <w:rFonts w:ascii="Arial" w:hAnsi="Arial" w:cs="Arial"/>
          <w:sz w:val="24"/>
          <w:szCs w:val="24"/>
        </w:rPr>
        <w:t xml:space="preserve">Employment law ensures fair treatment </w:t>
      </w:r>
      <w:r w:rsidR="00D66E5D">
        <w:rPr>
          <w:rFonts w:ascii="Arial" w:hAnsi="Arial" w:cs="Arial"/>
          <w:sz w:val="24"/>
          <w:szCs w:val="24"/>
        </w:rPr>
        <w:t>to safeguard against discrimination and unfair dismissal.</w:t>
      </w:r>
      <w:r w:rsidR="00392AC1">
        <w:rPr>
          <w:rFonts w:ascii="Arial" w:hAnsi="Arial" w:cs="Arial"/>
          <w:sz w:val="24"/>
          <w:szCs w:val="24"/>
        </w:rPr>
        <w:t xml:space="preserve"> </w:t>
      </w:r>
    </w:p>
    <w:p w14:paraId="21D76F10" w14:textId="45F4107C" w:rsidR="00D66E5D" w:rsidRDefault="00D66E5D" w:rsidP="00D66E5D">
      <w:pPr>
        <w:rPr>
          <w:rFonts w:ascii="Arial" w:hAnsi="Arial" w:cs="Arial"/>
          <w:sz w:val="24"/>
          <w:szCs w:val="24"/>
        </w:rPr>
      </w:pPr>
      <w:r>
        <w:rPr>
          <w:rFonts w:ascii="Arial" w:hAnsi="Arial" w:cs="Arial"/>
          <w:sz w:val="24"/>
          <w:szCs w:val="24"/>
        </w:rPr>
        <w:t>Employment law regulations appl</w:t>
      </w:r>
      <w:r w:rsidR="00567DB3">
        <w:rPr>
          <w:rFonts w:ascii="Arial" w:hAnsi="Arial" w:cs="Arial"/>
          <w:sz w:val="24"/>
          <w:szCs w:val="24"/>
        </w:rPr>
        <w:t>y</w:t>
      </w:r>
      <w:r>
        <w:rPr>
          <w:rFonts w:ascii="Arial" w:hAnsi="Arial" w:cs="Arial"/>
          <w:sz w:val="24"/>
          <w:szCs w:val="24"/>
        </w:rPr>
        <w:t xml:space="preserve"> to several areas including terms and conditions of employment, holidays, working hours and pay, health and safety regulations and checks and processes involved in recruitment.</w:t>
      </w:r>
    </w:p>
    <w:p w14:paraId="40022DEB" w14:textId="035C1CA7" w:rsidR="00A83557" w:rsidRDefault="00A83557" w:rsidP="002417AE">
      <w:pPr>
        <w:rPr>
          <w:rFonts w:ascii="Arial" w:hAnsi="Arial" w:cs="Arial"/>
          <w:sz w:val="24"/>
          <w:szCs w:val="24"/>
        </w:rPr>
      </w:pPr>
      <w:r>
        <w:rPr>
          <w:rFonts w:ascii="Arial" w:hAnsi="Arial" w:cs="Arial"/>
          <w:sz w:val="24"/>
          <w:szCs w:val="24"/>
        </w:rPr>
        <w:t xml:space="preserve">(EOC, 2020) </w:t>
      </w:r>
      <w:r w:rsidR="0060552D">
        <w:rPr>
          <w:rFonts w:ascii="Arial" w:hAnsi="Arial" w:cs="Arial"/>
          <w:sz w:val="24"/>
          <w:szCs w:val="24"/>
        </w:rPr>
        <w:t>argues that</w:t>
      </w:r>
      <w:r w:rsidR="00FE5F91">
        <w:rPr>
          <w:rFonts w:ascii="Arial" w:hAnsi="Arial" w:cs="Arial"/>
          <w:sz w:val="24"/>
          <w:szCs w:val="24"/>
        </w:rPr>
        <w:t xml:space="preserve"> </w:t>
      </w:r>
      <w:r w:rsidR="00392AC1">
        <w:rPr>
          <w:rFonts w:ascii="Arial" w:hAnsi="Arial" w:cs="Arial"/>
          <w:sz w:val="24"/>
          <w:szCs w:val="24"/>
        </w:rPr>
        <w:t xml:space="preserve">employment </w:t>
      </w:r>
      <w:r w:rsidR="00FE5F91">
        <w:rPr>
          <w:rFonts w:ascii="Arial" w:hAnsi="Arial" w:cs="Arial"/>
          <w:sz w:val="24"/>
          <w:szCs w:val="24"/>
        </w:rPr>
        <w:t>law</w:t>
      </w:r>
      <w:r w:rsidR="00392AC1">
        <w:rPr>
          <w:rFonts w:ascii="Arial" w:hAnsi="Arial" w:cs="Arial"/>
          <w:sz w:val="24"/>
          <w:szCs w:val="24"/>
        </w:rPr>
        <w:t xml:space="preserve"> helps to combat discrimination and </w:t>
      </w:r>
      <w:r w:rsidR="0060552D">
        <w:rPr>
          <w:rFonts w:ascii="Arial" w:hAnsi="Arial" w:cs="Arial"/>
          <w:sz w:val="24"/>
          <w:szCs w:val="24"/>
        </w:rPr>
        <w:t>promote equality in the workplace and provides protection to minority groups as well as better employment opportunities</w:t>
      </w:r>
      <w:r w:rsidR="00FE5F91">
        <w:rPr>
          <w:rFonts w:ascii="Arial" w:hAnsi="Arial" w:cs="Arial"/>
          <w:sz w:val="24"/>
          <w:szCs w:val="24"/>
        </w:rPr>
        <w:t xml:space="preserve">. Employers </w:t>
      </w:r>
      <w:r w:rsidR="00392AC1">
        <w:rPr>
          <w:rFonts w:ascii="Arial" w:hAnsi="Arial" w:cs="Arial"/>
          <w:sz w:val="24"/>
          <w:szCs w:val="24"/>
        </w:rPr>
        <w:t xml:space="preserve">can be held </w:t>
      </w:r>
      <w:r w:rsidR="00FE5F91">
        <w:rPr>
          <w:rFonts w:ascii="Arial" w:hAnsi="Arial" w:cs="Arial"/>
          <w:sz w:val="24"/>
          <w:szCs w:val="24"/>
        </w:rPr>
        <w:t>liable to costs for claims of discrimination</w:t>
      </w:r>
      <w:r w:rsidR="00392AC1">
        <w:rPr>
          <w:rFonts w:ascii="Arial" w:hAnsi="Arial" w:cs="Arial"/>
          <w:sz w:val="24"/>
          <w:szCs w:val="24"/>
        </w:rPr>
        <w:t>.</w:t>
      </w:r>
    </w:p>
    <w:p w14:paraId="7FC3D641" w14:textId="5194A6DD" w:rsidR="00875EBC" w:rsidRPr="004F7AF4" w:rsidRDefault="004F7AF4" w:rsidP="002417AE">
      <w:pPr>
        <w:rPr>
          <w:rFonts w:ascii="Arial" w:hAnsi="Arial" w:cs="Arial"/>
          <w:sz w:val="24"/>
          <w:szCs w:val="24"/>
        </w:rPr>
      </w:pPr>
      <w:r>
        <w:rPr>
          <w:rStyle w:val="Strong"/>
          <w:rFonts w:ascii="Arial" w:hAnsi="Arial" w:cs="Arial"/>
          <w:b w:val="0"/>
          <w:bCs w:val="0"/>
          <w:sz w:val="24"/>
          <w:szCs w:val="24"/>
        </w:rPr>
        <w:t>(CIPD</w:t>
      </w:r>
      <w:r w:rsidR="00580C74">
        <w:rPr>
          <w:rStyle w:val="Strong"/>
          <w:rFonts w:ascii="Arial" w:hAnsi="Arial" w:cs="Arial"/>
          <w:b w:val="0"/>
          <w:bCs w:val="0"/>
          <w:sz w:val="24"/>
          <w:szCs w:val="24"/>
        </w:rPr>
        <w:t>,</w:t>
      </w:r>
      <w:r>
        <w:rPr>
          <w:rStyle w:val="Strong"/>
          <w:rFonts w:ascii="Arial" w:hAnsi="Arial" w:cs="Arial"/>
          <w:b w:val="0"/>
          <w:bCs w:val="0"/>
          <w:sz w:val="24"/>
          <w:szCs w:val="24"/>
        </w:rPr>
        <w:t xml:space="preserve"> 2020b) refers to a</w:t>
      </w:r>
      <w:r w:rsidRPr="004F7AF4">
        <w:rPr>
          <w:rStyle w:val="Strong"/>
          <w:rFonts w:ascii="Arial" w:hAnsi="Arial" w:cs="Arial"/>
          <w:b w:val="0"/>
          <w:bCs w:val="0"/>
          <w:sz w:val="24"/>
          <w:szCs w:val="24"/>
        </w:rPr>
        <w:t>ny employment</w:t>
      </w:r>
      <w:r w:rsidRPr="004F7AF4">
        <w:rPr>
          <w:rFonts w:ascii="Arial" w:hAnsi="Arial" w:cs="Arial"/>
          <w:sz w:val="24"/>
          <w:szCs w:val="24"/>
          <w:shd w:val="clear" w:color="auto" w:fill="FFFFFF"/>
        </w:rPr>
        <w:t xml:space="preserve"> case</w:t>
      </w:r>
      <w:r>
        <w:rPr>
          <w:rFonts w:ascii="Arial" w:hAnsi="Arial" w:cs="Arial"/>
          <w:sz w:val="24"/>
          <w:szCs w:val="24"/>
          <w:shd w:val="clear" w:color="auto" w:fill="FFFFFF"/>
        </w:rPr>
        <w:t xml:space="preserve"> </w:t>
      </w:r>
      <w:r w:rsidRPr="004F7AF4">
        <w:rPr>
          <w:rFonts w:ascii="Arial" w:hAnsi="Arial" w:cs="Arial"/>
          <w:sz w:val="24"/>
          <w:szCs w:val="24"/>
          <w:shd w:val="clear" w:color="auto" w:fill="FFFFFF"/>
        </w:rPr>
        <w:t>start</w:t>
      </w:r>
      <w:r>
        <w:rPr>
          <w:rFonts w:ascii="Arial" w:hAnsi="Arial" w:cs="Arial"/>
          <w:sz w:val="24"/>
          <w:szCs w:val="24"/>
          <w:shd w:val="clear" w:color="auto" w:fill="FFFFFF"/>
        </w:rPr>
        <w:t xml:space="preserve">ing </w:t>
      </w:r>
      <w:r w:rsidRPr="004F7AF4">
        <w:rPr>
          <w:rFonts w:ascii="Arial" w:hAnsi="Arial" w:cs="Arial"/>
          <w:sz w:val="24"/>
          <w:szCs w:val="24"/>
          <w:shd w:val="clear" w:color="auto" w:fill="FFFFFF"/>
        </w:rPr>
        <w:t xml:space="preserve">in one of three </w:t>
      </w:r>
      <w:r w:rsidRPr="004F7AF4">
        <w:rPr>
          <w:rStyle w:val="Strong"/>
          <w:rFonts w:ascii="Arial" w:hAnsi="Arial" w:cs="Arial"/>
          <w:b w:val="0"/>
          <w:bCs w:val="0"/>
          <w:sz w:val="24"/>
          <w:szCs w:val="24"/>
        </w:rPr>
        <w:t>courts</w:t>
      </w:r>
      <w:r>
        <w:rPr>
          <w:rFonts w:ascii="Arial" w:hAnsi="Arial" w:cs="Arial"/>
          <w:sz w:val="24"/>
          <w:szCs w:val="24"/>
          <w:shd w:val="clear" w:color="auto" w:fill="FFFFFF"/>
        </w:rPr>
        <w:t xml:space="preserve"> and depends on the legal matter and the level of compensation that the claimant is seeking. The employment court hierarchy consists of </w:t>
      </w:r>
      <w:r w:rsidRPr="004F7AF4">
        <w:rPr>
          <w:rStyle w:val="Strong"/>
          <w:rFonts w:ascii="Arial" w:hAnsi="Arial" w:cs="Arial"/>
          <w:b w:val="0"/>
          <w:bCs w:val="0"/>
          <w:sz w:val="24"/>
          <w:szCs w:val="24"/>
        </w:rPr>
        <w:t>the employment tribunal</w:t>
      </w:r>
      <w:r w:rsidRPr="004F7AF4">
        <w:rPr>
          <w:rFonts w:ascii="Arial" w:hAnsi="Arial" w:cs="Arial"/>
          <w:b/>
          <w:bCs/>
          <w:sz w:val="24"/>
          <w:szCs w:val="24"/>
          <w:shd w:val="clear" w:color="auto" w:fill="FFFFFF"/>
        </w:rPr>
        <w:t xml:space="preserve">; </w:t>
      </w:r>
      <w:r w:rsidRPr="004F7AF4">
        <w:rPr>
          <w:rStyle w:val="Strong"/>
          <w:rFonts w:ascii="Arial" w:hAnsi="Arial" w:cs="Arial"/>
          <w:b w:val="0"/>
          <w:bCs w:val="0"/>
          <w:sz w:val="24"/>
          <w:szCs w:val="24"/>
        </w:rPr>
        <w:t>the county court</w:t>
      </w:r>
      <w:r w:rsidRPr="004F7AF4">
        <w:rPr>
          <w:rFonts w:ascii="Arial" w:hAnsi="Arial" w:cs="Arial"/>
          <w:b/>
          <w:bCs/>
          <w:sz w:val="24"/>
          <w:szCs w:val="24"/>
          <w:shd w:val="clear" w:color="auto" w:fill="FFFFFF"/>
        </w:rPr>
        <w:t xml:space="preserve">; </w:t>
      </w:r>
      <w:r w:rsidRPr="004F7AF4">
        <w:rPr>
          <w:rFonts w:ascii="Arial" w:hAnsi="Arial" w:cs="Arial"/>
          <w:sz w:val="24"/>
          <w:szCs w:val="24"/>
          <w:shd w:val="clear" w:color="auto" w:fill="FFFFFF"/>
        </w:rPr>
        <w:t>the</w:t>
      </w:r>
      <w:r w:rsidRPr="004F7AF4">
        <w:rPr>
          <w:rFonts w:ascii="Arial" w:hAnsi="Arial" w:cs="Arial"/>
          <w:b/>
          <w:bCs/>
          <w:sz w:val="24"/>
          <w:szCs w:val="24"/>
          <w:shd w:val="clear" w:color="auto" w:fill="FFFFFF"/>
        </w:rPr>
        <w:t xml:space="preserve"> </w:t>
      </w:r>
      <w:r w:rsidRPr="004F7AF4">
        <w:rPr>
          <w:rStyle w:val="Strong"/>
          <w:rFonts w:ascii="Arial" w:hAnsi="Arial" w:cs="Arial"/>
          <w:b w:val="0"/>
          <w:bCs w:val="0"/>
          <w:sz w:val="24"/>
          <w:szCs w:val="24"/>
        </w:rPr>
        <w:t>High Court</w:t>
      </w:r>
      <w:r w:rsidRPr="004F7AF4">
        <w:rPr>
          <w:rFonts w:ascii="Arial" w:hAnsi="Arial" w:cs="Arial"/>
          <w:b/>
          <w:bCs/>
          <w:sz w:val="24"/>
          <w:szCs w:val="24"/>
          <w:shd w:val="clear" w:color="auto" w:fill="FFFFFF"/>
        </w:rPr>
        <w:t xml:space="preserve"> </w:t>
      </w:r>
      <w:r w:rsidRPr="004F7AF4">
        <w:rPr>
          <w:rFonts w:ascii="Arial" w:hAnsi="Arial" w:cs="Arial"/>
          <w:b/>
          <w:bCs/>
          <w:i/>
          <w:iCs/>
          <w:sz w:val="24"/>
          <w:szCs w:val="24"/>
          <w:shd w:val="clear" w:color="auto" w:fill="FFFFFF"/>
        </w:rPr>
        <w:t xml:space="preserve">(figure </w:t>
      </w:r>
      <w:r>
        <w:rPr>
          <w:rFonts w:ascii="Arial" w:hAnsi="Arial" w:cs="Arial"/>
          <w:b/>
          <w:bCs/>
          <w:i/>
          <w:iCs/>
          <w:sz w:val="24"/>
          <w:szCs w:val="24"/>
          <w:shd w:val="clear" w:color="auto" w:fill="FFFFFF"/>
        </w:rPr>
        <w:t>1</w:t>
      </w:r>
      <w:r w:rsidRPr="004F7AF4">
        <w:rPr>
          <w:rFonts w:ascii="Arial" w:hAnsi="Arial" w:cs="Arial"/>
          <w:b/>
          <w:bCs/>
          <w:i/>
          <w:iCs/>
          <w:sz w:val="24"/>
          <w:szCs w:val="24"/>
          <w:shd w:val="clear" w:color="auto" w:fill="FFFFFF"/>
        </w:rPr>
        <w:t>)</w:t>
      </w:r>
      <w:r w:rsidRPr="004F7AF4">
        <w:rPr>
          <w:rFonts w:ascii="Arial" w:hAnsi="Arial" w:cs="Arial"/>
          <w:i/>
          <w:iCs/>
          <w:sz w:val="24"/>
          <w:szCs w:val="24"/>
          <w:shd w:val="clear" w:color="auto" w:fill="FFFFFF"/>
        </w:rPr>
        <w:t>.</w:t>
      </w:r>
    </w:p>
    <w:p w14:paraId="4D51836E" w14:textId="582DC6EC" w:rsidR="00567DB3" w:rsidRDefault="00E877FE" w:rsidP="002417AE">
      <w:pPr>
        <w:rPr>
          <w:rFonts w:ascii="Arial" w:hAnsi="Arial" w:cs="Arial"/>
          <w:sz w:val="24"/>
          <w:szCs w:val="24"/>
        </w:rPr>
      </w:pPr>
      <w:r>
        <w:rPr>
          <w:rFonts w:ascii="Arial" w:hAnsi="Arial" w:cs="Arial"/>
          <w:sz w:val="24"/>
          <w:szCs w:val="24"/>
        </w:rPr>
        <w:t>(GOV.UK, 2020</w:t>
      </w:r>
      <w:r w:rsidR="00052A1F">
        <w:rPr>
          <w:rFonts w:ascii="Arial" w:hAnsi="Arial" w:cs="Arial"/>
          <w:sz w:val="24"/>
          <w:szCs w:val="24"/>
        </w:rPr>
        <w:t>a</w:t>
      </w:r>
      <w:r>
        <w:rPr>
          <w:rFonts w:ascii="Arial" w:hAnsi="Arial" w:cs="Arial"/>
          <w:sz w:val="24"/>
          <w:szCs w:val="24"/>
        </w:rPr>
        <w:t xml:space="preserve">) states that an employment tribunal claim can be made if the claimant believes they have been treated unlawfully. This could apply to an employer, potential employer or a trade union. </w:t>
      </w:r>
    </w:p>
    <w:p w14:paraId="768F5514" w14:textId="34919F2F" w:rsidR="00CF077D" w:rsidRPr="00CF077D" w:rsidRDefault="0095503C" w:rsidP="004E3077">
      <w:pPr>
        <w:rPr>
          <w:rFonts w:ascii="Arial" w:hAnsi="Arial" w:cs="Arial"/>
          <w:sz w:val="24"/>
          <w:szCs w:val="24"/>
        </w:rPr>
      </w:pPr>
      <w:r>
        <w:rPr>
          <w:rFonts w:ascii="Arial" w:hAnsi="Arial" w:cs="Arial"/>
          <w:sz w:val="24"/>
          <w:szCs w:val="24"/>
        </w:rPr>
        <w:t>(CIPD</w:t>
      </w:r>
      <w:r w:rsidR="00580C74">
        <w:rPr>
          <w:rFonts w:ascii="Arial" w:hAnsi="Arial" w:cs="Arial"/>
          <w:sz w:val="24"/>
          <w:szCs w:val="24"/>
        </w:rPr>
        <w:t>,</w:t>
      </w:r>
      <w:r>
        <w:rPr>
          <w:rFonts w:ascii="Arial" w:hAnsi="Arial" w:cs="Arial"/>
          <w:sz w:val="24"/>
          <w:szCs w:val="24"/>
        </w:rPr>
        <w:t xml:space="preserve"> 2020b) outlines that a claim can relate to unfair or wrongful dismissals, equal pay, discrimination, and deductions from wages. The claimant must always contact ACAS first to try and resolve any dispute, this is known as early conciliation. Should the matter not be resolved at this stage, t</w:t>
      </w:r>
      <w:r w:rsidR="00C11185">
        <w:rPr>
          <w:rFonts w:ascii="Arial" w:hAnsi="Arial" w:cs="Arial"/>
          <w:sz w:val="24"/>
          <w:szCs w:val="24"/>
        </w:rPr>
        <w:t xml:space="preserve">he </w:t>
      </w:r>
      <w:r w:rsidR="00D1276B">
        <w:rPr>
          <w:rFonts w:ascii="Arial" w:hAnsi="Arial" w:cs="Arial"/>
          <w:sz w:val="24"/>
          <w:szCs w:val="24"/>
        </w:rPr>
        <w:t xml:space="preserve">claimant may submit a claim to commence the </w:t>
      </w:r>
      <w:r w:rsidR="00C11185">
        <w:rPr>
          <w:rFonts w:ascii="Arial" w:hAnsi="Arial" w:cs="Arial"/>
          <w:sz w:val="24"/>
          <w:szCs w:val="24"/>
        </w:rPr>
        <w:t>employment tribunal process</w:t>
      </w:r>
      <w:r w:rsidR="002557BA">
        <w:rPr>
          <w:rFonts w:ascii="Arial" w:hAnsi="Arial" w:cs="Arial"/>
          <w:sz w:val="24"/>
          <w:szCs w:val="24"/>
        </w:rPr>
        <w:t xml:space="preserve"> </w:t>
      </w:r>
      <w:r w:rsidR="00C11185">
        <w:rPr>
          <w:rFonts w:ascii="Arial" w:hAnsi="Arial" w:cs="Arial"/>
          <w:sz w:val="24"/>
          <w:szCs w:val="24"/>
        </w:rPr>
        <w:t>(</w:t>
      </w:r>
      <w:r w:rsidR="00C11185" w:rsidRPr="00C11185">
        <w:rPr>
          <w:rFonts w:ascii="Arial" w:hAnsi="Arial" w:cs="Arial"/>
          <w:b/>
          <w:bCs/>
          <w:i/>
          <w:iCs/>
          <w:sz w:val="24"/>
          <w:szCs w:val="24"/>
        </w:rPr>
        <w:t xml:space="preserve">figure </w:t>
      </w:r>
      <w:r w:rsidR="004F7AF4">
        <w:rPr>
          <w:rFonts w:ascii="Arial" w:hAnsi="Arial" w:cs="Arial"/>
          <w:b/>
          <w:bCs/>
          <w:i/>
          <w:iCs/>
          <w:sz w:val="24"/>
          <w:szCs w:val="24"/>
        </w:rPr>
        <w:t>2</w:t>
      </w:r>
      <w:r w:rsidR="00C11185">
        <w:rPr>
          <w:rFonts w:ascii="Arial" w:hAnsi="Arial" w:cs="Arial"/>
          <w:sz w:val="24"/>
          <w:szCs w:val="24"/>
        </w:rPr>
        <w:t>)</w:t>
      </w:r>
      <w:r w:rsidR="002557BA">
        <w:rPr>
          <w:rFonts w:ascii="Arial" w:hAnsi="Arial" w:cs="Arial"/>
          <w:sz w:val="24"/>
          <w:szCs w:val="24"/>
        </w:rPr>
        <w:t xml:space="preserve">. </w:t>
      </w:r>
      <w:r w:rsidR="00875EBC">
        <w:rPr>
          <w:rFonts w:ascii="Arial" w:hAnsi="Arial" w:cs="Arial"/>
          <w:sz w:val="24"/>
          <w:szCs w:val="24"/>
        </w:rPr>
        <w:t>Employment related disputes heard by civil courts include accidents at work, contract claims for non-payment of wages and restrictive covenants.</w:t>
      </w:r>
    </w:p>
    <w:p w14:paraId="229792D4" w14:textId="4663CCF5" w:rsidR="00CF077D" w:rsidRDefault="00CF077D" w:rsidP="004E3077">
      <w:pPr>
        <w:rPr>
          <w:rFonts w:ascii="Arial" w:hAnsi="Arial" w:cs="Arial"/>
          <w:b/>
          <w:bCs/>
          <w:i/>
          <w:iCs/>
          <w:sz w:val="18"/>
          <w:szCs w:val="18"/>
        </w:rPr>
      </w:pPr>
      <w:r>
        <w:rPr>
          <w:noProof/>
        </w:rPr>
        <w:drawing>
          <wp:inline distT="0" distB="0" distL="0" distR="0" wp14:anchorId="7DBA9DA1" wp14:editId="155E9664">
            <wp:extent cx="5343525" cy="2856230"/>
            <wp:effectExtent l="0" t="0" r="952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759" t="36650" r="23554" b="14286"/>
                    <a:stretch/>
                  </pic:blipFill>
                  <pic:spPr bwMode="auto">
                    <a:xfrm>
                      <a:off x="0" y="0"/>
                      <a:ext cx="5351761" cy="2860632"/>
                    </a:xfrm>
                    <a:prstGeom prst="rect">
                      <a:avLst/>
                    </a:prstGeom>
                    <a:ln>
                      <a:noFill/>
                    </a:ln>
                    <a:extLst>
                      <a:ext uri="{53640926-AAD7-44D8-BBD7-CCE9431645EC}">
                        <a14:shadowObscured xmlns:a14="http://schemas.microsoft.com/office/drawing/2010/main"/>
                      </a:ext>
                    </a:extLst>
                  </pic:spPr>
                </pic:pic>
              </a:graphicData>
            </a:graphic>
          </wp:inline>
        </w:drawing>
      </w:r>
    </w:p>
    <w:p w14:paraId="4C9508AB" w14:textId="7F178729" w:rsidR="00DC7BB7" w:rsidRPr="007E769B" w:rsidRDefault="004E0F7B" w:rsidP="004E3077">
      <w:pPr>
        <w:rPr>
          <w:rFonts w:ascii="Arial" w:hAnsi="Arial" w:cs="Arial"/>
          <w:sz w:val="24"/>
          <w:szCs w:val="24"/>
        </w:rPr>
      </w:pPr>
      <w:r>
        <w:rPr>
          <w:rFonts w:ascii="Arial" w:hAnsi="Arial" w:cs="Arial"/>
          <w:sz w:val="24"/>
          <w:szCs w:val="24"/>
        </w:rPr>
        <w:lastRenderedPageBreak/>
        <w:t xml:space="preserve">(Worksmart 2020) refers to </w:t>
      </w:r>
      <w:r w:rsidR="00DC7BB7">
        <w:rPr>
          <w:rFonts w:ascii="Arial" w:hAnsi="Arial" w:cs="Arial"/>
          <w:sz w:val="24"/>
          <w:szCs w:val="24"/>
        </w:rPr>
        <w:t>the role of the</w:t>
      </w:r>
      <w:r>
        <w:rPr>
          <w:rFonts w:ascii="Arial" w:hAnsi="Arial" w:cs="Arial"/>
          <w:sz w:val="24"/>
          <w:szCs w:val="24"/>
        </w:rPr>
        <w:t xml:space="preserve"> </w:t>
      </w:r>
      <w:r w:rsidR="007E769B">
        <w:rPr>
          <w:rFonts w:ascii="Arial" w:hAnsi="Arial" w:cs="Arial"/>
          <w:sz w:val="24"/>
          <w:szCs w:val="24"/>
        </w:rPr>
        <w:t xml:space="preserve">Employment </w:t>
      </w:r>
      <w:r>
        <w:rPr>
          <w:rFonts w:ascii="Arial" w:hAnsi="Arial" w:cs="Arial"/>
          <w:sz w:val="24"/>
          <w:szCs w:val="24"/>
        </w:rPr>
        <w:t>Tribu</w:t>
      </w:r>
      <w:r w:rsidR="007E769B">
        <w:rPr>
          <w:rFonts w:ascii="Arial" w:hAnsi="Arial" w:cs="Arial"/>
          <w:sz w:val="24"/>
          <w:szCs w:val="24"/>
        </w:rPr>
        <w:t>nal</w:t>
      </w:r>
      <w:r w:rsidR="00DC7BB7">
        <w:rPr>
          <w:rFonts w:ascii="Arial" w:hAnsi="Arial" w:cs="Arial"/>
          <w:sz w:val="24"/>
          <w:szCs w:val="24"/>
        </w:rPr>
        <w:t xml:space="preserve"> is to </w:t>
      </w:r>
      <w:r w:rsidR="007E769B">
        <w:rPr>
          <w:rFonts w:ascii="Arial" w:hAnsi="Arial" w:cs="Arial"/>
          <w:sz w:val="24"/>
          <w:szCs w:val="24"/>
        </w:rPr>
        <w:t xml:space="preserve">deal with most work-related legal claims </w:t>
      </w:r>
      <w:r>
        <w:rPr>
          <w:rFonts w:ascii="Arial" w:hAnsi="Arial" w:cs="Arial"/>
          <w:sz w:val="24"/>
          <w:szCs w:val="24"/>
        </w:rPr>
        <w:t>and were originally created to provide an informal and speedy way of settling employment rights disputes between the employee and employer. Although, tribunals are still less formal than civil court cases, the complexity of the law has increasingly made tribunals more formal and legal.</w:t>
      </w:r>
      <w:r w:rsidR="00DC7BB7">
        <w:rPr>
          <w:rFonts w:ascii="Arial" w:hAnsi="Arial" w:cs="Arial"/>
          <w:sz w:val="24"/>
          <w:szCs w:val="24"/>
        </w:rPr>
        <w:t xml:space="preserve"> </w:t>
      </w:r>
    </w:p>
    <w:p w14:paraId="141DA030" w14:textId="35613737" w:rsidR="004E0F7B" w:rsidRDefault="006D77AB" w:rsidP="00E877FE">
      <w:pPr>
        <w:rPr>
          <w:rFonts w:ascii="Arial" w:hAnsi="Arial" w:cs="Arial"/>
          <w:sz w:val="24"/>
          <w:szCs w:val="24"/>
        </w:rPr>
      </w:pPr>
      <w:r>
        <w:rPr>
          <w:rFonts w:ascii="Arial" w:hAnsi="Arial" w:cs="Arial"/>
          <w:sz w:val="24"/>
          <w:szCs w:val="24"/>
        </w:rPr>
        <w:t>(Daniels, 2019) states that an</w:t>
      </w:r>
      <w:r w:rsidR="00D1276B">
        <w:rPr>
          <w:rFonts w:ascii="Arial" w:hAnsi="Arial" w:cs="Arial"/>
          <w:sz w:val="24"/>
          <w:szCs w:val="24"/>
        </w:rPr>
        <w:t xml:space="preserve"> </w:t>
      </w:r>
      <w:r>
        <w:rPr>
          <w:rFonts w:ascii="Arial" w:hAnsi="Arial" w:cs="Arial"/>
          <w:sz w:val="24"/>
          <w:szCs w:val="24"/>
        </w:rPr>
        <w:t xml:space="preserve">Employment Tribunal </w:t>
      </w:r>
      <w:r w:rsidR="003622DB">
        <w:rPr>
          <w:rFonts w:ascii="Arial" w:hAnsi="Arial" w:cs="Arial"/>
          <w:sz w:val="24"/>
          <w:szCs w:val="24"/>
        </w:rPr>
        <w:t xml:space="preserve">panel </w:t>
      </w:r>
      <w:r>
        <w:rPr>
          <w:rFonts w:ascii="Arial" w:hAnsi="Arial" w:cs="Arial"/>
          <w:sz w:val="24"/>
          <w:szCs w:val="24"/>
        </w:rPr>
        <w:t>consists of</w:t>
      </w:r>
      <w:r w:rsidR="003622DB">
        <w:rPr>
          <w:rFonts w:ascii="Arial" w:hAnsi="Arial" w:cs="Arial"/>
          <w:sz w:val="24"/>
          <w:szCs w:val="24"/>
        </w:rPr>
        <w:t xml:space="preserve"> </w:t>
      </w:r>
      <w:r w:rsidR="007E769B">
        <w:rPr>
          <w:rFonts w:ascii="Arial" w:hAnsi="Arial" w:cs="Arial"/>
          <w:sz w:val="24"/>
          <w:szCs w:val="24"/>
        </w:rPr>
        <w:t xml:space="preserve">3 members, </w:t>
      </w:r>
      <w:r w:rsidR="003622DB">
        <w:rPr>
          <w:rFonts w:ascii="Arial" w:hAnsi="Arial" w:cs="Arial"/>
          <w:sz w:val="24"/>
          <w:szCs w:val="24"/>
        </w:rPr>
        <w:t xml:space="preserve">an </w:t>
      </w:r>
      <w:r w:rsidR="00D1276B">
        <w:rPr>
          <w:rFonts w:ascii="Arial" w:hAnsi="Arial" w:cs="Arial"/>
          <w:sz w:val="24"/>
          <w:szCs w:val="24"/>
        </w:rPr>
        <w:t>Employment Judge</w:t>
      </w:r>
      <w:r w:rsidR="007E769B">
        <w:rPr>
          <w:rFonts w:ascii="Arial" w:hAnsi="Arial" w:cs="Arial"/>
          <w:sz w:val="24"/>
          <w:szCs w:val="24"/>
        </w:rPr>
        <w:t xml:space="preserve">, whom will be legally qualified </w:t>
      </w:r>
      <w:r w:rsidR="003622DB">
        <w:rPr>
          <w:rFonts w:ascii="Arial" w:hAnsi="Arial" w:cs="Arial"/>
          <w:sz w:val="24"/>
          <w:szCs w:val="24"/>
        </w:rPr>
        <w:t>and two lay members and all members have an equal vote in deciding the outcome of cases</w:t>
      </w:r>
      <w:r w:rsidR="007E769B">
        <w:rPr>
          <w:rFonts w:ascii="Arial" w:hAnsi="Arial" w:cs="Arial"/>
          <w:sz w:val="24"/>
          <w:szCs w:val="24"/>
        </w:rPr>
        <w:t xml:space="preserve">. As a panel, all members must exercise impartially, and the lay members will be expected to bring forward their employment experience when judging on a case. </w:t>
      </w:r>
      <w:r w:rsidR="003622DB">
        <w:rPr>
          <w:rFonts w:ascii="Arial" w:hAnsi="Arial" w:cs="Arial"/>
          <w:sz w:val="24"/>
          <w:szCs w:val="24"/>
        </w:rPr>
        <w:t>The</w:t>
      </w:r>
      <w:r w:rsidR="00D1276B">
        <w:rPr>
          <w:rFonts w:ascii="Arial" w:hAnsi="Arial" w:cs="Arial"/>
          <w:sz w:val="24"/>
          <w:szCs w:val="24"/>
        </w:rPr>
        <w:t xml:space="preserve"> </w:t>
      </w:r>
      <w:r w:rsidR="003622DB">
        <w:rPr>
          <w:rFonts w:ascii="Arial" w:hAnsi="Arial" w:cs="Arial"/>
          <w:sz w:val="24"/>
          <w:szCs w:val="24"/>
        </w:rPr>
        <w:t xml:space="preserve">panel </w:t>
      </w:r>
      <w:r w:rsidR="00D1276B">
        <w:rPr>
          <w:rFonts w:ascii="Arial" w:hAnsi="Arial" w:cs="Arial"/>
          <w:sz w:val="24"/>
          <w:szCs w:val="24"/>
        </w:rPr>
        <w:t xml:space="preserve">will ensure that the process is followed </w:t>
      </w:r>
      <w:r w:rsidR="009C4586">
        <w:rPr>
          <w:rFonts w:ascii="Arial" w:hAnsi="Arial" w:cs="Arial"/>
          <w:sz w:val="24"/>
          <w:szCs w:val="24"/>
        </w:rPr>
        <w:t>throughout</w:t>
      </w:r>
      <w:r w:rsidR="003622DB">
        <w:rPr>
          <w:rFonts w:ascii="Arial" w:hAnsi="Arial" w:cs="Arial"/>
          <w:sz w:val="24"/>
          <w:szCs w:val="24"/>
        </w:rPr>
        <w:t xml:space="preserve"> </w:t>
      </w:r>
      <w:r w:rsidR="009C4586">
        <w:rPr>
          <w:rFonts w:ascii="Arial" w:hAnsi="Arial" w:cs="Arial"/>
          <w:sz w:val="24"/>
          <w:szCs w:val="24"/>
        </w:rPr>
        <w:t xml:space="preserve">by all parties </w:t>
      </w:r>
      <w:r w:rsidR="003622DB">
        <w:rPr>
          <w:rFonts w:ascii="Arial" w:hAnsi="Arial" w:cs="Arial"/>
          <w:sz w:val="24"/>
          <w:szCs w:val="24"/>
        </w:rPr>
        <w:t xml:space="preserve">and </w:t>
      </w:r>
      <w:r w:rsidR="00D1276B">
        <w:rPr>
          <w:rFonts w:ascii="Arial" w:hAnsi="Arial" w:cs="Arial"/>
          <w:sz w:val="24"/>
          <w:szCs w:val="24"/>
        </w:rPr>
        <w:t xml:space="preserve">within </w:t>
      </w:r>
      <w:r w:rsidR="003622DB">
        <w:rPr>
          <w:rFonts w:ascii="Arial" w:hAnsi="Arial" w:cs="Arial"/>
          <w:sz w:val="24"/>
          <w:szCs w:val="24"/>
        </w:rPr>
        <w:t>specific timeframes</w:t>
      </w:r>
      <w:r w:rsidR="009C4586">
        <w:rPr>
          <w:rFonts w:ascii="Arial" w:hAnsi="Arial" w:cs="Arial"/>
          <w:sz w:val="24"/>
          <w:szCs w:val="24"/>
        </w:rPr>
        <w:t xml:space="preserve"> i.e. claimant should submit an ET1 form to start any claim usually within three months of alleged incident occurring.</w:t>
      </w:r>
      <w:r w:rsidR="001342B9">
        <w:rPr>
          <w:rFonts w:ascii="Arial" w:hAnsi="Arial" w:cs="Arial"/>
          <w:sz w:val="24"/>
          <w:szCs w:val="24"/>
        </w:rPr>
        <w:t xml:space="preserve"> There are certain claims where the three-month rule can be extended. </w:t>
      </w:r>
      <w:r w:rsidR="009C4586">
        <w:rPr>
          <w:rFonts w:ascii="Arial" w:hAnsi="Arial" w:cs="Arial"/>
          <w:sz w:val="24"/>
          <w:szCs w:val="24"/>
        </w:rPr>
        <w:t xml:space="preserve">It is then the responsibility of the respondent (usually employer) to respond by completing </w:t>
      </w:r>
      <w:r w:rsidR="001342B9">
        <w:rPr>
          <w:rFonts w:ascii="Arial" w:hAnsi="Arial" w:cs="Arial"/>
          <w:sz w:val="24"/>
          <w:szCs w:val="24"/>
        </w:rPr>
        <w:t>an</w:t>
      </w:r>
      <w:r w:rsidR="009C4586">
        <w:rPr>
          <w:rFonts w:ascii="Arial" w:hAnsi="Arial" w:cs="Arial"/>
          <w:sz w:val="24"/>
          <w:szCs w:val="24"/>
        </w:rPr>
        <w:t xml:space="preserve"> ET3 </w:t>
      </w:r>
      <w:r w:rsidR="001342B9">
        <w:rPr>
          <w:rFonts w:ascii="Arial" w:hAnsi="Arial" w:cs="Arial"/>
          <w:sz w:val="24"/>
          <w:szCs w:val="24"/>
        </w:rPr>
        <w:t xml:space="preserve">form </w:t>
      </w:r>
      <w:r w:rsidR="009C4586">
        <w:rPr>
          <w:rFonts w:ascii="Arial" w:hAnsi="Arial" w:cs="Arial"/>
          <w:sz w:val="24"/>
          <w:szCs w:val="24"/>
        </w:rPr>
        <w:t>within 28 days</w:t>
      </w:r>
      <w:r w:rsidR="004E0F7B">
        <w:rPr>
          <w:rFonts w:ascii="Arial" w:hAnsi="Arial" w:cs="Arial"/>
          <w:sz w:val="24"/>
          <w:szCs w:val="24"/>
        </w:rPr>
        <w:t xml:space="preserve"> before a case is heard</w:t>
      </w:r>
      <w:r w:rsidR="009C4586">
        <w:rPr>
          <w:rFonts w:ascii="Arial" w:hAnsi="Arial" w:cs="Arial"/>
          <w:sz w:val="24"/>
          <w:szCs w:val="24"/>
        </w:rPr>
        <w:t>.</w:t>
      </w:r>
      <w:r w:rsidR="005D3326">
        <w:rPr>
          <w:rFonts w:ascii="Arial" w:hAnsi="Arial" w:cs="Arial"/>
          <w:sz w:val="24"/>
          <w:szCs w:val="24"/>
        </w:rPr>
        <w:t xml:space="preserve"> Any delay at this point must provide valid justification for doing so.</w:t>
      </w:r>
    </w:p>
    <w:p w14:paraId="262B95E2" w14:textId="58C2F2C3" w:rsidR="00CB54A1" w:rsidRDefault="005D3326" w:rsidP="00E877FE">
      <w:pPr>
        <w:rPr>
          <w:rFonts w:ascii="Arial" w:hAnsi="Arial" w:cs="Arial"/>
          <w:sz w:val="24"/>
          <w:szCs w:val="24"/>
        </w:rPr>
      </w:pPr>
      <w:r>
        <w:rPr>
          <w:rFonts w:ascii="Arial" w:hAnsi="Arial" w:cs="Arial"/>
          <w:sz w:val="24"/>
          <w:szCs w:val="24"/>
        </w:rPr>
        <w:t>Following receipt and review of the above completed forms, the Employment Tribunal will decide of there is a case to answer and will write to all parties outlining the date of hearing</w:t>
      </w:r>
      <w:r w:rsidR="00CB54A1">
        <w:rPr>
          <w:rFonts w:ascii="Arial" w:hAnsi="Arial" w:cs="Arial"/>
          <w:sz w:val="24"/>
          <w:szCs w:val="24"/>
        </w:rPr>
        <w:t xml:space="preserve">. Should the panel wish to review anything beforehand, they may wish to consider </w:t>
      </w:r>
      <w:r w:rsidR="00710055">
        <w:rPr>
          <w:rFonts w:ascii="Arial" w:hAnsi="Arial" w:cs="Arial"/>
          <w:sz w:val="24"/>
          <w:szCs w:val="24"/>
        </w:rPr>
        <w:t xml:space="preserve">holding </w:t>
      </w:r>
      <w:r w:rsidR="00CB54A1">
        <w:rPr>
          <w:rFonts w:ascii="Arial" w:hAnsi="Arial" w:cs="Arial"/>
          <w:sz w:val="24"/>
          <w:szCs w:val="24"/>
        </w:rPr>
        <w:t>a preliminary hearing</w:t>
      </w:r>
      <w:r w:rsidR="00710055">
        <w:rPr>
          <w:rFonts w:ascii="Arial" w:hAnsi="Arial" w:cs="Arial"/>
          <w:sz w:val="24"/>
          <w:szCs w:val="24"/>
        </w:rPr>
        <w:t xml:space="preserve"> in</w:t>
      </w:r>
      <w:r w:rsidR="00CB54A1">
        <w:rPr>
          <w:rFonts w:ascii="Arial" w:hAnsi="Arial" w:cs="Arial"/>
          <w:sz w:val="24"/>
          <w:szCs w:val="24"/>
        </w:rPr>
        <w:t xml:space="preserve"> the </w:t>
      </w:r>
      <w:r w:rsidR="00710055">
        <w:rPr>
          <w:rFonts w:ascii="Arial" w:hAnsi="Arial" w:cs="Arial"/>
          <w:sz w:val="24"/>
          <w:szCs w:val="24"/>
        </w:rPr>
        <w:t>interim</w:t>
      </w:r>
      <w:r w:rsidR="00CB54A1">
        <w:rPr>
          <w:rFonts w:ascii="Arial" w:hAnsi="Arial" w:cs="Arial"/>
          <w:sz w:val="24"/>
          <w:szCs w:val="24"/>
        </w:rPr>
        <w:t xml:space="preserve">. Instructions will be provided for evidence to be heard and this could include witness statements which should be collated for all parties, any schedule of loss and medical evidence (if applicable). Once all parties have presented their cases and key points have been put forward, the panel will adjourn and consider its decision. </w:t>
      </w:r>
    </w:p>
    <w:p w14:paraId="0E3D9FC4" w14:textId="24DFADC2" w:rsidR="001342B9" w:rsidRDefault="00CB54A1" w:rsidP="00E877FE">
      <w:pPr>
        <w:rPr>
          <w:rFonts w:ascii="Arial" w:hAnsi="Arial" w:cs="Arial"/>
          <w:sz w:val="24"/>
          <w:szCs w:val="24"/>
        </w:rPr>
      </w:pPr>
      <w:r>
        <w:rPr>
          <w:rFonts w:ascii="Arial" w:hAnsi="Arial" w:cs="Arial"/>
          <w:sz w:val="24"/>
          <w:szCs w:val="24"/>
        </w:rPr>
        <w:t xml:space="preserve">Should any party be dissatisfied with the outcome </w:t>
      </w:r>
      <w:r w:rsidR="002557BA">
        <w:rPr>
          <w:rFonts w:ascii="Arial" w:hAnsi="Arial" w:cs="Arial"/>
          <w:sz w:val="24"/>
          <w:szCs w:val="24"/>
        </w:rPr>
        <w:t xml:space="preserve">then the Employment Tribunal could be asked to review the initial decision, or an appeal would need to be made to the Employment Appeal Tribunal. Should an Appeal arise </w:t>
      </w:r>
      <w:r w:rsidR="00710055">
        <w:rPr>
          <w:rFonts w:ascii="Arial" w:hAnsi="Arial" w:cs="Arial"/>
          <w:sz w:val="24"/>
          <w:szCs w:val="24"/>
        </w:rPr>
        <w:t>due to a</w:t>
      </w:r>
      <w:r w:rsidR="002557BA">
        <w:rPr>
          <w:rFonts w:ascii="Arial" w:hAnsi="Arial" w:cs="Arial"/>
          <w:sz w:val="24"/>
          <w:szCs w:val="24"/>
        </w:rPr>
        <w:t xml:space="preserve"> point of law claim, then </w:t>
      </w:r>
      <w:r w:rsidR="00710055">
        <w:rPr>
          <w:rFonts w:ascii="Arial" w:hAnsi="Arial" w:cs="Arial"/>
          <w:sz w:val="24"/>
          <w:szCs w:val="24"/>
        </w:rPr>
        <w:t>the matter will be dealt with at Supreme Court.</w:t>
      </w:r>
    </w:p>
    <w:p w14:paraId="18AA38EB" w14:textId="77777777" w:rsidR="003622DB" w:rsidRPr="00E877FE" w:rsidRDefault="003622DB" w:rsidP="00E877FE">
      <w:pPr>
        <w:rPr>
          <w:rFonts w:ascii="Arial" w:hAnsi="Arial" w:cs="Arial"/>
          <w:sz w:val="24"/>
          <w:szCs w:val="24"/>
        </w:rPr>
      </w:pPr>
    </w:p>
    <w:p w14:paraId="00FB8008" w14:textId="6387612E" w:rsidR="000C2936" w:rsidRDefault="00710055" w:rsidP="002417AE">
      <w:pPr>
        <w:rPr>
          <w:rFonts w:ascii="Arial" w:hAnsi="Arial" w:cs="Arial"/>
          <w:b/>
          <w:bCs/>
          <w:sz w:val="24"/>
          <w:szCs w:val="24"/>
        </w:rPr>
      </w:pPr>
      <w:r w:rsidRPr="007744E6">
        <w:rPr>
          <w:rFonts w:ascii="Arial" w:hAnsi="Arial" w:cs="Arial"/>
          <w:b/>
          <w:bCs/>
          <w:sz w:val="24"/>
          <w:szCs w:val="24"/>
        </w:rPr>
        <w:t xml:space="preserve">2. </w:t>
      </w:r>
      <w:r w:rsidR="007744E6" w:rsidRPr="007744E6">
        <w:rPr>
          <w:rFonts w:ascii="Arial" w:hAnsi="Arial" w:cs="Arial"/>
          <w:b/>
          <w:bCs/>
          <w:sz w:val="24"/>
          <w:szCs w:val="24"/>
        </w:rPr>
        <w:t>Summarise the main principles of discrimination law in relation to recruitment and selection and explain how contracts of employment are established.</w:t>
      </w:r>
    </w:p>
    <w:p w14:paraId="5815BE1E" w14:textId="6E2C4CF7" w:rsidR="00A12154" w:rsidRDefault="00A12154" w:rsidP="002417AE">
      <w:pPr>
        <w:rPr>
          <w:rFonts w:ascii="Arial" w:hAnsi="Arial" w:cs="Arial"/>
          <w:sz w:val="24"/>
          <w:szCs w:val="24"/>
        </w:rPr>
      </w:pPr>
      <w:r>
        <w:rPr>
          <w:rFonts w:ascii="Arial" w:hAnsi="Arial" w:cs="Arial"/>
          <w:sz w:val="24"/>
          <w:szCs w:val="24"/>
        </w:rPr>
        <w:t>(CIPD</w:t>
      </w:r>
      <w:r w:rsidR="00580C74">
        <w:rPr>
          <w:rFonts w:ascii="Arial" w:hAnsi="Arial" w:cs="Arial"/>
          <w:sz w:val="24"/>
          <w:szCs w:val="24"/>
        </w:rPr>
        <w:t>,</w:t>
      </w:r>
      <w:r>
        <w:rPr>
          <w:rFonts w:ascii="Arial" w:hAnsi="Arial" w:cs="Arial"/>
          <w:sz w:val="24"/>
          <w:szCs w:val="24"/>
        </w:rPr>
        <w:t xml:space="preserve"> 2017) refers to there being no single Act governing recruitment and selection, but there are many Acts that deal with employment relationship and these have an impact on pre-employment checks. The most significant legislation governed by law on recruitment in the UK is the Equality Act 2010.</w:t>
      </w:r>
    </w:p>
    <w:p w14:paraId="6B58C34D" w14:textId="6F68BAF0" w:rsidR="00A12154" w:rsidRDefault="00757FF8" w:rsidP="002417AE">
      <w:pPr>
        <w:rPr>
          <w:rFonts w:ascii="Arial" w:hAnsi="Arial" w:cs="Arial"/>
          <w:sz w:val="24"/>
          <w:szCs w:val="24"/>
        </w:rPr>
      </w:pPr>
      <w:r>
        <w:rPr>
          <w:rFonts w:ascii="Arial" w:hAnsi="Arial" w:cs="Arial"/>
          <w:sz w:val="24"/>
          <w:szCs w:val="24"/>
        </w:rPr>
        <w:t>The Equality Act 2010 outlines</w:t>
      </w:r>
      <w:r w:rsidR="00D270EC">
        <w:rPr>
          <w:rFonts w:ascii="Arial" w:hAnsi="Arial" w:cs="Arial"/>
          <w:sz w:val="24"/>
          <w:szCs w:val="24"/>
        </w:rPr>
        <w:t xml:space="preserve"> nine</w:t>
      </w:r>
      <w:r>
        <w:rPr>
          <w:rFonts w:ascii="Arial" w:hAnsi="Arial" w:cs="Arial"/>
          <w:sz w:val="24"/>
          <w:szCs w:val="24"/>
        </w:rPr>
        <w:t xml:space="preserve"> “protected characteristics” and makes it unlawful for employers to discrimination against job applicants and existing workers who fall under these characteristics. These being:</w:t>
      </w:r>
    </w:p>
    <w:p w14:paraId="15159BC1" w14:textId="655FBDF0" w:rsidR="000256FE" w:rsidRPr="000256FE" w:rsidRDefault="000256FE" w:rsidP="000256FE">
      <w:pPr>
        <w:pStyle w:val="ListParagraph"/>
        <w:numPr>
          <w:ilvl w:val="0"/>
          <w:numId w:val="6"/>
        </w:numPr>
        <w:rPr>
          <w:rFonts w:ascii="Arial" w:hAnsi="Arial" w:cs="Arial"/>
          <w:sz w:val="24"/>
          <w:szCs w:val="24"/>
        </w:rPr>
      </w:pPr>
      <w:r>
        <w:rPr>
          <w:rFonts w:ascii="Arial" w:hAnsi="Arial" w:cs="Arial"/>
          <w:sz w:val="24"/>
          <w:szCs w:val="24"/>
        </w:rPr>
        <w:t>age</w:t>
      </w:r>
    </w:p>
    <w:p w14:paraId="3AB918A9" w14:textId="4AC25121"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disability</w:t>
      </w:r>
    </w:p>
    <w:p w14:paraId="71A42700" w14:textId="7ECDC68A"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 xml:space="preserve">gender reassignment </w:t>
      </w:r>
    </w:p>
    <w:p w14:paraId="37468542" w14:textId="71A6B2DA"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religion of belief</w:t>
      </w:r>
    </w:p>
    <w:p w14:paraId="23284D3C" w14:textId="3377FE3E"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race</w:t>
      </w:r>
    </w:p>
    <w:p w14:paraId="1D615E14" w14:textId="41BD971C"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lastRenderedPageBreak/>
        <w:t>sex</w:t>
      </w:r>
    </w:p>
    <w:p w14:paraId="215ADC86" w14:textId="5D699819"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sexual orientation</w:t>
      </w:r>
    </w:p>
    <w:p w14:paraId="36FCE1DB" w14:textId="458E218B"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marriage and civil partnership</w:t>
      </w:r>
    </w:p>
    <w:p w14:paraId="78A9BDF4" w14:textId="22602420" w:rsidR="00757FF8" w:rsidRDefault="00757FF8" w:rsidP="00757FF8">
      <w:pPr>
        <w:pStyle w:val="ListParagraph"/>
        <w:numPr>
          <w:ilvl w:val="0"/>
          <w:numId w:val="6"/>
        </w:numPr>
        <w:rPr>
          <w:rFonts w:ascii="Arial" w:hAnsi="Arial" w:cs="Arial"/>
          <w:sz w:val="24"/>
          <w:szCs w:val="24"/>
        </w:rPr>
      </w:pPr>
      <w:r>
        <w:rPr>
          <w:rFonts w:ascii="Arial" w:hAnsi="Arial" w:cs="Arial"/>
          <w:sz w:val="24"/>
          <w:szCs w:val="24"/>
        </w:rPr>
        <w:t>pregnancy and maternity</w:t>
      </w:r>
    </w:p>
    <w:p w14:paraId="29B69F07" w14:textId="3C5CA4E2" w:rsidR="008E18EB" w:rsidRDefault="000256FE" w:rsidP="002417AE">
      <w:pPr>
        <w:rPr>
          <w:rFonts w:ascii="Arial" w:hAnsi="Arial" w:cs="Arial"/>
          <w:sz w:val="24"/>
          <w:szCs w:val="24"/>
        </w:rPr>
      </w:pPr>
      <w:r>
        <w:rPr>
          <w:rFonts w:ascii="Arial" w:hAnsi="Arial" w:cs="Arial"/>
          <w:sz w:val="24"/>
          <w:szCs w:val="24"/>
        </w:rPr>
        <w:t>All employers should have an equal opportunities policy which should outline that all job applicants will be selected purely on merit and must follow policy. Employers must ensure that all recruitment paperwork including job advertisement, job description and person specification do not discriminate in anyway</w:t>
      </w:r>
      <w:r w:rsidR="009B7732">
        <w:rPr>
          <w:rFonts w:ascii="Arial" w:hAnsi="Arial" w:cs="Arial"/>
          <w:sz w:val="24"/>
          <w:szCs w:val="24"/>
        </w:rPr>
        <w:t xml:space="preserve"> and gives all prospective applicants the opportunity to apply.</w:t>
      </w:r>
    </w:p>
    <w:p w14:paraId="4091B3C5" w14:textId="77777777" w:rsidR="00165EF6" w:rsidRDefault="00580C74" w:rsidP="002417AE">
      <w:pPr>
        <w:rPr>
          <w:rFonts w:ascii="Arial" w:hAnsi="Arial" w:cs="Arial"/>
          <w:sz w:val="24"/>
          <w:szCs w:val="24"/>
        </w:rPr>
      </w:pPr>
      <w:r>
        <w:rPr>
          <w:rFonts w:ascii="Arial" w:hAnsi="Arial" w:cs="Arial"/>
          <w:sz w:val="24"/>
          <w:szCs w:val="24"/>
        </w:rPr>
        <w:t xml:space="preserve">(ACAS, 2019) refers to there being </w:t>
      </w:r>
      <w:r w:rsidR="00D270EC">
        <w:rPr>
          <w:rFonts w:ascii="Arial" w:hAnsi="Arial" w:cs="Arial"/>
          <w:sz w:val="24"/>
          <w:szCs w:val="24"/>
        </w:rPr>
        <w:t>four</w:t>
      </w:r>
      <w:r w:rsidR="004771A4">
        <w:rPr>
          <w:rFonts w:ascii="Arial" w:hAnsi="Arial" w:cs="Arial"/>
          <w:sz w:val="24"/>
          <w:szCs w:val="24"/>
        </w:rPr>
        <w:t xml:space="preserve"> types of discrimination that can be associated with the above protected characteristics</w:t>
      </w:r>
      <w:r w:rsidR="00CB182A">
        <w:rPr>
          <w:rFonts w:ascii="Arial" w:hAnsi="Arial" w:cs="Arial"/>
          <w:sz w:val="24"/>
          <w:szCs w:val="24"/>
        </w:rPr>
        <w:t xml:space="preserve"> which are direct discrimination, indirect discrimination, harassment, and victimisation. If an employee/job applicant feels they are being discriminated against, this will normally be connected to a protected characteristic such as age, </w:t>
      </w:r>
      <w:r w:rsidR="000B6845">
        <w:rPr>
          <w:rFonts w:ascii="Arial" w:hAnsi="Arial" w:cs="Arial"/>
          <w:sz w:val="24"/>
          <w:szCs w:val="24"/>
        </w:rPr>
        <w:t>se</w:t>
      </w:r>
      <w:r w:rsidR="00CB182A">
        <w:rPr>
          <w:rFonts w:ascii="Arial" w:hAnsi="Arial" w:cs="Arial"/>
          <w:sz w:val="24"/>
          <w:szCs w:val="24"/>
        </w:rPr>
        <w:t xml:space="preserve">x or religion. </w:t>
      </w:r>
    </w:p>
    <w:p w14:paraId="13F0D7EA" w14:textId="7FDDC051" w:rsidR="00165EF6" w:rsidRDefault="00165EF6" w:rsidP="002417AE">
      <w:pPr>
        <w:rPr>
          <w:rFonts w:ascii="Arial" w:hAnsi="Arial" w:cs="Arial"/>
          <w:sz w:val="24"/>
          <w:szCs w:val="24"/>
        </w:rPr>
      </w:pPr>
      <w:r>
        <w:rPr>
          <w:rFonts w:ascii="Arial" w:hAnsi="Arial" w:cs="Arial"/>
          <w:sz w:val="24"/>
          <w:szCs w:val="24"/>
        </w:rPr>
        <w:t xml:space="preserve">It is worth noting that there are other types of discrimination that employers should be mindful of. These are associative, perception and failure to make reasonable adjustments </w:t>
      </w:r>
      <w:r w:rsidR="009C25D3">
        <w:rPr>
          <w:rFonts w:ascii="Arial" w:hAnsi="Arial" w:cs="Arial"/>
          <w:sz w:val="24"/>
          <w:szCs w:val="24"/>
        </w:rPr>
        <w:t xml:space="preserve">with the latter being </w:t>
      </w:r>
      <w:r>
        <w:rPr>
          <w:rFonts w:ascii="Arial" w:hAnsi="Arial" w:cs="Arial"/>
          <w:sz w:val="24"/>
          <w:szCs w:val="24"/>
        </w:rPr>
        <w:t>outlined in section 21 of the Equality Act 2010.</w:t>
      </w:r>
    </w:p>
    <w:p w14:paraId="24874A4A" w14:textId="65DE730D" w:rsidR="00CB182A" w:rsidRDefault="000B6845" w:rsidP="002417AE">
      <w:pPr>
        <w:rPr>
          <w:rFonts w:ascii="Arial" w:hAnsi="Arial" w:cs="Arial"/>
          <w:sz w:val="24"/>
          <w:szCs w:val="24"/>
        </w:rPr>
      </w:pPr>
      <w:r>
        <w:rPr>
          <w:rFonts w:ascii="Arial" w:hAnsi="Arial" w:cs="Arial"/>
          <w:sz w:val="24"/>
          <w:szCs w:val="24"/>
        </w:rPr>
        <w:t>The</w:t>
      </w:r>
      <w:r w:rsidR="00CB182A" w:rsidRPr="00CB182A">
        <w:rPr>
          <w:rFonts w:ascii="Arial" w:hAnsi="Arial" w:cs="Arial"/>
          <w:sz w:val="24"/>
          <w:szCs w:val="24"/>
        </w:rPr>
        <w:t xml:space="preserve"> way in which the</w:t>
      </w:r>
      <w:r>
        <w:rPr>
          <w:rFonts w:ascii="Arial" w:hAnsi="Arial" w:cs="Arial"/>
          <w:sz w:val="24"/>
          <w:szCs w:val="24"/>
        </w:rPr>
        <w:t xml:space="preserve"> </w:t>
      </w:r>
      <w:r w:rsidR="00CB182A" w:rsidRPr="00CB182A">
        <w:rPr>
          <w:rFonts w:ascii="Arial" w:hAnsi="Arial" w:cs="Arial"/>
          <w:sz w:val="24"/>
          <w:szCs w:val="24"/>
        </w:rPr>
        <w:t xml:space="preserve">allegedly discriminated </w:t>
      </w:r>
      <w:r>
        <w:rPr>
          <w:rFonts w:ascii="Arial" w:hAnsi="Arial" w:cs="Arial"/>
          <w:sz w:val="24"/>
          <w:szCs w:val="24"/>
        </w:rPr>
        <w:t xml:space="preserve">was brought </w:t>
      </w:r>
      <w:r w:rsidR="00CB182A" w:rsidRPr="00CB182A">
        <w:rPr>
          <w:rFonts w:ascii="Arial" w:hAnsi="Arial" w:cs="Arial"/>
          <w:sz w:val="24"/>
          <w:szCs w:val="24"/>
        </w:rPr>
        <w:t>against will determine which type or types of discrimination apply within their protected characteristic. For example, whether direct, indirect, harassment or victimisation.</w:t>
      </w:r>
      <w:r w:rsidR="00165EF6">
        <w:rPr>
          <w:rFonts w:ascii="Arial" w:hAnsi="Arial" w:cs="Arial"/>
          <w:sz w:val="24"/>
          <w:szCs w:val="24"/>
        </w:rPr>
        <w:t xml:space="preserve"> For example,</w:t>
      </w:r>
      <w:r w:rsidR="009C25D3">
        <w:rPr>
          <w:rFonts w:ascii="Arial" w:hAnsi="Arial" w:cs="Arial"/>
          <w:sz w:val="24"/>
          <w:szCs w:val="24"/>
        </w:rPr>
        <w:t xml:space="preserve"> because an employee is female and also of a particular age, then both age and sex discrimination would be considered separately.</w:t>
      </w:r>
    </w:p>
    <w:p w14:paraId="21F09DD5" w14:textId="76A3F191" w:rsidR="009C25D3" w:rsidRDefault="00C35FCA" w:rsidP="002417AE">
      <w:pPr>
        <w:rPr>
          <w:rFonts w:ascii="Arial" w:hAnsi="Arial" w:cs="Arial"/>
          <w:sz w:val="24"/>
          <w:szCs w:val="24"/>
        </w:rPr>
      </w:pPr>
      <w:r>
        <w:rPr>
          <w:rFonts w:ascii="Arial" w:hAnsi="Arial" w:cs="Arial"/>
          <w:sz w:val="24"/>
          <w:szCs w:val="24"/>
        </w:rPr>
        <w:t xml:space="preserve">(CIPD, 2020c) argues that contracts of employment are legally binding agreements </w:t>
      </w:r>
      <w:r w:rsidR="00C01E9B">
        <w:rPr>
          <w:rFonts w:ascii="Arial" w:hAnsi="Arial" w:cs="Arial"/>
          <w:sz w:val="24"/>
          <w:szCs w:val="24"/>
        </w:rPr>
        <w:t xml:space="preserve">between the employee and employer </w:t>
      </w:r>
      <w:r>
        <w:rPr>
          <w:rFonts w:ascii="Arial" w:hAnsi="Arial" w:cs="Arial"/>
          <w:sz w:val="24"/>
          <w:szCs w:val="24"/>
        </w:rPr>
        <w:t>and consist of written or verbal terms in the contract. Many statutory rules are governed by contract law which will affect employment contracts too.</w:t>
      </w:r>
      <w:r w:rsidR="002C367C">
        <w:rPr>
          <w:rFonts w:ascii="Arial" w:hAnsi="Arial" w:cs="Arial"/>
          <w:sz w:val="24"/>
          <w:szCs w:val="24"/>
        </w:rPr>
        <w:t xml:space="preserve"> UK law recognises that there are currently three types of employment status:</w:t>
      </w:r>
    </w:p>
    <w:p w14:paraId="0A772F88" w14:textId="626A7008" w:rsidR="002C367C" w:rsidRDefault="002C367C" w:rsidP="002C367C">
      <w:pPr>
        <w:pStyle w:val="ListParagraph"/>
        <w:numPr>
          <w:ilvl w:val="0"/>
          <w:numId w:val="7"/>
        </w:numPr>
        <w:rPr>
          <w:rFonts w:ascii="Arial" w:hAnsi="Arial" w:cs="Arial"/>
          <w:sz w:val="24"/>
          <w:szCs w:val="24"/>
        </w:rPr>
      </w:pPr>
      <w:r>
        <w:rPr>
          <w:rFonts w:ascii="Arial" w:hAnsi="Arial" w:cs="Arial"/>
          <w:sz w:val="24"/>
          <w:szCs w:val="24"/>
        </w:rPr>
        <w:t>employee</w:t>
      </w:r>
    </w:p>
    <w:p w14:paraId="2858CBE2" w14:textId="56967FD9" w:rsidR="002C367C" w:rsidRDefault="002C367C" w:rsidP="002C367C">
      <w:pPr>
        <w:pStyle w:val="ListParagraph"/>
        <w:numPr>
          <w:ilvl w:val="0"/>
          <w:numId w:val="7"/>
        </w:numPr>
        <w:rPr>
          <w:rFonts w:ascii="Arial" w:hAnsi="Arial" w:cs="Arial"/>
          <w:sz w:val="24"/>
          <w:szCs w:val="24"/>
        </w:rPr>
      </w:pPr>
      <w:r>
        <w:rPr>
          <w:rFonts w:ascii="Arial" w:hAnsi="Arial" w:cs="Arial"/>
          <w:sz w:val="24"/>
          <w:szCs w:val="24"/>
        </w:rPr>
        <w:t>worker</w:t>
      </w:r>
    </w:p>
    <w:p w14:paraId="03B1516F" w14:textId="4BB4A340" w:rsidR="002C367C" w:rsidRDefault="002C367C" w:rsidP="002C367C">
      <w:pPr>
        <w:pStyle w:val="ListParagraph"/>
        <w:numPr>
          <w:ilvl w:val="0"/>
          <w:numId w:val="7"/>
        </w:numPr>
        <w:rPr>
          <w:rFonts w:ascii="Arial" w:hAnsi="Arial" w:cs="Arial"/>
          <w:sz w:val="24"/>
          <w:szCs w:val="24"/>
        </w:rPr>
      </w:pPr>
      <w:r>
        <w:rPr>
          <w:rFonts w:ascii="Arial" w:hAnsi="Arial" w:cs="Arial"/>
          <w:sz w:val="24"/>
          <w:szCs w:val="24"/>
        </w:rPr>
        <w:t>self-employed</w:t>
      </w:r>
    </w:p>
    <w:p w14:paraId="6BE79ECC" w14:textId="3A446A64" w:rsidR="002C367C" w:rsidRPr="002C367C" w:rsidRDefault="002C367C" w:rsidP="002C367C">
      <w:pPr>
        <w:rPr>
          <w:rFonts w:ascii="Arial" w:hAnsi="Arial" w:cs="Arial"/>
          <w:sz w:val="24"/>
          <w:szCs w:val="24"/>
        </w:rPr>
      </w:pPr>
      <w:r>
        <w:rPr>
          <w:rFonts w:ascii="Arial" w:hAnsi="Arial" w:cs="Arial"/>
          <w:sz w:val="24"/>
          <w:szCs w:val="24"/>
        </w:rPr>
        <w:t xml:space="preserve">An </w:t>
      </w:r>
      <w:r w:rsidR="00EB555F">
        <w:rPr>
          <w:rFonts w:ascii="Arial" w:hAnsi="Arial" w:cs="Arial"/>
          <w:sz w:val="24"/>
          <w:szCs w:val="24"/>
        </w:rPr>
        <w:t>individual’s</w:t>
      </w:r>
      <w:r>
        <w:rPr>
          <w:rFonts w:ascii="Arial" w:hAnsi="Arial" w:cs="Arial"/>
          <w:sz w:val="24"/>
          <w:szCs w:val="24"/>
        </w:rPr>
        <w:t xml:space="preserve"> employment rights will depend on whether they are a worker or employee and those self-employed have very few employment rights.</w:t>
      </w:r>
    </w:p>
    <w:p w14:paraId="046B8E7A" w14:textId="72D9C383" w:rsidR="00C01E9B" w:rsidRDefault="00C01E9B" w:rsidP="002417AE">
      <w:pPr>
        <w:rPr>
          <w:rFonts w:ascii="Arial" w:hAnsi="Arial" w:cs="Arial"/>
          <w:sz w:val="24"/>
          <w:szCs w:val="24"/>
        </w:rPr>
      </w:pPr>
      <w:r>
        <w:rPr>
          <w:rFonts w:ascii="Arial" w:hAnsi="Arial" w:cs="Arial"/>
          <w:sz w:val="24"/>
          <w:szCs w:val="24"/>
        </w:rPr>
        <w:t xml:space="preserve">The term ‘employee’ is defined by the Employment Rights Act 1996 as an individual who </w:t>
      </w:r>
      <w:r w:rsidR="00085EDC">
        <w:rPr>
          <w:rFonts w:ascii="Arial" w:hAnsi="Arial" w:cs="Arial"/>
          <w:sz w:val="24"/>
          <w:szCs w:val="24"/>
        </w:rPr>
        <w:t>enters</w:t>
      </w:r>
      <w:r>
        <w:rPr>
          <w:rFonts w:ascii="Arial" w:hAnsi="Arial" w:cs="Arial"/>
          <w:sz w:val="24"/>
          <w:szCs w:val="24"/>
        </w:rPr>
        <w:t xml:space="preserve"> </w:t>
      </w:r>
      <w:r w:rsidR="00085EDC">
        <w:rPr>
          <w:rFonts w:ascii="Arial" w:hAnsi="Arial" w:cs="Arial"/>
          <w:sz w:val="24"/>
          <w:szCs w:val="24"/>
        </w:rPr>
        <w:t xml:space="preserve">into </w:t>
      </w:r>
      <w:r>
        <w:rPr>
          <w:rFonts w:ascii="Arial" w:hAnsi="Arial" w:cs="Arial"/>
          <w:sz w:val="24"/>
          <w:szCs w:val="24"/>
        </w:rPr>
        <w:t>or works under a contract or apprenticeship. All employment contracts consist of a combination of express and implied terms.</w:t>
      </w:r>
    </w:p>
    <w:p w14:paraId="42925F15" w14:textId="272E6EFA" w:rsidR="00085EDC" w:rsidRDefault="00085EDC" w:rsidP="002417AE">
      <w:pPr>
        <w:rPr>
          <w:rFonts w:ascii="Arial" w:hAnsi="Arial" w:cs="Arial"/>
          <w:sz w:val="24"/>
          <w:szCs w:val="24"/>
        </w:rPr>
      </w:pPr>
      <w:r>
        <w:rPr>
          <w:rFonts w:ascii="Arial" w:hAnsi="Arial" w:cs="Arial"/>
          <w:sz w:val="24"/>
          <w:szCs w:val="24"/>
        </w:rPr>
        <w:t>Terms of contracts can be ‘Implied’ into contracts and this can happen for a number reasons including that the terms can be incorporated by a collective agreement which has been agreed with trade unions or these could be incorporated by statute. This could be to provide a duty of mutual trust and confidence between the employer and employee or the right to receive a minimum period of notice or national minimum wage, as implied by statute.</w:t>
      </w:r>
    </w:p>
    <w:p w14:paraId="55EB464B" w14:textId="0700AEF5" w:rsidR="00085EDC" w:rsidRDefault="00085EDC" w:rsidP="002417AE">
      <w:pPr>
        <w:rPr>
          <w:rFonts w:ascii="Arial" w:hAnsi="Arial" w:cs="Arial"/>
          <w:sz w:val="24"/>
          <w:szCs w:val="24"/>
        </w:rPr>
      </w:pPr>
      <w:r>
        <w:rPr>
          <w:rFonts w:ascii="Arial" w:hAnsi="Arial" w:cs="Arial"/>
          <w:sz w:val="24"/>
          <w:szCs w:val="24"/>
        </w:rPr>
        <w:t xml:space="preserve">Express terms are given in writing or verbally, they are not restricted to a contract of employment but provided </w:t>
      </w:r>
      <w:r w:rsidR="006013F6">
        <w:rPr>
          <w:rFonts w:ascii="Arial" w:hAnsi="Arial" w:cs="Arial"/>
          <w:sz w:val="24"/>
          <w:szCs w:val="24"/>
        </w:rPr>
        <w:t xml:space="preserve">by employers </w:t>
      </w:r>
      <w:r>
        <w:rPr>
          <w:rFonts w:ascii="Arial" w:hAnsi="Arial" w:cs="Arial"/>
          <w:sz w:val="24"/>
          <w:szCs w:val="24"/>
        </w:rPr>
        <w:t xml:space="preserve">in other ways such as </w:t>
      </w:r>
      <w:r w:rsidR="006013F6">
        <w:rPr>
          <w:rFonts w:ascii="Arial" w:hAnsi="Arial" w:cs="Arial"/>
          <w:sz w:val="24"/>
          <w:szCs w:val="24"/>
        </w:rPr>
        <w:t xml:space="preserve">an organisational </w:t>
      </w:r>
      <w:r w:rsidR="006013F6">
        <w:rPr>
          <w:rFonts w:ascii="Arial" w:hAnsi="Arial" w:cs="Arial"/>
          <w:sz w:val="24"/>
          <w:szCs w:val="24"/>
        </w:rPr>
        <w:lastRenderedPageBreak/>
        <w:t xml:space="preserve">employment handbook. Such documents should be drafted to include relevant law such as equal pay, working hours, contract type i.e. </w:t>
      </w:r>
      <w:r w:rsidR="00EB555F">
        <w:rPr>
          <w:rFonts w:ascii="Arial" w:hAnsi="Arial" w:cs="Arial"/>
          <w:sz w:val="24"/>
          <w:szCs w:val="24"/>
        </w:rPr>
        <w:t>fixed term</w:t>
      </w:r>
      <w:r w:rsidR="006013F6">
        <w:rPr>
          <w:rFonts w:ascii="Arial" w:hAnsi="Arial" w:cs="Arial"/>
          <w:sz w:val="24"/>
          <w:szCs w:val="24"/>
        </w:rPr>
        <w:t xml:space="preserve"> or temporary, flexible working policies such as parental leave and working hours.</w:t>
      </w:r>
    </w:p>
    <w:p w14:paraId="7810A772" w14:textId="4E428C52" w:rsidR="006013F6" w:rsidRDefault="002C367C" w:rsidP="002417AE">
      <w:pPr>
        <w:rPr>
          <w:rFonts w:ascii="Arial" w:hAnsi="Arial" w:cs="Arial"/>
          <w:sz w:val="24"/>
          <w:szCs w:val="24"/>
        </w:rPr>
      </w:pPr>
      <w:r>
        <w:rPr>
          <w:rFonts w:ascii="Arial" w:hAnsi="Arial" w:cs="Arial"/>
          <w:sz w:val="24"/>
          <w:szCs w:val="24"/>
        </w:rPr>
        <w:t xml:space="preserve">A written statement of particulars </w:t>
      </w:r>
      <w:r w:rsidR="00195851">
        <w:rPr>
          <w:rFonts w:ascii="Arial" w:hAnsi="Arial" w:cs="Arial"/>
          <w:sz w:val="24"/>
          <w:szCs w:val="24"/>
        </w:rPr>
        <w:t>of employment contains essential elements which are set out in the law. The Employment Rights Act 1996 sets out what information should be included in this document which includes names of employer and employee or worker, terms and conditions relating to hours/days of work, length of notice that both employer and employee must give to terminate contract and employment start date.</w:t>
      </w:r>
    </w:p>
    <w:p w14:paraId="54D8F89B" w14:textId="5EF87B12" w:rsidR="00195851" w:rsidRDefault="00195851" w:rsidP="002417AE">
      <w:pPr>
        <w:rPr>
          <w:rFonts w:ascii="Arial" w:hAnsi="Arial" w:cs="Arial"/>
          <w:sz w:val="24"/>
          <w:szCs w:val="24"/>
        </w:rPr>
      </w:pPr>
      <w:r>
        <w:rPr>
          <w:rFonts w:ascii="Arial" w:hAnsi="Arial" w:cs="Arial"/>
          <w:sz w:val="24"/>
          <w:szCs w:val="24"/>
        </w:rPr>
        <w:t>(Personnel today, 2020) refers to the new law effective from 6 April 2020 which states that it is now a requirement to provide a written statement of terms and conditions to workers as well as employees. This includes those working casual or zero hours</w:t>
      </w:r>
      <w:r w:rsidR="00EB555F">
        <w:rPr>
          <w:rFonts w:ascii="Arial" w:hAnsi="Arial" w:cs="Arial"/>
          <w:sz w:val="24"/>
          <w:szCs w:val="24"/>
        </w:rPr>
        <w:t xml:space="preserve">. HR professionals must also ensure that such written statements are provided on or before their first working day. Previous law allowed the employer two months to fulfil this obligation. </w:t>
      </w:r>
    </w:p>
    <w:p w14:paraId="49C58559" w14:textId="77777777" w:rsidR="004771A4" w:rsidRDefault="004771A4" w:rsidP="002417AE">
      <w:pPr>
        <w:rPr>
          <w:rFonts w:ascii="Arial" w:hAnsi="Arial" w:cs="Arial"/>
          <w:sz w:val="24"/>
          <w:szCs w:val="24"/>
        </w:rPr>
      </w:pPr>
    </w:p>
    <w:p w14:paraId="46393B0A" w14:textId="77777777" w:rsidR="00A35C99" w:rsidRDefault="00EB555F" w:rsidP="002417AE">
      <w:pPr>
        <w:rPr>
          <w:rFonts w:ascii="Arial" w:hAnsi="Arial" w:cs="Arial"/>
          <w:b/>
          <w:bCs/>
          <w:sz w:val="24"/>
          <w:szCs w:val="24"/>
        </w:rPr>
      </w:pPr>
      <w:r w:rsidRPr="00EB555F">
        <w:rPr>
          <w:rFonts w:ascii="Arial" w:hAnsi="Arial" w:cs="Arial"/>
          <w:b/>
          <w:bCs/>
          <w:sz w:val="24"/>
          <w:szCs w:val="24"/>
        </w:rPr>
        <w:t xml:space="preserve">3. An organisation is planning a major reorganisation which will involve moving some staff to other sites and outsourcing a major function to a sub-contractor. </w:t>
      </w:r>
    </w:p>
    <w:p w14:paraId="0B4BA99F" w14:textId="1949FB45" w:rsidR="00EB555F" w:rsidRDefault="00EB555F" w:rsidP="002417AE">
      <w:pPr>
        <w:rPr>
          <w:rFonts w:ascii="Arial" w:hAnsi="Arial" w:cs="Arial"/>
          <w:b/>
          <w:bCs/>
          <w:sz w:val="24"/>
          <w:szCs w:val="24"/>
        </w:rPr>
      </w:pPr>
      <w:r w:rsidRPr="00EB555F">
        <w:rPr>
          <w:rFonts w:ascii="Arial" w:hAnsi="Arial" w:cs="Arial"/>
          <w:b/>
          <w:bCs/>
          <w:sz w:val="24"/>
          <w:szCs w:val="24"/>
        </w:rPr>
        <w:br/>
        <w:t xml:space="preserve">(a) Outline when and how contracts can be changed lawfully </w:t>
      </w:r>
    </w:p>
    <w:p w14:paraId="32E844F9" w14:textId="39D065EF" w:rsidR="00EB555F" w:rsidRDefault="00951B14" w:rsidP="002417AE">
      <w:pPr>
        <w:rPr>
          <w:rFonts w:ascii="Arial" w:hAnsi="Arial" w:cs="Arial"/>
          <w:sz w:val="24"/>
          <w:szCs w:val="24"/>
        </w:rPr>
      </w:pPr>
      <w:r>
        <w:rPr>
          <w:rFonts w:ascii="Arial" w:hAnsi="Arial" w:cs="Arial"/>
          <w:sz w:val="24"/>
          <w:szCs w:val="24"/>
        </w:rPr>
        <w:t>It worth mentioning that when an organisation changes hands, this is referred</w:t>
      </w:r>
      <w:r w:rsidR="0081151E">
        <w:rPr>
          <w:rFonts w:ascii="Arial" w:hAnsi="Arial" w:cs="Arial"/>
          <w:sz w:val="24"/>
          <w:szCs w:val="24"/>
        </w:rPr>
        <w:t xml:space="preserve"> to</w:t>
      </w:r>
      <w:r>
        <w:rPr>
          <w:rFonts w:ascii="Arial" w:hAnsi="Arial" w:cs="Arial"/>
          <w:sz w:val="24"/>
          <w:szCs w:val="24"/>
        </w:rPr>
        <w:t xml:space="preserve"> as a TUPE – Transfer of Undertaking (Protection of Employment) Regulations 2006. It aims to protect those employees who works for a business </w:t>
      </w:r>
      <w:r w:rsidR="0081151E">
        <w:rPr>
          <w:rFonts w:ascii="Arial" w:hAnsi="Arial" w:cs="Arial"/>
          <w:sz w:val="24"/>
          <w:szCs w:val="24"/>
        </w:rPr>
        <w:t>going through a transfer. (CIPD, 2019</w:t>
      </w:r>
      <w:r w:rsidR="00F31C93">
        <w:rPr>
          <w:rFonts w:ascii="Arial" w:hAnsi="Arial" w:cs="Arial"/>
          <w:sz w:val="24"/>
          <w:szCs w:val="24"/>
        </w:rPr>
        <w:t>a</w:t>
      </w:r>
      <w:r w:rsidR="0081151E">
        <w:rPr>
          <w:rFonts w:ascii="Arial" w:hAnsi="Arial" w:cs="Arial"/>
          <w:sz w:val="24"/>
          <w:szCs w:val="24"/>
        </w:rPr>
        <w:t xml:space="preserve">) argues that such legislation governs service provision changes when the transfer of a business, or part business from one owner to another. </w:t>
      </w:r>
    </w:p>
    <w:p w14:paraId="36FA6617" w14:textId="30FB336E" w:rsidR="00362530" w:rsidRDefault="00362530" w:rsidP="002417AE">
      <w:pPr>
        <w:rPr>
          <w:rFonts w:ascii="Arial" w:hAnsi="Arial" w:cs="Arial"/>
          <w:sz w:val="24"/>
          <w:szCs w:val="24"/>
        </w:rPr>
      </w:pPr>
      <w:r>
        <w:rPr>
          <w:rFonts w:ascii="Arial" w:hAnsi="Arial" w:cs="Arial"/>
          <w:sz w:val="24"/>
          <w:szCs w:val="24"/>
        </w:rPr>
        <w:t>TUPE regulations mean employees should not lose their existing employment rights.</w:t>
      </w:r>
      <w:r w:rsidR="008E777B">
        <w:rPr>
          <w:rFonts w:ascii="Arial" w:hAnsi="Arial" w:cs="Arial"/>
          <w:sz w:val="24"/>
          <w:szCs w:val="24"/>
        </w:rPr>
        <w:t xml:space="preserve"> The new employer will take over the employees’ contract which includes all previous terms and conditions, holiday entitlement and continuous service. Any failure to do so, could allow the employee concerned to make a claim for discrimination against the new employer.</w:t>
      </w:r>
    </w:p>
    <w:p w14:paraId="77B29D52" w14:textId="56C9F48F" w:rsidR="008E777B" w:rsidRDefault="008E777B" w:rsidP="002417AE">
      <w:pPr>
        <w:rPr>
          <w:rFonts w:ascii="Arial" w:hAnsi="Arial" w:cs="Arial"/>
          <w:sz w:val="24"/>
          <w:szCs w:val="24"/>
        </w:rPr>
      </w:pPr>
      <w:r>
        <w:rPr>
          <w:rFonts w:ascii="Arial" w:hAnsi="Arial" w:cs="Arial"/>
          <w:sz w:val="24"/>
          <w:szCs w:val="24"/>
        </w:rPr>
        <w:t>(GOV.UK 2020</w:t>
      </w:r>
      <w:r w:rsidR="00052A1F">
        <w:rPr>
          <w:rFonts w:ascii="Arial" w:hAnsi="Arial" w:cs="Arial"/>
          <w:sz w:val="24"/>
          <w:szCs w:val="24"/>
        </w:rPr>
        <w:t>b</w:t>
      </w:r>
      <w:r>
        <w:rPr>
          <w:rFonts w:ascii="Arial" w:hAnsi="Arial" w:cs="Arial"/>
          <w:sz w:val="24"/>
          <w:szCs w:val="24"/>
        </w:rPr>
        <w:t>) outlines that the employer can</w:t>
      </w:r>
      <w:r w:rsidR="00B64702">
        <w:rPr>
          <w:rFonts w:ascii="Arial" w:hAnsi="Arial" w:cs="Arial"/>
          <w:sz w:val="24"/>
          <w:szCs w:val="24"/>
        </w:rPr>
        <w:t xml:space="preserve"> no</w:t>
      </w:r>
      <w:r>
        <w:rPr>
          <w:rFonts w:ascii="Arial" w:hAnsi="Arial" w:cs="Arial"/>
          <w:sz w:val="24"/>
          <w:szCs w:val="24"/>
        </w:rPr>
        <w:t xml:space="preserve">t normally change the employee’s terms and conditions </w:t>
      </w:r>
      <w:r w:rsidR="00B64702">
        <w:rPr>
          <w:rFonts w:ascii="Arial" w:hAnsi="Arial" w:cs="Arial"/>
          <w:sz w:val="24"/>
          <w:szCs w:val="24"/>
        </w:rPr>
        <w:t xml:space="preserve">to match those of the new employer </w:t>
      </w:r>
      <w:r>
        <w:rPr>
          <w:rFonts w:ascii="Arial" w:hAnsi="Arial" w:cs="Arial"/>
          <w:sz w:val="24"/>
          <w:szCs w:val="24"/>
        </w:rPr>
        <w:t>before any transfer</w:t>
      </w:r>
      <w:r w:rsidR="00B64702">
        <w:rPr>
          <w:rFonts w:ascii="Arial" w:hAnsi="Arial" w:cs="Arial"/>
          <w:sz w:val="24"/>
          <w:szCs w:val="24"/>
        </w:rPr>
        <w:t>, even if the employee agrees to such changes. Following the transfer of ownership, the new employer can not change an employee’s terms and conditions if the reason is due to the transfer itself. Implementation of new terms and conditions can be made if the reason is economic (company performance), technical (equipment/processes used in company) or an organisational reason (company structure), known as ETO. This could be because of changes in the workforce or workplace and the employee will need to agree to the change.</w:t>
      </w:r>
    </w:p>
    <w:p w14:paraId="7BF8E592" w14:textId="5AFF9026" w:rsidR="00B64702" w:rsidRDefault="00B64702" w:rsidP="002417AE">
      <w:pPr>
        <w:rPr>
          <w:rFonts w:ascii="Arial" w:hAnsi="Arial" w:cs="Arial"/>
          <w:sz w:val="24"/>
          <w:szCs w:val="24"/>
        </w:rPr>
      </w:pPr>
      <w:r>
        <w:rPr>
          <w:rFonts w:ascii="Arial" w:hAnsi="Arial" w:cs="Arial"/>
          <w:sz w:val="24"/>
          <w:szCs w:val="24"/>
        </w:rPr>
        <w:t xml:space="preserve">Collective agreements </w:t>
      </w:r>
      <w:r w:rsidR="00CB5B3E">
        <w:rPr>
          <w:rFonts w:ascii="Arial" w:hAnsi="Arial" w:cs="Arial"/>
          <w:sz w:val="24"/>
          <w:szCs w:val="24"/>
        </w:rPr>
        <w:t>in place before the transfer will continue to apply unless the new employer has not been involved in the initial process. New terms and conditions can be negotiated after 1 year of transfer to new employer but only if such changes are not less favourable to the employee.</w:t>
      </w:r>
      <w:r w:rsidR="00A35C99">
        <w:rPr>
          <w:rFonts w:ascii="Arial" w:hAnsi="Arial" w:cs="Arial"/>
          <w:sz w:val="24"/>
          <w:szCs w:val="24"/>
        </w:rPr>
        <w:t xml:space="preserve"> Following completion of the transfer, all </w:t>
      </w:r>
      <w:r w:rsidR="00A35C99">
        <w:rPr>
          <w:rFonts w:ascii="Arial" w:hAnsi="Arial" w:cs="Arial"/>
          <w:sz w:val="24"/>
          <w:szCs w:val="24"/>
        </w:rPr>
        <w:lastRenderedPageBreak/>
        <w:t>employees should be given a new written statement of particulars of employment confirming the new employer details and advising that all terms and conditions remain the same.</w:t>
      </w:r>
    </w:p>
    <w:p w14:paraId="6C3B0A87" w14:textId="17B69A9D" w:rsidR="00B64702" w:rsidRDefault="00C120D6" w:rsidP="002417AE">
      <w:pPr>
        <w:rPr>
          <w:rFonts w:ascii="Arial" w:hAnsi="Arial" w:cs="Arial"/>
          <w:sz w:val="24"/>
          <w:szCs w:val="24"/>
        </w:rPr>
      </w:pPr>
      <w:r>
        <w:rPr>
          <w:rFonts w:ascii="Arial" w:hAnsi="Arial" w:cs="Arial"/>
          <w:sz w:val="24"/>
          <w:szCs w:val="24"/>
        </w:rPr>
        <w:t>ne</w:t>
      </w:r>
    </w:p>
    <w:p w14:paraId="578E599B" w14:textId="77777777" w:rsidR="00CB5B3E" w:rsidRDefault="00EB555F" w:rsidP="002417AE">
      <w:pPr>
        <w:rPr>
          <w:rFonts w:ascii="Arial" w:hAnsi="Arial" w:cs="Arial"/>
          <w:b/>
          <w:bCs/>
          <w:sz w:val="24"/>
          <w:szCs w:val="24"/>
        </w:rPr>
      </w:pPr>
      <w:r w:rsidRPr="00EB555F">
        <w:rPr>
          <w:rFonts w:ascii="Arial" w:hAnsi="Arial" w:cs="Arial"/>
          <w:b/>
          <w:bCs/>
          <w:sz w:val="24"/>
          <w:szCs w:val="24"/>
        </w:rPr>
        <w:t>(b) Explain briefly the main requirements of redundancy law</w:t>
      </w:r>
    </w:p>
    <w:p w14:paraId="0F904920" w14:textId="11303D2E" w:rsidR="00CB5B3E" w:rsidRDefault="00C67EA3" w:rsidP="002417AE">
      <w:pPr>
        <w:rPr>
          <w:rFonts w:ascii="Arial" w:hAnsi="Arial" w:cs="Arial"/>
          <w:sz w:val="24"/>
          <w:szCs w:val="24"/>
        </w:rPr>
      </w:pPr>
      <w:r>
        <w:rPr>
          <w:rFonts w:ascii="Arial" w:hAnsi="Arial" w:cs="Arial"/>
          <w:sz w:val="24"/>
          <w:szCs w:val="24"/>
        </w:rPr>
        <w:t xml:space="preserve">Any redundancies the new employer wishes to consult on can be done so if the old employer </w:t>
      </w:r>
      <w:r w:rsidR="00F31C93">
        <w:rPr>
          <w:rFonts w:ascii="Arial" w:hAnsi="Arial" w:cs="Arial"/>
          <w:sz w:val="24"/>
          <w:szCs w:val="24"/>
        </w:rPr>
        <w:t>agrees</w:t>
      </w:r>
      <w:r>
        <w:rPr>
          <w:rFonts w:ascii="Arial" w:hAnsi="Arial" w:cs="Arial"/>
          <w:sz w:val="24"/>
          <w:szCs w:val="24"/>
        </w:rPr>
        <w:t>.</w:t>
      </w:r>
      <w:r w:rsidR="00F31C93">
        <w:rPr>
          <w:rFonts w:ascii="Arial" w:hAnsi="Arial" w:cs="Arial"/>
          <w:sz w:val="24"/>
          <w:szCs w:val="24"/>
        </w:rPr>
        <w:t xml:space="preserve"> (CIPD, 2019b) refers to a genuine redundancy situation arising if the dismissal is due to the fact that the employer requires fewer employees to carry out work of a certain kind or the job requirements have reduced.</w:t>
      </w:r>
    </w:p>
    <w:p w14:paraId="0D08D713" w14:textId="329357A6" w:rsidR="00C120D6" w:rsidRDefault="00C120D6" w:rsidP="002417AE">
      <w:pPr>
        <w:rPr>
          <w:rFonts w:ascii="Arial" w:hAnsi="Arial" w:cs="Arial"/>
          <w:sz w:val="24"/>
          <w:szCs w:val="24"/>
        </w:rPr>
      </w:pPr>
      <w:r>
        <w:rPr>
          <w:rFonts w:ascii="Arial" w:hAnsi="Arial" w:cs="Arial"/>
          <w:sz w:val="24"/>
          <w:szCs w:val="24"/>
        </w:rPr>
        <w:t>(ACAS, 2020</w:t>
      </w:r>
      <w:r w:rsidR="00FB50EC">
        <w:rPr>
          <w:rFonts w:ascii="Arial" w:hAnsi="Arial" w:cs="Arial"/>
          <w:sz w:val="24"/>
          <w:szCs w:val="24"/>
        </w:rPr>
        <w:t>a</w:t>
      </w:r>
      <w:r>
        <w:rPr>
          <w:rFonts w:ascii="Arial" w:hAnsi="Arial" w:cs="Arial"/>
          <w:sz w:val="24"/>
          <w:szCs w:val="24"/>
        </w:rPr>
        <w:t>) argues that those entitled to redundancy rights must be legally classed as an employee and have worked continuously with the employer for 2 years before being made redundant.</w:t>
      </w:r>
      <w:r w:rsidR="00DA7E30">
        <w:rPr>
          <w:rFonts w:ascii="Arial" w:hAnsi="Arial" w:cs="Arial"/>
          <w:sz w:val="24"/>
          <w:szCs w:val="24"/>
        </w:rPr>
        <w:t xml:space="preserve"> Redundancy pay depends on the age of the person being redundant as well as service with the employer. </w:t>
      </w:r>
      <w:r w:rsidR="00094779">
        <w:rPr>
          <w:rFonts w:ascii="Arial" w:hAnsi="Arial" w:cs="Arial"/>
          <w:sz w:val="24"/>
          <w:szCs w:val="24"/>
        </w:rPr>
        <w:t>Employees may be entitled to more than the minimum amount set by law known as ‘statutory’ if in your contract.</w:t>
      </w:r>
    </w:p>
    <w:p w14:paraId="1FA736A1" w14:textId="61D19D1A" w:rsidR="00094779" w:rsidRPr="00CB5B3E" w:rsidRDefault="00094779" w:rsidP="002417AE">
      <w:pPr>
        <w:rPr>
          <w:rFonts w:ascii="Arial" w:hAnsi="Arial" w:cs="Arial"/>
          <w:sz w:val="24"/>
          <w:szCs w:val="24"/>
        </w:rPr>
      </w:pPr>
      <w:r>
        <w:rPr>
          <w:rFonts w:ascii="Arial" w:hAnsi="Arial" w:cs="Arial"/>
          <w:sz w:val="24"/>
          <w:szCs w:val="24"/>
        </w:rPr>
        <w:t xml:space="preserve">(CIPD, 2019b) refers to </w:t>
      </w:r>
      <w:r w:rsidR="00300455">
        <w:rPr>
          <w:rFonts w:ascii="Arial" w:hAnsi="Arial" w:cs="Arial"/>
          <w:sz w:val="24"/>
          <w:szCs w:val="24"/>
        </w:rPr>
        <w:t>new legislation in July 2019 where the government announced that pregnant women and new mothers could be entitled to up to a further two years of legal protection against redundancy.</w:t>
      </w:r>
    </w:p>
    <w:p w14:paraId="23AEFC6A" w14:textId="7D60E460" w:rsidR="009B7732" w:rsidRDefault="00EB555F" w:rsidP="002417AE">
      <w:pPr>
        <w:rPr>
          <w:rFonts w:ascii="Arial" w:hAnsi="Arial" w:cs="Arial"/>
          <w:b/>
          <w:bCs/>
          <w:sz w:val="24"/>
          <w:szCs w:val="24"/>
        </w:rPr>
      </w:pPr>
      <w:r w:rsidRPr="00EB555F">
        <w:rPr>
          <w:rFonts w:ascii="Arial" w:hAnsi="Arial" w:cs="Arial"/>
          <w:b/>
          <w:bCs/>
          <w:sz w:val="24"/>
          <w:szCs w:val="24"/>
        </w:rPr>
        <w:br/>
        <w:t>(c) Summarise the main requirements of the law on business transfers.</w:t>
      </w:r>
    </w:p>
    <w:p w14:paraId="17D72624" w14:textId="77777777" w:rsidR="00437A96" w:rsidRDefault="00437A96" w:rsidP="00437A96">
      <w:pPr>
        <w:rPr>
          <w:rFonts w:ascii="Arial" w:hAnsi="Arial" w:cs="Arial"/>
          <w:sz w:val="24"/>
          <w:szCs w:val="24"/>
        </w:rPr>
      </w:pPr>
      <w:r>
        <w:rPr>
          <w:rFonts w:ascii="Arial" w:hAnsi="Arial" w:cs="Arial"/>
          <w:sz w:val="24"/>
          <w:szCs w:val="24"/>
        </w:rPr>
        <w:t xml:space="preserve">Business transfers are where a business or part of a business moves from one employer to another. This includes a merger where 2 businesses close to form one new business. </w:t>
      </w:r>
    </w:p>
    <w:p w14:paraId="7AA9A617" w14:textId="18CF4FAE" w:rsidR="00052A1F" w:rsidRDefault="00052A1F" w:rsidP="002417AE">
      <w:pPr>
        <w:rPr>
          <w:rFonts w:ascii="Arial" w:hAnsi="Arial" w:cs="Arial"/>
          <w:sz w:val="24"/>
          <w:szCs w:val="24"/>
        </w:rPr>
      </w:pPr>
      <w:r>
        <w:rPr>
          <w:rFonts w:ascii="Arial" w:hAnsi="Arial" w:cs="Arial"/>
          <w:sz w:val="24"/>
          <w:szCs w:val="24"/>
        </w:rPr>
        <w:t>(GOV.UK. 2020b) refers to employees’ in a business that changes ownership may be protected under the Transfer of Undertakings (Protection of Employment) regulations (TUPE).</w:t>
      </w:r>
      <w:r w:rsidR="00437A96">
        <w:rPr>
          <w:rFonts w:ascii="Arial" w:hAnsi="Arial" w:cs="Arial"/>
          <w:sz w:val="24"/>
          <w:szCs w:val="24"/>
        </w:rPr>
        <w:t xml:space="preserve"> This is the main piece of legislation that governs the transfer of a business, or part of one, from one ownership to another.</w:t>
      </w:r>
    </w:p>
    <w:p w14:paraId="09A114D8" w14:textId="1B20377E" w:rsidR="00437A96" w:rsidRDefault="00052A1F" w:rsidP="002417AE">
      <w:pPr>
        <w:rPr>
          <w:rFonts w:ascii="Arial" w:hAnsi="Arial" w:cs="Arial"/>
          <w:sz w:val="24"/>
          <w:szCs w:val="24"/>
        </w:rPr>
      </w:pPr>
      <w:r>
        <w:rPr>
          <w:rFonts w:ascii="Arial" w:hAnsi="Arial" w:cs="Arial"/>
          <w:sz w:val="24"/>
          <w:szCs w:val="24"/>
        </w:rPr>
        <w:t xml:space="preserve">TUPE protection applies to employees in businesses in the UK even if the businesses head office is based within another country but part of the business that is transferring ownership must be in the UK. </w:t>
      </w:r>
      <w:r w:rsidR="00437A96">
        <w:rPr>
          <w:rFonts w:ascii="Arial" w:hAnsi="Arial" w:cs="Arial"/>
          <w:sz w:val="24"/>
          <w:szCs w:val="24"/>
        </w:rPr>
        <w:t>Its designed to protect the rights of the employees being transferred which includes their terms and conditions.</w:t>
      </w:r>
    </w:p>
    <w:p w14:paraId="29DB0767" w14:textId="33E72C34" w:rsidR="000256FE" w:rsidRPr="0079376F" w:rsidRDefault="000256FE" w:rsidP="002417AE">
      <w:pPr>
        <w:rPr>
          <w:rFonts w:ascii="Arial" w:hAnsi="Arial" w:cs="Arial"/>
          <w:b/>
          <w:bCs/>
          <w:sz w:val="24"/>
          <w:szCs w:val="24"/>
        </w:rPr>
      </w:pPr>
    </w:p>
    <w:p w14:paraId="2139BBE0" w14:textId="386E8FDE" w:rsidR="0079376F" w:rsidRPr="0079376F" w:rsidRDefault="0079376F" w:rsidP="002417AE">
      <w:pPr>
        <w:rPr>
          <w:rFonts w:ascii="Arial" w:hAnsi="Arial" w:cs="Arial"/>
          <w:b/>
          <w:bCs/>
          <w:sz w:val="24"/>
          <w:szCs w:val="24"/>
        </w:rPr>
      </w:pPr>
      <w:r w:rsidRPr="0079376F">
        <w:rPr>
          <w:rFonts w:ascii="Arial" w:hAnsi="Arial" w:cs="Arial"/>
          <w:b/>
          <w:bCs/>
          <w:sz w:val="24"/>
          <w:szCs w:val="24"/>
        </w:rPr>
        <w:t xml:space="preserve">4. Summarise: </w:t>
      </w:r>
      <w:r w:rsidRPr="0079376F">
        <w:rPr>
          <w:rFonts w:ascii="Arial" w:hAnsi="Arial" w:cs="Arial"/>
          <w:b/>
          <w:bCs/>
          <w:sz w:val="24"/>
          <w:szCs w:val="24"/>
        </w:rPr>
        <w:br/>
        <w:t xml:space="preserve">(a) the major statutory rights employees have in relation to pay, holidays and </w:t>
      </w:r>
      <w:r w:rsidRPr="0079376F">
        <w:rPr>
          <w:rFonts w:ascii="Arial" w:hAnsi="Arial" w:cs="Arial"/>
          <w:b/>
          <w:bCs/>
          <w:sz w:val="24"/>
          <w:szCs w:val="24"/>
        </w:rPr>
        <w:br/>
        <w:t xml:space="preserve">     working time </w:t>
      </w:r>
    </w:p>
    <w:p w14:paraId="6B93C701" w14:textId="67EE1C70" w:rsidR="00CB5EDF" w:rsidRDefault="00CB5EDF" w:rsidP="002417AE">
      <w:pPr>
        <w:rPr>
          <w:rFonts w:ascii="Arial" w:hAnsi="Arial" w:cs="Arial"/>
          <w:sz w:val="24"/>
          <w:szCs w:val="24"/>
        </w:rPr>
      </w:pPr>
      <w:r>
        <w:rPr>
          <w:rFonts w:ascii="Arial" w:hAnsi="Arial" w:cs="Arial"/>
          <w:sz w:val="24"/>
          <w:szCs w:val="24"/>
        </w:rPr>
        <w:t>(CIPD, 2020d) outlines that in the UK the Working Time Regulations 1998 set out the minimum conditions for employees in terms of weekly working time, rest entitlement and annual leave. In the UK, we have the option for opting out of the provisions relating to the maximum 48 hour working week. It sets out to protect the health and safety of workers.</w:t>
      </w:r>
    </w:p>
    <w:p w14:paraId="669869FE" w14:textId="77777777" w:rsidR="00CB5EDF" w:rsidRDefault="00CB5EDF" w:rsidP="002417AE">
      <w:pPr>
        <w:rPr>
          <w:rFonts w:ascii="Arial" w:hAnsi="Arial" w:cs="Arial"/>
          <w:sz w:val="24"/>
          <w:szCs w:val="24"/>
        </w:rPr>
      </w:pPr>
      <w:r>
        <w:rPr>
          <w:rFonts w:ascii="Arial" w:hAnsi="Arial" w:cs="Arial"/>
          <w:sz w:val="24"/>
          <w:szCs w:val="24"/>
        </w:rPr>
        <w:t>The Working Time Regulations 1998 provides employees with basic rights and protections which include:</w:t>
      </w:r>
    </w:p>
    <w:p w14:paraId="7972A253" w14:textId="16E1E2E3" w:rsidR="00CB5EDF" w:rsidRPr="00CB5EDF" w:rsidRDefault="00CB5EDF" w:rsidP="00CB5EDF">
      <w:pPr>
        <w:numPr>
          <w:ilvl w:val="0"/>
          <w:numId w:val="8"/>
        </w:numPr>
        <w:spacing w:before="100" w:beforeAutospacing="1" w:after="100" w:afterAutospacing="1" w:line="240" w:lineRule="auto"/>
        <w:rPr>
          <w:rFonts w:ascii="Arial" w:eastAsia="Times New Roman" w:hAnsi="Arial" w:cs="Arial"/>
          <w:sz w:val="24"/>
          <w:szCs w:val="24"/>
          <w:lang w:eastAsia="en-GB"/>
        </w:rPr>
      </w:pPr>
      <w:r w:rsidRPr="00CB5EDF">
        <w:rPr>
          <w:rFonts w:ascii="Arial" w:eastAsia="Times New Roman" w:hAnsi="Arial" w:cs="Arial"/>
          <w:sz w:val="24"/>
          <w:szCs w:val="24"/>
          <w:lang w:eastAsia="en-GB"/>
        </w:rPr>
        <w:lastRenderedPageBreak/>
        <w:t xml:space="preserve">A limit of an average of 48 hours </w:t>
      </w:r>
      <w:r>
        <w:rPr>
          <w:rFonts w:ascii="Arial" w:eastAsia="Times New Roman" w:hAnsi="Arial" w:cs="Arial"/>
          <w:sz w:val="24"/>
          <w:szCs w:val="24"/>
          <w:lang w:eastAsia="en-GB"/>
        </w:rPr>
        <w:t xml:space="preserve">per </w:t>
      </w:r>
      <w:r w:rsidRPr="00CB5EDF">
        <w:rPr>
          <w:rFonts w:ascii="Arial" w:eastAsia="Times New Roman" w:hAnsi="Arial" w:cs="Arial"/>
          <w:sz w:val="24"/>
          <w:szCs w:val="24"/>
          <w:lang w:eastAsia="en-GB"/>
        </w:rPr>
        <w:t xml:space="preserve">week over a 17-week period which a worker </w:t>
      </w:r>
      <w:r>
        <w:rPr>
          <w:rFonts w:ascii="Arial" w:eastAsia="Times New Roman" w:hAnsi="Arial" w:cs="Arial"/>
          <w:sz w:val="24"/>
          <w:szCs w:val="24"/>
          <w:lang w:eastAsia="en-GB"/>
        </w:rPr>
        <w:t>could</w:t>
      </w:r>
      <w:r w:rsidRPr="00CB5EDF">
        <w:rPr>
          <w:rFonts w:ascii="Arial" w:eastAsia="Times New Roman" w:hAnsi="Arial" w:cs="Arial"/>
          <w:sz w:val="24"/>
          <w:szCs w:val="24"/>
          <w:lang w:eastAsia="en-GB"/>
        </w:rPr>
        <w:t xml:space="preserve"> be required to work.</w:t>
      </w:r>
    </w:p>
    <w:p w14:paraId="3DCA30E1" w14:textId="0A7F8BA9" w:rsidR="00CB5EDF" w:rsidRPr="00CB5EDF" w:rsidRDefault="00CB5EDF" w:rsidP="00CB5EDF">
      <w:pPr>
        <w:numPr>
          <w:ilvl w:val="0"/>
          <w:numId w:val="8"/>
        </w:numPr>
        <w:spacing w:before="100" w:beforeAutospacing="1" w:after="100" w:afterAutospacing="1" w:line="240" w:lineRule="auto"/>
        <w:rPr>
          <w:rFonts w:ascii="Arial" w:eastAsia="Times New Roman" w:hAnsi="Arial" w:cs="Arial"/>
          <w:sz w:val="24"/>
          <w:szCs w:val="24"/>
          <w:lang w:eastAsia="en-GB"/>
        </w:rPr>
      </w:pPr>
      <w:r w:rsidRPr="00CB5EDF">
        <w:rPr>
          <w:rFonts w:ascii="Arial" w:eastAsia="Times New Roman" w:hAnsi="Arial" w:cs="Arial"/>
          <w:sz w:val="24"/>
          <w:szCs w:val="24"/>
          <w:lang w:eastAsia="en-GB"/>
        </w:rPr>
        <w:t>A limit of an average of 8 hours work in</w:t>
      </w:r>
      <w:r>
        <w:rPr>
          <w:rFonts w:ascii="Arial" w:eastAsia="Times New Roman" w:hAnsi="Arial" w:cs="Arial"/>
          <w:sz w:val="24"/>
          <w:szCs w:val="24"/>
          <w:lang w:eastAsia="en-GB"/>
        </w:rPr>
        <w:t xml:space="preserve"> a</w:t>
      </w:r>
      <w:r w:rsidRPr="00CB5EDF">
        <w:rPr>
          <w:rFonts w:ascii="Arial" w:eastAsia="Times New Roman" w:hAnsi="Arial" w:cs="Arial"/>
          <w:sz w:val="24"/>
          <w:szCs w:val="24"/>
          <w:lang w:eastAsia="en-GB"/>
        </w:rPr>
        <w:t xml:space="preserve"> 24</w:t>
      </w:r>
      <w:r>
        <w:rPr>
          <w:rFonts w:ascii="Arial" w:eastAsia="Times New Roman" w:hAnsi="Arial" w:cs="Arial"/>
          <w:sz w:val="24"/>
          <w:szCs w:val="24"/>
          <w:lang w:eastAsia="en-GB"/>
        </w:rPr>
        <w:t>-</w:t>
      </w:r>
      <w:r w:rsidRPr="00CB5EDF">
        <w:rPr>
          <w:rFonts w:ascii="Arial" w:eastAsia="Times New Roman" w:hAnsi="Arial" w:cs="Arial"/>
          <w:sz w:val="24"/>
          <w:szCs w:val="24"/>
          <w:lang w:eastAsia="en-GB"/>
        </w:rPr>
        <w:t>hour</w:t>
      </w:r>
      <w:r>
        <w:rPr>
          <w:rFonts w:ascii="Arial" w:eastAsia="Times New Roman" w:hAnsi="Arial" w:cs="Arial"/>
          <w:sz w:val="24"/>
          <w:szCs w:val="24"/>
          <w:lang w:eastAsia="en-GB"/>
        </w:rPr>
        <w:t xml:space="preserve"> period</w:t>
      </w:r>
      <w:r w:rsidRPr="00CB5EDF">
        <w:rPr>
          <w:rFonts w:ascii="Arial" w:eastAsia="Times New Roman" w:hAnsi="Arial" w:cs="Arial"/>
          <w:sz w:val="24"/>
          <w:szCs w:val="24"/>
          <w:lang w:eastAsia="en-GB"/>
        </w:rPr>
        <w:t xml:space="preserve"> which night workers can work.</w:t>
      </w:r>
    </w:p>
    <w:p w14:paraId="10C202C8" w14:textId="5C587BBB" w:rsidR="00CB5EDF" w:rsidRPr="00CB5EDF" w:rsidRDefault="00CB5EDF" w:rsidP="00CB5EDF">
      <w:pPr>
        <w:numPr>
          <w:ilvl w:val="0"/>
          <w:numId w:val="8"/>
        </w:numPr>
        <w:spacing w:before="100" w:beforeAutospacing="1" w:after="100" w:afterAutospacing="1" w:line="240" w:lineRule="auto"/>
        <w:rPr>
          <w:rFonts w:ascii="Arial" w:eastAsia="Times New Roman" w:hAnsi="Arial" w:cs="Arial"/>
          <w:sz w:val="24"/>
          <w:szCs w:val="24"/>
          <w:lang w:eastAsia="en-GB"/>
        </w:rPr>
      </w:pPr>
      <w:r w:rsidRPr="00CB5EDF">
        <w:rPr>
          <w:rFonts w:ascii="Arial" w:eastAsia="Times New Roman" w:hAnsi="Arial" w:cs="Arial"/>
          <w:sz w:val="24"/>
          <w:szCs w:val="24"/>
          <w:lang w:eastAsia="en-GB"/>
        </w:rPr>
        <w:t xml:space="preserve">A right to </w:t>
      </w:r>
      <w:r w:rsidR="00FB50EC">
        <w:rPr>
          <w:rFonts w:ascii="Arial" w:eastAsia="Times New Roman" w:hAnsi="Arial" w:cs="Arial"/>
          <w:sz w:val="24"/>
          <w:szCs w:val="24"/>
          <w:lang w:eastAsia="en-GB"/>
        </w:rPr>
        <w:t>1</w:t>
      </w:r>
      <w:r w:rsidRPr="00CB5EDF">
        <w:rPr>
          <w:rFonts w:ascii="Arial" w:eastAsia="Times New Roman" w:hAnsi="Arial" w:cs="Arial"/>
          <w:sz w:val="24"/>
          <w:szCs w:val="24"/>
          <w:lang w:eastAsia="en-GB"/>
        </w:rPr>
        <w:t xml:space="preserve">1 hours rest </w:t>
      </w:r>
      <w:r w:rsidR="00FB50EC">
        <w:rPr>
          <w:rFonts w:ascii="Arial" w:eastAsia="Times New Roman" w:hAnsi="Arial" w:cs="Arial"/>
          <w:sz w:val="24"/>
          <w:szCs w:val="24"/>
          <w:lang w:eastAsia="en-GB"/>
        </w:rPr>
        <w:t>per</w:t>
      </w:r>
      <w:r w:rsidRPr="00CB5EDF">
        <w:rPr>
          <w:rFonts w:ascii="Arial" w:eastAsia="Times New Roman" w:hAnsi="Arial" w:cs="Arial"/>
          <w:sz w:val="24"/>
          <w:szCs w:val="24"/>
          <w:lang w:eastAsia="en-GB"/>
        </w:rPr>
        <w:t xml:space="preserve"> day.</w:t>
      </w:r>
    </w:p>
    <w:p w14:paraId="7DF15A5D" w14:textId="2AF72413" w:rsidR="00CB5EDF" w:rsidRPr="00CB5EDF" w:rsidRDefault="00CB5EDF" w:rsidP="00CB5EDF">
      <w:pPr>
        <w:numPr>
          <w:ilvl w:val="0"/>
          <w:numId w:val="8"/>
        </w:numPr>
        <w:spacing w:before="100" w:beforeAutospacing="1" w:after="100" w:afterAutospacing="1" w:line="240" w:lineRule="auto"/>
        <w:rPr>
          <w:rFonts w:ascii="Arial" w:eastAsia="Times New Roman" w:hAnsi="Arial" w:cs="Arial"/>
          <w:sz w:val="24"/>
          <w:szCs w:val="24"/>
          <w:lang w:eastAsia="en-GB"/>
        </w:rPr>
      </w:pPr>
      <w:r w:rsidRPr="00CB5EDF">
        <w:rPr>
          <w:rFonts w:ascii="Arial" w:eastAsia="Times New Roman" w:hAnsi="Arial" w:cs="Arial"/>
          <w:sz w:val="24"/>
          <w:szCs w:val="24"/>
          <w:lang w:eastAsia="en-GB"/>
        </w:rPr>
        <w:t>A right to a day off e</w:t>
      </w:r>
      <w:r w:rsidR="00FB50EC">
        <w:rPr>
          <w:rFonts w:ascii="Arial" w:eastAsia="Times New Roman" w:hAnsi="Arial" w:cs="Arial"/>
          <w:sz w:val="24"/>
          <w:szCs w:val="24"/>
          <w:lang w:eastAsia="en-GB"/>
        </w:rPr>
        <w:t xml:space="preserve">very </w:t>
      </w:r>
      <w:r w:rsidRPr="00CB5EDF">
        <w:rPr>
          <w:rFonts w:ascii="Arial" w:eastAsia="Times New Roman" w:hAnsi="Arial" w:cs="Arial"/>
          <w:sz w:val="24"/>
          <w:szCs w:val="24"/>
          <w:lang w:eastAsia="en-GB"/>
        </w:rPr>
        <w:t>week.</w:t>
      </w:r>
    </w:p>
    <w:p w14:paraId="2F24AC54" w14:textId="501953B1" w:rsidR="00CB5EDF" w:rsidRPr="00CB5EDF" w:rsidRDefault="00CB5EDF" w:rsidP="00CB5EDF">
      <w:pPr>
        <w:numPr>
          <w:ilvl w:val="0"/>
          <w:numId w:val="8"/>
        </w:numPr>
        <w:spacing w:before="100" w:beforeAutospacing="1" w:after="100" w:afterAutospacing="1" w:line="240" w:lineRule="auto"/>
        <w:rPr>
          <w:rFonts w:ascii="Arial" w:eastAsia="Times New Roman" w:hAnsi="Arial" w:cs="Arial"/>
          <w:sz w:val="24"/>
          <w:szCs w:val="24"/>
          <w:lang w:eastAsia="en-GB"/>
        </w:rPr>
      </w:pPr>
      <w:r w:rsidRPr="00CB5EDF">
        <w:rPr>
          <w:rFonts w:ascii="Arial" w:eastAsia="Times New Roman" w:hAnsi="Arial" w:cs="Arial"/>
          <w:sz w:val="24"/>
          <w:szCs w:val="24"/>
          <w:lang w:eastAsia="en-GB"/>
        </w:rPr>
        <w:t xml:space="preserve">A right to </w:t>
      </w:r>
      <w:r w:rsidR="00FB50EC">
        <w:rPr>
          <w:rFonts w:ascii="Arial" w:eastAsia="Times New Roman" w:hAnsi="Arial" w:cs="Arial"/>
          <w:sz w:val="24"/>
          <w:szCs w:val="24"/>
          <w:lang w:eastAsia="en-GB"/>
        </w:rPr>
        <w:t xml:space="preserve">a </w:t>
      </w:r>
      <w:r w:rsidRPr="00CB5EDF">
        <w:rPr>
          <w:rFonts w:ascii="Arial" w:eastAsia="Times New Roman" w:hAnsi="Arial" w:cs="Arial"/>
          <w:sz w:val="24"/>
          <w:szCs w:val="24"/>
          <w:lang w:eastAsia="en-GB"/>
        </w:rPr>
        <w:t>rest break if the working day is longer than 6 hours.</w:t>
      </w:r>
    </w:p>
    <w:p w14:paraId="2D87C414" w14:textId="3477CA54" w:rsidR="00CB5EDF" w:rsidRDefault="00CB5EDF" w:rsidP="00CB5EDF">
      <w:pPr>
        <w:rPr>
          <w:rFonts w:ascii="Arial" w:hAnsi="Arial" w:cs="Arial"/>
          <w:sz w:val="24"/>
          <w:szCs w:val="24"/>
        </w:rPr>
      </w:pPr>
      <w:r>
        <w:rPr>
          <w:rFonts w:ascii="Arial" w:hAnsi="Arial" w:cs="Arial"/>
          <w:sz w:val="24"/>
          <w:szCs w:val="24"/>
        </w:rPr>
        <w:t xml:space="preserve">In terms of holidays, employees are entitled to 28 </w:t>
      </w:r>
      <w:r w:rsidR="00E36EDC">
        <w:rPr>
          <w:rFonts w:ascii="Arial" w:hAnsi="Arial" w:cs="Arial"/>
          <w:sz w:val="24"/>
          <w:szCs w:val="24"/>
        </w:rPr>
        <w:t>days</w:t>
      </w:r>
      <w:r>
        <w:rPr>
          <w:rFonts w:ascii="Arial" w:hAnsi="Arial" w:cs="Arial"/>
          <w:sz w:val="24"/>
          <w:szCs w:val="24"/>
        </w:rPr>
        <w:t xml:space="preserve"> paid statutory </w:t>
      </w:r>
      <w:r w:rsidR="00FB50EC">
        <w:rPr>
          <w:rFonts w:ascii="Arial" w:hAnsi="Arial" w:cs="Arial"/>
          <w:sz w:val="24"/>
          <w:szCs w:val="24"/>
        </w:rPr>
        <w:t>annual leave (this is pro rata’d for part-time workers) and this entitlement includes eight bank holidays.</w:t>
      </w:r>
    </w:p>
    <w:p w14:paraId="5D1ECCA1" w14:textId="77777777" w:rsidR="00FB50EC" w:rsidRDefault="00FB50EC" w:rsidP="002417AE">
      <w:pPr>
        <w:rPr>
          <w:rFonts w:ascii="Arial" w:hAnsi="Arial" w:cs="Arial"/>
          <w:sz w:val="24"/>
          <w:szCs w:val="24"/>
        </w:rPr>
      </w:pPr>
      <w:r>
        <w:rPr>
          <w:rFonts w:ascii="Arial" w:hAnsi="Arial" w:cs="Arial"/>
          <w:sz w:val="24"/>
          <w:szCs w:val="24"/>
        </w:rPr>
        <w:t>(CIPD, 2020d) argues that all employees are entitled to request flexible working once employed for 26 weeks or more.</w:t>
      </w:r>
    </w:p>
    <w:p w14:paraId="06954D00" w14:textId="77777777" w:rsidR="00E36EDC" w:rsidRDefault="00FB50EC" w:rsidP="002417AE">
      <w:pPr>
        <w:rPr>
          <w:rFonts w:ascii="Arial" w:hAnsi="Arial" w:cs="Arial"/>
          <w:sz w:val="24"/>
          <w:szCs w:val="24"/>
        </w:rPr>
      </w:pPr>
      <w:r>
        <w:rPr>
          <w:rFonts w:ascii="Arial" w:hAnsi="Arial" w:cs="Arial"/>
          <w:sz w:val="24"/>
          <w:szCs w:val="24"/>
        </w:rPr>
        <w:t>(ACAS, 2020b) refers to the minimum amount an employee should get paid on average for hours of work and these are set out by the government. This includes the National Minimum Wage (NMW) or National Living Wage (NLW), which applies to those aged 25 or over.</w:t>
      </w:r>
    </w:p>
    <w:p w14:paraId="51CD10EB" w14:textId="693714CD" w:rsidR="00E36EDC" w:rsidRDefault="00E36EDC" w:rsidP="002417AE">
      <w:pPr>
        <w:rPr>
          <w:rFonts w:ascii="Arial" w:hAnsi="Arial" w:cs="Arial"/>
          <w:sz w:val="24"/>
          <w:szCs w:val="24"/>
        </w:rPr>
      </w:pPr>
      <w:r>
        <w:rPr>
          <w:rFonts w:ascii="Arial" w:hAnsi="Arial" w:cs="Arial"/>
          <w:sz w:val="24"/>
          <w:szCs w:val="24"/>
        </w:rPr>
        <w:t>Employees are entitled to the minimum of Statutory Sick Pay (SSP) whilst absent from work, although, some employers pay more which is known as occupational or contractual sick pay.</w:t>
      </w:r>
    </w:p>
    <w:p w14:paraId="46979D22" w14:textId="3F699D87" w:rsidR="0079376F" w:rsidRPr="0079376F" w:rsidRDefault="0079376F" w:rsidP="002417AE">
      <w:pPr>
        <w:rPr>
          <w:rFonts w:ascii="Arial" w:hAnsi="Arial" w:cs="Arial"/>
          <w:b/>
          <w:bCs/>
          <w:sz w:val="24"/>
          <w:szCs w:val="24"/>
        </w:rPr>
      </w:pPr>
      <w:r w:rsidRPr="0079376F">
        <w:rPr>
          <w:rFonts w:ascii="Arial" w:hAnsi="Arial" w:cs="Arial"/>
          <w:b/>
          <w:bCs/>
          <w:sz w:val="24"/>
          <w:szCs w:val="24"/>
        </w:rPr>
        <w:br/>
        <w:t>(b) the major maternity, paternity and other family-friendly employment rights.</w:t>
      </w:r>
    </w:p>
    <w:p w14:paraId="51950C16" w14:textId="4056017C" w:rsidR="007744E6" w:rsidRDefault="00AE6A04" w:rsidP="002417AE">
      <w:pPr>
        <w:rPr>
          <w:rFonts w:ascii="Arial" w:hAnsi="Arial" w:cs="Arial"/>
          <w:sz w:val="24"/>
          <w:szCs w:val="24"/>
        </w:rPr>
      </w:pPr>
      <w:r>
        <w:rPr>
          <w:rFonts w:ascii="Arial" w:hAnsi="Arial" w:cs="Arial"/>
          <w:sz w:val="24"/>
          <w:szCs w:val="24"/>
        </w:rPr>
        <w:t>(ACAS, 2020c) argues that an employee legally has a right from day one of working of up to 52 weeks’ maternity leave if having a baby. The first two to four weeks are compulsory and thereafter, how many of the 52 weeks taken is up to the employee.</w:t>
      </w:r>
    </w:p>
    <w:p w14:paraId="62F1E81D" w14:textId="77777777" w:rsidR="00FE321F" w:rsidRDefault="00AE6A04" w:rsidP="002417AE">
      <w:pPr>
        <w:rPr>
          <w:rFonts w:ascii="Arial" w:hAnsi="Arial" w:cs="Arial"/>
          <w:sz w:val="24"/>
          <w:szCs w:val="24"/>
        </w:rPr>
      </w:pPr>
      <w:r>
        <w:rPr>
          <w:rFonts w:ascii="Arial" w:hAnsi="Arial" w:cs="Arial"/>
          <w:sz w:val="24"/>
          <w:szCs w:val="24"/>
        </w:rPr>
        <w:t>(CIPD, 2020e)</w:t>
      </w:r>
      <w:r w:rsidR="00FE321F">
        <w:rPr>
          <w:rFonts w:ascii="Arial" w:hAnsi="Arial" w:cs="Arial"/>
          <w:sz w:val="24"/>
          <w:szCs w:val="24"/>
        </w:rPr>
        <w:t xml:space="preserve"> refers to various key terms of maternity leave in the UK including:</w:t>
      </w:r>
    </w:p>
    <w:p w14:paraId="6A3A9F1E" w14:textId="594DF583" w:rsidR="00FE321F" w:rsidRDefault="00FE321F" w:rsidP="002417AE">
      <w:pPr>
        <w:rPr>
          <w:rFonts w:ascii="Arial" w:hAnsi="Arial" w:cs="Arial"/>
          <w:sz w:val="24"/>
          <w:szCs w:val="24"/>
        </w:rPr>
      </w:pPr>
      <w:r w:rsidRPr="00FE321F">
        <w:rPr>
          <w:rFonts w:ascii="Arial" w:hAnsi="Arial" w:cs="Arial"/>
          <w:b/>
          <w:bCs/>
          <w:sz w:val="24"/>
          <w:szCs w:val="24"/>
        </w:rPr>
        <w:t>Compulsory leave</w:t>
      </w:r>
      <w:r>
        <w:rPr>
          <w:rFonts w:ascii="Arial" w:hAnsi="Arial" w:cs="Arial"/>
          <w:sz w:val="24"/>
          <w:szCs w:val="24"/>
        </w:rPr>
        <w:t xml:space="preserve"> – two weeks following birth, the women is not permitted to work (four weeks if employed in factory)</w:t>
      </w:r>
    </w:p>
    <w:p w14:paraId="59CD30E4" w14:textId="387FCB11" w:rsidR="00FE321F" w:rsidRDefault="00FE321F" w:rsidP="002417AE">
      <w:pPr>
        <w:rPr>
          <w:rFonts w:ascii="Arial" w:hAnsi="Arial" w:cs="Arial"/>
          <w:sz w:val="24"/>
          <w:szCs w:val="24"/>
        </w:rPr>
      </w:pPr>
      <w:r>
        <w:rPr>
          <w:rFonts w:ascii="Arial" w:hAnsi="Arial" w:cs="Arial"/>
          <w:b/>
          <w:bCs/>
          <w:sz w:val="24"/>
          <w:szCs w:val="24"/>
        </w:rPr>
        <w:t xml:space="preserve">Statutory Maternity Leave or SML </w:t>
      </w:r>
      <w:r>
        <w:rPr>
          <w:rFonts w:ascii="Arial" w:hAnsi="Arial" w:cs="Arial"/>
          <w:sz w:val="24"/>
          <w:szCs w:val="24"/>
        </w:rPr>
        <w:t>– entitlement of 52 weeks maternity leave with no qualifying period required. There is a qualifying period for an entitlement to maternity pay.</w:t>
      </w:r>
    </w:p>
    <w:p w14:paraId="23BAEB07" w14:textId="62720D4A" w:rsidR="003F58B4" w:rsidRDefault="00FE321F" w:rsidP="002417AE">
      <w:pPr>
        <w:rPr>
          <w:rFonts w:ascii="Arial" w:hAnsi="Arial" w:cs="Arial"/>
          <w:sz w:val="24"/>
          <w:szCs w:val="24"/>
        </w:rPr>
      </w:pPr>
      <w:r w:rsidRPr="00FE321F">
        <w:rPr>
          <w:rFonts w:ascii="Arial" w:hAnsi="Arial" w:cs="Arial"/>
          <w:b/>
          <w:bCs/>
          <w:sz w:val="24"/>
          <w:szCs w:val="24"/>
        </w:rPr>
        <w:t>Shared Parental Leave or SPL</w:t>
      </w:r>
      <w:r>
        <w:rPr>
          <w:rFonts w:ascii="Arial" w:hAnsi="Arial" w:cs="Arial"/>
          <w:sz w:val="24"/>
          <w:szCs w:val="24"/>
        </w:rPr>
        <w:t xml:space="preserve"> – this is shared leave which is available to either or both parents</w:t>
      </w:r>
      <w:r w:rsidR="003F58B4">
        <w:rPr>
          <w:rFonts w:ascii="Arial" w:hAnsi="Arial" w:cs="Arial"/>
          <w:sz w:val="24"/>
          <w:szCs w:val="24"/>
        </w:rPr>
        <w:t xml:space="preserve"> for them to share statutory leave and pay. This legislation was introduced to those parents expecting a child on or after 5 April 2015.</w:t>
      </w:r>
    </w:p>
    <w:p w14:paraId="5171E2B9" w14:textId="64C2E43D" w:rsidR="00FE321F" w:rsidRDefault="0086115C" w:rsidP="002417AE">
      <w:pPr>
        <w:rPr>
          <w:rFonts w:ascii="Arial" w:hAnsi="Arial" w:cs="Arial"/>
          <w:sz w:val="24"/>
          <w:szCs w:val="24"/>
        </w:rPr>
      </w:pPr>
      <w:r>
        <w:rPr>
          <w:rFonts w:ascii="Arial" w:hAnsi="Arial" w:cs="Arial"/>
          <w:sz w:val="24"/>
          <w:szCs w:val="24"/>
        </w:rPr>
        <w:t>(GOV.UK, 2020c) emphasises that pregnant employees have four main legal rights being paid time off for antenatal care, maternity leave, maternity pay or allowance and protection against dismissal, discrimination and unfair treatment.</w:t>
      </w:r>
    </w:p>
    <w:p w14:paraId="6444B933" w14:textId="3F574B8B" w:rsidR="007744E6" w:rsidRDefault="00A923C0" w:rsidP="002417AE">
      <w:pPr>
        <w:rPr>
          <w:rFonts w:ascii="Arial" w:hAnsi="Arial" w:cs="Arial"/>
          <w:sz w:val="24"/>
          <w:szCs w:val="24"/>
        </w:rPr>
      </w:pPr>
      <w:r>
        <w:rPr>
          <w:rFonts w:ascii="Arial" w:hAnsi="Arial" w:cs="Arial"/>
          <w:sz w:val="24"/>
          <w:szCs w:val="24"/>
        </w:rPr>
        <w:t>A father is entitled to paternity leave and the maximum duration of the basic statutory leave is two weeks. The eligibility factors for such leave in the UK is 26 weeks continuous employment at the end of the 15</w:t>
      </w:r>
      <w:r w:rsidRPr="00A923C0">
        <w:rPr>
          <w:rFonts w:ascii="Arial" w:hAnsi="Arial" w:cs="Arial"/>
          <w:sz w:val="24"/>
          <w:szCs w:val="24"/>
          <w:vertAlign w:val="superscript"/>
        </w:rPr>
        <w:t>th</w:t>
      </w:r>
      <w:r>
        <w:rPr>
          <w:rFonts w:ascii="Arial" w:hAnsi="Arial" w:cs="Arial"/>
          <w:sz w:val="24"/>
          <w:szCs w:val="24"/>
        </w:rPr>
        <w:t xml:space="preserve"> week before baby is due, be the biological father or partner/husband to expectant mother and the man has responsibility for the baby’s upbringing. An employee who returns to work following </w:t>
      </w:r>
      <w:r>
        <w:rPr>
          <w:rFonts w:ascii="Arial" w:hAnsi="Arial" w:cs="Arial"/>
          <w:sz w:val="24"/>
          <w:szCs w:val="24"/>
        </w:rPr>
        <w:lastRenderedPageBreak/>
        <w:t>paternity leave is entitled to return to their same job, same terms and conditions of employment and not be unfairly treated, dismissed or at a disadvantage.</w:t>
      </w:r>
    </w:p>
    <w:p w14:paraId="12F9DE21" w14:textId="2D2738A0" w:rsidR="00A923C0" w:rsidRDefault="003F58B4" w:rsidP="002417AE">
      <w:pPr>
        <w:rPr>
          <w:rFonts w:ascii="Arial" w:hAnsi="Arial" w:cs="Arial"/>
          <w:sz w:val="24"/>
          <w:szCs w:val="24"/>
        </w:rPr>
      </w:pPr>
      <w:r>
        <w:rPr>
          <w:rFonts w:ascii="Arial" w:hAnsi="Arial" w:cs="Arial"/>
          <w:sz w:val="24"/>
          <w:szCs w:val="24"/>
        </w:rPr>
        <w:t>Other rights include Statutory adoption leave</w:t>
      </w:r>
      <w:r w:rsidR="005E02C3">
        <w:rPr>
          <w:rFonts w:ascii="Arial" w:hAnsi="Arial" w:cs="Arial"/>
          <w:sz w:val="24"/>
          <w:szCs w:val="24"/>
        </w:rPr>
        <w:t xml:space="preserve"> – which applies the same principals as maternity leave and</w:t>
      </w:r>
      <w:r>
        <w:rPr>
          <w:rFonts w:ascii="Arial" w:hAnsi="Arial" w:cs="Arial"/>
          <w:sz w:val="24"/>
          <w:szCs w:val="24"/>
        </w:rPr>
        <w:t xml:space="preserve"> unpaid parental leave</w:t>
      </w:r>
      <w:r w:rsidR="005E02C3">
        <w:rPr>
          <w:rFonts w:ascii="Arial" w:hAnsi="Arial" w:cs="Arial"/>
          <w:sz w:val="24"/>
          <w:szCs w:val="24"/>
        </w:rPr>
        <w:t xml:space="preserve"> -</w:t>
      </w:r>
      <w:r>
        <w:rPr>
          <w:rFonts w:ascii="Arial" w:hAnsi="Arial" w:cs="Arial"/>
          <w:sz w:val="24"/>
          <w:szCs w:val="24"/>
        </w:rPr>
        <w:t xml:space="preserve"> which is a right of up to 18 weeks’ of extra unpaid leav</w:t>
      </w:r>
      <w:r w:rsidR="005E02C3">
        <w:rPr>
          <w:rFonts w:ascii="Arial" w:hAnsi="Arial" w:cs="Arial"/>
          <w:sz w:val="24"/>
          <w:szCs w:val="24"/>
        </w:rPr>
        <w:t>e for those who have caring responsibilities of a child under 18 years of age.</w:t>
      </w:r>
    </w:p>
    <w:p w14:paraId="0ABC86B0" w14:textId="77777777" w:rsidR="005E02C3" w:rsidRDefault="005E02C3" w:rsidP="002417AE">
      <w:pPr>
        <w:rPr>
          <w:rFonts w:ascii="Arial" w:hAnsi="Arial" w:cs="Arial"/>
          <w:b/>
          <w:bCs/>
          <w:sz w:val="24"/>
          <w:szCs w:val="24"/>
        </w:rPr>
      </w:pPr>
    </w:p>
    <w:p w14:paraId="55D54D4C" w14:textId="543D1DAF" w:rsidR="005E02C3" w:rsidRDefault="005E02C3" w:rsidP="002417AE">
      <w:pPr>
        <w:rPr>
          <w:rFonts w:ascii="Arial" w:hAnsi="Arial" w:cs="Arial"/>
          <w:b/>
          <w:bCs/>
          <w:sz w:val="24"/>
          <w:szCs w:val="24"/>
        </w:rPr>
      </w:pPr>
      <w:r w:rsidRPr="005E02C3">
        <w:rPr>
          <w:rFonts w:ascii="Arial" w:hAnsi="Arial" w:cs="Arial"/>
          <w:b/>
          <w:bCs/>
          <w:sz w:val="24"/>
          <w:szCs w:val="24"/>
        </w:rPr>
        <w:t>5. Summarise:</w:t>
      </w:r>
      <w:r w:rsidRPr="005E02C3">
        <w:rPr>
          <w:rFonts w:ascii="Arial" w:hAnsi="Arial" w:cs="Arial"/>
          <w:b/>
          <w:bCs/>
          <w:sz w:val="24"/>
          <w:szCs w:val="24"/>
        </w:rPr>
        <w:br/>
        <w:t>(a) the major requirements of health and safety law</w:t>
      </w:r>
    </w:p>
    <w:p w14:paraId="47A89E36" w14:textId="6F49E902" w:rsidR="00E41E53" w:rsidRDefault="00E41E53" w:rsidP="00E41E53">
      <w:pPr>
        <w:rPr>
          <w:rFonts w:ascii="Arial" w:hAnsi="Arial" w:cs="Arial"/>
          <w:sz w:val="24"/>
          <w:szCs w:val="24"/>
        </w:rPr>
      </w:pPr>
      <w:r>
        <w:rPr>
          <w:rFonts w:ascii="Arial" w:hAnsi="Arial" w:cs="Arial"/>
          <w:sz w:val="24"/>
          <w:szCs w:val="24"/>
        </w:rPr>
        <w:t>(HSE, 2020) refers to t</w:t>
      </w:r>
      <w:r w:rsidRPr="00E41E53">
        <w:rPr>
          <w:rFonts w:ascii="Arial" w:hAnsi="Arial" w:cs="Arial"/>
          <w:sz w:val="24"/>
          <w:szCs w:val="24"/>
        </w:rPr>
        <w:t>he </w:t>
      </w:r>
      <w:r>
        <w:rPr>
          <w:rFonts w:ascii="Arial" w:hAnsi="Arial" w:cs="Arial"/>
          <w:sz w:val="24"/>
          <w:szCs w:val="24"/>
        </w:rPr>
        <w:t xml:space="preserve">Health and Safety at Work Act etc 1974 as the </w:t>
      </w:r>
      <w:r w:rsidRPr="00E41E53">
        <w:rPr>
          <w:rFonts w:ascii="Arial" w:hAnsi="Arial" w:cs="Arial"/>
          <w:sz w:val="24"/>
          <w:szCs w:val="24"/>
        </w:rPr>
        <w:t>basis of British health and safety law.</w:t>
      </w:r>
      <w:r>
        <w:rPr>
          <w:rFonts w:ascii="Arial" w:hAnsi="Arial" w:cs="Arial"/>
          <w:sz w:val="24"/>
          <w:szCs w:val="24"/>
        </w:rPr>
        <w:t xml:space="preserve"> It sets out the general duties which </w:t>
      </w:r>
      <w:r w:rsidRPr="00E41E53">
        <w:rPr>
          <w:rFonts w:ascii="Arial" w:hAnsi="Arial" w:cs="Arial"/>
          <w:sz w:val="24"/>
          <w:szCs w:val="24"/>
        </w:rPr>
        <w:t xml:space="preserve">employers have towards employees and </w:t>
      </w:r>
      <w:r>
        <w:rPr>
          <w:rFonts w:ascii="Arial" w:hAnsi="Arial" w:cs="Arial"/>
          <w:sz w:val="24"/>
          <w:szCs w:val="24"/>
        </w:rPr>
        <w:t>members of the public, and employees have to themselves and to one another.</w:t>
      </w:r>
    </w:p>
    <w:p w14:paraId="017CE5B8" w14:textId="7799F8DE" w:rsidR="00E41E53" w:rsidRDefault="0092201A" w:rsidP="00E41E53">
      <w:pPr>
        <w:rPr>
          <w:rFonts w:ascii="Arial" w:hAnsi="Arial" w:cs="Arial"/>
          <w:sz w:val="24"/>
          <w:szCs w:val="24"/>
        </w:rPr>
      </w:pPr>
      <w:r>
        <w:rPr>
          <w:rFonts w:ascii="Arial" w:hAnsi="Arial" w:cs="Arial"/>
          <w:sz w:val="24"/>
          <w:szCs w:val="24"/>
        </w:rPr>
        <w:t xml:space="preserve">(CIPD, 2019c) argues that in the UK, employers have a duty to provide a safe and healthy working environment developed from the fundamental standards of negligence, contract and several statutory rights. As a minimum, an employer should publish a health and safety policy, take out and maintain a compulsory insurance policy (Employers’ liability insurance) which covers accidents and ill health of employees, appointment of health and safety representatives, arrange periodic risk assessments </w:t>
      </w:r>
      <w:r w:rsidR="00120362">
        <w:rPr>
          <w:rFonts w:ascii="Arial" w:hAnsi="Arial" w:cs="Arial"/>
          <w:sz w:val="24"/>
          <w:szCs w:val="24"/>
        </w:rPr>
        <w:t>– this includes workstations, handling or lifting heavy objects;</w:t>
      </w:r>
      <w:r>
        <w:rPr>
          <w:rFonts w:ascii="Arial" w:hAnsi="Arial" w:cs="Arial"/>
          <w:sz w:val="24"/>
          <w:szCs w:val="24"/>
        </w:rPr>
        <w:t xml:space="preserve"> inform staff of any risks and make appropriate measures in protecting against, provide satisfactory safety training to minimise risks and many more.</w:t>
      </w:r>
    </w:p>
    <w:p w14:paraId="0385A047" w14:textId="4B11FC50" w:rsidR="0092201A" w:rsidRPr="00120362" w:rsidRDefault="00120362" w:rsidP="00E41E53">
      <w:pPr>
        <w:rPr>
          <w:rFonts w:ascii="Arial" w:hAnsi="Arial" w:cs="Arial"/>
          <w:sz w:val="24"/>
          <w:szCs w:val="24"/>
        </w:rPr>
      </w:pPr>
      <w:r>
        <w:rPr>
          <w:rFonts w:ascii="Arial" w:hAnsi="Arial" w:cs="Arial"/>
          <w:sz w:val="24"/>
          <w:szCs w:val="24"/>
          <w:shd w:val="clear" w:color="auto" w:fill="F7F6F6"/>
        </w:rPr>
        <w:t xml:space="preserve">They refer to </w:t>
      </w:r>
      <w:r w:rsidRPr="00120362">
        <w:rPr>
          <w:rFonts w:ascii="Arial" w:hAnsi="Arial" w:cs="Arial"/>
          <w:sz w:val="24"/>
          <w:szCs w:val="24"/>
          <w:shd w:val="clear" w:color="auto" w:fill="F7F6F6"/>
        </w:rPr>
        <w:t xml:space="preserve">Inspectors from the Local Authority's Environmental Health Department, or the HSE, </w:t>
      </w:r>
      <w:r>
        <w:rPr>
          <w:rFonts w:ascii="Arial" w:hAnsi="Arial" w:cs="Arial"/>
          <w:sz w:val="24"/>
          <w:szCs w:val="24"/>
          <w:shd w:val="clear" w:color="auto" w:fill="F7F6F6"/>
        </w:rPr>
        <w:t xml:space="preserve">being </w:t>
      </w:r>
      <w:r w:rsidRPr="00120362">
        <w:rPr>
          <w:rFonts w:ascii="Arial" w:hAnsi="Arial" w:cs="Arial"/>
          <w:sz w:val="24"/>
          <w:szCs w:val="24"/>
          <w:shd w:val="clear" w:color="auto" w:fill="F7F6F6"/>
        </w:rPr>
        <w:t>responsible for enforcing health and safety law</w:t>
      </w:r>
      <w:r>
        <w:rPr>
          <w:rFonts w:ascii="Arial" w:hAnsi="Arial" w:cs="Arial"/>
          <w:sz w:val="24"/>
          <w:szCs w:val="24"/>
          <w:shd w:val="clear" w:color="auto" w:fill="F7F6F6"/>
        </w:rPr>
        <w:t xml:space="preserve"> which </w:t>
      </w:r>
      <w:r w:rsidRPr="00120362">
        <w:rPr>
          <w:rFonts w:ascii="Arial" w:hAnsi="Arial" w:cs="Arial"/>
          <w:sz w:val="24"/>
          <w:szCs w:val="24"/>
          <w:shd w:val="clear" w:color="auto" w:fill="F7F6F6"/>
        </w:rPr>
        <w:t xml:space="preserve">organisations can be prosecuted </w:t>
      </w:r>
      <w:r>
        <w:rPr>
          <w:rFonts w:ascii="Arial" w:hAnsi="Arial" w:cs="Arial"/>
          <w:sz w:val="24"/>
          <w:szCs w:val="24"/>
          <w:shd w:val="clear" w:color="auto" w:fill="F7F6F6"/>
        </w:rPr>
        <w:t>because of any</w:t>
      </w:r>
      <w:r w:rsidRPr="00120362">
        <w:rPr>
          <w:rFonts w:ascii="Arial" w:hAnsi="Arial" w:cs="Arial"/>
          <w:sz w:val="24"/>
          <w:szCs w:val="24"/>
          <w:shd w:val="clear" w:color="auto" w:fill="F7F6F6"/>
        </w:rPr>
        <w:t xml:space="preserve"> breaches. All workplaces must be registered with either of the</w:t>
      </w:r>
      <w:r>
        <w:rPr>
          <w:rFonts w:ascii="Arial" w:hAnsi="Arial" w:cs="Arial"/>
          <w:sz w:val="24"/>
          <w:szCs w:val="24"/>
          <w:shd w:val="clear" w:color="auto" w:fill="F7F6F6"/>
        </w:rPr>
        <w:t xml:space="preserve"> above</w:t>
      </w:r>
      <w:r w:rsidRPr="00120362">
        <w:rPr>
          <w:rFonts w:ascii="Arial" w:hAnsi="Arial" w:cs="Arial"/>
          <w:sz w:val="24"/>
          <w:szCs w:val="24"/>
          <w:shd w:val="clear" w:color="auto" w:fill="F7F6F6"/>
        </w:rPr>
        <w:t xml:space="preserve"> two bodies. Employees can report any breaches of the legislation or seek advice from them.</w:t>
      </w:r>
    </w:p>
    <w:p w14:paraId="4A59773E" w14:textId="1FE5269A" w:rsidR="0092201A" w:rsidRDefault="00120362" w:rsidP="00E41E53">
      <w:pPr>
        <w:rPr>
          <w:rFonts w:ascii="Arial" w:hAnsi="Arial" w:cs="Arial"/>
          <w:sz w:val="24"/>
          <w:szCs w:val="24"/>
        </w:rPr>
      </w:pPr>
      <w:r>
        <w:rPr>
          <w:rFonts w:ascii="Arial" w:hAnsi="Arial" w:cs="Arial"/>
          <w:sz w:val="24"/>
          <w:szCs w:val="24"/>
        </w:rPr>
        <w:t>The reporting of Injuries, Diseases and Dangerous Occurrences Regulations 1985 (RIDDOR) obligates employers to report any of the following to the HSE or local authority immediately:</w:t>
      </w:r>
    </w:p>
    <w:p w14:paraId="3506A216" w14:textId="1E90563B" w:rsidR="00120362" w:rsidRDefault="00120362" w:rsidP="00120362">
      <w:pPr>
        <w:pStyle w:val="ListParagraph"/>
        <w:numPr>
          <w:ilvl w:val="0"/>
          <w:numId w:val="10"/>
        </w:numPr>
        <w:rPr>
          <w:rFonts w:ascii="Arial" w:hAnsi="Arial" w:cs="Arial"/>
          <w:sz w:val="24"/>
          <w:szCs w:val="24"/>
        </w:rPr>
      </w:pPr>
      <w:r>
        <w:rPr>
          <w:rFonts w:ascii="Arial" w:hAnsi="Arial" w:cs="Arial"/>
          <w:sz w:val="24"/>
          <w:szCs w:val="24"/>
        </w:rPr>
        <w:t>Fatal accidents</w:t>
      </w:r>
    </w:p>
    <w:p w14:paraId="2248CBAF" w14:textId="6DCC8ECC" w:rsidR="00120362" w:rsidRDefault="00120362" w:rsidP="00120362">
      <w:pPr>
        <w:pStyle w:val="ListParagraph"/>
        <w:numPr>
          <w:ilvl w:val="0"/>
          <w:numId w:val="10"/>
        </w:numPr>
        <w:rPr>
          <w:rFonts w:ascii="Arial" w:hAnsi="Arial" w:cs="Arial"/>
          <w:sz w:val="24"/>
          <w:szCs w:val="24"/>
        </w:rPr>
      </w:pPr>
      <w:r>
        <w:rPr>
          <w:rFonts w:ascii="Arial" w:hAnsi="Arial" w:cs="Arial"/>
          <w:sz w:val="24"/>
          <w:szCs w:val="24"/>
        </w:rPr>
        <w:t>Major Injury or conditions that require medical treatment</w:t>
      </w:r>
    </w:p>
    <w:p w14:paraId="27B131AF" w14:textId="21B98C67" w:rsidR="00120362" w:rsidRDefault="00120362" w:rsidP="00120362">
      <w:pPr>
        <w:pStyle w:val="ListParagraph"/>
        <w:numPr>
          <w:ilvl w:val="0"/>
          <w:numId w:val="10"/>
        </w:numPr>
        <w:rPr>
          <w:rFonts w:ascii="Arial" w:hAnsi="Arial" w:cs="Arial"/>
          <w:sz w:val="24"/>
          <w:szCs w:val="24"/>
        </w:rPr>
      </w:pPr>
      <w:r>
        <w:rPr>
          <w:rFonts w:ascii="Arial" w:hAnsi="Arial" w:cs="Arial"/>
          <w:sz w:val="24"/>
          <w:szCs w:val="24"/>
        </w:rPr>
        <w:t>Dangerous occurrences</w:t>
      </w:r>
    </w:p>
    <w:p w14:paraId="664BFEAB" w14:textId="1FC5B759" w:rsidR="00120362" w:rsidRPr="00120362" w:rsidRDefault="00120362" w:rsidP="00120362">
      <w:pPr>
        <w:rPr>
          <w:rFonts w:ascii="Arial" w:hAnsi="Arial" w:cs="Arial"/>
          <w:sz w:val="24"/>
          <w:szCs w:val="24"/>
        </w:rPr>
      </w:pPr>
      <w:r>
        <w:rPr>
          <w:rFonts w:ascii="Arial" w:hAnsi="Arial" w:cs="Arial"/>
          <w:sz w:val="24"/>
          <w:szCs w:val="24"/>
        </w:rPr>
        <w:t>The law requires employers to provide first-aiders and all employees should be aware of these and the arrangements for obtaining first aid treatment.</w:t>
      </w:r>
    </w:p>
    <w:p w14:paraId="5D74E9A3" w14:textId="25FEDE37" w:rsidR="005E02C3" w:rsidRDefault="005E02C3" w:rsidP="002417AE">
      <w:pPr>
        <w:rPr>
          <w:rFonts w:ascii="Arial" w:hAnsi="Arial" w:cs="Arial"/>
          <w:b/>
          <w:bCs/>
          <w:sz w:val="24"/>
          <w:szCs w:val="24"/>
        </w:rPr>
      </w:pPr>
      <w:r w:rsidRPr="005E02C3">
        <w:rPr>
          <w:rFonts w:ascii="Arial" w:hAnsi="Arial" w:cs="Arial"/>
          <w:b/>
          <w:bCs/>
          <w:sz w:val="24"/>
          <w:szCs w:val="24"/>
        </w:rPr>
        <w:br/>
        <w:t>(b) key legislation supporting equality and diversity in the workplace</w:t>
      </w:r>
    </w:p>
    <w:p w14:paraId="69C636F9" w14:textId="10C9E267" w:rsidR="009A4560" w:rsidRDefault="00366A07" w:rsidP="002417AE">
      <w:pPr>
        <w:rPr>
          <w:rFonts w:ascii="Arial" w:hAnsi="Arial" w:cs="Arial"/>
          <w:sz w:val="24"/>
          <w:szCs w:val="24"/>
        </w:rPr>
      </w:pPr>
      <w:r>
        <w:rPr>
          <w:rFonts w:ascii="Arial" w:hAnsi="Arial" w:cs="Arial"/>
          <w:sz w:val="24"/>
          <w:szCs w:val="24"/>
        </w:rPr>
        <w:t xml:space="preserve">The UK legislation for equality and diversity mainly comes from the Equality Act 2010. </w:t>
      </w:r>
      <w:r w:rsidR="001677C3">
        <w:rPr>
          <w:rFonts w:ascii="Arial" w:hAnsi="Arial" w:cs="Arial"/>
          <w:sz w:val="24"/>
          <w:szCs w:val="24"/>
        </w:rPr>
        <w:t>This Act replaced a number of smaller Acts and was implemented so that employers and employees comply to create a fairer workplace.</w:t>
      </w:r>
    </w:p>
    <w:p w14:paraId="2BFF5254" w14:textId="1FB6279C" w:rsidR="00E602B2" w:rsidRDefault="00E602B2" w:rsidP="002417AE">
      <w:pPr>
        <w:rPr>
          <w:rFonts w:ascii="Arial" w:hAnsi="Arial" w:cs="Arial"/>
          <w:sz w:val="24"/>
          <w:szCs w:val="24"/>
        </w:rPr>
      </w:pPr>
      <w:r>
        <w:rPr>
          <w:rFonts w:ascii="Arial" w:hAnsi="Arial" w:cs="Arial"/>
          <w:sz w:val="24"/>
          <w:szCs w:val="24"/>
        </w:rPr>
        <w:t>(DeltaNet, 2018) refers to the following legislation aimed to reduce inequality and discrimination at the workplace:</w:t>
      </w:r>
    </w:p>
    <w:p w14:paraId="2A1A3DA7" w14:textId="45C04612" w:rsidR="00E602B2" w:rsidRDefault="00E602B2" w:rsidP="00E602B2">
      <w:pPr>
        <w:pStyle w:val="ListParagraph"/>
        <w:numPr>
          <w:ilvl w:val="0"/>
          <w:numId w:val="11"/>
        </w:numPr>
        <w:rPr>
          <w:rFonts w:ascii="Arial" w:hAnsi="Arial" w:cs="Arial"/>
          <w:sz w:val="24"/>
          <w:szCs w:val="24"/>
        </w:rPr>
      </w:pPr>
      <w:r>
        <w:rPr>
          <w:rFonts w:ascii="Arial" w:hAnsi="Arial" w:cs="Arial"/>
          <w:sz w:val="24"/>
          <w:szCs w:val="24"/>
        </w:rPr>
        <w:lastRenderedPageBreak/>
        <w:t>Equality Act 2010</w:t>
      </w:r>
    </w:p>
    <w:p w14:paraId="7C4CF92D" w14:textId="5EE8875E" w:rsidR="00E602B2" w:rsidRDefault="00E602B2" w:rsidP="00E602B2">
      <w:pPr>
        <w:pStyle w:val="ListParagraph"/>
        <w:numPr>
          <w:ilvl w:val="0"/>
          <w:numId w:val="11"/>
        </w:numPr>
        <w:rPr>
          <w:rFonts w:ascii="Arial" w:hAnsi="Arial" w:cs="Arial"/>
          <w:sz w:val="24"/>
          <w:szCs w:val="24"/>
        </w:rPr>
      </w:pPr>
      <w:r>
        <w:rPr>
          <w:rFonts w:ascii="Arial" w:hAnsi="Arial" w:cs="Arial"/>
          <w:sz w:val="24"/>
          <w:szCs w:val="24"/>
        </w:rPr>
        <w:t>The Equality and Human Rights Commission (EHRC)</w:t>
      </w:r>
    </w:p>
    <w:p w14:paraId="18109D76" w14:textId="131C0298" w:rsidR="00E602B2" w:rsidRDefault="00E602B2" w:rsidP="00E602B2">
      <w:pPr>
        <w:pStyle w:val="ListParagraph"/>
        <w:numPr>
          <w:ilvl w:val="0"/>
          <w:numId w:val="11"/>
        </w:numPr>
        <w:rPr>
          <w:rFonts w:ascii="Arial" w:hAnsi="Arial" w:cs="Arial"/>
          <w:sz w:val="24"/>
          <w:szCs w:val="24"/>
        </w:rPr>
      </w:pPr>
      <w:r>
        <w:rPr>
          <w:rFonts w:ascii="Arial" w:hAnsi="Arial" w:cs="Arial"/>
          <w:sz w:val="24"/>
          <w:szCs w:val="24"/>
        </w:rPr>
        <w:t>Human Rights Act of 1998</w:t>
      </w:r>
    </w:p>
    <w:p w14:paraId="60B23724" w14:textId="7303377F" w:rsidR="00A923C0" w:rsidRPr="005E02C3" w:rsidRDefault="005E02C3" w:rsidP="002417AE">
      <w:pPr>
        <w:rPr>
          <w:rFonts w:ascii="Arial" w:hAnsi="Arial" w:cs="Arial"/>
          <w:b/>
          <w:bCs/>
          <w:sz w:val="24"/>
          <w:szCs w:val="24"/>
        </w:rPr>
      </w:pPr>
      <w:r w:rsidRPr="005E02C3">
        <w:rPr>
          <w:rFonts w:ascii="Arial" w:hAnsi="Arial" w:cs="Arial"/>
          <w:b/>
          <w:bCs/>
          <w:sz w:val="24"/>
          <w:szCs w:val="24"/>
        </w:rPr>
        <w:br/>
        <w:t>(c) the concept of implied duties in relation to employee management at work</w:t>
      </w:r>
    </w:p>
    <w:p w14:paraId="70F782F0" w14:textId="3087E444" w:rsidR="001C339B" w:rsidRDefault="001640C9" w:rsidP="002417AE">
      <w:pPr>
        <w:rPr>
          <w:rFonts w:ascii="Arial" w:hAnsi="Arial" w:cs="Arial"/>
          <w:sz w:val="24"/>
          <w:szCs w:val="24"/>
        </w:rPr>
      </w:pPr>
      <w:r>
        <w:rPr>
          <w:rFonts w:ascii="Arial" w:hAnsi="Arial" w:cs="Arial"/>
          <w:sz w:val="24"/>
          <w:szCs w:val="24"/>
        </w:rPr>
        <w:t xml:space="preserve">Certain implied terms are not necessarily written in a contract of employment but still form part of the agreement between an employer and employee. </w:t>
      </w:r>
      <w:r w:rsidR="00006C88">
        <w:rPr>
          <w:rFonts w:ascii="Arial" w:hAnsi="Arial" w:cs="Arial"/>
          <w:sz w:val="24"/>
          <w:szCs w:val="24"/>
        </w:rPr>
        <w:t xml:space="preserve">(Rocketlawyer, 2020) outlines </w:t>
      </w:r>
      <w:r>
        <w:rPr>
          <w:rFonts w:ascii="Arial" w:hAnsi="Arial" w:cs="Arial"/>
          <w:sz w:val="24"/>
          <w:szCs w:val="24"/>
        </w:rPr>
        <w:t>some important implied terms</w:t>
      </w:r>
      <w:r w:rsidR="00006C88">
        <w:rPr>
          <w:rFonts w:ascii="Arial" w:hAnsi="Arial" w:cs="Arial"/>
          <w:sz w:val="24"/>
          <w:szCs w:val="24"/>
        </w:rPr>
        <w:t>:</w:t>
      </w:r>
    </w:p>
    <w:p w14:paraId="140E7BC9" w14:textId="60DAA137" w:rsidR="00006C88" w:rsidRDefault="00006C88" w:rsidP="00006C88">
      <w:pPr>
        <w:pStyle w:val="ListParagraph"/>
        <w:numPr>
          <w:ilvl w:val="0"/>
          <w:numId w:val="12"/>
        </w:numPr>
        <w:rPr>
          <w:rFonts w:ascii="Arial" w:hAnsi="Arial" w:cs="Arial"/>
          <w:sz w:val="24"/>
          <w:szCs w:val="24"/>
        </w:rPr>
      </w:pPr>
      <w:r w:rsidRPr="00006C88">
        <w:rPr>
          <w:rFonts w:ascii="Arial" w:hAnsi="Arial" w:cs="Arial"/>
          <w:b/>
          <w:bCs/>
          <w:sz w:val="24"/>
          <w:szCs w:val="24"/>
        </w:rPr>
        <w:t>The duty to maintain mutual trust and confidence</w:t>
      </w:r>
      <w:r>
        <w:rPr>
          <w:rFonts w:ascii="Arial" w:hAnsi="Arial" w:cs="Arial"/>
          <w:sz w:val="24"/>
          <w:szCs w:val="24"/>
        </w:rPr>
        <w:t xml:space="preserve"> – an employer must be conduct themselves in such a way that could destroy or damage their relationship with an employee i.e. enforcing unfair conditions.</w:t>
      </w:r>
    </w:p>
    <w:p w14:paraId="4EE26801" w14:textId="684CDA58" w:rsidR="00006C88" w:rsidRDefault="00006C88" w:rsidP="00006C88">
      <w:pPr>
        <w:pStyle w:val="ListParagraph"/>
        <w:numPr>
          <w:ilvl w:val="0"/>
          <w:numId w:val="12"/>
        </w:numPr>
        <w:rPr>
          <w:rFonts w:ascii="Arial" w:hAnsi="Arial" w:cs="Arial"/>
          <w:sz w:val="24"/>
          <w:szCs w:val="24"/>
        </w:rPr>
      </w:pPr>
      <w:r>
        <w:rPr>
          <w:rFonts w:ascii="Arial" w:hAnsi="Arial" w:cs="Arial"/>
          <w:b/>
          <w:bCs/>
          <w:sz w:val="24"/>
          <w:szCs w:val="24"/>
        </w:rPr>
        <w:t xml:space="preserve">The duty of fidelity </w:t>
      </w:r>
      <w:r>
        <w:rPr>
          <w:rFonts w:ascii="Arial" w:hAnsi="Arial" w:cs="Arial"/>
          <w:sz w:val="24"/>
          <w:szCs w:val="24"/>
        </w:rPr>
        <w:t>– this requires the employee to faithfully serve and must not act against the interests of the employer i.e. misuse of employers confidential databases.</w:t>
      </w:r>
    </w:p>
    <w:p w14:paraId="720E70DF" w14:textId="77777777" w:rsidR="00006C88" w:rsidRDefault="00006C88" w:rsidP="00006C88">
      <w:pPr>
        <w:pStyle w:val="ListParagraph"/>
        <w:numPr>
          <w:ilvl w:val="0"/>
          <w:numId w:val="12"/>
        </w:numPr>
        <w:rPr>
          <w:rFonts w:ascii="Arial" w:hAnsi="Arial" w:cs="Arial"/>
          <w:sz w:val="24"/>
          <w:szCs w:val="24"/>
        </w:rPr>
      </w:pPr>
      <w:r>
        <w:rPr>
          <w:rFonts w:ascii="Arial" w:hAnsi="Arial" w:cs="Arial"/>
          <w:b/>
          <w:bCs/>
          <w:sz w:val="24"/>
          <w:szCs w:val="24"/>
        </w:rPr>
        <w:t xml:space="preserve">The duty of pay </w:t>
      </w:r>
      <w:r>
        <w:rPr>
          <w:rFonts w:ascii="Arial" w:hAnsi="Arial" w:cs="Arial"/>
          <w:sz w:val="24"/>
          <w:szCs w:val="24"/>
        </w:rPr>
        <w:t>– this tends to be outlined in the contract of employment, however, should the contract not specify the pay or the correct pay is not provided, then legislation will indicate that a “worker” is entitled.</w:t>
      </w:r>
    </w:p>
    <w:p w14:paraId="03A188EA" w14:textId="77777777" w:rsidR="00006C88" w:rsidRDefault="00006C88" w:rsidP="00006C88">
      <w:pPr>
        <w:pStyle w:val="ListParagraph"/>
        <w:numPr>
          <w:ilvl w:val="0"/>
          <w:numId w:val="12"/>
        </w:numPr>
        <w:rPr>
          <w:rFonts w:ascii="Arial" w:hAnsi="Arial" w:cs="Arial"/>
          <w:sz w:val="24"/>
          <w:szCs w:val="24"/>
        </w:rPr>
      </w:pPr>
      <w:r>
        <w:rPr>
          <w:rFonts w:ascii="Arial" w:hAnsi="Arial" w:cs="Arial"/>
          <w:b/>
          <w:bCs/>
          <w:sz w:val="24"/>
          <w:szCs w:val="24"/>
        </w:rPr>
        <w:t xml:space="preserve">The duty to take reasonable care for an employee’s health and safety </w:t>
      </w:r>
      <w:r>
        <w:rPr>
          <w:rFonts w:ascii="Arial" w:hAnsi="Arial" w:cs="Arial"/>
          <w:sz w:val="24"/>
          <w:szCs w:val="24"/>
        </w:rPr>
        <w:t>– an employees physical and mental health should be taken care of during employment i.e. providing a safe working environment.</w:t>
      </w:r>
    </w:p>
    <w:p w14:paraId="67615368" w14:textId="60EF5223" w:rsidR="00006C88" w:rsidRPr="00006C88" w:rsidRDefault="00396CD5" w:rsidP="00006C88">
      <w:pPr>
        <w:pStyle w:val="ListParagraph"/>
        <w:numPr>
          <w:ilvl w:val="0"/>
          <w:numId w:val="12"/>
        </w:numPr>
        <w:rPr>
          <w:rFonts w:ascii="Arial" w:hAnsi="Arial" w:cs="Arial"/>
          <w:sz w:val="24"/>
          <w:szCs w:val="24"/>
        </w:rPr>
      </w:pPr>
      <w:r>
        <w:rPr>
          <w:rFonts w:ascii="Arial" w:hAnsi="Arial" w:cs="Arial"/>
          <w:b/>
          <w:bCs/>
          <w:sz w:val="24"/>
          <w:szCs w:val="24"/>
        </w:rPr>
        <w:t xml:space="preserve">The duty to take reasonable care in giving references </w:t>
      </w:r>
      <w:r>
        <w:rPr>
          <w:rFonts w:ascii="Arial" w:hAnsi="Arial" w:cs="Arial"/>
          <w:sz w:val="24"/>
          <w:szCs w:val="24"/>
        </w:rPr>
        <w:t>– an employer should exercise reasonable should they provide a reference. Not doing so could result in breach of this implied term.</w:t>
      </w:r>
      <w:r w:rsidR="00006C88">
        <w:rPr>
          <w:rFonts w:ascii="Arial" w:hAnsi="Arial" w:cs="Arial"/>
          <w:sz w:val="24"/>
          <w:szCs w:val="24"/>
        </w:rPr>
        <w:t xml:space="preserve"> </w:t>
      </w:r>
    </w:p>
    <w:p w14:paraId="0565E330" w14:textId="77777777" w:rsidR="00E15D93" w:rsidRDefault="00E15D93" w:rsidP="002417AE">
      <w:pPr>
        <w:rPr>
          <w:rFonts w:ascii="Arial" w:hAnsi="Arial" w:cs="Arial"/>
          <w:sz w:val="24"/>
          <w:szCs w:val="24"/>
        </w:rPr>
      </w:pPr>
    </w:p>
    <w:p w14:paraId="563C1492" w14:textId="7C125457" w:rsidR="00F8110B" w:rsidRDefault="00F8110B" w:rsidP="002417AE">
      <w:pPr>
        <w:rPr>
          <w:rFonts w:ascii="Arial" w:hAnsi="Arial" w:cs="Arial"/>
          <w:b/>
          <w:bCs/>
          <w:sz w:val="24"/>
          <w:szCs w:val="24"/>
        </w:rPr>
      </w:pPr>
      <w:r w:rsidRPr="00F8110B">
        <w:rPr>
          <w:rFonts w:ascii="Arial" w:hAnsi="Arial" w:cs="Arial"/>
          <w:b/>
          <w:bCs/>
          <w:sz w:val="24"/>
          <w:szCs w:val="24"/>
        </w:rPr>
        <w:t>6. Explain briefly the main requirements of unfair dismissal law in respect of:</w:t>
      </w:r>
      <w:r w:rsidRPr="00F8110B">
        <w:rPr>
          <w:rFonts w:ascii="Arial" w:hAnsi="Arial" w:cs="Arial"/>
          <w:b/>
          <w:bCs/>
          <w:sz w:val="24"/>
          <w:szCs w:val="24"/>
        </w:rPr>
        <w:br/>
        <w:t>(a) capability</w:t>
      </w:r>
    </w:p>
    <w:p w14:paraId="24A6532C" w14:textId="77777777" w:rsidR="00181092" w:rsidRDefault="001E399B" w:rsidP="002417AE">
      <w:pPr>
        <w:rPr>
          <w:rFonts w:ascii="Arial" w:hAnsi="Arial" w:cs="Arial"/>
          <w:sz w:val="24"/>
          <w:szCs w:val="24"/>
        </w:rPr>
      </w:pPr>
      <w:r>
        <w:rPr>
          <w:rFonts w:ascii="Arial" w:hAnsi="Arial" w:cs="Arial"/>
          <w:sz w:val="24"/>
          <w:szCs w:val="24"/>
        </w:rPr>
        <w:t xml:space="preserve">Any unfair dismissal is mainly covered in the Employment Rights Act 1996 </w:t>
      </w:r>
      <w:r w:rsidR="00181092">
        <w:rPr>
          <w:rFonts w:ascii="Arial" w:hAnsi="Arial" w:cs="Arial"/>
          <w:sz w:val="24"/>
          <w:szCs w:val="24"/>
        </w:rPr>
        <w:t>a</w:t>
      </w:r>
      <w:r>
        <w:rPr>
          <w:rFonts w:ascii="Arial" w:hAnsi="Arial" w:cs="Arial"/>
          <w:sz w:val="24"/>
          <w:szCs w:val="24"/>
        </w:rPr>
        <w:t xml:space="preserve">nd any dismissal is a serious matter that should be handled carefully. </w:t>
      </w:r>
    </w:p>
    <w:p w14:paraId="07349A1C" w14:textId="64D1A47A" w:rsidR="00181092" w:rsidRPr="0048078F" w:rsidRDefault="0048078F" w:rsidP="002417AE">
      <w:pPr>
        <w:rPr>
          <w:rFonts w:ascii="Arial" w:hAnsi="Arial" w:cs="Arial"/>
          <w:sz w:val="24"/>
          <w:szCs w:val="24"/>
        </w:rPr>
      </w:pPr>
      <w:r>
        <w:rPr>
          <w:rFonts w:ascii="Arial" w:hAnsi="Arial" w:cs="Arial"/>
          <w:sz w:val="24"/>
          <w:szCs w:val="24"/>
        </w:rPr>
        <w:t>(CIPD, 2017a) refers to s</w:t>
      </w:r>
      <w:r w:rsidR="00181092">
        <w:rPr>
          <w:rFonts w:ascii="Arial" w:hAnsi="Arial" w:cs="Arial"/>
          <w:sz w:val="24"/>
          <w:szCs w:val="24"/>
        </w:rPr>
        <w:t>ection 98 (3)(a) of the Employment Rights Act 1996</w:t>
      </w:r>
      <w:r>
        <w:rPr>
          <w:rFonts w:ascii="Arial" w:hAnsi="Arial" w:cs="Arial"/>
          <w:sz w:val="24"/>
          <w:szCs w:val="24"/>
        </w:rPr>
        <w:t xml:space="preserve"> which</w:t>
      </w:r>
      <w:r w:rsidR="00181092">
        <w:rPr>
          <w:rFonts w:ascii="Arial" w:hAnsi="Arial" w:cs="Arial"/>
          <w:sz w:val="24"/>
          <w:szCs w:val="24"/>
        </w:rPr>
        <w:t xml:space="preserve"> </w:t>
      </w:r>
      <w:r w:rsidR="00181092" w:rsidRPr="0048078F">
        <w:rPr>
          <w:rFonts w:ascii="Arial" w:hAnsi="Arial" w:cs="Arial"/>
          <w:sz w:val="24"/>
          <w:szCs w:val="24"/>
        </w:rPr>
        <w:t>states that:</w:t>
      </w:r>
    </w:p>
    <w:p w14:paraId="155E6D54" w14:textId="6DC92B1D" w:rsidR="00181092" w:rsidRPr="0048078F" w:rsidRDefault="00181092" w:rsidP="0048078F">
      <w:pPr>
        <w:shd w:val="clear" w:color="auto" w:fill="FFFFFF" w:themeFill="background1"/>
        <w:rPr>
          <w:rFonts w:ascii="Arial" w:hAnsi="Arial" w:cs="Arial"/>
          <w:i/>
          <w:iCs/>
          <w:sz w:val="24"/>
          <w:szCs w:val="24"/>
          <w:shd w:val="clear" w:color="auto" w:fill="F7F6F6"/>
        </w:rPr>
      </w:pPr>
      <w:r w:rsidRPr="0048078F">
        <w:rPr>
          <w:rFonts w:ascii="Arial" w:hAnsi="Arial" w:cs="Arial"/>
          <w:sz w:val="24"/>
          <w:szCs w:val="24"/>
        </w:rPr>
        <w:t>“</w:t>
      </w:r>
      <w:r w:rsidRPr="0048078F">
        <w:rPr>
          <w:rFonts w:ascii="Arial" w:hAnsi="Arial" w:cs="Arial"/>
          <w:i/>
          <w:iCs/>
          <w:sz w:val="24"/>
          <w:szCs w:val="24"/>
          <w:shd w:val="clear" w:color="auto" w:fill="F7F6F6"/>
        </w:rPr>
        <w:t>capability in relation to an employee means his capability assessed by reference to his skill, aptitude, health or any other physical or mental quality..”.</w:t>
      </w:r>
    </w:p>
    <w:p w14:paraId="5987E1A2" w14:textId="4E9B263E" w:rsidR="0048078F" w:rsidRPr="0048078F" w:rsidRDefault="0048078F" w:rsidP="0048078F">
      <w:pPr>
        <w:shd w:val="clear" w:color="auto" w:fill="FFFFFF" w:themeFill="background1"/>
        <w:rPr>
          <w:rFonts w:ascii="Arial" w:hAnsi="Arial" w:cs="Arial"/>
          <w:sz w:val="24"/>
          <w:szCs w:val="24"/>
        </w:rPr>
      </w:pPr>
      <w:r w:rsidRPr="0048078F">
        <w:rPr>
          <w:rFonts w:ascii="Arial" w:hAnsi="Arial" w:cs="Arial"/>
          <w:sz w:val="24"/>
          <w:szCs w:val="24"/>
          <w:shd w:val="clear" w:color="auto" w:fill="F7F6F6"/>
        </w:rPr>
        <w:t>The above can fall into three categories which are qualifications, incompetence or poor performance and illness.</w:t>
      </w:r>
      <w:r>
        <w:rPr>
          <w:rFonts w:ascii="Arial" w:hAnsi="Arial" w:cs="Arial"/>
          <w:sz w:val="24"/>
          <w:szCs w:val="24"/>
          <w:shd w:val="clear" w:color="auto" w:fill="F7F6F6"/>
        </w:rPr>
        <w:t xml:space="preserve"> </w:t>
      </w:r>
    </w:p>
    <w:p w14:paraId="663A7827" w14:textId="28520651" w:rsidR="00BA2B4E" w:rsidRDefault="0048078F" w:rsidP="002417AE">
      <w:pPr>
        <w:rPr>
          <w:rFonts w:ascii="Arial" w:hAnsi="Arial" w:cs="Arial"/>
          <w:sz w:val="24"/>
          <w:szCs w:val="24"/>
        </w:rPr>
      </w:pPr>
      <w:r>
        <w:rPr>
          <w:rFonts w:ascii="Arial" w:hAnsi="Arial" w:cs="Arial"/>
          <w:sz w:val="24"/>
          <w:szCs w:val="24"/>
        </w:rPr>
        <w:t>C</w:t>
      </w:r>
      <w:r w:rsidR="001E399B">
        <w:rPr>
          <w:rFonts w:ascii="Arial" w:hAnsi="Arial" w:cs="Arial"/>
          <w:sz w:val="24"/>
          <w:szCs w:val="24"/>
        </w:rPr>
        <w:t>apability issues can relate to matters regarding poor performance and these may be beyond the employees’ control.  Poor performance can stem from ineffective leadership or bad management as well as unreliable working systems/databases. In situations such as these, the employer should put in place appropriate solutions, which can include training and developing</w:t>
      </w:r>
      <w:r w:rsidR="00181092">
        <w:rPr>
          <w:rFonts w:ascii="Arial" w:hAnsi="Arial" w:cs="Arial"/>
          <w:sz w:val="24"/>
          <w:szCs w:val="24"/>
        </w:rPr>
        <w:t xml:space="preserve"> the employee to help improve performance. Without taking such action, the employee could have a claim for unfair dismissal.</w:t>
      </w:r>
    </w:p>
    <w:p w14:paraId="48D46448" w14:textId="12431291" w:rsidR="00181092" w:rsidRPr="00F8110B" w:rsidRDefault="00181092" w:rsidP="002417AE">
      <w:pPr>
        <w:rPr>
          <w:rFonts w:ascii="Arial" w:hAnsi="Arial" w:cs="Arial"/>
          <w:b/>
          <w:bCs/>
          <w:sz w:val="24"/>
          <w:szCs w:val="24"/>
        </w:rPr>
      </w:pPr>
      <w:r>
        <w:rPr>
          <w:rFonts w:ascii="Arial" w:hAnsi="Arial" w:cs="Arial"/>
          <w:sz w:val="24"/>
          <w:szCs w:val="24"/>
        </w:rPr>
        <w:lastRenderedPageBreak/>
        <w:t>The employer should always take into account whether the employee has any underlying health conditions that could contribute to poor performance and offer support and seek to make reasonable adjustments where appropriate.</w:t>
      </w:r>
    </w:p>
    <w:p w14:paraId="1B632363" w14:textId="322C05A4" w:rsidR="00F8110B" w:rsidRDefault="00F8110B" w:rsidP="002417AE">
      <w:pPr>
        <w:rPr>
          <w:rFonts w:ascii="Arial" w:hAnsi="Arial" w:cs="Arial"/>
          <w:b/>
          <w:bCs/>
          <w:sz w:val="24"/>
          <w:szCs w:val="24"/>
        </w:rPr>
      </w:pPr>
      <w:r w:rsidRPr="00F8110B">
        <w:rPr>
          <w:rFonts w:ascii="Arial" w:hAnsi="Arial" w:cs="Arial"/>
          <w:b/>
          <w:bCs/>
          <w:sz w:val="24"/>
          <w:szCs w:val="24"/>
        </w:rPr>
        <w:br/>
        <w:t>(b) misconduct</w:t>
      </w:r>
    </w:p>
    <w:p w14:paraId="2A9FC163" w14:textId="62639616" w:rsidR="003122B4" w:rsidRDefault="0048078F" w:rsidP="002417AE">
      <w:pPr>
        <w:rPr>
          <w:rFonts w:ascii="Arial" w:hAnsi="Arial" w:cs="Arial"/>
          <w:sz w:val="24"/>
          <w:szCs w:val="24"/>
        </w:rPr>
      </w:pPr>
      <w:r>
        <w:rPr>
          <w:rFonts w:ascii="Arial" w:hAnsi="Arial" w:cs="Arial"/>
          <w:sz w:val="24"/>
          <w:szCs w:val="24"/>
        </w:rPr>
        <w:t xml:space="preserve">Misconduct reasons can include persistent lateness or unauthorised absences. </w:t>
      </w:r>
      <w:r w:rsidR="003122B4">
        <w:rPr>
          <w:rFonts w:ascii="Arial" w:hAnsi="Arial" w:cs="Arial"/>
          <w:sz w:val="24"/>
          <w:szCs w:val="24"/>
        </w:rPr>
        <w:t xml:space="preserve">Although there is no specific process to follow by law, the employer must be seen as doing it fairly. As well as misconduct, an employee can be dismissal for serious and gross misconduct.  </w:t>
      </w:r>
    </w:p>
    <w:p w14:paraId="2CD1F084" w14:textId="0456F403" w:rsidR="003122B4" w:rsidRDefault="003122B4" w:rsidP="002417AE">
      <w:pPr>
        <w:rPr>
          <w:rFonts w:ascii="Arial" w:hAnsi="Arial" w:cs="Arial"/>
          <w:sz w:val="24"/>
          <w:szCs w:val="24"/>
        </w:rPr>
      </w:pPr>
      <w:r>
        <w:rPr>
          <w:rFonts w:ascii="Arial" w:hAnsi="Arial" w:cs="Arial"/>
          <w:sz w:val="24"/>
          <w:szCs w:val="24"/>
        </w:rPr>
        <w:t xml:space="preserve">To ensure a fair process, a misconduct issue should involve arranging a meeting with the employee and explain the reason for this meeting. This also allows the employee a chance to explain their reason. A first written warning can be issued outlining the reasons and what is expected for an improvement with given timeframes. The employee should be warned that no improvement could result in a final written warning. </w:t>
      </w:r>
    </w:p>
    <w:p w14:paraId="16DBBFB4" w14:textId="542CAD79" w:rsidR="003122B4" w:rsidRDefault="003122B4" w:rsidP="002417AE">
      <w:pPr>
        <w:rPr>
          <w:rFonts w:ascii="Arial" w:hAnsi="Arial" w:cs="Arial"/>
          <w:sz w:val="24"/>
          <w:szCs w:val="24"/>
        </w:rPr>
      </w:pPr>
      <w:r>
        <w:rPr>
          <w:rFonts w:ascii="Arial" w:hAnsi="Arial" w:cs="Arial"/>
          <w:sz w:val="24"/>
          <w:szCs w:val="24"/>
        </w:rPr>
        <w:t xml:space="preserve">Should the employee not improve following their first meeting, then they should be issued with a final written warning and again, a plan provided for areas of improvement within a given timeframe. </w:t>
      </w:r>
      <w:r w:rsidR="006D60EF">
        <w:rPr>
          <w:rFonts w:ascii="Arial" w:hAnsi="Arial" w:cs="Arial"/>
          <w:sz w:val="24"/>
          <w:szCs w:val="24"/>
        </w:rPr>
        <w:t>Following this should no further improvement been made, the employee must be notified that they could be dismissed following a third meeting – any final decision must be reiterated to the employee.</w:t>
      </w:r>
    </w:p>
    <w:p w14:paraId="59C395D2" w14:textId="28260600" w:rsidR="006D60EF" w:rsidRDefault="006D60EF" w:rsidP="002417AE">
      <w:pPr>
        <w:rPr>
          <w:rFonts w:ascii="Arial" w:hAnsi="Arial" w:cs="Arial"/>
          <w:sz w:val="24"/>
          <w:szCs w:val="24"/>
        </w:rPr>
      </w:pPr>
      <w:r>
        <w:rPr>
          <w:rFonts w:ascii="Arial" w:hAnsi="Arial" w:cs="Arial"/>
          <w:sz w:val="24"/>
          <w:szCs w:val="24"/>
        </w:rPr>
        <w:t>An employee who has committed serious misconduct may be issued with a first and final written warning. Serious misconduct can relate to likely to or has caused serious harm to the organisation. Gross misconduct could include gross negligence, theft, physical violence or serious disobedience. The employee can be dismissed immediately for gross misconduct, although investigating the incident firstly would be deemed as a fair process and minimise a claim for unfair dismissal.</w:t>
      </w:r>
    </w:p>
    <w:p w14:paraId="588A9230" w14:textId="55C10238" w:rsidR="00F8110B" w:rsidRDefault="00F8110B" w:rsidP="002417AE">
      <w:pPr>
        <w:rPr>
          <w:rFonts w:ascii="Arial" w:hAnsi="Arial" w:cs="Arial"/>
          <w:b/>
          <w:bCs/>
          <w:sz w:val="24"/>
          <w:szCs w:val="24"/>
        </w:rPr>
      </w:pPr>
      <w:r w:rsidRPr="00F8110B">
        <w:rPr>
          <w:rFonts w:ascii="Arial" w:hAnsi="Arial" w:cs="Arial"/>
          <w:b/>
          <w:bCs/>
          <w:sz w:val="24"/>
          <w:szCs w:val="24"/>
        </w:rPr>
        <w:t>(c) grievance</w:t>
      </w:r>
    </w:p>
    <w:p w14:paraId="687EFE79" w14:textId="6FDEA45F" w:rsidR="006D60EF" w:rsidRDefault="00533800" w:rsidP="002417AE">
      <w:pPr>
        <w:rPr>
          <w:rFonts w:ascii="Arial" w:hAnsi="Arial" w:cs="Arial"/>
          <w:sz w:val="24"/>
          <w:szCs w:val="24"/>
        </w:rPr>
      </w:pPr>
      <w:r>
        <w:rPr>
          <w:rFonts w:ascii="Arial" w:hAnsi="Arial" w:cs="Arial"/>
          <w:sz w:val="24"/>
          <w:szCs w:val="24"/>
        </w:rPr>
        <w:t>A grievance is “a concern, problem or complaint raised by a member of staff”. A grievance can occur for many different reasons including terms and conditions of employment, discrimination, changes within the organisation or a disagreement with a work colleague/management.</w:t>
      </w:r>
    </w:p>
    <w:p w14:paraId="4B54C626" w14:textId="27ED5832" w:rsidR="00533800" w:rsidRDefault="00533800" w:rsidP="002417AE">
      <w:pPr>
        <w:rPr>
          <w:rFonts w:ascii="Arial" w:hAnsi="Arial" w:cs="Arial"/>
          <w:sz w:val="24"/>
          <w:szCs w:val="24"/>
        </w:rPr>
      </w:pPr>
      <w:r>
        <w:rPr>
          <w:rFonts w:ascii="Arial" w:hAnsi="Arial" w:cs="Arial"/>
          <w:sz w:val="24"/>
          <w:szCs w:val="24"/>
        </w:rPr>
        <w:t>An employer should have a procedure in place in line with the ACAS Code of Practice and these matters should be addressed</w:t>
      </w:r>
      <w:r w:rsidR="00D11ED7">
        <w:rPr>
          <w:rFonts w:ascii="Arial" w:hAnsi="Arial" w:cs="Arial"/>
          <w:sz w:val="24"/>
          <w:szCs w:val="24"/>
        </w:rPr>
        <w:t xml:space="preserve"> on an informal basis </w:t>
      </w:r>
      <w:r>
        <w:rPr>
          <w:rFonts w:ascii="Arial" w:hAnsi="Arial" w:cs="Arial"/>
          <w:sz w:val="24"/>
          <w:szCs w:val="24"/>
        </w:rPr>
        <w:t xml:space="preserve">where possible. </w:t>
      </w:r>
      <w:r w:rsidR="00D11ED7">
        <w:rPr>
          <w:rFonts w:ascii="Arial" w:hAnsi="Arial" w:cs="Arial"/>
          <w:sz w:val="24"/>
          <w:szCs w:val="24"/>
        </w:rPr>
        <w:t>Should this not be resolved, then the formal grievance procedure should apply where the employee should submit any grievance with details in writing, the employer should investigate, on conclusion of an investigation the employee should be invited to attend a meeting to discuss the grievance and any findings and any decision the employee should be informed that they have a right of appeal. Throughout the formal procedure, the employee must be informed of their right to be accompanied at the meeting by a trade union or work colleague. Any flaws identified throughout the procedure could lead to tribunal action later should the employee be dismissed for any reason.</w:t>
      </w:r>
    </w:p>
    <w:p w14:paraId="575D4BA8" w14:textId="77777777" w:rsidR="00D11ED7" w:rsidRPr="00533800" w:rsidRDefault="00D11ED7" w:rsidP="002417AE">
      <w:pPr>
        <w:rPr>
          <w:rFonts w:ascii="Arial" w:hAnsi="Arial" w:cs="Arial"/>
          <w:sz w:val="24"/>
          <w:szCs w:val="24"/>
        </w:rPr>
      </w:pPr>
    </w:p>
    <w:p w14:paraId="27275165" w14:textId="2A6A4E2F" w:rsidR="001C339B" w:rsidRDefault="001C339B" w:rsidP="002417AE">
      <w:pPr>
        <w:rPr>
          <w:rFonts w:ascii="Arial" w:hAnsi="Arial" w:cs="Arial"/>
          <w:sz w:val="24"/>
          <w:szCs w:val="24"/>
        </w:rPr>
      </w:pPr>
    </w:p>
    <w:p w14:paraId="73FD313E" w14:textId="4E889119" w:rsidR="001C339B" w:rsidRPr="001C339B" w:rsidRDefault="001C339B" w:rsidP="002417AE">
      <w:pPr>
        <w:rPr>
          <w:rFonts w:ascii="Arial" w:hAnsi="Arial" w:cs="Arial"/>
          <w:b/>
          <w:bCs/>
          <w:sz w:val="24"/>
          <w:szCs w:val="24"/>
        </w:rPr>
      </w:pPr>
      <w:r w:rsidRPr="001C339B">
        <w:rPr>
          <w:rFonts w:ascii="Arial" w:hAnsi="Arial" w:cs="Arial"/>
          <w:b/>
          <w:bCs/>
          <w:sz w:val="24"/>
          <w:szCs w:val="24"/>
        </w:rPr>
        <w:lastRenderedPageBreak/>
        <w:t>References</w:t>
      </w:r>
    </w:p>
    <w:p w14:paraId="4BA38C0F" w14:textId="7ECB72B5" w:rsidR="00C145AF" w:rsidRDefault="00C145AF" w:rsidP="002417AE">
      <w:pPr>
        <w:rPr>
          <w:rFonts w:cstheme="minorHAnsi"/>
        </w:rPr>
      </w:pPr>
      <w:r>
        <w:rPr>
          <w:rFonts w:cstheme="minorHAnsi"/>
        </w:rPr>
        <w:t xml:space="preserve">ACAS, 2019. </w:t>
      </w:r>
      <w:r w:rsidRPr="00C145AF">
        <w:rPr>
          <w:rFonts w:cstheme="minorHAnsi"/>
          <w:i/>
          <w:iCs/>
        </w:rPr>
        <w:t>Equality and discrimination: understand the basics</w:t>
      </w:r>
      <w:r>
        <w:rPr>
          <w:rFonts w:cstheme="minorHAnsi"/>
        </w:rPr>
        <w:t xml:space="preserve"> (online) Available at: </w:t>
      </w:r>
      <w:hyperlink r:id="rId8" w:history="1">
        <w:r w:rsidRPr="00A5316A">
          <w:rPr>
            <w:rStyle w:val="Hyperlink"/>
            <w:rFonts w:cstheme="minorHAnsi"/>
          </w:rPr>
          <w:t>https://archive.acas.org.uk/media/4267/Equality-and-discrimination-understand-the-basics/pdf/Equality_and_discrimination_understand_the_basics_-_July_2019.pdf</w:t>
        </w:r>
      </w:hyperlink>
      <w:r>
        <w:rPr>
          <w:rFonts w:cstheme="minorHAnsi"/>
        </w:rPr>
        <w:t xml:space="preserve"> (Accessed 15 April 2020)</w:t>
      </w:r>
    </w:p>
    <w:p w14:paraId="5DFC94D2" w14:textId="28B7BB63" w:rsidR="00094779" w:rsidRDefault="00094779" w:rsidP="002417AE">
      <w:pPr>
        <w:rPr>
          <w:rFonts w:cstheme="minorHAnsi"/>
        </w:rPr>
      </w:pPr>
      <w:r>
        <w:rPr>
          <w:rFonts w:cstheme="minorHAnsi"/>
        </w:rPr>
        <w:t>ACAS, 2020</w:t>
      </w:r>
      <w:r w:rsidR="00FB50EC">
        <w:rPr>
          <w:rFonts w:cstheme="minorHAnsi"/>
        </w:rPr>
        <w:t>a</w:t>
      </w:r>
      <w:r>
        <w:rPr>
          <w:rFonts w:cstheme="minorHAnsi"/>
        </w:rPr>
        <w:t xml:space="preserve">. </w:t>
      </w:r>
      <w:r w:rsidRPr="00094779">
        <w:rPr>
          <w:rFonts w:cstheme="minorHAnsi"/>
          <w:i/>
          <w:iCs/>
        </w:rPr>
        <w:t>Your rights during redundancy</w:t>
      </w:r>
      <w:r>
        <w:rPr>
          <w:rFonts w:cstheme="minorHAnsi"/>
        </w:rPr>
        <w:t xml:space="preserve"> (online) Available at: </w:t>
      </w:r>
      <w:hyperlink r:id="rId9" w:history="1">
        <w:r w:rsidRPr="00B379AC">
          <w:rPr>
            <w:rStyle w:val="Hyperlink"/>
            <w:rFonts w:cstheme="minorHAnsi"/>
          </w:rPr>
          <w:t>https://www.acas.org.uk/your-rights-during-redundancy</w:t>
        </w:r>
      </w:hyperlink>
      <w:r>
        <w:rPr>
          <w:rFonts w:cstheme="minorHAnsi"/>
        </w:rPr>
        <w:t xml:space="preserve"> (Accessed 17 April 2020) </w:t>
      </w:r>
    </w:p>
    <w:p w14:paraId="2B9C9C42" w14:textId="1AB022A4" w:rsidR="00E36EDC" w:rsidRDefault="00E36EDC" w:rsidP="002417AE">
      <w:pPr>
        <w:rPr>
          <w:rFonts w:cstheme="minorHAnsi"/>
        </w:rPr>
      </w:pPr>
      <w:r>
        <w:rPr>
          <w:rFonts w:cstheme="minorHAnsi"/>
        </w:rPr>
        <w:t xml:space="preserve">ACAS, 2020b. </w:t>
      </w:r>
      <w:r w:rsidRPr="00E36EDC">
        <w:rPr>
          <w:rFonts w:cstheme="minorHAnsi"/>
          <w:i/>
          <w:iCs/>
        </w:rPr>
        <w:t>Pay and wages</w:t>
      </w:r>
      <w:r>
        <w:rPr>
          <w:rFonts w:cstheme="minorHAnsi"/>
        </w:rPr>
        <w:t xml:space="preserve"> (online) Available at: </w:t>
      </w:r>
      <w:hyperlink r:id="rId10" w:history="1">
        <w:r w:rsidRPr="00B379AC">
          <w:rPr>
            <w:rStyle w:val="Hyperlink"/>
            <w:rFonts w:cstheme="minorHAnsi"/>
          </w:rPr>
          <w:t>https://www.acas.org.uk/pay-and-wages</w:t>
        </w:r>
      </w:hyperlink>
      <w:r>
        <w:rPr>
          <w:rFonts w:cstheme="minorHAnsi"/>
        </w:rPr>
        <w:t xml:space="preserve"> (Accessed 17 April 2020)</w:t>
      </w:r>
    </w:p>
    <w:p w14:paraId="722D9B5B" w14:textId="70B6AB17" w:rsidR="00AE6A04" w:rsidRDefault="00AE6A04" w:rsidP="002417AE">
      <w:pPr>
        <w:rPr>
          <w:rFonts w:cstheme="minorHAnsi"/>
        </w:rPr>
      </w:pPr>
      <w:r>
        <w:rPr>
          <w:rFonts w:cstheme="minorHAnsi"/>
        </w:rPr>
        <w:t xml:space="preserve">ACAS, 2020c. </w:t>
      </w:r>
      <w:r w:rsidR="00FE321F" w:rsidRPr="00FE321F">
        <w:rPr>
          <w:rFonts w:cstheme="minorHAnsi"/>
          <w:i/>
          <w:iCs/>
        </w:rPr>
        <w:t>Your maternity leave, pay and other rights</w:t>
      </w:r>
      <w:r w:rsidR="00FE321F">
        <w:rPr>
          <w:rFonts w:cstheme="minorHAnsi"/>
        </w:rPr>
        <w:t xml:space="preserve"> (online) Available at: </w:t>
      </w:r>
      <w:hyperlink r:id="rId11" w:history="1">
        <w:r w:rsidR="00FE321F" w:rsidRPr="00EF2E87">
          <w:rPr>
            <w:rStyle w:val="Hyperlink"/>
            <w:rFonts w:cstheme="minorHAnsi"/>
          </w:rPr>
          <w:t>https://www.acas.org.uk/your-maternity-leave-pay-and-other-rights</w:t>
        </w:r>
      </w:hyperlink>
      <w:r w:rsidR="00FE321F">
        <w:rPr>
          <w:rFonts w:cstheme="minorHAnsi"/>
        </w:rPr>
        <w:t xml:space="preserve"> (Accessed 18 April 2020)</w:t>
      </w:r>
    </w:p>
    <w:p w14:paraId="299F9531" w14:textId="3116F67C" w:rsidR="00757FF8" w:rsidRDefault="00757FF8" w:rsidP="002417AE">
      <w:pPr>
        <w:rPr>
          <w:rFonts w:cstheme="minorHAnsi"/>
        </w:rPr>
      </w:pPr>
      <w:r>
        <w:rPr>
          <w:rFonts w:cstheme="minorHAnsi"/>
        </w:rPr>
        <w:t xml:space="preserve">CIPD, 2017. </w:t>
      </w:r>
      <w:r w:rsidRPr="00977718">
        <w:rPr>
          <w:rFonts w:cstheme="minorHAnsi"/>
          <w:i/>
          <w:iCs/>
        </w:rPr>
        <w:t>Recruitment and Selection FAQs</w:t>
      </w:r>
      <w:r>
        <w:rPr>
          <w:rFonts w:cstheme="minorHAnsi"/>
        </w:rPr>
        <w:t xml:space="preserve"> (online) Available at: </w:t>
      </w:r>
      <w:hyperlink r:id="rId12" w:history="1">
        <w:r w:rsidR="00977718" w:rsidRPr="002517B4">
          <w:rPr>
            <w:rStyle w:val="Hyperlink"/>
            <w:rFonts w:cstheme="minorHAnsi"/>
          </w:rPr>
          <w:t>https://www.cipd.co.uk/knowledge/fundamentals/emp-law/recruitment/questions</w:t>
        </w:r>
      </w:hyperlink>
      <w:r w:rsidR="00977718">
        <w:rPr>
          <w:rFonts w:cstheme="minorHAnsi"/>
        </w:rPr>
        <w:t xml:space="preserve"> (Accessed 15 April 2020)</w:t>
      </w:r>
    </w:p>
    <w:p w14:paraId="58FAC458" w14:textId="2ECC0B13" w:rsidR="0048078F" w:rsidRDefault="0048078F" w:rsidP="002417AE">
      <w:pPr>
        <w:rPr>
          <w:rFonts w:cstheme="minorHAnsi"/>
        </w:rPr>
      </w:pPr>
      <w:r>
        <w:rPr>
          <w:rFonts w:cstheme="minorHAnsi"/>
        </w:rPr>
        <w:t xml:space="preserve">CIPD 2017a. </w:t>
      </w:r>
      <w:r w:rsidRPr="0048078F">
        <w:rPr>
          <w:rFonts w:cstheme="minorHAnsi"/>
          <w:i/>
          <w:iCs/>
        </w:rPr>
        <w:t>Unfair dismissal FAQs</w:t>
      </w:r>
      <w:r>
        <w:rPr>
          <w:rFonts w:cstheme="minorHAnsi"/>
        </w:rPr>
        <w:t xml:space="preserve"> (Online) Available at: </w:t>
      </w:r>
    </w:p>
    <w:p w14:paraId="3F8954D3" w14:textId="35455E08" w:rsidR="0081151E" w:rsidRDefault="0081151E" w:rsidP="002417AE">
      <w:pPr>
        <w:rPr>
          <w:rFonts w:cstheme="minorHAnsi"/>
        </w:rPr>
      </w:pPr>
      <w:r>
        <w:rPr>
          <w:rFonts w:cstheme="minorHAnsi"/>
        </w:rPr>
        <w:t>CIPD, 20</w:t>
      </w:r>
      <w:r w:rsidR="00F31C93">
        <w:rPr>
          <w:rFonts w:cstheme="minorHAnsi"/>
        </w:rPr>
        <w:t>1</w:t>
      </w:r>
      <w:r>
        <w:rPr>
          <w:rFonts w:cstheme="minorHAnsi"/>
        </w:rPr>
        <w:t>9</w:t>
      </w:r>
      <w:r w:rsidR="00F31C93">
        <w:rPr>
          <w:rFonts w:cstheme="minorHAnsi"/>
        </w:rPr>
        <w:t>a</w:t>
      </w:r>
      <w:r>
        <w:rPr>
          <w:rFonts w:cstheme="minorHAnsi"/>
        </w:rPr>
        <w:t xml:space="preserve">. </w:t>
      </w:r>
      <w:r w:rsidRPr="0081151E">
        <w:rPr>
          <w:rFonts w:cstheme="minorHAnsi"/>
          <w:i/>
          <w:iCs/>
        </w:rPr>
        <w:t>Transfer of Undertakings (TUPE) Q&amp;As</w:t>
      </w:r>
      <w:r>
        <w:rPr>
          <w:rFonts w:cstheme="minorHAnsi"/>
        </w:rPr>
        <w:t xml:space="preserve"> (online) Available at: </w:t>
      </w:r>
      <w:hyperlink r:id="rId13" w:history="1">
        <w:r w:rsidRPr="001F227B">
          <w:rPr>
            <w:rStyle w:val="Hyperlink"/>
            <w:rFonts w:cstheme="minorHAnsi"/>
          </w:rPr>
          <w:t>https://www.cipd.co.uk/knowledge/fundamentals/emp-law/tupe/questions</w:t>
        </w:r>
      </w:hyperlink>
      <w:r>
        <w:rPr>
          <w:rFonts w:cstheme="minorHAnsi"/>
        </w:rPr>
        <w:t xml:space="preserve"> (Accessed 16 April 2020)</w:t>
      </w:r>
    </w:p>
    <w:p w14:paraId="4135313F" w14:textId="4D2A7E53" w:rsidR="00F31C93" w:rsidRDefault="00F31C93" w:rsidP="002417AE">
      <w:pPr>
        <w:rPr>
          <w:rFonts w:cstheme="minorHAnsi"/>
        </w:rPr>
      </w:pPr>
      <w:r>
        <w:rPr>
          <w:rFonts w:cstheme="minorHAnsi"/>
        </w:rPr>
        <w:t xml:space="preserve">CIPD, 2019b. </w:t>
      </w:r>
      <w:r w:rsidRPr="00F31C93">
        <w:rPr>
          <w:rFonts w:cstheme="minorHAnsi"/>
          <w:i/>
          <w:iCs/>
        </w:rPr>
        <w:t>Redundancy Q&amp;As</w:t>
      </w:r>
      <w:r>
        <w:rPr>
          <w:rFonts w:cstheme="minorHAnsi"/>
        </w:rPr>
        <w:t xml:space="preserve"> (online) Available at: </w:t>
      </w:r>
      <w:hyperlink r:id="rId14" w:history="1">
        <w:r w:rsidRPr="007B3C2D">
          <w:rPr>
            <w:rStyle w:val="Hyperlink"/>
            <w:rFonts w:cstheme="minorHAnsi"/>
          </w:rPr>
          <w:t>https://www.cipd.co.uk/knowledge/fundamentals/emp-law/redundancy/questions</w:t>
        </w:r>
      </w:hyperlink>
      <w:r>
        <w:rPr>
          <w:rFonts w:cstheme="minorHAnsi"/>
        </w:rPr>
        <w:t xml:space="preserve"> (Accessed 16 April 2020)</w:t>
      </w:r>
    </w:p>
    <w:p w14:paraId="723D190E" w14:textId="0CB230E9" w:rsidR="00366A07" w:rsidRDefault="00366A07" w:rsidP="002417AE">
      <w:pPr>
        <w:rPr>
          <w:rFonts w:cstheme="minorHAnsi"/>
        </w:rPr>
      </w:pPr>
      <w:r>
        <w:rPr>
          <w:rFonts w:cstheme="minorHAnsi"/>
        </w:rPr>
        <w:t xml:space="preserve">CIPD, 2019c. Health and safety at work (online) Available at: </w:t>
      </w:r>
      <w:hyperlink r:id="rId15" w:history="1">
        <w:r w:rsidRPr="00710400">
          <w:rPr>
            <w:rStyle w:val="Hyperlink"/>
            <w:rFonts w:cstheme="minorHAnsi"/>
          </w:rPr>
          <w:t>https://www.cipd.co.uk/knowledge/fundamentals/emp-law/health-safety/factsheet</w:t>
        </w:r>
      </w:hyperlink>
      <w:r>
        <w:rPr>
          <w:rFonts w:cstheme="minorHAnsi"/>
        </w:rPr>
        <w:t xml:space="preserve"> (Accessed 26 April 2020)</w:t>
      </w:r>
    </w:p>
    <w:p w14:paraId="68333C67" w14:textId="7B6DD4CA" w:rsidR="001C339B" w:rsidRDefault="001C339B" w:rsidP="002417AE">
      <w:pPr>
        <w:rPr>
          <w:rFonts w:cstheme="minorHAnsi"/>
        </w:rPr>
      </w:pPr>
      <w:r w:rsidRPr="00E877FE">
        <w:rPr>
          <w:rFonts w:cstheme="minorHAnsi"/>
        </w:rPr>
        <w:t>CIPD</w:t>
      </w:r>
      <w:r w:rsidR="005D3326">
        <w:rPr>
          <w:rFonts w:cstheme="minorHAnsi"/>
        </w:rPr>
        <w:t>,</w:t>
      </w:r>
      <w:r w:rsidRPr="00E877FE">
        <w:rPr>
          <w:rFonts w:cstheme="minorHAnsi"/>
        </w:rPr>
        <w:t xml:space="preserve"> 2020</w:t>
      </w:r>
      <w:r w:rsidR="0095503C">
        <w:rPr>
          <w:rFonts w:cstheme="minorHAnsi"/>
        </w:rPr>
        <w:t>a</w:t>
      </w:r>
      <w:r w:rsidR="005D3326">
        <w:rPr>
          <w:rFonts w:cstheme="minorHAnsi"/>
        </w:rPr>
        <w:t>.</w:t>
      </w:r>
      <w:r w:rsidRPr="00E877FE">
        <w:rPr>
          <w:rFonts w:cstheme="minorHAnsi"/>
        </w:rPr>
        <w:t xml:space="preserve"> </w:t>
      </w:r>
      <w:r w:rsidRPr="00E877FE">
        <w:rPr>
          <w:rFonts w:cstheme="minorHAnsi"/>
          <w:i/>
          <w:iCs/>
        </w:rPr>
        <w:t>Employment law</w:t>
      </w:r>
      <w:r w:rsidRPr="00E877FE">
        <w:rPr>
          <w:rFonts w:cstheme="minorHAnsi"/>
        </w:rPr>
        <w:t xml:space="preserve"> (online) Available at: </w:t>
      </w:r>
      <w:hyperlink r:id="rId16" w:history="1">
        <w:r w:rsidRPr="00E877FE">
          <w:rPr>
            <w:rStyle w:val="Hyperlink"/>
            <w:rFonts w:cstheme="minorHAnsi"/>
          </w:rPr>
          <w:t>https://www.cipd.co.uk/knowledge/fundamentals/emp-law</w:t>
        </w:r>
      </w:hyperlink>
      <w:r w:rsidRPr="00E877FE">
        <w:rPr>
          <w:rFonts w:cstheme="minorHAnsi"/>
        </w:rPr>
        <w:t xml:space="preserve"> (Accessed 14 April 2020)</w:t>
      </w:r>
      <w:r w:rsidR="0060552D" w:rsidRPr="00E877FE">
        <w:rPr>
          <w:rFonts w:cstheme="minorHAnsi"/>
        </w:rPr>
        <w:t>.</w:t>
      </w:r>
    </w:p>
    <w:p w14:paraId="482419B8" w14:textId="1B7AED51" w:rsidR="0095503C" w:rsidRDefault="0095503C" w:rsidP="002417AE">
      <w:pPr>
        <w:rPr>
          <w:rFonts w:cstheme="minorHAnsi"/>
        </w:rPr>
      </w:pPr>
      <w:r>
        <w:rPr>
          <w:rFonts w:cstheme="minorHAnsi"/>
        </w:rPr>
        <w:t>CIPD</w:t>
      </w:r>
      <w:r w:rsidR="005D3326">
        <w:rPr>
          <w:rFonts w:cstheme="minorHAnsi"/>
        </w:rPr>
        <w:t>,</w:t>
      </w:r>
      <w:r>
        <w:rPr>
          <w:rFonts w:cstheme="minorHAnsi"/>
        </w:rPr>
        <w:t xml:space="preserve"> 2020</w:t>
      </w:r>
      <w:r w:rsidR="005D3326">
        <w:rPr>
          <w:rFonts w:cstheme="minorHAnsi"/>
        </w:rPr>
        <w:t>b.</w:t>
      </w:r>
      <w:r w:rsidRPr="0095503C">
        <w:rPr>
          <w:rFonts w:cstheme="minorHAnsi"/>
          <w:i/>
          <w:iCs/>
        </w:rPr>
        <w:t xml:space="preserve"> </w:t>
      </w:r>
      <w:r w:rsidR="005D3326">
        <w:rPr>
          <w:rFonts w:cstheme="minorHAnsi"/>
          <w:i/>
          <w:iCs/>
        </w:rPr>
        <w:t>T</w:t>
      </w:r>
      <w:r w:rsidRPr="0095503C">
        <w:rPr>
          <w:rFonts w:cstheme="minorHAnsi"/>
          <w:i/>
          <w:iCs/>
        </w:rPr>
        <w:t>he role of employment tribunals</w:t>
      </w:r>
      <w:r>
        <w:rPr>
          <w:rFonts w:cstheme="minorHAnsi"/>
        </w:rPr>
        <w:t xml:space="preserve"> (online) Available at: </w:t>
      </w:r>
      <w:hyperlink r:id="rId17" w:history="1">
        <w:r w:rsidRPr="009F1EDD">
          <w:rPr>
            <w:rStyle w:val="Hyperlink"/>
            <w:rFonts w:cstheme="minorHAnsi"/>
          </w:rPr>
          <w:t>https://www.cipd.co.uk/knowledge/fundamentals/emp-law/tribunals/factsheet</w:t>
        </w:r>
      </w:hyperlink>
      <w:r>
        <w:rPr>
          <w:rFonts w:cstheme="minorHAnsi"/>
        </w:rPr>
        <w:t xml:space="preserve"> (Accessed 14 April 2020)</w:t>
      </w:r>
    </w:p>
    <w:p w14:paraId="55EEF6F2" w14:textId="73D73BA3" w:rsidR="00C35FCA" w:rsidRDefault="00C35FCA" w:rsidP="002417AE">
      <w:pPr>
        <w:rPr>
          <w:rFonts w:cstheme="minorHAnsi"/>
        </w:rPr>
      </w:pPr>
      <w:r>
        <w:rPr>
          <w:rFonts w:cstheme="minorHAnsi"/>
        </w:rPr>
        <w:t xml:space="preserve">CIPD, 2020c. </w:t>
      </w:r>
      <w:r w:rsidRPr="00C35FCA">
        <w:rPr>
          <w:rFonts w:cstheme="minorHAnsi"/>
          <w:i/>
          <w:iCs/>
        </w:rPr>
        <w:t>Contracts of employment</w:t>
      </w:r>
      <w:r>
        <w:rPr>
          <w:rFonts w:cstheme="minorHAnsi"/>
        </w:rPr>
        <w:t xml:space="preserve"> (online) Available at: </w:t>
      </w:r>
      <w:hyperlink r:id="rId18" w:history="1">
        <w:r w:rsidRPr="009914B4">
          <w:rPr>
            <w:rStyle w:val="Hyperlink"/>
            <w:rFonts w:cstheme="minorHAnsi"/>
          </w:rPr>
          <w:t>https://www.cipd.co.uk/knowledge/fundamentals/emp-law/terms-conditions/contracts-factsheet</w:t>
        </w:r>
      </w:hyperlink>
      <w:r>
        <w:rPr>
          <w:rFonts w:cstheme="minorHAnsi"/>
        </w:rPr>
        <w:t xml:space="preserve"> (Accessed 15 April 2020)</w:t>
      </w:r>
    </w:p>
    <w:p w14:paraId="13B6BD4F" w14:textId="2ACE77A2" w:rsidR="00FB50EC" w:rsidRDefault="00FB50EC" w:rsidP="002417AE">
      <w:pPr>
        <w:rPr>
          <w:rFonts w:cstheme="minorHAnsi"/>
        </w:rPr>
      </w:pPr>
      <w:r>
        <w:rPr>
          <w:rFonts w:cstheme="minorHAnsi"/>
        </w:rPr>
        <w:t xml:space="preserve">CIPD, 2020d. </w:t>
      </w:r>
      <w:r w:rsidRPr="00FB50EC">
        <w:rPr>
          <w:rFonts w:cstheme="minorHAnsi"/>
          <w:i/>
          <w:iCs/>
        </w:rPr>
        <w:t>Working hours and time off work</w:t>
      </w:r>
      <w:r>
        <w:rPr>
          <w:rFonts w:cstheme="minorHAnsi"/>
        </w:rPr>
        <w:t xml:space="preserve"> (online) Available at: </w:t>
      </w:r>
      <w:hyperlink r:id="rId19" w:history="1">
        <w:r w:rsidRPr="00B379AC">
          <w:rPr>
            <w:rStyle w:val="Hyperlink"/>
            <w:rFonts w:cstheme="minorHAnsi"/>
          </w:rPr>
          <w:t>https://www.cipd.co.uk/knowledge/fundamentals/emp-law/working-time/factsheet</w:t>
        </w:r>
      </w:hyperlink>
      <w:r>
        <w:rPr>
          <w:rFonts w:cstheme="minorHAnsi"/>
        </w:rPr>
        <w:t xml:space="preserve"> (Accessed 17 April 2020)</w:t>
      </w:r>
    </w:p>
    <w:p w14:paraId="4DD05971" w14:textId="40F393F7" w:rsidR="00FE321F" w:rsidRPr="00FB50EC" w:rsidRDefault="00FE321F" w:rsidP="002417AE">
      <w:pPr>
        <w:rPr>
          <w:rFonts w:cstheme="minorHAnsi"/>
          <w:b/>
          <w:bCs/>
        </w:rPr>
      </w:pPr>
      <w:r>
        <w:rPr>
          <w:rFonts w:cstheme="minorHAnsi"/>
        </w:rPr>
        <w:t>CIPD, 2020e.</w:t>
      </w:r>
      <w:r w:rsidR="0086115C">
        <w:rPr>
          <w:rFonts w:cstheme="minorHAnsi"/>
        </w:rPr>
        <w:t xml:space="preserve"> </w:t>
      </w:r>
      <w:r w:rsidR="0086115C" w:rsidRPr="0086115C">
        <w:rPr>
          <w:rFonts w:cstheme="minorHAnsi"/>
          <w:i/>
          <w:iCs/>
        </w:rPr>
        <w:t>Maternity, paternity and adoption rights</w:t>
      </w:r>
      <w:r w:rsidR="0086115C">
        <w:rPr>
          <w:rFonts w:cstheme="minorHAnsi"/>
        </w:rPr>
        <w:t xml:space="preserve"> (online) Available at: </w:t>
      </w:r>
      <w:hyperlink r:id="rId20" w:anchor="6272" w:history="1">
        <w:r w:rsidR="0086115C" w:rsidRPr="00EF2E87">
          <w:rPr>
            <w:rStyle w:val="Hyperlink"/>
            <w:rFonts w:cstheme="minorHAnsi"/>
          </w:rPr>
          <w:t>https://www.cipd.co.uk/knowledge/fundamentals/emp-law/maternity-paternity-rights/factsheet#6272</w:t>
        </w:r>
      </w:hyperlink>
      <w:r w:rsidR="0086115C">
        <w:rPr>
          <w:rFonts w:cstheme="minorHAnsi"/>
        </w:rPr>
        <w:t xml:space="preserve"> (Accessed 18 April 2020)</w:t>
      </w:r>
      <w:r>
        <w:rPr>
          <w:rFonts w:cstheme="minorHAnsi"/>
        </w:rPr>
        <w:t xml:space="preserve"> </w:t>
      </w:r>
    </w:p>
    <w:p w14:paraId="6B99B61E" w14:textId="7D164A0E" w:rsidR="003622DB" w:rsidRDefault="003622DB" w:rsidP="002417AE">
      <w:pPr>
        <w:rPr>
          <w:rFonts w:cstheme="minorHAnsi"/>
        </w:rPr>
      </w:pPr>
      <w:r>
        <w:rPr>
          <w:rFonts w:cstheme="minorHAnsi"/>
        </w:rPr>
        <w:t xml:space="preserve">Daniels, K., 2019. </w:t>
      </w:r>
      <w:r w:rsidR="005D3326">
        <w:rPr>
          <w:rFonts w:cstheme="minorHAnsi"/>
        </w:rPr>
        <w:t xml:space="preserve">Introduction to employment law. </w:t>
      </w:r>
      <w:r w:rsidR="005D3326" w:rsidRPr="005D3326">
        <w:rPr>
          <w:rFonts w:cstheme="minorHAnsi"/>
          <w:i/>
          <w:iCs/>
        </w:rPr>
        <w:t>The employment tribunals and the employment appeals tribunal.</w:t>
      </w:r>
      <w:r w:rsidR="005D3326">
        <w:rPr>
          <w:rFonts w:cstheme="minorHAnsi"/>
        </w:rPr>
        <w:t xml:space="preserve"> 5</w:t>
      </w:r>
      <w:r w:rsidR="005D3326" w:rsidRPr="005D3326">
        <w:rPr>
          <w:rFonts w:cstheme="minorHAnsi"/>
          <w:vertAlign w:val="superscript"/>
        </w:rPr>
        <w:t>th</w:t>
      </w:r>
      <w:r w:rsidR="005D3326">
        <w:rPr>
          <w:rFonts w:cstheme="minorHAnsi"/>
        </w:rPr>
        <w:t xml:space="preserve"> ed. London: Kogan page.</w:t>
      </w:r>
    </w:p>
    <w:p w14:paraId="5B23E81B" w14:textId="1286DAA7" w:rsidR="00F8110B" w:rsidRPr="00F8110B" w:rsidRDefault="00F8110B" w:rsidP="002417AE">
      <w:pPr>
        <w:rPr>
          <w:rFonts w:cstheme="minorHAnsi"/>
        </w:rPr>
      </w:pPr>
      <w:r w:rsidRPr="00F8110B">
        <w:rPr>
          <w:rFonts w:cstheme="minorHAnsi"/>
        </w:rPr>
        <w:lastRenderedPageBreak/>
        <w:t xml:space="preserve">DeltaNet, 2018. </w:t>
      </w:r>
      <w:r w:rsidRPr="00F8110B">
        <w:rPr>
          <w:rFonts w:cstheme="minorHAnsi"/>
          <w:i/>
          <w:iCs/>
          <w:shd w:val="clear" w:color="auto" w:fill="FFFFFF"/>
        </w:rPr>
        <w:t>What is the UK Legislation Around Equality and Diversity?</w:t>
      </w:r>
      <w:r w:rsidRPr="00F8110B">
        <w:rPr>
          <w:rFonts w:cstheme="minorHAnsi"/>
          <w:shd w:val="clear" w:color="auto" w:fill="FFFFFF"/>
        </w:rPr>
        <w:t xml:space="preserve"> (online) Available at: </w:t>
      </w:r>
      <w:hyperlink r:id="rId21" w:history="1">
        <w:r w:rsidRPr="00F8110B">
          <w:rPr>
            <w:rStyle w:val="Hyperlink"/>
            <w:rFonts w:cstheme="minorHAnsi"/>
            <w:color w:val="2E74B5" w:themeColor="accent5" w:themeShade="BF"/>
            <w:shd w:val="clear" w:color="auto" w:fill="FFFFFF"/>
          </w:rPr>
          <w:t>https://www.delta-net.com/compliance/equality-and-diversity/faqs/what-is-the-uk-legislation-around-equality-and-diversity</w:t>
        </w:r>
      </w:hyperlink>
      <w:r w:rsidRPr="00F8110B">
        <w:rPr>
          <w:rFonts w:cstheme="minorHAnsi"/>
          <w:shd w:val="clear" w:color="auto" w:fill="FFFFFF"/>
        </w:rPr>
        <w:t xml:space="preserve"> (Accessed 27 April 2020)</w:t>
      </w:r>
    </w:p>
    <w:p w14:paraId="69CAB85F" w14:textId="179E2A0B" w:rsidR="0060552D" w:rsidRPr="00E877FE" w:rsidRDefault="0060552D" w:rsidP="002417AE">
      <w:pPr>
        <w:rPr>
          <w:rFonts w:cstheme="minorHAnsi"/>
        </w:rPr>
      </w:pPr>
      <w:r w:rsidRPr="00E877FE">
        <w:rPr>
          <w:rFonts w:cstheme="minorHAnsi"/>
        </w:rPr>
        <w:t>EOC</w:t>
      </w:r>
      <w:r w:rsidR="005D3326">
        <w:rPr>
          <w:rFonts w:cstheme="minorHAnsi"/>
        </w:rPr>
        <w:t>,</w:t>
      </w:r>
      <w:r w:rsidR="00E877FE" w:rsidRPr="00E877FE">
        <w:rPr>
          <w:rFonts w:cstheme="minorHAnsi"/>
        </w:rPr>
        <w:t xml:space="preserve"> </w:t>
      </w:r>
      <w:r w:rsidRPr="00E877FE">
        <w:rPr>
          <w:rFonts w:cstheme="minorHAnsi"/>
        </w:rPr>
        <w:t>2020</w:t>
      </w:r>
      <w:r w:rsidR="005D3326">
        <w:rPr>
          <w:rFonts w:cstheme="minorHAnsi"/>
        </w:rPr>
        <w:t>.</w:t>
      </w:r>
      <w:r w:rsidRPr="00E877FE">
        <w:rPr>
          <w:rFonts w:cstheme="minorHAnsi"/>
        </w:rPr>
        <w:t xml:space="preserve"> </w:t>
      </w:r>
      <w:r w:rsidRPr="00E877FE">
        <w:rPr>
          <w:rFonts w:cstheme="minorHAnsi"/>
          <w:i/>
          <w:iCs/>
        </w:rPr>
        <w:t>what does Equal Opportunities mean?</w:t>
      </w:r>
      <w:r w:rsidRPr="00E877FE">
        <w:rPr>
          <w:rFonts w:cstheme="minorHAnsi"/>
        </w:rPr>
        <w:t xml:space="preserve"> (online) Available at: </w:t>
      </w:r>
      <w:hyperlink r:id="rId22" w:history="1">
        <w:r w:rsidRPr="00E877FE">
          <w:rPr>
            <w:rStyle w:val="Hyperlink"/>
            <w:rFonts w:cstheme="minorHAnsi"/>
          </w:rPr>
          <w:t>https://www.eoc.org.uk</w:t>
        </w:r>
      </w:hyperlink>
      <w:r w:rsidRPr="00E877FE">
        <w:rPr>
          <w:rFonts w:cstheme="minorHAnsi"/>
        </w:rPr>
        <w:t xml:space="preserve"> (Accessed on 14 April 2020)</w:t>
      </w:r>
    </w:p>
    <w:p w14:paraId="06B05BFF" w14:textId="23FE9752" w:rsidR="00E877FE" w:rsidRDefault="00E877FE" w:rsidP="002417AE">
      <w:pPr>
        <w:rPr>
          <w:rFonts w:cstheme="minorHAnsi"/>
        </w:rPr>
      </w:pPr>
      <w:r w:rsidRPr="00E877FE">
        <w:rPr>
          <w:rFonts w:cstheme="minorHAnsi"/>
        </w:rPr>
        <w:t>GOV.UK</w:t>
      </w:r>
      <w:r w:rsidR="005D3326">
        <w:rPr>
          <w:rFonts w:cstheme="minorHAnsi"/>
        </w:rPr>
        <w:t>,</w:t>
      </w:r>
      <w:r w:rsidRPr="00E877FE">
        <w:rPr>
          <w:rFonts w:cstheme="minorHAnsi"/>
        </w:rPr>
        <w:t xml:space="preserve"> 2020</w:t>
      </w:r>
      <w:r w:rsidR="00440895">
        <w:rPr>
          <w:rFonts w:cstheme="minorHAnsi"/>
        </w:rPr>
        <w:t>a</w:t>
      </w:r>
      <w:r w:rsidR="005D3326">
        <w:rPr>
          <w:rFonts w:cstheme="minorHAnsi"/>
        </w:rPr>
        <w:t>.</w:t>
      </w:r>
      <w:r w:rsidRPr="00E877FE">
        <w:rPr>
          <w:rFonts w:cstheme="minorHAnsi"/>
        </w:rPr>
        <w:t xml:space="preserve"> </w:t>
      </w:r>
      <w:r w:rsidR="005D3326">
        <w:rPr>
          <w:rFonts w:cstheme="minorHAnsi"/>
          <w:i/>
          <w:iCs/>
        </w:rPr>
        <w:t>C</w:t>
      </w:r>
      <w:r w:rsidRPr="00E877FE">
        <w:rPr>
          <w:rFonts w:cstheme="minorHAnsi"/>
          <w:i/>
          <w:iCs/>
        </w:rPr>
        <w:t>ourts, sentencing and tribunals</w:t>
      </w:r>
      <w:r w:rsidRPr="00E877FE">
        <w:rPr>
          <w:rFonts w:cstheme="minorHAnsi"/>
        </w:rPr>
        <w:t xml:space="preserve"> (online) Available at: </w:t>
      </w:r>
      <w:hyperlink r:id="rId23" w:history="1">
        <w:r w:rsidRPr="00E877FE">
          <w:rPr>
            <w:rStyle w:val="Hyperlink"/>
            <w:rFonts w:cstheme="minorHAnsi"/>
          </w:rPr>
          <w:t>https://www.gov.uk/employment-tribunals</w:t>
        </w:r>
      </w:hyperlink>
      <w:r w:rsidRPr="00E877FE">
        <w:rPr>
          <w:rFonts w:cstheme="minorHAnsi"/>
        </w:rPr>
        <w:t xml:space="preserve"> (Accessed 14 April 2020)</w:t>
      </w:r>
    </w:p>
    <w:p w14:paraId="2B8FD727" w14:textId="72E49357" w:rsidR="008E777B" w:rsidRDefault="008E777B" w:rsidP="002417AE">
      <w:pPr>
        <w:rPr>
          <w:rFonts w:cstheme="minorHAnsi"/>
        </w:rPr>
      </w:pPr>
      <w:r>
        <w:rPr>
          <w:rFonts w:cstheme="minorHAnsi"/>
        </w:rPr>
        <w:t>GOV.UK</w:t>
      </w:r>
      <w:r w:rsidR="00440895">
        <w:rPr>
          <w:rFonts w:cstheme="minorHAnsi"/>
        </w:rPr>
        <w:t>,</w:t>
      </w:r>
      <w:r>
        <w:rPr>
          <w:rFonts w:cstheme="minorHAnsi"/>
        </w:rPr>
        <w:t xml:space="preserve"> 2020</w:t>
      </w:r>
      <w:r w:rsidR="00440895">
        <w:rPr>
          <w:rFonts w:cstheme="minorHAnsi"/>
        </w:rPr>
        <w:t>b</w:t>
      </w:r>
      <w:r>
        <w:rPr>
          <w:rFonts w:cstheme="minorHAnsi"/>
        </w:rPr>
        <w:t xml:space="preserve">. </w:t>
      </w:r>
      <w:r w:rsidRPr="008E777B">
        <w:rPr>
          <w:rFonts w:cstheme="minorHAnsi"/>
          <w:i/>
          <w:iCs/>
        </w:rPr>
        <w:t>Business transfers, takeovers and TUPE</w:t>
      </w:r>
      <w:r>
        <w:rPr>
          <w:rFonts w:cstheme="minorHAnsi"/>
        </w:rPr>
        <w:t xml:space="preserve"> (online) Available at: </w:t>
      </w:r>
      <w:hyperlink r:id="rId24" w:history="1">
        <w:r w:rsidRPr="007B3C2D">
          <w:rPr>
            <w:rStyle w:val="Hyperlink"/>
            <w:rFonts w:cstheme="minorHAnsi"/>
          </w:rPr>
          <w:t>https://www.gov.uk/transfers-takeovers/transfers-of-employment-contracts</w:t>
        </w:r>
      </w:hyperlink>
      <w:r>
        <w:rPr>
          <w:rFonts w:cstheme="minorHAnsi"/>
        </w:rPr>
        <w:t xml:space="preserve"> (Accessed 16 April 2020)</w:t>
      </w:r>
    </w:p>
    <w:p w14:paraId="609D2030" w14:textId="3A21E3F6" w:rsidR="0086115C" w:rsidRDefault="0086115C" w:rsidP="002417AE">
      <w:pPr>
        <w:rPr>
          <w:rFonts w:cstheme="minorHAnsi"/>
        </w:rPr>
      </w:pPr>
      <w:r>
        <w:rPr>
          <w:rFonts w:cstheme="minorHAnsi"/>
        </w:rPr>
        <w:t xml:space="preserve">GOV.UK, 2020c. </w:t>
      </w:r>
      <w:r w:rsidRPr="0086115C">
        <w:rPr>
          <w:rFonts w:cstheme="minorHAnsi"/>
          <w:i/>
          <w:iCs/>
        </w:rPr>
        <w:t>Pregnant employees rights</w:t>
      </w:r>
      <w:r>
        <w:rPr>
          <w:rFonts w:cstheme="minorHAnsi"/>
        </w:rPr>
        <w:t xml:space="preserve"> (online) Available at: </w:t>
      </w:r>
      <w:hyperlink r:id="rId25" w:history="1">
        <w:r w:rsidRPr="00EF2E87">
          <w:rPr>
            <w:rStyle w:val="Hyperlink"/>
            <w:rFonts w:cstheme="minorHAnsi"/>
          </w:rPr>
          <w:t>https://www.gov.uk/working-when-pregnant-your-rights</w:t>
        </w:r>
      </w:hyperlink>
      <w:r>
        <w:rPr>
          <w:rFonts w:cstheme="minorHAnsi"/>
        </w:rPr>
        <w:t xml:space="preserve"> (Accessed 18 April 2020)</w:t>
      </w:r>
    </w:p>
    <w:p w14:paraId="0A4B3660" w14:textId="08F2DEBA" w:rsidR="00316ABB" w:rsidRDefault="00316ABB" w:rsidP="002417AE">
      <w:pPr>
        <w:rPr>
          <w:rFonts w:cstheme="minorHAnsi"/>
        </w:rPr>
      </w:pPr>
      <w:r>
        <w:rPr>
          <w:rFonts w:cstheme="minorHAnsi"/>
        </w:rPr>
        <w:t xml:space="preserve">HSE, 2020. </w:t>
      </w:r>
      <w:r w:rsidRPr="00316ABB">
        <w:rPr>
          <w:rFonts w:cstheme="minorHAnsi"/>
          <w:i/>
          <w:iCs/>
        </w:rPr>
        <w:t>Health and Safety at work</w:t>
      </w:r>
      <w:r>
        <w:rPr>
          <w:rFonts w:cstheme="minorHAnsi"/>
        </w:rPr>
        <w:t xml:space="preserve"> (online) Available at: </w:t>
      </w:r>
      <w:hyperlink r:id="rId26" w:history="1">
        <w:r w:rsidRPr="00710400">
          <w:rPr>
            <w:rStyle w:val="Hyperlink"/>
            <w:rFonts w:cstheme="minorHAnsi"/>
          </w:rPr>
          <w:t>https://www.hse.gov.uk/index.htm</w:t>
        </w:r>
      </w:hyperlink>
      <w:r>
        <w:rPr>
          <w:rFonts w:cstheme="minorHAnsi"/>
        </w:rPr>
        <w:t xml:space="preserve"> (Accessed 26 April 2020)</w:t>
      </w:r>
    </w:p>
    <w:p w14:paraId="74FC5A42" w14:textId="06E8FE87" w:rsidR="00EB555F" w:rsidRDefault="00EB555F" w:rsidP="002417AE">
      <w:pPr>
        <w:rPr>
          <w:rStyle w:val="Hyperlink"/>
          <w:rFonts w:cstheme="minorHAnsi"/>
          <w:color w:val="auto"/>
          <w:u w:val="none"/>
        </w:rPr>
      </w:pPr>
      <w:r>
        <w:rPr>
          <w:rFonts w:cstheme="minorHAnsi"/>
        </w:rPr>
        <w:t xml:space="preserve">Personnel today, 2020. April 2020 employment law changes: eight tasks for HR (online) Available at: </w:t>
      </w:r>
      <w:hyperlink r:id="rId27" w:history="1">
        <w:r w:rsidRPr="001F227B">
          <w:rPr>
            <w:rStyle w:val="Hyperlink"/>
            <w:rFonts w:cstheme="minorHAnsi"/>
          </w:rPr>
          <w:t>https://www.personneltoday.com/hr/employment-law-changes-april-2020/</w:t>
        </w:r>
      </w:hyperlink>
      <w:r w:rsidR="00BA2B4E">
        <w:rPr>
          <w:rStyle w:val="Hyperlink"/>
          <w:rFonts w:cstheme="minorHAnsi"/>
        </w:rPr>
        <w:t xml:space="preserve"> </w:t>
      </w:r>
      <w:r w:rsidR="00BA2B4E" w:rsidRPr="00BA2B4E">
        <w:rPr>
          <w:rStyle w:val="Hyperlink"/>
          <w:rFonts w:cstheme="minorHAnsi"/>
          <w:color w:val="auto"/>
          <w:u w:val="none"/>
        </w:rPr>
        <w:t>(Accessed 15 April 2020)</w:t>
      </w:r>
    </w:p>
    <w:p w14:paraId="33793D70" w14:textId="59E3326D" w:rsidR="00BA2B4E" w:rsidRDefault="00BA2B4E" w:rsidP="002417AE">
      <w:pPr>
        <w:rPr>
          <w:rFonts w:cstheme="minorHAnsi"/>
        </w:rPr>
      </w:pPr>
      <w:r>
        <w:rPr>
          <w:rStyle w:val="Hyperlink"/>
          <w:rFonts w:cstheme="minorHAnsi"/>
          <w:color w:val="auto"/>
          <w:u w:val="none"/>
        </w:rPr>
        <w:t xml:space="preserve">Rocketlawyer, 2020. </w:t>
      </w:r>
      <w:r w:rsidRPr="00BA2B4E">
        <w:rPr>
          <w:rStyle w:val="Hyperlink"/>
          <w:rFonts w:cstheme="minorHAnsi"/>
          <w:i/>
          <w:iCs/>
          <w:color w:val="auto"/>
          <w:u w:val="none"/>
        </w:rPr>
        <w:t>What is an implied term?</w:t>
      </w:r>
      <w:r>
        <w:rPr>
          <w:rStyle w:val="Hyperlink"/>
          <w:rFonts w:cstheme="minorHAnsi"/>
          <w:color w:val="auto"/>
          <w:u w:val="none"/>
        </w:rPr>
        <w:t xml:space="preserve"> (online) Available at: </w:t>
      </w:r>
      <w:hyperlink r:id="rId28" w:history="1">
        <w:r w:rsidRPr="00710400">
          <w:rPr>
            <w:rStyle w:val="Hyperlink"/>
            <w:rFonts w:cstheme="minorHAnsi"/>
          </w:rPr>
          <w:t>https://www.rocketlawyer.com/gb/en/quick-guides/implied-terms-of-employment-contract</w:t>
        </w:r>
      </w:hyperlink>
      <w:r>
        <w:rPr>
          <w:rStyle w:val="Hyperlink"/>
          <w:rFonts w:cstheme="minorHAnsi"/>
          <w:color w:val="auto"/>
          <w:u w:val="none"/>
        </w:rPr>
        <w:t xml:space="preserve"> (Accessed 27 April 2020)</w:t>
      </w:r>
    </w:p>
    <w:p w14:paraId="301B94F1" w14:textId="11E63110" w:rsidR="004E0F7B" w:rsidRDefault="004E0F7B" w:rsidP="002417AE">
      <w:pPr>
        <w:rPr>
          <w:rFonts w:cstheme="minorHAnsi"/>
        </w:rPr>
      </w:pPr>
      <w:r>
        <w:rPr>
          <w:rFonts w:cstheme="minorHAnsi"/>
        </w:rPr>
        <w:t>Worksmart</w:t>
      </w:r>
      <w:r w:rsidR="005D3326">
        <w:rPr>
          <w:rFonts w:cstheme="minorHAnsi"/>
        </w:rPr>
        <w:t>,</w:t>
      </w:r>
      <w:r>
        <w:rPr>
          <w:rFonts w:cstheme="minorHAnsi"/>
        </w:rPr>
        <w:t xml:space="preserve"> 2020</w:t>
      </w:r>
      <w:r w:rsidR="005D3326">
        <w:rPr>
          <w:rFonts w:cstheme="minorHAnsi"/>
        </w:rPr>
        <w:t>.</w:t>
      </w:r>
      <w:r>
        <w:rPr>
          <w:rFonts w:cstheme="minorHAnsi"/>
        </w:rPr>
        <w:t xml:space="preserve"> </w:t>
      </w:r>
      <w:r w:rsidR="005D3326">
        <w:rPr>
          <w:rFonts w:cstheme="minorHAnsi"/>
          <w:i/>
          <w:iCs/>
        </w:rPr>
        <w:t>W</w:t>
      </w:r>
      <w:r w:rsidRPr="004E0F7B">
        <w:rPr>
          <w:rFonts w:cstheme="minorHAnsi"/>
          <w:i/>
          <w:iCs/>
        </w:rPr>
        <w:t>hat is an employment tribunal?</w:t>
      </w:r>
      <w:r>
        <w:rPr>
          <w:rFonts w:cstheme="minorHAnsi"/>
        </w:rPr>
        <w:t xml:space="preserve"> (online) Available at: </w:t>
      </w:r>
      <w:hyperlink r:id="rId29" w:history="1">
        <w:r w:rsidRPr="002517B4">
          <w:rPr>
            <w:rStyle w:val="Hyperlink"/>
            <w:rFonts w:cstheme="minorHAnsi"/>
          </w:rPr>
          <w:t>https://worksmart.org.uk/work-rights/enforcing-your-rights/legal-routes/what-employment-tribunal</w:t>
        </w:r>
      </w:hyperlink>
      <w:r>
        <w:rPr>
          <w:rFonts w:cstheme="minorHAnsi"/>
        </w:rPr>
        <w:t xml:space="preserve"> (Accessed 15 April 2020)</w:t>
      </w:r>
    </w:p>
    <w:p w14:paraId="55A3E923" w14:textId="77777777" w:rsidR="00166307" w:rsidRPr="00E877FE" w:rsidRDefault="00166307" w:rsidP="002417AE">
      <w:pPr>
        <w:rPr>
          <w:rFonts w:cstheme="minorHAnsi"/>
        </w:rPr>
      </w:pPr>
    </w:p>
    <w:p w14:paraId="15F1B003" w14:textId="77777777" w:rsidR="00E877FE" w:rsidRDefault="00E877FE" w:rsidP="002417AE">
      <w:pPr>
        <w:rPr>
          <w:rFonts w:ascii="Arial" w:hAnsi="Arial" w:cs="Arial"/>
        </w:rPr>
      </w:pPr>
    </w:p>
    <w:p w14:paraId="30518374" w14:textId="77777777" w:rsidR="0060552D" w:rsidRPr="001C339B" w:rsidRDefault="0060552D" w:rsidP="002417AE">
      <w:pPr>
        <w:rPr>
          <w:rFonts w:ascii="Arial" w:hAnsi="Arial" w:cs="Arial"/>
        </w:rPr>
      </w:pPr>
    </w:p>
    <w:p w14:paraId="1E9FCACB" w14:textId="73338E2E" w:rsidR="001C339B" w:rsidRPr="001C339B" w:rsidRDefault="001C339B" w:rsidP="002417AE">
      <w:pPr>
        <w:rPr>
          <w:rFonts w:ascii="Arial" w:hAnsi="Arial" w:cs="Arial"/>
        </w:rPr>
      </w:pPr>
    </w:p>
    <w:p w14:paraId="1BE28302" w14:textId="5BC8A6C9" w:rsidR="001C339B" w:rsidRDefault="001C339B" w:rsidP="002417AE">
      <w:pPr>
        <w:rPr>
          <w:rFonts w:ascii="Arial" w:hAnsi="Arial" w:cs="Arial"/>
          <w:sz w:val="24"/>
          <w:szCs w:val="24"/>
        </w:rPr>
      </w:pPr>
    </w:p>
    <w:p w14:paraId="3BB35CAA" w14:textId="77777777" w:rsidR="001C339B" w:rsidRPr="001C339B" w:rsidRDefault="001C339B" w:rsidP="002417AE">
      <w:pPr>
        <w:rPr>
          <w:rFonts w:ascii="Arial" w:hAnsi="Arial" w:cs="Arial"/>
          <w:sz w:val="24"/>
          <w:szCs w:val="24"/>
        </w:rPr>
      </w:pPr>
    </w:p>
    <w:sectPr w:rsidR="001C339B" w:rsidRPr="001C339B" w:rsidSect="004F7AF4">
      <w:pgSz w:w="11906" w:h="16838"/>
      <w:pgMar w:top="993"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775F6"/>
    <w:multiLevelType w:val="hybridMultilevel"/>
    <w:tmpl w:val="548CDC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AAF0B8B"/>
    <w:multiLevelType w:val="hybridMultilevel"/>
    <w:tmpl w:val="183C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744A3"/>
    <w:multiLevelType w:val="hybridMultilevel"/>
    <w:tmpl w:val="C48E2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6240D"/>
    <w:multiLevelType w:val="hybridMultilevel"/>
    <w:tmpl w:val="638E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6384B"/>
    <w:multiLevelType w:val="hybridMultilevel"/>
    <w:tmpl w:val="9B989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22941"/>
    <w:multiLevelType w:val="hybridMultilevel"/>
    <w:tmpl w:val="FE801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5F3537"/>
    <w:multiLevelType w:val="multilevel"/>
    <w:tmpl w:val="976A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7334F"/>
    <w:multiLevelType w:val="hybridMultilevel"/>
    <w:tmpl w:val="5A8C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BB02E8"/>
    <w:multiLevelType w:val="hybridMultilevel"/>
    <w:tmpl w:val="78C2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843860"/>
    <w:multiLevelType w:val="hybridMultilevel"/>
    <w:tmpl w:val="D2DCE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94421"/>
    <w:multiLevelType w:val="hybridMultilevel"/>
    <w:tmpl w:val="28FA4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4839BE"/>
    <w:multiLevelType w:val="hybridMultilevel"/>
    <w:tmpl w:val="18F4A4E0"/>
    <w:lvl w:ilvl="0" w:tplc="1D10408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11"/>
  </w:num>
  <w:num w:numId="4">
    <w:abstractNumId w:val="4"/>
  </w:num>
  <w:num w:numId="5">
    <w:abstractNumId w:val="7"/>
  </w:num>
  <w:num w:numId="6">
    <w:abstractNumId w:val="2"/>
  </w:num>
  <w:num w:numId="7">
    <w:abstractNumId w:val="3"/>
  </w:num>
  <w:num w:numId="8">
    <w:abstractNumId w:val="0"/>
  </w:num>
  <w:num w:numId="9">
    <w:abstractNumId w:val="6"/>
  </w:num>
  <w:num w:numId="10">
    <w:abstractNumId w:val="9"/>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C0"/>
    <w:rsid w:val="00006C88"/>
    <w:rsid w:val="000256FE"/>
    <w:rsid w:val="00052A1F"/>
    <w:rsid w:val="00085EDC"/>
    <w:rsid w:val="00094779"/>
    <w:rsid w:val="000B6845"/>
    <w:rsid w:val="000C2936"/>
    <w:rsid w:val="0010616A"/>
    <w:rsid w:val="00120362"/>
    <w:rsid w:val="00123660"/>
    <w:rsid w:val="001342B9"/>
    <w:rsid w:val="001640C9"/>
    <w:rsid w:val="00165EF6"/>
    <w:rsid w:val="00166307"/>
    <w:rsid w:val="001677C3"/>
    <w:rsid w:val="00181092"/>
    <w:rsid w:val="00195851"/>
    <w:rsid w:val="001C339B"/>
    <w:rsid w:val="001E399B"/>
    <w:rsid w:val="002417AE"/>
    <w:rsid w:val="002457E9"/>
    <w:rsid w:val="002557BA"/>
    <w:rsid w:val="002C367C"/>
    <w:rsid w:val="002C6DA9"/>
    <w:rsid w:val="00300455"/>
    <w:rsid w:val="003122B4"/>
    <w:rsid w:val="00316880"/>
    <w:rsid w:val="00316ABB"/>
    <w:rsid w:val="0035788A"/>
    <w:rsid w:val="003622DB"/>
    <w:rsid w:val="00362530"/>
    <w:rsid w:val="00366A07"/>
    <w:rsid w:val="00392AC1"/>
    <w:rsid w:val="00396CD5"/>
    <w:rsid w:val="003F58B4"/>
    <w:rsid w:val="00437A96"/>
    <w:rsid w:val="00440895"/>
    <w:rsid w:val="00476F35"/>
    <w:rsid w:val="004771A4"/>
    <w:rsid w:val="0048078F"/>
    <w:rsid w:val="004E0F7B"/>
    <w:rsid w:val="004E3077"/>
    <w:rsid w:val="004E64C0"/>
    <w:rsid w:val="004F7AF4"/>
    <w:rsid w:val="00533800"/>
    <w:rsid w:val="0053720C"/>
    <w:rsid w:val="00567DB3"/>
    <w:rsid w:val="00580C74"/>
    <w:rsid w:val="005D3326"/>
    <w:rsid w:val="005E02C3"/>
    <w:rsid w:val="005F5B17"/>
    <w:rsid w:val="006013F6"/>
    <w:rsid w:val="0060552D"/>
    <w:rsid w:val="006B4970"/>
    <w:rsid w:val="006D60EF"/>
    <w:rsid w:val="006D77AB"/>
    <w:rsid w:val="00710055"/>
    <w:rsid w:val="00757FF8"/>
    <w:rsid w:val="007744E6"/>
    <w:rsid w:val="0079376F"/>
    <w:rsid w:val="007E769B"/>
    <w:rsid w:val="0081151E"/>
    <w:rsid w:val="0086115C"/>
    <w:rsid w:val="00875EBC"/>
    <w:rsid w:val="008E18EB"/>
    <w:rsid w:val="008E777B"/>
    <w:rsid w:val="0092201A"/>
    <w:rsid w:val="00924FB7"/>
    <w:rsid w:val="00951B14"/>
    <w:rsid w:val="0095503C"/>
    <w:rsid w:val="00977718"/>
    <w:rsid w:val="009A4560"/>
    <w:rsid w:val="009B7732"/>
    <w:rsid w:val="009C25D3"/>
    <w:rsid w:val="009C4586"/>
    <w:rsid w:val="009E2FFC"/>
    <w:rsid w:val="00A12154"/>
    <w:rsid w:val="00A35C99"/>
    <w:rsid w:val="00A83557"/>
    <w:rsid w:val="00A923C0"/>
    <w:rsid w:val="00AD7E2A"/>
    <w:rsid w:val="00AE6A04"/>
    <w:rsid w:val="00B64702"/>
    <w:rsid w:val="00B90EA4"/>
    <w:rsid w:val="00BA2B4E"/>
    <w:rsid w:val="00C01E9B"/>
    <w:rsid w:val="00C11185"/>
    <w:rsid w:val="00C120D6"/>
    <w:rsid w:val="00C145AF"/>
    <w:rsid w:val="00C35FCA"/>
    <w:rsid w:val="00C67EA3"/>
    <w:rsid w:val="00CB182A"/>
    <w:rsid w:val="00CB54A1"/>
    <w:rsid w:val="00CB5B3E"/>
    <w:rsid w:val="00CB5EDF"/>
    <w:rsid w:val="00CF077D"/>
    <w:rsid w:val="00D11ED7"/>
    <w:rsid w:val="00D1276B"/>
    <w:rsid w:val="00D270EC"/>
    <w:rsid w:val="00D66E5D"/>
    <w:rsid w:val="00D75111"/>
    <w:rsid w:val="00DA7E30"/>
    <w:rsid w:val="00DC7BB7"/>
    <w:rsid w:val="00E14AAD"/>
    <w:rsid w:val="00E15D93"/>
    <w:rsid w:val="00E36EDC"/>
    <w:rsid w:val="00E41E53"/>
    <w:rsid w:val="00E563C5"/>
    <w:rsid w:val="00E602B2"/>
    <w:rsid w:val="00E877FE"/>
    <w:rsid w:val="00E97A03"/>
    <w:rsid w:val="00EB555F"/>
    <w:rsid w:val="00F13664"/>
    <w:rsid w:val="00F31C93"/>
    <w:rsid w:val="00F8110B"/>
    <w:rsid w:val="00FB50EC"/>
    <w:rsid w:val="00FE321F"/>
    <w:rsid w:val="00FE5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406BC"/>
  <w15:chartTrackingRefBased/>
  <w15:docId w15:val="{66D5FAFB-2B8C-4A5A-9F23-364690056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C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64C0"/>
    <w:pPr>
      <w:spacing w:after="0" w:line="240" w:lineRule="auto"/>
    </w:pPr>
  </w:style>
  <w:style w:type="paragraph" w:styleId="ListParagraph">
    <w:name w:val="List Paragraph"/>
    <w:basedOn w:val="Normal"/>
    <w:uiPriority w:val="34"/>
    <w:qFormat/>
    <w:rsid w:val="00476F35"/>
    <w:pPr>
      <w:ind w:left="720"/>
      <w:contextualSpacing/>
    </w:pPr>
  </w:style>
  <w:style w:type="character" w:styleId="Hyperlink">
    <w:name w:val="Hyperlink"/>
    <w:basedOn w:val="DefaultParagraphFont"/>
    <w:uiPriority w:val="99"/>
    <w:unhideWhenUsed/>
    <w:rsid w:val="001C339B"/>
    <w:rPr>
      <w:color w:val="0563C1" w:themeColor="hyperlink"/>
      <w:u w:val="single"/>
    </w:rPr>
  </w:style>
  <w:style w:type="character" w:styleId="UnresolvedMention">
    <w:name w:val="Unresolved Mention"/>
    <w:basedOn w:val="DefaultParagraphFont"/>
    <w:uiPriority w:val="99"/>
    <w:semiHidden/>
    <w:unhideWhenUsed/>
    <w:rsid w:val="001C339B"/>
    <w:rPr>
      <w:color w:val="605E5C"/>
      <w:shd w:val="clear" w:color="auto" w:fill="E1DFDD"/>
    </w:rPr>
  </w:style>
  <w:style w:type="character" w:styleId="Strong">
    <w:name w:val="Strong"/>
    <w:basedOn w:val="DefaultParagraphFont"/>
    <w:uiPriority w:val="22"/>
    <w:qFormat/>
    <w:rsid w:val="004F7A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613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acas.org.uk/media/4267/Equality-and-discrimination-understand-the-basics/pdf/Equality_and_discrimination_understand_the_basics_-_July_2019.pdf" TargetMode="External"/><Relationship Id="rId13" Type="http://schemas.openxmlformats.org/officeDocument/2006/relationships/hyperlink" Target="https://www.cipd.co.uk/knowledge/fundamentals/emp-law/tupe/questions" TargetMode="External"/><Relationship Id="rId18" Type="http://schemas.openxmlformats.org/officeDocument/2006/relationships/hyperlink" Target="https://www.cipd.co.uk/knowledge/fundamentals/emp-law/terms-conditions/contracts-factsheet" TargetMode="External"/><Relationship Id="rId26" Type="http://schemas.openxmlformats.org/officeDocument/2006/relationships/hyperlink" Target="https://www.hse.gov.uk/index.htm" TargetMode="External"/><Relationship Id="rId3" Type="http://schemas.openxmlformats.org/officeDocument/2006/relationships/styles" Target="styles.xml"/><Relationship Id="rId21" Type="http://schemas.openxmlformats.org/officeDocument/2006/relationships/hyperlink" Target="https://www.delta-net.com/compliance/equality-and-diversity/faqs/what-is-the-uk-legislation-around-equality-and-diversity" TargetMode="External"/><Relationship Id="rId7" Type="http://schemas.openxmlformats.org/officeDocument/2006/relationships/image" Target="media/image2.png"/><Relationship Id="rId12" Type="http://schemas.openxmlformats.org/officeDocument/2006/relationships/hyperlink" Target="https://www.cipd.co.uk/knowledge/fundamentals/emp-law/recruitment/questions" TargetMode="External"/><Relationship Id="rId17" Type="http://schemas.openxmlformats.org/officeDocument/2006/relationships/hyperlink" Target="https://www.cipd.co.uk/knowledge/fundamentals/emp-law/tribunals/factsheet" TargetMode="External"/><Relationship Id="rId25" Type="http://schemas.openxmlformats.org/officeDocument/2006/relationships/hyperlink" Target="https://www.gov.uk/working-when-pregnant-your-rights" TargetMode="External"/><Relationship Id="rId2" Type="http://schemas.openxmlformats.org/officeDocument/2006/relationships/numbering" Target="numbering.xml"/><Relationship Id="rId16" Type="http://schemas.openxmlformats.org/officeDocument/2006/relationships/hyperlink" Target="https://www.cipd.co.uk/knowledge/fundamentals/emp-law" TargetMode="External"/><Relationship Id="rId20" Type="http://schemas.openxmlformats.org/officeDocument/2006/relationships/hyperlink" Target="https://www.cipd.co.uk/knowledge/fundamentals/emp-law/maternity-paternity-rights/factsheet" TargetMode="External"/><Relationship Id="rId29" Type="http://schemas.openxmlformats.org/officeDocument/2006/relationships/hyperlink" Target="https://worksmart.org.uk/work-rights/enforcing-your-rights/legal-routes/what-employment-tribuna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acas.org.uk/your-maternity-leave-pay-and-other-rights" TargetMode="External"/><Relationship Id="rId24" Type="http://schemas.openxmlformats.org/officeDocument/2006/relationships/hyperlink" Target="https://www.gov.uk/transfers-takeovers/transfers-of-employment-contracts" TargetMode="External"/><Relationship Id="rId5" Type="http://schemas.openxmlformats.org/officeDocument/2006/relationships/webSettings" Target="webSettings.xml"/><Relationship Id="rId15" Type="http://schemas.openxmlformats.org/officeDocument/2006/relationships/hyperlink" Target="https://www.cipd.co.uk/knowledge/fundamentals/emp-law/health-safety/factsheet" TargetMode="External"/><Relationship Id="rId23" Type="http://schemas.openxmlformats.org/officeDocument/2006/relationships/hyperlink" Target="https://www.gov.uk/employment-tribunals" TargetMode="External"/><Relationship Id="rId28" Type="http://schemas.openxmlformats.org/officeDocument/2006/relationships/hyperlink" Target="https://www.rocketlawyer.com/gb/en/quick-guides/implied-terms-of-employment-contract" TargetMode="External"/><Relationship Id="rId10" Type="http://schemas.openxmlformats.org/officeDocument/2006/relationships/hyperlink" Target="https://www.acas.org.uk/pay-and-wages" TargetMode="External"/><Relationship Id="rId19" Type="http://schemas.openxmlformats.org/officeDocument/2006/relationships/hyperlink" Target="https://www.cipd.co.uk/knowledge/fundamentals/emp-law/working-time/factshe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as.org.uk/your-rights-during-redundancy" TargetMode="External"/><Relationship Id="rId14" Type="http://schemas.openxmlformats.org/officeDocument/2006/relationships/hyperlink" Target="https://www.cipd.co.uk/knowledge/fundamentals/emp-law/redundancy/questions" TargetMode="External"/><Relationship Id="rId22" Type="http://schemas.openxmlformats.org/officeDocument/2006/relationships/hyperlink" Target="https://www.eoc.org.uk" TargetMode="External"/><Relationship Id="rId27" Type="http://schemas.openxmlformats.org/officeDocument/2006/relationships/hyperlink" Target="https://www.personneltoday.com/hr/employment-law-changes-april-202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9ECB30-5F92-4520-9B5D-CD0209E12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12</Pages>
  <Words>4568</Words>
  <Characters>26044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48</cp:revision>
  <dcterms:created xsi:type="dcterms:W3CDTF">2020-04-19T10:33:00Z</dcterms:created>
  <dcterms:modified xsi:type="dcterms:W3CDTF">2020-04-27T20:16:00Z</dcterms:modified>
</cp:coreProperties>
</file>