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94935" w:rsidRDefault="00894935" w:rsidP="00894935">
      <w:pPr>
        <w:jc w:val="center"/>
        <w:rPr>
          <w:rFonts w:ascii="Times New Roman" w:hAnsi="Times New Roman" w:cs="Times New Roman"/>
        </w:rPr>
      </w:pPr>
    </w:p>
    <w:p w:rsidR="00894935" w:rsidRDefault="00894935" w:rsidP="00894935">
      <w:pPr>
        <w:jc w:val="center"/>
        <w:rPr>
          <w:rFonts w:ascii="Times New Roman" w:hAnsi="Times New Roman" w:cs="Times New Roman"/>
        </w:rPr>
      </w:pPr>
      <w:r>
        <w:rPr>
          <w:rFonts w:ascii="Times New Roman" w:hAnsi="Times New Roman" w:cs="Times New Roman"/>
          <w:noProof/>
        </w:rPr>
        <w:drawing>
          <wp:anchor distT="0" distB="0" distL="114300" distR="114300" simplePos="0" relativeHeight="251665408" behindDoc="0" locked="0" layoutInCell="1" allowOverlap="1">
            <wp:simplePos x="0" y="0"/>
            <wp:positionH relativeFrom="column">
              <wp:posOffset>35560</wp:posOffset>
            </wp:positionH>
            <wp:positionV relativeFrom="paragraph">
              <wp:posOffset>64135</wp:posOffset>
            </wp:positionV>
            <wp:extent cx="2444750" cy="1083310"/>
            <wp:effectExtent l="19050" t="0" r="0" b="0"/>
            <wp:wrapSquare wrapText="bothSides"/>
            <wp:docPr id="6" name="图片 1" descr="C:\Users\PRO\Desktop\Wales-TSD-1-500x2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O\Desktop\Wales-TSD-1-500x223.jpg"/>
                    <pic:cNvPicPr>
                      <a:picLocks noChangeAspect="1" noChangeArrowheads="1"/>
                    </pic:cNvPicPr>
                  </pic:nvPicPr>
                  <pic:blipFill>
                    <a:blip r:embed="rId7" cstate="print"/>
                    <a:srcRect/>
                    <a:stretch>
                      <a:fillRect/>
                    </a:stretch>
                  </pic:blipFill>
                  <pic:spPr bwMode="auto">
                    <a:xfrm>
                      <a:off x="0" y="0"/>
                      <a:ext cx="2444750" cy="1083310"/>
                    </a:xfrm>
                    <a:prstGeom prst="rect">
                      <a:avLst/>
                    </a:prstGeom>
                    <a:noFill/>
                    <a:ln w="9525">
                      <a:noFill/>
                      <a:miter lim="800000"/>
                      <a:headEnd/>
                      <a:tailEnd/>
                    </a:ln>
                  </pic:spPr>
                </pic:pic>
              </a:graphicData>
            </a:graphic>
          </wp:anchor>
        </w:drawing>
      </w:r>
    </w:p>
    <w:p w:rsidR="00894935" w:rsidRDefault="00894935" w:rsidP="00894935">
      <w:pPr>
        <w:rPr>
          <w:rFonts w:ascii="Times New Roman" w:hAnsi="Times New Roman" w:cs="Times New Roman"/>
          <w:b/>
          <w:color w:val="000000"/>
          <w:kern w:val="0"/>
          <w:szCs w:val="21"/>
        </w:rPr>
      </w:pPr>
    </w:p>
    <w:p w:rsidR="00894935" w:rsidRDefault="00894935" w:rsidP="00894935">
      <w:pPr>
        <w:rPr>
          <w:rFonts w:ascii="Times New Roman" w:hAnsi="Times New Roman" w:cs="Times New Roman"/>
          <w:b/>
          <w:color w:val="000000"/>
          <w:kern w:val="0"/>
          <w:szCs w:val="21"/>
        </w:rPr>
      </w:pPr>
    </w:p>
    <w:p w:rsidR="00894935" w:rsidRDefault="00894935" w:rsidP="00894935">
      <w:pPr>
        <w:rPr>
          <w:rFonts w:ascii="Times New Roman" w:hAnsi="Times New Roman" w:cs="Times New Roman"/>
          <w:b/>
          <w:color w:val="000000"/>
          <w:kern w:val="0"/>
          <w:szCs w:val="21"/>
        </w:rPr>
      </w:pPr>
    </w:p>
    <w:p w:rsidR="00894935" w:rsidRDefault="00894935" w:rsidP="00894935">
      <w:pPr>
        <w:rPr>
          <w:rFonts w:ascii="Times New Roman" w:hAnsi="Times New Roman" w:cs="Times New Roman"/>
          <w:b/>
          <w:color w:val="000000"/>
          <w:kern w:val="0"/>
          <w:szCs w:val="21"/>
        </w:rPr>
      </w:pPr>
    </w:p>
    <w:p w:rsidR="00894935" w:rsidRDefault="00894935" w:rsidP="00894935">
      <w:pPr>
        <w:jc w:val="center"/>
        <w:rPr>
          <w:rFonts w:ascii="Times New Roman" w:hAnsi="Times New Roman" w:cs="Times New Roman"/>
          <w:b/>
          <w:color w:val="000000"/>
          <w:kern w:val="0"/>
          <w:szCs w:val="21"/>
        </w:rPr>
      </w:pPr>
    </w:p>
    <w:p w:rsidR="00894935" w:rsidRDefault="00894935" w:rsidP="00894935">
      <w:pPr>
        <w:jc w:val="center"/>
        <w:rPr>
          <w:rFonts w:ascii="Times New Roman" w:hAnsi="Times New Roman" w:cs="Times New Roman"/>
          <w:b/>
          <w:sz w:val="36"/>
          <w:szCs w:val="36"/>
        </w:rPr>
      </w:pPr>
    </w:p>
    <w:p w:rsidR="00894935" w:rsidRPr="007917CB" w:rsidRDefault="001476F7" w:rsidP="00894935">
      <w:pPr>
        <w:jc w:val="center"/>
        <w:rPr>
          <w:rFonts w:ascii="Times New Roman" w:hAnsi="Times New Roman" w:cs="Times New Roman"/>
          <w:b/>
          <w:sz w:val="36"/>
          <w:szCs w:val="36"/>
        </w:rPr>
      </w:pPr>
      <w:r>
        <w:rPr>
          <w:rFonts w:ascii="Times New Roman" w:hAnsi="Times New Roman" w:cs="Times New Roman" w:hint="eastAsia"/>
          <w:b/>
          <w:sz w:val="36"/>
          <w:szCs w:val="36"/>
        </w:rPr>
        <w:t>Assessment</w:t>
      </w:r>
    </w:p>
    <w:p w:rsidR="00894935" w:rsidRDefault="00894935" w:rsidP="00894935">
      <w:pPr>
        <w:jc w:val="center"/>
        <w:rPr>
          <w:rFonts w:ascii="Times New Roman" w:hAnsi="Times New Roman" w:cs="Times New Roman"/>
          <w:b/>
          <w:color w:val="000000"/>
          <w:kern w:val="0"/>
          <w:szCs w:val="21"/>
        </w:rPr>
      </w:pPr>
    </w:p>
    <w:p w:rsidR="00894935" w:rsidRDefault="00894935" w:rsidP="00894935">
      <w:pPr>
        <w:jc w:val="center"/>
        <w:rPr>
          <w:rFonts w:ascii="Times New Roman" w:hAnsi="Times New Roman" w:cs="Times New Roman"/>
          <w:b/>
          <w:color w:val="000000"/>
          <w:kern w:val="0"/>
          <w:szCs w:val="21"/>
        </w:rPr>
      </w:pPr>
    </w:p>
    <w:p w:rsidR="00894935" w:rsidRPr="00CF7EA7" w:rsidRDefault="00894935" w:rsidP="00894935">
      <w:pPr>
        <w:spacing w:line="360" w:lineRule="auto"/>
        <w:jc w:val="center"/>
        <w:rPr>
          <w:rFonts w:ascii="Times New Roman" w:hAnsi="Times New Roman" w:cs="Times New Roman"/>
          <w:b/>
          <w:sz w:val="28"/>
          <w:szCs w:val="28"/>
        </w:rPr>
      </w:pPr>
      <w:r w:rsidRPr="00CF7EA7">
        <w:rPr>
          <w:rFonts w:ascii="Times New Roman" w:hAnsi="Times New Roman" w:cs="Times New Roman" w:hint="eastAsia"/>
          <w:b/>
          <w:sz w:val="28"/>
          <w:szCs w:val="28"/>
        </w:rPr>
        <w:t>Name: Jie Liu</w:t>
      </w:r>
    </w:p>
    <w:p w:rsidR="00894935" w:rsidRPr="00CF7EA7" w:rsidRDefault="00894935" w:rsidP="00894935">
      <w:pPr>
        <w:spacing w:line="360" w:lineRule="auto"/>
        <w:jc w:val="center"/>
        <w:rPr>
          <w:rFonts w:ascii="Times New Roman" w:hAnsi="Times New Roman" w:cs="Times New Roman"/>
          <w:b/>
          <w:sz w:val="28"/>
          <w:szCs w:val="28"/>
        </w:rPr>
      </w:pPr>
      <w:r w:rsidRPr="00CF7EA7">
        <w:rPr>
          <w:rFonts w:ascii="Times New Roman" w:hAnsi="Times New Roman" w:cs="Times New Roman" w:hint="eastAsia"/>
          <w:b/>
          <w:sz w:val="28"/>
          <w:szCs w:val="28"/>
        </w:rPr>
        <w:t>Student ID: 2308305</w:t>
      </w:r>
    </w:p>
    <w:p w:rsidR="00894935" w:rsidRPr="00CF7EA7" w:rsidRDefault="00894935" w:rsidP="00894935">
      <w:pPr>
        <w:spacing w:line="360" w:lineRule="auto"/>
        <w:jc w:val="center"/>
        <w:rPr>
          <w:rFonts w:ascii="Times New Roman" w:hAnsi="Times New Roman" w:cs="Times New Roman"/>
          <w:b/>
          <w:sz w:val="28"/>
          <w:szCs w:val="28"/>
        </w:rPr>
      </w:pPr>
      <w:r w:rsidRPr="00CF7EA7">
        <w:rPr>
          <w:rFonts w:ascii="Times New Roman" w:hAnsi="Times New Roman" w:cs="Times New Roman" w:hint="eastAsia"/>
          <w:b/>
          <w:sz w:val="28"/>
          <w:szCs w:val="28"/>
        </w:rPr>
        <w:t xml:space="preserve">Module </w:t>
      </w:r>
      <w:r w:rsidRPr="00CF7EA7">
        <w:rPr>
          <w:rFonts w:ascii="Times New Roman" w:hAnsi="Times New Roman" w:cs="Times New Roman"/>
          <w:b/>
          <w:sz w:val="28"/>
          <w:szCs w:val="28"/>
        </w:rPr>
        <w:t>Name:</w:t>
      </w:r>
      <w:r w:rsidRPr="00CF7EA7">
        <w:rPr>
          <w:rFonts w:ascii="Times New Roman" w:hAnsi="Times New Roman" w:cs="Times New Roman" w:hint="eastAsia"/>
          <w:b/>
          <w:sz w:val="28"/>
          <w:szCs w:val="28"/>
        </w:rPr>
        <w:t xml:space="preserve"> </w:t>
      </w:r>
      <w:r>
        <w:rPr>
          <w:rFonts w:ascii="Times New Roman" w:hAnsi="Times New Roman" w:cs="Times New Roman" w:hint="eastAsia"/>
          <w:b/>
          <w:sz w:val="28"/>
          <w:szCs w:val="28"/>
        </w:rPr>
        <w:t>Corporate Finance</w:t>
      </w:r>
    </w:p>
    <w:p w:rsidR="00894935" w:rsidRPr="00CF7EA7" w:rsidRDefault="00894935" w:rsidP="00894935">
      <w:pPr>
        <w:spacing w:line="360" w:lineRule="auto"/>
        <w:jc w:val="center"/>
        <w:rPr>
          <w:rFonts w:ascii="Times New Roman" w:hAnsi="Times New Roman" w:cs="Times New Roman"/>
          <w:b/>
          <w:sz w:val="28"/>
          <w:szCs w:val="28"/>
        </w:rPr>
      </w:pPr>
      <w:r>
        <w:rPr>
          <w:rFonts w:ascii="Times New Roman" w:hAnsi="Times New Roman" w:cs="Times New Roman" w:hint="eastAsia"/>
          <w:b/>
          <w:sz w:val="28"/>
          <w:szCs w:val="28"/>
        </w:rPr>
        <w:t>Module Code: LCMB7005_LON</w:t>
      </w:r>
    </w:p>
    <w:p w:rsidR="00894935" w:rsidRPr="00CF7EA7" w:rsidRDefault="00894935" w:rsidP="00894935">
      <w:pPr>
        <w:spacing w:line="360" w:lineRule="auto"/>
        <w:jc w:val="center"/>
        <w:rPr>
          <w:rFonts w:ascii="Times New Roman" w:hAnsi="Times New Roman" w:cs="Times New Roman"/>
          <w:b/>
          <w:sz w:val="28"/>
          <w:szCs w:val="28"/>
        </w:rPr>
      </w:pPr>
      <w:r w:rsidRPr="00CF7EA7">
        <w:rPr>
          <w:rFonts w:ascii="Times New Roman" w:hAnsi="Times New Roman" w:cs="Times New Roman" w:hint="eastAsia"/>
          <w:b/>
          <w:sz w:val="28"/>
          <w:szCs w:val="28"/>
        </w:rPr>
        <w:t>Lecturer: David Coker</w:t>
      </w:r>
    </w:p>
    <w:p w:rsidR="00894935" w:rsidRDefault="00894935" w:rsidP="00894935">
      <w:pPr>
        <w:rPr>
          <w:rFonts w:ascii="Times New Roman" w:hAnsi="Times New Roman" w:cs="Times New Roman"/>
          <w:b/>
          <w:color w:val="000000"/>
          <w:kern w:val="0"/>
          <w:szCs w:val="21"/>
        </w:rPr>
      </w:pPr>
    </w:p>
    <w:p w:rsidR="00894935" w:rsidRPr="00A03299" w:rsidRDefault="00894935" w:rsidP="00894935">
      <w:pPr>
        <w:rPr>
          <w:rFonts w:ascii="Times New Roman" w:hAnsi="Times New Roman" w:cs="Times New Roman"/>
          <w:color w:val="000000"/>
          <w:kern w:val="0"/>
          <w:szCs w:val="21"/>
        </w:rPr>
      </w:pPr>
    </w:p>
    <w:p w:rsidR="00894935" w:rsidRDefault="00894935" w:rsidP="00894935">
      <w:pPr>
        <w:rPr>
          <w:rFonts w:ascii="Times New Roman" w:hAnsi="Times New Roman" w:cs="Times New Roman"/>
          <w:b/>
          <w:color w:val="000000"/>
          <w:kern w:val="0"/>
          <w:szCs w:val="21"/>
        </w:rPr>
      </w:pPr>
    </w:p>
    <w:p w:rsidR="00894935" w:rsidRDefault="00894935" w:rsidP="00894935">
      <w:pPr>
        <w:jc w:val="center"/>
        <w:rPr>
          <w:rFonts w:ascii="Times New Roman" w:hAnsi="Times New Roman" w:cs="Times New Roman"/>
          <w:b/>
          <w:color w:val="000000"/>
          <w:kern w:val="0"/>
          <w:szCs w:val="21"/>
        </w:rPr>
      </w:pPr>
      <w:r>
        <w:rPr>
          <w:rFonts w:ascii="Times New Roman" w:hAnsi="Times New Roman" w:cs="Times New Roman"/>
          <w:b/>
          <w:noProof/>
          <w:color w:val="000000"/>
          <w:kern w:val="0"/>
          <w:szCs w:val="21"/>
        </w:rPr>
        <w:drawing>
          <wp:inline distT="0" distB="0" distL="0" distR="0">
            <wp:extent cx="1524000" cy="1514475"/>
            <wp:effectExtent l="19050" t="0" r="0" b="0"/>
            <wp:docPr id="2" name="图片 1" descr="3453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45345.jpg"/>
                    <pic:cNvPicPr/>
                  </pic:nvPicPr>
                  <pic:blipFill>
                    <a:blip r:embed="rId8"/>
                    <a:stretch>
                      <a:fillRect/>
                    </a:stretch>
                  </pic:blipFill>
                  <pic:spPr>
                    <a:xfrm>
                      <a:off x="0" y="0"/>
                      <a:ext cx="1524000" cy="1514475"/>
                    </a:xfrm>
                    <a:prstGeom prst="rect">
                      <a:avLst/>
                    </a:prstGeom>
                  </pic:spPr>
                </pic:pic>
              </a:graphicData>
            </a:graphic>
          </wp:inline>
        </w:drawing>
      </w:r>
    </w:p>
    <w:p w:rsidR="00894935" w:rsidRDefault="00894935" w:rsidP="00894935">
      <w:pPr>
        <w:rPr>
          <w:rFonts w:ascii="Times New Roman" w:hAnsi="Times New Roman" w:cs="Times New Roman"/>
          <w:b/>
          <w:color w:val="000000"/>
          <w:kern w:val="0"/>
          <w:szCs w:val="21"/>
        </w:rPr>
      </w:pPr>
    </w:p>
    <w:p w:rsidR="00894935" w:rsidRDefault="00894935" w:rsidP="00894935">
      <w:pPr>
        <w:rPr>
          <w:rFonts w:ascii="Times New Roman" w:hAnsi="Times New Roman" w:cs="Times New Roman"/>
          <w:b/>
          <w:color w:val="000000"/>
          <w:kern w:val="0"/>
          <w:szCs w:val="21"/>
        </w:rPr>
      </w:pPr>
    </w:p>
    <w:p w:rsidR="00894935" w:rsidRDefault="00894935" w:rsidP="00894935">
      <w:pPr>
        <w:rPr>
          <w:rFonts w:ascii="Times New Roman" w:hAnsi="Times New Roman" w:cs="Times New Roman"/>
          <w:b/>
          <w:color w:val="000000"/>
          <w:kern w:val="0"/>
          <w:szCs w:val="21"/>
        </w:rPr>
      </w:pPr>
    </w:p>
    <w:p w:rsidR="00894935" w:rsidRDefault="00894935" w:rsidP="00894935">
      <w:pPr>
        <w:rPr>
          <w:rFonts w:ascii="Times New Roman" w:hAnsi="Times New Roman" w:cs="Times New Roman"/>
          <w:b/>
          <w:color w:val="000000"/>
          <w:kern w:val="0"/>
          <w:szCs w:val="21"/>
        </w:rPr>
      </w:pPr>
    </w:p>
    <w:p w:rsidR="00894935" w:rsidRDefault="00894935" w:rsidP="00894935">
      <w:pPr>
        <w:rPr>
          <w:rFonts w:ascii="Times New Roman" w:hAnsi="Times New Roman" w:cs="Times New Roman"/>
          <w:b/>
          <w:color w:val="000000"/>
          <w:kern w:val="0"/>
          <w:szCs w:val="21"/>
        </w:rPr>
      </w:pPr>
    </w:p>
    <w:p w:rsidR="00894935" w:rsidRDefault="00894935" w:rsidP="00894935">
      <w:pPr>
        <w:rPr>
          <w:rFonts w:ascii="Times New Roman" w:hAnsi="Times New Roman" w:cs="Times New Roman"/>
          <w:b/>
          <w:color w:val="000000"/>
          <w:kern w:val="0"/>
          <w:szCs w:val="21"/>
        </w:rPr>
      </w:pPr>
    </w:p>
    <w:p w:rsidR="00894935" w:rsidRDefault="00894935" w:rsidP="00894935">
      <w:pPr>
        <w:rPr>
          <w:rFonts w:ascii="Times New Roman" w:hAnsi="Times New Roman" w:cs="Times New Roman"/>
          <w:b/>
          <w:color w:val="000000"/>
          <w:kern w:val="0"/>
          <w:szCs w:val="21"/>
        </w:rPr>
      </w:pPr>
    </w:p>
    <w:p w:rsidR="00894935" w:rsidRDefault="00894935" w:rsidP="00894935">
      <w:pPr>
        <w:jc w:val="center"/>
        <w:rPr>
          <w:rFonts w:ascii="Times New Roman" w:hAnsi="Times New Roman" w:cs="Times New Roman"/>
          <w:b/>
          <w:sz w:val="28"/>
          <w:szCs w:val="28"/>
        </w:rPr>
      </w:pPr>
      <w:r w:rsidRPr="00BC4BE7">
        <w:rPr>
          <w:rFonts w:ascii="Times New Roman" w:hAnsi="Times New Roman" w:cs="Times New Roman" w:hint="eastAsia"/>
          <w:b/>
          <w:sz w:val="28"/>
          <w:szCs w:val="28"/>
        </w:rPr>
        <w:t xml:space="preserve">Submitted on: </w:t>
      </w:r>
      <w:r>
        <w:rPr>
          <w:rFonts w:ascii="Times New Roman" w:hAnsi="Times New Roman" w:cs="Times New Roman" w:hint="eastAsia"/>
          <w:b/>
          <w:sz w:val="28"/>
          <w:szCs w:val="28"/>
        </w:rPr>
        <w:t>23nd</w:t>
      </w:r>
      <w:r>
        <w:rPr>
          <w:rFonts w:ascii="Times New Roman" w:hAnsi="Times New Roman" w:cs="Times New Roman"/>
          <w:b/>
          <w:sz w:val="28"/>
          <w:szCs w:val="28"/>
        </w:rPr>
        <w:t>,</w:t>
      </w:r>
      <w:r w:rsidRPr="00BC4BE7">
        <w:rPr>
          <w:rFonts w:ascii="Times New Roman" w:hAnsi="Times New Roman" w:cs="Times New Roman"/>
          <w:b/>
          <w:sz w:val="28"/>
          <w:szCs w:val="28"/>
        </w:rPr>
        <w:t xml:space="preserve"> </w:t>
      </w:r>
      <w:r>
        <w:rPr>
          <w:rFonts w:ascii="Times New Roman" w:hAnsi="Times New Roman" w:cs="Times New Roman" w:hint="eastAsia"/>
          <w:b/>
          <w:sz w:val="28"/>
          <w:szCs w:val="28"/>
        </w:rPr>
        <w:t>April, 2024</w:t>
      </w:r>
    </w:p>
    <w:p w:rsidR="00894935" w:rsidRDefault="00894935">
      <w:pPr>
        <w:widowControl/>
        <w:jc w:val="left"/>
        <w:rPr>
          <w:rFonts w:ascii="Times New Roman" w:hAnsi="Times New Roman" w:cs="Times New Roman"/>
          <w:b/>
          <w:sz w:val="28"/>
          <w:szCs w:val="28"/>
        </w:rPr>
      </w:pPr>
      <w:r>
        <w:rPr>
          <w:rFonts w:ascii="Times New Roman" w:hAnsi="Times New Roman" w:cs="Times New Roman"/>
          <w:b/>
          <w:sz w:val="28"/>
          <w:szCs w:val="28"/>
        </w:rPr>
        <w:br w:type="page"/>
      </w:r>
    </w:p>
    <w:p w:rsidR="005842A3" w:rsidRPr="009840DB" w:rsidRDefault="005842A3" w:rsidP="005842A3">
      <w:pPr>
        <w:jc w:val="left"/>
        <w:rPr>
          <w:rFonts w:ascii="Times New Roman" w:hAnsi="Times New Roman" w:cs="Times New Roman" w:hint="eastAsia"/>
          <w:b/>
          <w:color w:val="000000"/>
          <w:kern w:val="0"/>
          <w:sz w:val="28"/>
          <w:szCs w:val="28"/>
        </w:rPr>
      </w:pPr>
      <w:r w:rsidRPr="009840DB">
        <w:rPr>
          <w:rFonts w:ascii="Times New Roman" w:hAnsi="Times New Roman" w:cs="Times New Roman" w:hint="eastAsia"/>
          <w:b/>
          <w:color w:val="000000"/>
          <w:kern w:val="0"/>
          <w:sz w:val="28"/>
          <w:szCs w:val="28"/>
        </w:rPr>
        <w:lastRenderedPageBreak/>
        <w:t>Table of Contents</w:t>
      </w:r>
    </w:p>
    <w:p w:rsidR="005842A3" w:rsidRDefault="005842A3" w:rsidP="005842A3">
      <w:pPr>
        <w:jc w:val="left"/>
        <w:rPr>
          <w:rFonts w:ascii="Cambria" w:hAnsi="Cambria" w:hint="eastAsia"/>
          <w:b/>
        </w:rPr>
      </w:pPr>
      <w:r>
        <w:rPr>
          <w:rFonts w:ascii="Cambria" w:hAnsi="Cambria" w:hint="eastAsia"/>
          <w:b/>
        </w:rPr>
        <w:t xml:space="preserve">Introduction </w:t>
      </w:r>
      <w:r>
        <w:rPr>
          <w:rFonts w:ascii="Cambria" w:hAnsi="Cambria"/>
          <w:b/>
        </w:rPr>
        <w:t>………………………………………………………………………………………………………………………………………</w:t>
      </w:r>
      <w:r>
        <w:rPr>
          <w:rFonts w:ascii="Cambria" w:hAnsi="Cambria" w:hint="eastAsia"/>
          <w:b/>
        </w:rPr>
        <w:t>.</w:t>
      </w:r>
      <w:r>
        <w:rPr>
          <w:rFonts w:ascii="Cambria" w:hAnsi="Cambria"/>
          <w:b/>
        </w:rPr>
        <w:t>4</w:t>
      </w:r>
    </w:p>
    <w:p w:rsidR="005842A3" w:rsidRPr="00B91A0B" w:rsidRDefault="005842A3" w:rsidP="005842A3">
      <w:pPr>
        <w:jc w:val="left"/>
        <w:rPr>
          <w:rFonts w:ascii="Cambria" w:hAnsi="Cambria"/>
          <w:b/>
        </w:rPr>
      </w:pPr>
      <w:r w:rsidRPr="003365DD">
        <w:rPr>
          <w:rFonts w:ascii="Cambria" w:hAnsi="Cambria" w:hint="eastAsia"/>
          <w:b/>
        </w:rPr>
        <w:t>Part A</w:t>
      </w:r>
      <w:r>
        <w:rPr>
          <w:rFonts w:ascii="Times New Roman" w:hAnsi="Times New Roman" w:cs="Times New Roman"/>
          <w:b/>
          <w:color w:val="000000"/>
          <w:kern w:val="0"/>
          <w:szCs w:val="21"/>
        </w:rPr>
        <w:t>………………………………………………………………………………………………………………</w:t>
      </w:r>
      <w:r>
        <w:rPr>
          <w:rFonts w:ascii="Times New Roman" w:hAnsi="Times New Roman" w:cs="Times New Roman" w:hint="eastAsia"/>
          <w:b/>
          <w:color w:val="000000"/>
          <w:kern w:val="0"/>
          <w:szCs w:val="21"/>
        </w:rPr>
        <w:t>..4</w:t>
      </w:r>
    </w:p>
    <w:p w:rsidR="005842A3" w:rsidRPr="00C52A10" w:rsidRDefault="005842A3" w:rsidP="005842A3">
      <w:pPr>
        <w:pStyle w:val="ab"/>
        <w:numPr>
          <w:ilvl w:val="0"/>
          <w:numId w:val="4"/>
        </w:numPr>
        <w:ind w:firstLineChars="0"/>
        <w:jc w:val="left"/>
        <w:rPr>
          <w:rFonts w:ascii="Times New Roman" w:hAnsi="Times New Roman" w:cs="Times New Roman"/>
          <w:b/>
          <w:color w:val="000000"/>
          <w:kern w:val="0"/>
          <w:szCs w:val="21"/>
        </w:rPr>
      </w:pPr>
      <w:r w:rsidRPr="00C52A10">
        <w:rPr>
          <w:rFonts w:ascii="Times New Roman" w:hAnsi="Times New Roman" w:cs="Times New Roman" w:hint="eastAsia"/>
          <w:b/>
          <w:color w:val="000000"/>
          <w:kern w:val="0"/>
          <w:szCs w:val="21"/>
        </w:rPr>
        <w:t xml:space="preserve">A brief history of </w:t>
      </w:r>
      <w:r>
        <w:rPr>
          <w:rFonts w:ascii="Times New Roman" w:hAnsi="Times New Roman" w:cs="Times New Roman" w:hint="eastAsia"/>
          <w:b/>
          <w:color w:val="000000"/>
          <w:kern w:val="0"/>
          <w:szCs w:val="21"/>
        </w:rPr>
        <w:t>Tesla</w:t>
      </w:r>
      <w:r>
        <w:rPr>
          <w:rFonts w:ascii="Times New Roman" w:hAnsi="Times New Roman" w:cs="Times New Roman"/>
          <w:b/>
          <w:color w:val="000000"/>
          <w:kern w:val="0"/>
          <w:szCs w:val="21"/>
        </w:rPr>
        <w:t>……………………………………………………………</w:t>
      </w:r>
      <w:r>
        <w:rPr>
          <w:rFonts w:ascii="Times New Roman" w:hAnsi="Times New Roman" w:cs="Times New Roman" w:hint="eastAsia"/>
          <w:b/>
          <w:color w:val="000000"/>
          <w:kern w:val="0"/>
          <w:szCs w:val="21"/>
        </w:rPr>
        <w:t>.</w:t>
      </w:r>
      <w:r w:rsidRPr="005842A3">
        <w:rPr>
          <w:rFonts w:ascii="Times New Roman" w:hAnsi="Times New Roman" w:cs="Times New Roman"/>
          <w:b/>
          <w:color w:val="000000"/>
          <w:kern w:val="0"/>
          <w:szCs w:val="21"/>
        </w:rPr>
        <w:t xml:space="preserve"> </w:t>
      </w:r>
      <w:r>
        <w:rPr>
          <w:rFonts w:ascii="Times New Roman" w:hAnsi="Times New Roman" w:cs="Times New Roman"/>
          <w:b/>
          <w:color w:val="000000"/>
          <w:kern w:val="0"/>
          <w:szCs w:val="21"/>
        </w:rPr>
        <w:t>………</w:t>
      </w:r>
      <w:r>
        <w:rPr>
          <w:rFonts w:ascii="Times New Roman" w:hAnsi="Times New Roman" w:cs="Times New Roman" w:hint="eastAsia"/>
          <w:b/>
          <w:color w:val="000000"/>
          <w:kern w:val="0"/>
          <w:szCs w:val="21"/>
        </w:rPr>
        <w:t>..</w:t>
      </w:r>
      <w:r>
        <w:rPr>
          <w:rFonts w:ascii="Times New Roman" w:hAnsi="Times New Roman" w:cs="Times New Roman"/>
          <w:b/>
          <w:color w:val="000000"/>
          <w:kern w:val="0"/>
          <w:szCs w:val="21"/>
        </w:rPr>
        <w:t>…………</w:t>
      </w:r>
      <w:r>
        <w:rPr>
          <w:rFonts w:ascii="Times New Roman" w:hAnsi="Times New Roman" w:cs="Times New Roman" w:hint="eastAsia"/>
          <w:b/>
          <w:color w:val="000000"/>
          <w:kern w:val="0"/>
          <w:szCs w:val="21"/>
        </w:rPr>
        <w:t>..</w:t>
      </w:r>
      <w:r>
        <w:rPr>
          <w:rFonts w:ascii="Times New Roman" w:hAnsi="Times New Roman" w:cs="Times New Roman"/>
          <w:b/>
          <w:color w:val="000000"/>
          <w:kern w:val="0"/>
          <w:szCs w:val="21"/>
        </w:rPr>
        <w:t>……</w:t>
      </w:r>
      <w:r>
        <w:rPr>
          <w:rFonts w:ascii="Times New Roman" w:hAnsi="Times New Roman" w:cs="Times New Roman" w:hint="eastAsia"/>
          <w:b/>
          <w:color w:val="000000"/>
          <w:kern w:val="0"/>
          <w:szCs w:val="21"/>
        </w:rPr>
        <w:t>.4</w:t>
      </w:r>
    </w:p>
    <w:p w:rsidR="005842A3" w:rsidRPr="00C52A10" w:rsidRDefault="005842A3" w:rsidP="005842A3">
      <w:pPr>
        <w:pStyle w:val="ab"/>
        <w:numPr>
          <w:ilvl w:val="0"/>
          <w:numId w:val="4"/>
        </w:numPr>
        <w:ind w:firstLineChars="0"/>
        <w:jc w:val="left"/>
        <w:rPr>
          <w:rFonts w:ascii="Cambria" w:hAnsi="Cambria"/>
          <w:b/>
        </w:rPr>
      </w:pPr>
      <w:r w:rsidRPr="00C52A10">
        <w:rPr>
          <w:rFonts w:ascii="Cambria" w:hAnsi="Cambria" w:hint="eastAsia"/>
          <w:b/>
        </w:rPr>
        <w:t>Industry</w:t>
      </w:r>
      <w:r>
        <w:rPr>
          <w:rFonts w:ascii="Cambria" w:hAnsi="Cambria"/>
          <w:b/>
        </w:rPr>
        <w:t>…………………………………………………………………………………………………</w:t>
      </w:r>
      <w:r>
        <w:rPr>
          <w:rFonts w:ascii="Times New Roman" w:hAnsi="Times New Roman" w:cs="Times New Roman"/>
          <w:b/>
          <w:color w:val="000000"/>
          <w:kern w:val="0"/>
          <w:szCs w:val="21"/>
        </w:rPr>
        <w:t>……………</w:t>
      </w:r>
      <w:r>
        <w:rPr>
          <w:rFonts w:ascii="Cambria" w:hAnsi="Cambria"/>
          <w:b/>
        </w:rPr>
        <w:t>…</w:t>
      </w:r>
      <w:r>
        <w:rPr>
          <w:rFonts w:ascii="Cambria" w:hAnsi="Cambria" w:hint="eastAsia"/>
          <w:b/>
        </w:rPr>
        <w:t>.</w:t>
      </w:r>
      <w:r>
        <w:rPr>
          <w:rFonts w:ascii="Cambria" w:hAnsi="Cambria"/>
          <w:b/>
        </w:rPr>
        <w:t>…………</w:t>
      </w:r>
      <w:r>
        <w:rPr>
          <w:rFonts w:ascii="Cambria" w:hAnsi="Cambria" w:hint="eastAsia"/>
          <w:b/>
        </w:rPr>
        <w:t>..</w:t>
      </w:r>
      <w:r>
        <w:rPr>
          <w:rFonts w:ascii="Cambria" w:hAnsi="Cambria"/>
          <w:b/>
        </w:rPr>
        <w:t>…</w:t>
      </w:r>
      <w:r>
        <w:rPr>
          <w:rFonts w:ascii="Cambria" w:hAnsi="Cambria" w:hint="eastAsia"/>
          <w:b/>
        </w:rPr>
        <w:t>.</w:t>
      </w:r>
      <w:r>
        <w:rPr>
          <w:rFonts w:ascii="Cambria" w:hAnsi="Cambria"/>
          <w:b/>
        </w:rPr>
        <w:t>…</w:t>
      </w:r>
      <w:r>
        <w:rPr>
          <w:rFonts w:ascii="Cambria" w:hAnsi="Cambria" w:hint="eastAsia"/>
          <w:b/>
        </w:rPr>
        <w:t>4</w:t>
      </w:r>
    </w:p>
    <w:p w:rsidR="005842A3" w:rsidRPr="00C52A10" w:rsidRDefault="005842A3" w:rsidP="005842A3">
      <w:pPr>
        <w:pStyle w:val="ab"/>
        <w:numPr>
          <w:ilvl w:val="0"/>
          <w:numId w:val="4"/>
        </w:numPr>
        <w:ind w:firstLineChars="0"/>
        <w:jc w:val="left"/>
        <w:rPr>
          <w:rFonts w:ascii="Cambria" w:hAnsi="Cambria"/>
          <w:b/>
        </w:rPr>
      </w:pPr>
      <w:r w:rsidRPr="00C52A10">
        <w:rPr>
          <w:rFonts w:ascii="Cambria" w:hAnsi="Cambria" w:hint="eastAsia"/>
          <w:b/>
        </w:rPr>
        <w:t>Business model</w:t>
      </w:r>
      <w:r>
        <w:rPr>
          <w:rFonts w:ascii="Cambria" w:hAnsi="Cambria"/>
          <w:b/>
        </w:rPr>
        <w:t>……………………………………………………</w:t>
      </w:r>
      <w:r>
        <w:rPr>
          <w:rFonts w:ascii="Cambria" w:hAnsi="Cambria" w:hint="eastAsia"/>
          <w:b/>
        </w:rPr>
        <w:t>..</w:t>
      </w:r>
      <w:r>
        <w:rPr>
          <w:rFonts w:ascii="Cambria" w:hAnsi="Cambria"/>
          <w:b/>
        </w:rPr>
        <w:t>……………………………</w:t>
      </w:r>
      <w:r>
        <w:rPr>
          <w:rFonts w:ascii="Times New Roman" w:hAnsi="Times New Roman" w:cs="Times New Roman"/>
          <w:b/>
          <w:color w:val="000000"/>
          <w:kern w:val="0"/>
          <w:szCs w:val="21"/>
        </w:rPr>
        <w:t>……………</w:t>
      </w:r>
      <w:r>
        <w:rPr>
          <w:rFonts w:ascii="Cambria" w:hAnsi="Cambria"/>
          <w:b/>
        </w:rPr>
        <w:t>……</w:t>
      </w:r>
      <w:r>
        <w:rPr>
          <w:rFonts w:ascii="Cambria" w:hAnsi="Cambria" w:hint="eastAsia"/>
          <w:b/>
        </w:rPr>
        <w:t>.</w:t>
      </w:r>
      <w:r>
        <w:rPr>
          <w:rFonts w:ascii="Cambria" w:hAnsi="Cambria"/>
          <w:b/>
        </w:rPr>
        <w:t>……………</w:t>
      </w:r>
      <w:r>
        <w:rPr>
          <w:rFonts w:ascii="Cambria" w:hAnsi="Cambria" w:hint="eastAsia"/>
          <w:b/>
        </w:rPr>
        <w:t>...</w:t>
      </w:r>
      <w:r>
        <w:rPr>
          <w:rFonts w:ascii="Cambria" w:hAnsi="Cambria"/>
          <w:b/>
        </w:rPr>
        <w:t>…</w:t>
      </w:r>
      <w:r>
        <w:rPr>
          <w:rFonts w:ascii="Cambria" w:hAnsi="Cambria" w:hint="eastAsia"/>
          <w:b/>
        </w:rPr>
        <w:t>4</w:t>
      </w:r>
    </w:p>
    <w:p w:rsidR="005842A3" w:rsidRPr="00C52A10" w:rsidRDefault="005842A3" w:rsidP="005842A3">
      <w:pPr>
        <w:pStyle w:val="ab"/>
        <w:numPr>
          <w:ilvl w:val="0"/>
          <w:numId w:val="4"/>
        </w:numPr>
        <w:ind w:firstLineChars="0"/>
        <w:jc w:val="left"/>
        <w:rPr>
          <w:rFonts w:ascii="Cambria" w:hAnsi="Cambria"/>
          <w:b/>
        </w:rPr>
      </w:pPr>
      <w:r w:rsidRPr="00C52A10">
        <w:rPr>
          <w:rFonts w:ascii="Cambria" w:hAnsi="Cambria" w:hint="eastAsia"/>
          <w:b/>
        </w:rPr>
        <w:t>Market place</w:t>
      </w:r>
      <w:r>
        <w:rPr>
          <w:rFonts w:ascii="Cambria" w:hAnsi="Cambria"/>
          <w:b/>
        </w:rPr>
        <w:t>…………………………………………………………………………………………</w:t>
      </w:r>
      <w:r>
        <w:rPr>
          <w:rFonts w:ascii="Times New Roman" w:hAnsi="Times New Roman" w:cs="Times New Roman"/>
          <w:b/>
          <w:color w:val="000000"/>
          <w:kern w:val="0"/>
          <w:szCs w:val="21"/>
        </w:rPr>
        <w:t>……………</w:t>
      </w:r>
      <w:r>
        <w:rPr>
          <w:rFonts w:ascii="Cambria" w:hAnsi="Cambria"/>
          <w:b/>
        </w:rPr>
        <w:t>…………………</w:t>
      </w:r>
      <w:r>
        <w:rPr>
          <w:rFonts w:ascii="Cambria" w:hAnsi="Cambria" w:hint="eastAsia"/>
          <w:b/>
        </w:rPr>
        <w:t>....5</w:t>
      </w:r>
    </w:p>
    <w:p w:rsidR="005842A3" w:rsidRPr="00C52A10" w:rsidRDefault="005842A3" w:rsidP="005842A3">
      <w:pPr>
        <w:pStyle w:val="ab"/>
        <w:numPr>
          <w:ilvl w:val="0"/>
          <w:numId w:val="4"/>
        </w:numPr>
        <w:ind w:firstLineChars="0"/>
        <w:jc w:val="left"/>
        <w:rPr>
          <w:rFonts w:ascii="Cambria" w:hAnsi="Cambria"/>
          <w:b/>
        </w:rPr>
      </w:pPr>
      <w:r w:rsidRPr="00C52A10">
        <w:rPr>
          <w:rFonts w:ascii="Cambria" w:hAnsi="Cambria" w:hint="eastAsia"/>
          <w:b/>
        </w:rPr>
        <w:t>Major competitor</w:t>
      </w:r>
      <w:r>
        <w:rPr>
          <w:rFonts w:ascii="Cambria" w:hAnsi="Cambria"/>
          <w:b/>
        </w:rPr>
        <w:t>…………………………………………………………………………………</w:t>
      </w:r>
      <w:r>
        <w:rPr>
          <w:rFonts w:ascii="Cambria" w:hAnsi="Cambria" w:hint="eastAsia"/>
          <w:b/>
        </w:rPr>
        <w:t>...</w:t>
      </w:r>
      <w:r>
        <w:rPr>
          <w:rFonts w:ascii="Cambria" w:hAnsi="Cambria"/>
          <w:b/>
        </w:rPr>
        <w:t>………</w:t>
      </w:r>
      <w:r>
        <w:rPr>
          <w:rFonts w:ascii="Times New Roman" w:hAnsi="Times New Roman" w:cs="Times New Roman"/>
          <w:b/>
          <w:color w:val="000000"/>
          <w:kern w:val="0"/>
          <w:szCs w:val="21"/>
        </w:rPr>
        <w:t>……………</w:t>
      </w:r>
      <w:r>
        <w:rPr>
          <w:rFonts w:ascii="Cambria" w:hAnsi="Cambria"/>
          <w:b/>
        </w:rPr>
        <w:t>…………</w:t>
      </w:r>
      <w:r>
        <w:rPr>
          <w:rFonts w:ascii="Cambria" w:hAnsi="Cambria" w:hint="eastAsia"/>
          <w:b/>
        </w:rPr>
        <w:t>...5</w:t>
      </w:r>
    </w:p>
    <w:p w:rsidR="005842A3" w:rsidRPr="00C52A10" w:rsidRDefault="005842A3" w:rsidP="005842A3">
      <w:pPr>
        <w:pStyle w:val="ab"/>
        <w:numPr>
          <w:ilvl w:val="0"/>
          <w:numId w:val="4"/>
        </w:numPr>
        <w:ind w:firstLineChars="0"/>
        <w:jc w:val="left"/>
        <w:rPr>
          <w:rFonts w:ascii="Cambria" w:hAnsi="Cambria"/>
          <w:b/>
        </w:rPr>
      </w:pPr>
      <w:r w:rsidRPr="00C52A10">
        <w:rPr>
          <w:rFonts w:ascii="Cambria" w:hAnsi="Cambria" w:hint="eastAsia"/>
          <w:b/>
        </w:rPr>
        <w:t>Major events over the past five years every year</w:t>
      </w:r>
      <w:r>
        <w:rPr>
          <w:rFonts w:ascii="Cambria" w:hAnsi="Cambria"/>
          <w:b/>
        </w:rPr>
        <w:t>………………………………………</w:t>
      </w:r>
      <w:r>
        <w:rPr>
          <w:rFonts w:ascii="Cambria" w:hAnsi="Cambria" w:hint="eastAsia"/>
          <w:b/>
        </w:rPr>
        <w:t>.</w:t>
      </w:r>
      <w:r>
        <w:rPr>
          <w:rFonts w:ascii="Cambria" w:hAnsi="Cambria"/>
          <w:b/>
        </w:rPr>
        <w:t>…</w:t>
      </w:r>
      <w:r>
        <w:rPr>
          <w:rFonts w:ascii="Times New Roman" w:hAnsi="Times New Roman" w:cs="Times New Roman"/>
          <w:b/>
          <w:color w:val="000000"/>
          <w:kern w:val="0"/>
          <w:szCs w:val="21"/>
        </w:rPr>
        <w:t>……………</w:t>
      </w:r>
      <w:r>
        <w:rPr>
          <w:rFonts w:ascii="Cambria" w:hAnsi="Cambria"/>
          <w:b/>
        </w:rPr>
        <w:t>………</w:t>
      </w:r>
      <w:r>
        <w:rPr>
          <w:rFonts w:ascii="Cambria" w:hAnsi="Cambria" w:hint="eastAsia"/>
          <w:b/>
        </w:rPr>
        <w:t>..</w:t>
      </w:r>
      <w:r>
        <w:rPr>
          <w:rFonts w:ascii="Cambria" w:hAnsi="Cambria"/>
          <w:b/>
        </w:rPr>
        <w:t>…</w:t>
      </w:r>
      <w:r>
        <w:rPr>
          <w:rFonts w:ascii="Cambria" w:hAnsi="Cambria" w:hint="eastAsia"/>
          <w:b/>
        </w:rPr>
        <w:t>...5</w:t>
      </w:r>
    </w:p>
    <w:p w:rsidR="005842A3" w:rsidRDefault="005842A3" w:rsidP="005842A3">
      <w:pPr>
        <w:jc w:val="left"/>
        <w:rPr>
          <w:rFonts w:ascii="Cambria" w:hAnsi="Cambria" w:hint="eastAsia"/>
          <w:b/>
        </w:rPr>
      </w:pPr>
      <w:r>
        <w:rPr>
          <w:rFonts w:ascii="Cambria" w:hAnsi="Cambria" w:hint="eastAsia"/>
          <w:b/>
        </w:rPr>
        <w:t>Part B</w:t>
      </w:r>
      <w:r>
        <w:rPr>
          <w:rFonts w:ascii="Cambria" w:hAnsi="Cambria"/>
          <w:b/>
        </w:rPr>
        <w:t>…………………………………………………………………………………………………………………</w:t>
      </w:r>
      <w:r>
        <w:rPr>
          <w:rFonts w:ascii="Cambria" w:hAnsi="Cambria" w:hint="eastAsia"/>
          <w:b/>
        </w:rPr>
        <w:t>.</w:t>
      </w:r>
      <w:r w:rsidRPr="005842A3">
        <w:rPr>
          <w:rFonts w:ascii="Times New Roman" w:hAnsi="Times New Roman" w:cs="Times New Roman"/>
          <w:b/>
          <w:color w:val="000000"/>
          <w:kern w:val="0"/>
          <w:szCs w:val="21"/>
        </w:rPr>
        <w:t xml:space="preserve"> </w:t>
      </w:r>
      <w:r>
        <w:rPr>
          <w:rFonts w:ascii="Times New Roman" w:hAnsi="Times New Roman" w:cs="Times New Roman"/>
          <w:b/>
          <w:color w:val="000000"/>
          <w:kern w:val="0"/>
          <w:szCs w:val="21"/>
        </w:rPr>
        <w:t>……………</w:t>
      </w:r>
      <w:r>
        <w:rPr>
          <w:rFonts w:ascii="Cambria" w:hAnsi="Cambria"/>
          <w:b/>
        </w:rPr>
        <w:t>………</w:t>
      </w:r>
      <w:r>
        <w:rPr>
          <w:rFonts w:ascii="Cambria" w:hAnsi="Cambria" w:hint="eastAsia"/>
          <w:b/>
        </w:rPr>
        <w:t>..</w:t>
      </w:r>
      <w:r>
        <w:rPr>
          <w:rFonts w:ascii="Cambria" w:hAnsi="Cambria"/>
          <w:b/>
        </w:rPr>
        <w:t>…</w:t>
      </w:r>
      <w:r>
        <w:rPr>
          <w:rFonts w:ascii="Cambria" w:hAnsi="Cambria" w:hint="eastAsia"/>
          <w:b/>
        </w:rPr>
        <w:t>.6</w:t>
      </w:r>
    </w:p>
    <w:p w:rsidR="005842A3" w:rsidRDefault="005842A3" w:rsidP="005842A3">
      <w:pPr>
        <w:pStyle w:val="ab"/>
        <w:numPr>
          <w:ilvl w:val="0"/>
          <w:numId w:val="5"/>
        </w:numPr>
        <w:ind w:firstLineChars="0"/>
        <w:jc w:val="left"/>
        <w:rPr>
          <w:rFonts w:ascii="Cambria" w:hAnsi="Cambria"/>
          <w:b/>
        </w:rPr>
      </w:pPr>
      <w:r w:rsidRPr="00C52A10">
        <w:rPr>
          <w:rFonts w:ascii="Cambria" w:hAnsi="Cambria" w:hint="eastAsia"/>
          <w:b/>
        </w:rPr>
        <w:t>Cal</w:t>
      </w:r>
      <w:r>
        <w:rPr>
          <w:rFonts w:ascii="Cambria" w:hAnsi="Cambria" w:hint="eastAsia"/>
          <w:b/>
        </w:rPr>
        <w:t>culate and briefly evaluate the</w:t>
      </w:r>
      <w:r w:rsidRPr="00C52A10">
        <w:rPr>
          <w:rFonts w:ascii="Cambria" w:hAnsi="Cambria" w:hint="eastAsia"/>
          <w:b/>
        </w:rPr>
        <w:t xml:space="preserve"> liquidity for the past five years </w:t>
      </w:r>
      <w:r>
        <w:rPr>
          <w:rFonts w:ascii="Cambria" w:hAnsi="Cambria"/>
          <w:b/>
        </w:rPr>
        <w:t>……………</w:t>
      </w:r>
      <w:r>
        <w:rPr>
          <w:rFonts w:ascii="Cambria" w:hAnsi="Cambria" w:hint="eastAsia"/>
          <w:b/>
        </w:rPr>
        <w:t>..</w:t>
      </w:r>
      <w:r>
        <w:rPr>
          <w:rFonts w:ascii="Cambria" w:hAnsi="Cambria"/>
          <w:b/>
        </w:rPr>
        <w:t>…</w:t>
      </w:r>
      <w:r>
        <w:rPr>
          <w:rFonts w:ascii="Cambria" w:hAnsi="Cambria" w:hint="eastAsia"/>
          <w:b/>
        </w:rPr>
        <w:t>.</w:t>
      </w:r>
      <w:r>
        <w:rPr>
          <w:rFonts w:ascii="Cambria" w:hAnsi="Cambria"/>
          <w:b/>
        </w:rPr>
        <w:t>…</w:t>
      </w:r>
      <w:r>
        <w:rPr>
          <w:rFonts w:ascii="Times New Roman" w:hAnsi="Times New Roman" w:cs="Times New Roman"/>
          <w:b/>
          <w:color w:val="000000"/>
          <w:kern w:val="0"/>
          <w:szCs w:val="21"/>
        </w:rPr>
        <w:t>……………</w:t>
      </w:r>
      <w:r>
        <w:rPr>
          <w:rFonts w:ascii="Times New Roman" w:hAnsi="Times New Roman" w:cs="Times New Roman" w:hint="eastAsia"/>
          <w:b/>
          <w:color w:val="000000"/>
          <w:kern w:val="0"/>
          <w:szCs w:val="21"/>
        </w:rPr>
        <w:t>...</w:t>
      </w:r>
      <w:r>
        <w:rPr>
          <w:rFonts w:ascii="Times New Roman" w:hAnsi="Times New Roman" w:cs="Times New Roman"/>
          <w:b/>
          <w:color w:val="000000"/>
          <w:kern w:val="0"/>
          <w:szCs w:val="21"/>
        </w:rPr>
        <w:t>…</w:t>
      </w:r>
      <w:r>
        <w:rPr>
          <w:rFonts w:ascii="Cambria" w:hAnsi="Cambria"/>
          <w:b/>
        </w:rPr>
        <w:t>…</w:t>
      </w:r>
      <w:r>
        <w:rPr>
          <w:rFonts w:ascii="Cambria" w:hAnsi="Cambria" w:hint="eastAsia"/>
          <w:b/>
        </w:rPr>
        <w:t>6</w:t>
      </w:r>
    </w:p>
    <w:p w:rsidR="005842A3" w:rsidRPr="00C52A10" w:rsidRDefault="005842A3" w:rsidP="005842A3">
      <w:pPr>
        <w:pStyle w:val="ab"/>
        <w:numPr>
          <w:ilvl w:val="0"/>
          <w:numId w:val="5"/>
        </w:numPr>
        <w:ind w:firstLineChars="0"/>
        <w:jc w:val="left"/>
        <w:rPr>
          <w:rFonts w:ascii="Cambria" w:hAnsi="Cambria"/>
          <w:b/>
        </w:rPr>
      </w:pPr>
      <w:r w:rsidRPr="00C52A10">
        <w:rPr>
          <w:rFonts w:ascii="Cambria" w:hAnsi="Cambria" w:hint="eastAsia"/>
          <w:b/>
        </w:rPr>
        <w:t xml:space="preserve">Calculate and briefly evaluate the </w:t>
      </w:r>
      <w:r w:rsidRPr="00C52A10">
        <w:rPr>
          <w:rFonts w:ascii="Cambria" w:hAnsi="Cambria"/>
          <w:b/>
        </w:rPr>
        <w:t>leverage (</w:t>
      </w:r>
      <w:r w:rsidRPr="00C52A10">
        <w:rPr>
          <w:rFonts w:ascii="Cambria" w:hAnsi="Cambria" w:hint="eastAsia"/>
          <w:b/>
        </w:rPr>
        <w:t xml:space="preserve">gearing) ratios for the past five years </w:t>
      </w:r>
      <w:r>
        <w:rPr>
          <w:rFonts w:ascii="Cambria" w:hAnsi="Cambria"/>
          <w:b/>
        </w:rPr>
        <w:t>……………</w:t>
      </w:r>
      <w:r>
        <w:rPr>
          <w:rFonts w:ascii="Cambria" w:hAnsi="Cambria" w:hint="eastAsia"/>
          <w:b/>
        </w:rPr>
        <w:t>.</w:t>
      </w:r>
      <w:r>
        <w:rPr>
          <w:rFonts w:ascii="Cambria" w:hAnsi="Cambria"/>
          <w:b/>
        </w:rPr>
        <w:t>…</w:t>
      </w:r>
      <w:r>
        <w:rPr>
          <w:rFonts w:ascii="Cambria" w:hAnsi="Cambria" w:hint="eastAsia"/>
          <w:b/>
        </w:rPr>
        <w:t>..</w:t>
      </w:r>
      <w:r>
        <w:rPr>
          <w:rFonts w:ascii="Cambria" w:hAnsi="Cambria"/>
          <w:b/>
        </w:rPr>
        <w:t>…</w:t>
      </w:r>
      <w:r>
        <w:rPr>
          <w:rFonts w:ascii="Cambria" w:hAnsi="Cambria" w:hint="eastAsia"/>
          <w:b/>
        </w:rPr>
        <w:t>.6</w:t>
      </w:r>
    </w:p>
    <w:p w:rsidR="005842A3" w:rsidRPr="00C52A10" w:rsidRDefault="005842A3" w:rsidP="005842A3">
      <w:pPr>
        <w:pStyle w:val="ab"/>
        <w:numPr>
          <w:ilvl w:val="0"/>
          <w:numId w:val="5"/>
        </w:numPr>
        <w:ind w:firstLineChars="0"/>
        <w:jc w:val="left"/>
        <w:rPr>
          <w:rFonts w:ascii="Cambria" w:hAnsi="Cambria"/>
          <w:b/>
        </w:rPr>
      </w:pPr>
      <w:r w:rsidRPr="00C52A10">
        <w:rPr>
          <w:rFonts w:ascii="Cambria" w:hAnsi="Cambria" w:hint="eastAsia"/>
          <w:b/>
        </w:rPr>
        <w:t>A critical analysis of the corporation's financial performance</w:t>
      </w:r>
      <w:r>
        <w:rPr>
          <w:rFonts w:ascii="Cambria" w:hAnsi="Cambria"/>
          <w:b/>
        </w:rPr>
        <w:t>……………</w:t>
      </w:r>
      <w:r>
        <w:rPr>
          <w:rFonts w:ascii="Cambria" w:hAnsi="Cambria" w:hint="eastAsia"/>
          <w:b/>
        </w:rPr>
        <w:t>..</w:t>
      </w:r>
      <w:r>
        <w:rPr>
          <w:rFonts w:ascii="Cambria" w:hAnsi="Cambria"/>
          <w:b/>
        </w:rPr>
        <w:t>……</w:t>
      </w:r>
      <w:r>
        <w:rPr>
          <w:rFonts w:ascii="Times New Roman" w:hAnsi="Times New Roman" w:cs="Times New Roman"/>
          <w:b/>
          <w:color w:val="000000"/>
          <w:kern w:val="0"/>
          <w:szCs w:val="21"/>
        </w:rPr>
        <w:t>……………</w:t>
      </w:r>
      <w:r>
        <w:rPr>
          <w:rFonts w:ascii="Cambria" w:hAnsi="Cambria"/>
          <w:b/>
        </w:rPr>
        <w:t>……………</w:t>
      </w:r>
      <w:r>
        <w:rPr>
          <w:rFonts w:ascii="Cambria" w:hAnsi="Cambria" w:hint="eastAsia"/>
          <w:b/>
        </w:rPr>
        <w:t>.</w:t>
      </w:r>
      <w:r>
        <w:rPr>
          <w:rFonts w:ascii="Cambria" w:hAnsi="Cambria"/>
          <w:b/>
        </w:rPr>
        <w:t>…</w:t>
      </w:r>
      <w:r>
        <w:rPr>
          <w:rFonts w:ascii="Cambria" w:hAnsi="Cambria" w:hint="eastAsia"/>
          <w:b/>
        </w:rPr>
        <w:t>7</w:t>
      </w:r>
    </w:p>
    <w:p w:rsidR="005842A3" w:rsidRPr="009840DB" w:rsidRDefault="005842A3" w:rsidP="005842A3">
      <w:pPr>
        <w:pStyle w:val="ab"/>
        <w:numPr>
          <w:ilvl w:val="0"/>
          <w:numId w:val="5"/>
        </w:numPr>
        <w:ind w:firstLineChars="0"/>
        <w:jc w:val="left"/>
        <w:rPr>
          <w:rFonts w:ascii="Cambria" w:hAnsi="Cambria"/>
          <w:b/>
        </w:rPr>
      </w:pPr>
      <w:r>
        <w:rPr>
          <w:rFonts w:ascii="Cambria" w:hAnsi="Cambria" w:hint="eastAsia"/>
          <w:b/>
        </w:rPr>
        <w:t>C</w:t>
      </w:r>
      <w:r w:rsidRPr="009840DB">
        <w:rPr>
          <w:rFonts w:ascii="Cambria" w:hAnsi="Cambria" w:hint="eastAsia"/>
          <w:b/>
        </w:rPr>
        <w:t xml:space="preserve">ompare the financial ratios calculated above to the ratios of major competitor, </w:t>
      </w:r>
      <w:r w:rsidRPr="009840DB">
        <w:rPr>
          <w:rFonts w:ascii="Cambria" w:hAnsi="Cambria"/>
          <w:b/>
        </w:rPr>
        <w:t>commenting</w:t>
      </w:r>
      <w:r w:rsidRPr="009840DB">
        <w:rPr>
          <w:rFonts w:ascii="Cambria" w:hAnsi="Cambria" w:hint="eastAsia"/>
          <w:b/>
        </w:rPr>
        <w:t xml:space="preserve"> on similarities or differences </w:t>
      </w:r>
      <w:r>
        <w:rPr>
          <w:rFonts w:ascii="Cambria" w:hAnsi="Cambria"/>
          <w:b/>
        </w:rPr>
        <w:t>……………………………………………</w:t>
      </w:r>
      <w:r>
        <w:rPr>
          <w:rFonts w:ascii="Cambria" w:hAnsi="Cambria" w:hint="eastAsia"/>
          <w:b/>
        </w:rPr>
        <w:t>..</w:t>
      </w:r>
      <w:r>
        <w:rPr>
          <w:rFonts w:ascii="Cambria" w:hAnsi="Cambria"/>
          <w:b/>
        </w:rPr>
        <w:t>……</w:t>
      </w:r>
      <w:r>
        <w:rPr>
          <w:rFonts w:ascii="Times New Roman" w:hAnsi="Times New Roman" w:cs="Times New Roman"/>
          <w:b/>
          <w:color w:val="000000"/>
          <w:kern w:val="0"/>
          <w:szCs w:val="21"/>
        </w:rPr>
        <w:t>……………………………………</w:t>
      </w:r>
      <w:r>
        <w:rPr>
          <w:rFonts w:ascii="Cambria" w:hAnsi="Cambria"/>
          <w:b/>
        </w:rPr>
        <w:t>……</w:t>
      </w:r>
      <w:r>
        <w:rPr>
          <w:rFonts w:ascii="Cambria" w:hAnsi="Cambria" w:hint="eastAsia"/>
          <w:b/>
        </w:rPr>
        <w:t>..8</w:t>
      </w:r>
    </w:p>
    <w:p w:rsidR="005842A3" w:rsidRPr="009840DB" w:rsidRDefault="005842A3" w:rsidP="005842A3">
      <w:pPr>
        <w:pStyle w:val="ab"/>
        <w:numPr>
          <w:ilvl w:val="0"/>
          <w:numId w:val="5"/>
        </w:numPr>
        <w:ind w:firstLineChars="0"/>
        <w:jc w:val="left"/>
        <w:rPr>
          <w:rFonts w:ascii="Cambria" w:hAnsi="Cambria"/>
          <w:b/>
        </w:rPr>
      </w:pPr>
      <w:r w:rsidRPr="009840DB">
        <w:rPr>
          <w:rFonts w:ascii="Cambria" w:hAnsi="Cambria"/>
          <w:b/>
        </w:rPr>
        <w:t>Briefly</w:t>
      </w:r>
      <w:r w:rsidRPr="009840DB">
        <w:rPr>
          <w:rFonts w:ascii="Cambria" w:hAnsi="Cambria" w:hint="eastAsia"/>
          <w:b/>
        </w:rPr>
        <w:t xml:space="preserve"> review a capital structure theory of your choice, drawing on published research </w:t>
      </w:r>
      <w:r>
        <w:rPr>
          <w:rFonts w:ascii="Cambria" w:hAnsi="Cambria"/>
          <w:b/>
        </w:rPr>
        <w:t>………</w:t>
      </w:r>
      <w:r>
        <w:rPr>
          <w:rFonts w:ascii="Cambria" w:hAnsi="Cambria" w:hint="eastAsia"/>
          <w:b/>
        </w:rPr>
        <w:t>.</w:t>
      </w:r>
      <w:r>
        <w:rPr>
          <w:rFonts w:ascii="Cambria" w:hAnsi="Cambria"/>
          <w:b/>
        </w:rPr>
        <w:t>…</w:t>
      </w:r>
      <w:r>
        <w:rPr>
          <w:rFonts w:ascii="Cambria" w:hAnsi="Cambria" w:hint="eastAsia"/>
          <w:b/>
        </w:rPr>
        <w:t>.9</w:t>
      </w:r>
    </w:p>
    <w:p w:rsidR="005842A3" w:rsidRPr="009840DB" w:rsidRDefault="005842A3" w:rsidP="005842A3">
      <w:pPr>
        <w:pStyle w:val="ab"/>
        <w:numPr>
          <w:ilvl w:val="0"/>
          <w:numId w:val="5"/>
        </w:numPr>
        <w:ind w:firstLineChars="0"/>
        <w:jc w:val="left"/>
        <w:rPr>
          <w:rFonts w:ascii="Cambria" w:hAnsi="Cambria"/>
          <w:b/>
        </w:rPr>
      </w:pPr>
      <w:r w:rsidRPr="009840DB">
        <w:rPr>
          <w:rFonts w:ascii="Cambria" w:hAnsi="Cambria"/>
          <w:b/>
        </w:rPr>
        <w:t>Comment</w:t>
      </w:r>
      <w:r w:rsidRPr="009840DB">
        <w:rPr>
          <w:rFonts w:ascii="Cambria" w:hAnsi="Cambria" w:hint="eastAsia"/>
          <w:b/>
        </w:rPr>
        <w:t xml:space="preserve"> on your selected company with </w:t>
      </w:r>
      <w:r w:rsidRPr="009840DB">
        <w:rPr>
          <w:rFonts w:ascii="Cambria" w:hAnsi="Cambria"/>
          <w:b/>
        </w:rPr>
        <w:t>respect</w:t>
      </w:r>
      <w:r w:rsidRPr="009840DB">
        <w:rPr>
          <w:rFonts w:ascii="Cambria" w:hAnsi="Cambria" w:hint="eastAsia"/>
          <w:b/>
        </w:rPr>
        <w:t xml:space="preserve"> to your selected capital structure theory </w:t>
      </w:r>
      <w:r>
        <w:rPr>
          <w:rFonts w:ascii="Cambria" w:hAnsi="Cambria"/>
          <w:b/>
        </w:rPr>
        <w:t>……</w:t>
      </w:r>
      <w:r>
        <w:rPr>
          <w:rFonts w:ascii="Cambria" w:hAnsi="Cambria" w:hint="eastAsia"/>
          <w:b/>
        </w:rPr>
        <w:t>..9</w:t>
      </w:r>
    </w:p>
    <w:p w:rsidR="005842A3" w:rsidRPr="009840DB" w:rsidRDefault="005842A3" w:rsidP="005842A3">
      <w:pPr>
        <w:pStyle w:val="ab"/>
        <w:numPr>
          <w:ilvl w:val="0"/>
          <w:numId w:val="5"/>
        </w:numPr>
        <w:ind w:firstLineChars="0"/>
        <w:jc w:val="left"/>
        <w:rPr>
          <w:rFonts w:ascii="Cambria" w:hAnsi="Cambria"/>
          <w:b/>
        </w:rPr>
      </w:pPr>
      <w:r w:rsidRPr="009840DB">
        <w:rPr>
          <w:rFonts w:ascii="Cambria" w:hAnsi="Cambria"/>
          <w:b/>
        </w:rPr>
        <w:t>Average</w:t>
      </w:r>
      <w:r w:rsidRPr="009840DB">
        <w:rPr>
          <w:rFonts w:ascii="Cambria" w:hAnsi="Cambria" w:hint="eastAsia"/>
          <w:b/>
        </w:rPr>
        <w:t xml:space="preserve"> annual share returns for the past five years</w:t>
      </w:r>
      <w:r>
        <w:rPr>
          <w:rFonts w:ascii="Cambria" w:hAnsi="Cambria"/>
          <w:b/>
        </w:rPr>
        <w:t>…………………………………………</w:t>
      </w:r>
      <w:r>
        <w:rPr>
          <w:rFonts w:ascii="Times New Roman" w:hAnsi="Times New Roman" w:cs="Times New Roman"/>
          <w:b/>
          <w:color w:val="000000"/>
          <w:kern w:val="0"/>
          <w:szCs w:val="21"/>
        </w:rPr>
        <w:t>……………</w:t>
      </w:r>
      <w:r>
        <w:rPr>
          <w:rFonts w:ascii="Times New Roman" w:hAnsi="Times New Roman" w:cs="Times New Roman" w:hint="eastAsia"/>
          <w:b/>
          <w:color w:val="000000"/>
          <w:kern w:val="0"/>
          <w:szCs w:val="21"/>
        </w:rPr>
        <w:t>..</w:t>
      </w:r>
      <w:r>
        <w:rPr>
          <w:rFonts w:ascii="Times New Roman" w:hAnsi="Times New Roman" w:cs="Times New Roman"/>
          <w:b/>
          <w:color w:val="000000"/>
          <w:kern w:val="0"/>
          <w:szCs w:val="21"/>
        </w:rPr>
        <w:t>…</w:t>
      </w:r>
      <w:r>
        <w:rPr>
          <w:rFonts w:ascii="Cambria" w:hAnsi="Cambria" w:hint="eastAsia"/>
          <w:b/>
        </w:rPr>
        <w:t>.10</w:t>
      </w:r>
    </w:p>
    <w:p w:rsidR="005842A3" w:rsidRPr="009840DB" w:rsidRDefault="005842A3" w:rsidP="005842A3">
      <w:pPr>
        <w:jc w:val="left"/>
        <w:rPr>
          <w:rFonts w:ascii="Cambria" w:hAnsi="Cambria"/>
        </w:rPr>
      </w:pPr>
      <w:r w:rsidRPr="009840DB">
        <w:rPr>
          <w:rFonts w:ascii="Cambria" w:hAnsi="Cambria" w:hint="eastAsia"/>
          <w:b/>
        </w:rPr>
        <w:t>Part C. Tesla's largest investment activity during the past five years</w:t>
      </w:r>
      <w:r>
        <w:rPr>
          <w:rFonts w:ascii="Cambria" w:hAnsi="Cambria"/>
          <w:b/>
        </w:rPr>
        <w:t>…………………</w:t>
      </w:r>
      <w:r>
        <w:rPr>
          <w:rFonts w:ascii="Cambria" w:hAnsi="Cambria" w:hint="eastAsia"/>
          <w:b/>
        </w:rPr>
        <w:t>.</w:t>
      </w:r>
      <w:r>
        <w:rPr>
          <w:rFonts w:ascii="Cambria" w:hAnsi="Cambria"/>
          <w:b/>
        </w:rPr>
        <w:t>…</w:t>
      </w:r>
      <w:r>
        <w:rPr>
          <w:rFonts w:ascii="Cambria" w:hAnsi="Cambria" w:hint="eastAsia"/>
          <w:b/>
        </w:rPr>
        <w:t>.</w:t>
      </w:r>
      <w:r w:rsidRPr="005842A3">
        <w:rPr>
          <w:rFonts w:ascii="Times New Roman" w:hAnsi="Times New Roman" w:cs="Times New Roman"/>
          <w:b/>
          <w:color w:val="000000"/>
          <w:kern w:val="0"/>
          <w:szCs w:val="21"/>
        </w:rPr>
        <w:t xml:space="preserve"> </w:t>
      </w:r>
      <w:r>
        <w:rPr>
          <w:rFonts w:ascii="Times New Roman" w:hAnsi="Times New Roman" w:cs="Times New Roman"/>
          <w:b/>
          <w:color w:val="000000"/>
          <w:kern w:val="0"/>
          <w:szCs w:val="21"/>
        </w:rPr>
        <w:t>……………</w:t>
      </w:r>
      <w:r>
        <w:rPr>
          <w:rFonts w:ascii="Cambria" w:hAnsi="Cambria"/>
          <w:b/>
        </w:rPr>
        <w:t>…</w:t>
      </w:r>
      <w:r>
        <w:rPr>
          <w:rFonts w:ascii="Cambria" w:hAnsi="Cambria" w:hint="eastAsia"/>
          <w:b/>
        </w:rPr>
        <w:t>......11</w:t>
      </w:r>
    </w:p>
    <w:p w:rsidR="005842A3" w:rsidRPr="00996AF2" w:rsidRDefault="005842A3" w:rsidP="005842A3">
      <w:pPr>
        <w:pStyle w:val="ab"/>
        <w:numPr>
          <w:ilvl w:val="0"/>
          <w:numId w:val="6"/>
        </w:numPr>
        <w:ind w:firstLineChars="0"/>
        <w:jc w:val="left"/>
        <w:rPr>
          <w:rFonts w:ascii="Cambria" w:hAnsi="Cambria"/>
          <w:b/>
        </w:rPr>
      </w:pPr>
      <w:r w:rsidRPr="00996AF2">
        <w:rPr>
          <w:rFonts w:ascii="Cambria" w:hAnsi="Cambria"/>
          <w:b/>
        </w:rPr>
        <w:t xml:space="preserve">Purpose, aims and expected </w:t>
      </w:r>
      <w:r w:rsidRPr="00996AF2">
        <w:rPr>
          <w:rFonts w:ascii="Cambria" w:hAnsi="Cambria" w:hint="eastAsia"/>
          <w:b/>
        </w:rPr>
        <w:t>outcome</w:t>
      </w:r>
      <w:r w:rsidRPr="00996AF2">
        <w:rPr>
          <w:rFonts w:ascii="Cambria" w:hAnsi="Cambria"/>
          <w:b/>
        </w:rPr>
        <w:t>s of the investment</w:t>
      </w:r>
      <w:r>
        <w:rPr>
          <w:rFonts w:ascii="Cambria" w:hAnsi="Cambria"/>
          <w:b/>
        </w:rPr>
        <w:t>…………………………</w:t>
      </w:r>
      <w:r>
        <w:rPr>
          <w:rFonts w:ascii="Cambria" w:hAnsi="Cambria" w:hint="eastAsia"/>
          <w:b/>
        </w:rPr>
        <w:t>..</w:t>
      </w:r>
      <w:r>
        <w:rPr>
          <w:rFonts w:ascii="Cambria" w:hAnsi="Cambria"/>
          <w:b/>
        </w:rPr>
        <w:t>…</w:t>
      </w:r>
      <w:r>
        <w:rPr>
          <w:rFonts w:ascii="Times New Roman" w:hAnsi="Times New Roman" w:cs="Times New Roman"/>
          <w:b/>
          <w:color w:val="000000"/>
          <w:kern w:val="0"/>
          <w:szCs w:val="21"/>
        </w:rPr>
        <w:t>……………</w:t>
      </w:r>
      <w:r>
        <w:rPr>
          <w:rFonts w:ascii="Cambria" w:hAnsi="Cambria"/>
          <w:b/>
        </w:rPr>
        <w:t>……</w:t>
      </w:r>
      <w:r>
        <w:rPr>
          <w:rFonts w:ascii="Cambria" w:hAnsi="Cambria" w:hint="eastAsia"/>
          <w:b/>
        </w:rPr>
        <w:t>...</w:t>
      </w:r>
      <w:r>
        <w:rPr>
          <w:rFonts w:ascii="Cambria" w:hAnsi="Cambria"/>
          <w:b/>
        </w:rPr>
        <w:t>…</w:t>
      </w:r>
      <w:r>
        <w:rPr>
          <w:rFonts w:ascii="Cambria" w:hAnsi="Cambria" w:hint="eastAsia"/>
          <w:b/>
        </w:rPr>
        <w:t>.11</w:t>
      </w:r>
    </w:p>
    <w:p w:rsidR="005842A3" w:rsidRPr="00996AF2" w:rsidRDefault="005842A3" w:rsidP="005842A3">
      <w:pPr>
        <w:pStyle w:val="ab"/>
        <w:numPr>
          <w:ilvl w:val="0"/>
          <w:numId w:val="6"/>
        </w:numPr>
        <w:ind w:firstLineChars="0"/>
        <w:jc w:val="left"/>
        <w:rPr>
          <w:rFonts w:ascii="Cambria" w:hAnsi="Cambria"/>
          <w:b/>
        </w:rPr>
      </w:pPr>
      <w:r w:rsidRPr="00996AF2">
        <w:rPr>
          <w:rFonts w:ascii="Cambria" w:hAnsi="Cambria"/>
          <w:b/>
        </w:rPr>
        <w:t>Investment scale and financing</w:t>
      </w:r>
      <w:r>
        <w:rPr>
          <w:rFonts w:ascii="Cambria" w:hAnsi="Cambria"/>
          <w:b/>
        </w:rPr>
        <w:t>………………………………………………………………………</w:t>
      </w:r>
      <w:r>
        <w:rPr>
          <w:rFonts w:ascii="Times New Roman" w:hAnsi="Times New Roman" w:cs="Times New Roman"/>
          <w:b/>
          <w:color w:val="000000"/>
          <w:kern w:val="0"/>
          <w:szCs w:val="21"/>
        </w:rPr>
        <w:t>……………</w:t>
      </w:r>
      <w:r>
        <w:rPr>
          <w:rFonts w:ascii="Times New Roman" w:hAnsi="Times New Roman" w:cs="Times New Roman" w:hint="eastAsia"/>
          <w:b/>
          <w:color w:val="000000"/>
          <w:kern w:val="0"/>
          <w:szCs w:val="21"/>
        </w:rPr>
        <w:t>...</w:t>
      </w:r>
      <w:r>
        <w:rPr>
          <w:rFonts w:ascii="Times New Roman" w:hAnsi="Times New Roman" w:cs="Times New Roman"/>
          <w:b/>
          <w:color w:val="000000"/>
          <w:kern w:val="0"/>
          <w:szCs w:val="21"/>
        </w:rPr>
        <w:t>…</w:t>
      </w:r>
      <w:r>
        <w:rPr>
          <w:rFonts w:ascii="Cambria" w:hAnsi="Cambria" w:hint="eastAsia"/>
          <w:b/>
        </w:rPr>
        <w:t>.</w:t>
      </w:r>
      <w:r>
        <w:rPr>
          <w:rFonts w:ascii="Cambria" w:hAnsi="Cambria"/>
          <w:b/>
        </w:rPr>
        <w:t>…</w:t>
      </w:r>
      <w:r>
        <w:rPr>
          <w:rFonts w:ascii="Cambria" w:hAnsi="Cambria" w:hint="eastAsia"/>
          <w:b/>
        </w:rPr>
        <w:t>.11</w:t>
      </w:r>
    </w:p>
    <w:p w:rsidR="005842A3" w:rsidRPr="00996AF2" w:rsidRDefault="005842A3" w:rsidP="005842A3">
      <w:pPr>
        <w:pStyle w:val="ab"/>
        <w:numPr>
          <w:ilvl w:val="0"/>
          <w:numId w:val="6"/>
        </w:numPr>
        <w:ind w:firstLineChars="0"/>
        <w:jc w:val="left"/>
        <w:rPr>
          <w:rFonts w:ascii="Cambria" w:hAnsi="Cambria"/>
          <w:b/>
        </w:rPr>
      </w:pPr>
      <w:r w:rsidRPr="00996AF2">
        <w:rPr>
          <w:rFonts w:ascii="Cambria" w:hAnsi="Cambria" w:hint="eastAsia"/>
          <w:b/>
        </w:rPr>
        <w:t>I</w:t>
      </w:r>
      <w:r w:rsidRPr="00996AF2">
        <w:rPr>
          <w:rFonts w:ascii="Cambria" w:hAnsi="Cambria"/>
          <w:b/>
        </w:rPr>
        <w:t>nvestment feasibility</w:t>
      </w:r>
      <w:r>
        <w:rPr>
          <w:rFonts w:ascii="Cambria" w:hAnsi="Cambria"/>
          <w:b/>
        </w:rPr>
        <w:t>…………………………………………………………………………</w:t>
      </w:r>
      <w:r>
        <w:rPr>
          <w:rFonts w:ascii="Cambria" w:hAnsi="Cambria" w:hint="eastAsia"/>
          <w:b/>
        </w:rPr>
        <w:t>.</w:t>
      </w:r>
      <w:r>
        <w:rPr>
          <w:rFonts w:ascii="Cambria" w:hAnsi="Cambria"/>
          <w:b/>
        </w:rPr>
        <w:t>………</w:t>
      </w:r>
      <w:r>
        <w:rPr>
          <w:rFonts w:ascii="Times New Roman" w:hAnsi="Times New Roman" w:cs="Times New Roman"/>
          <w:b/>
          <w:color w:val="000000"/>
          <w:kern w:val="0"/>
          <w:szCs w:val="21"/>
        </w:rPr>
        <w:t>……………</w:t>
      </w:r>
      <w:r>
        <w:rPr>
          <w:rFonts w:ascii="Cambria" w:hAnsi="Cambria"/>
          <w:b/>
        </w:rPr>
        <w:t>………</w:t>
      </w:r>
      <w:r>
        <w:rPr>
          <w:rFonts w:ascii="Cambria" w:hAnsi="Cambria" w:hint="eastAsia"/>
          <w:b/>
        </w:rPr>
        <w:t>..</w:t>
      </w:r>
      <w:r>
        <w:rPr>
          <w:rFonts w:ascii="Cambria" w:hAnsi="Cambria"/>
          <w:b/>
        </w:rPr>
        <w:t>…</w:t>
      </w:r>
      <w:r>
        <w:rPr>
          <w:rFonts w:ascii="Cambria" w:hAnsi="Cambria" w:hint="eastAsia"/>
          <w:b/>
        </w:rPr>
        <w:t>..11</w:t>
      </w:r>
    </w:p>
    <w:p w:rsidR="005842A3" w:rsidRPr="00A14B01" w:rsidRDefault="005842A3" w:rsidP="005842A3">
      <w:pPr>
        <w:pStyle w:val="ab"/>
        <w:numPr>
          <w:ilvl w:val="0"/>
          <w:numId w:val="6"/>
        </w:numPr>
        <w:ind w:firstLineChars="0"/>
        <w:jc w:val="left"/>
        <w:rPr>
          <w:rFonts w:ascii="Cambria" w:hAnsi="Cambria" w:hint="eastAsia"/>
          <w:b/>
        </w:rPr>
      </w:pPr>
      <w:r w:rsidRPr="00996AF2">
        <w:rPr>
          <w:rFonts w:ascii="Cambria" w:hAnsi="Cambria"/>
          <w:b/>
        </w:rPr>
        <w:t>Current outcome of investments</w:t>
      </w:r>
      <w:r>
        <w:rPr>
          <w:rFonts w:ascii="Cambria" w:hAnsi="Cambria"/>
          <w:b/>
        </w:rPr>
        <w:t>…………………………………………………………………</w:t>
      </w:r>
      <w:r>
        <w:rPr>
          <w:rFonts w:ascii="Times New Roman" w:hAnsi="Times New Roman" w:cs="Times New Roman"/>
          <w:b/>
          <w:color w:val="000000"/>
          <w:kern w:val="0"/>
          <w:szCs w:val="21"/>
        </w:rPr>
        <w:t>……………</w:t>
      </w:r>
      <w:r>
        <w:rPr>
          <w:rFonts w:ascii="Cambria" w:hAnsi="Cambria"/>
          <w:b/>
        </w:rPr>
        <w:t>………</w:t>
      </w:r>
      <w:r>
        <w:rPr>
          <w:rFonts w:ascii="Cambria" w:hAnsi="Cambria" w:hint="eastAsia"/>
          <w:b/>
        </w:rPr>
        <w:t>.</w:t>
      </w:r>
      <w:r>
        <w:rPr>
          <w:rFonts w:ascii="Cambria" w:hAnsi="Cambria"/>
          <w:b/>
        </w:rPr>
        <w:t>…</w:t>
      </w:r>
      <w:r>
        <w:rPr>
          <w:rFonts w:ascii="Cambria" w:hAnsi="Cambria" w:hint="eastAsia"/>
          <w:b/>
        </w:rPr>
        <w:t>...14</w:t>
      </w:r>
    </w:p>
    <w:p w:rsidR="005842A3" w:rsidRDefault="005842A3" w:rsidP="005842A3">
      <w:pPr>
        <w:jc w:val="left"/>
        <w:rPr>
          <w:rFonts w:ascii="Cambria" w:hAnsi="Cambria" w:hint="eastAsia"/>
          <w:b/>
        </w:rPr>
      </w:pPr>
      <w:r>
        <w:rPr>
          <w:rFonts w:ascii="Cambria" w:hAnsi="Cambria" w:hint="eastAsia"/>
          <w:b/>
        </w:rPr>
        <w:t>Conclusion</w:t>
      </w:r>
      <w:r>
        <w:rPr>
          <w:rFonts w:ascii="Cambria" w:hAnsi="Cambria"/>
          <w:b/>
        </w:rPr>
        <w:t>…………………………………………………………………………………………………………</w:t>
      </w:r>
      <w:r>
        <w:rPr>
          <w:rFonts w:ascii="Times New Roman" w:hAnsi="Times New Roman" w:cs="Times New Roman"/>
          <w:b/>
          <w:color w:val="000000"/>
          <w:kern w:val="0"/>
          <w:szCs w:val="21"/>
        </w:rPr>
        <w:t>…………………</w:t>
      </w:r>
      <w:r>
        <w:rPr>
          <w:rFonts w:ascii="Cambria" w:hAnsi="Cambria"/>
          <w:b/>
        </w:rPr>
        <w:t>…</w:t>
      </w:r>
      <w:r>
        <w:rPr>
          <w:rFonts w:ascii="Cambria" w:hAnsi="Cambria" w:hint="eastAsia"/>
          <w:b/>
        </w:rPr>
        <w:t>..</w:t>
      </w:r>
      <w:r>
        <w:rPr>
          <w:rFonts w:ascii="Cambria" w:hAnsi="Cambria"/>
          <w:b/>
        </w:rPr>
        <w:t>...</w:t>
      </w:r>
      <w:r>
        <w:rPr>
          <w:rFonts w:ascii="Cambria" w:hAnsi="Cambria" w:hint="eastAsia"/>
          <w:b/>
        </w:rPr>
        <w:t>14</w:t>
      </w:r>
    </w:p>
    <w:p w:rsidR="005842A3" w:rsidRDefault="005842A3" w:rsidP="005842A3">
      <w:pPr>
        <w:jc w:val="left"/>
        <w:rPr>
          <w:rFonts w:ascii="Cambria" w:hAnsi="Cambria" w:hint="eastAsia"/>
          <w:b/>
        </w:rPr>
      </w:pPr>
      <w:r>
        <w:rPr>
          <w:rFonts w:ascii="Cambria" w:hAnsi="Cambria" w:hint="eastAsia"/>
          <w:b/>
        </w:rPr>
        <w:t>References</w:t>
      </w:r>
      <w:r>
        <w:rPr>
          <w:rFonts w:ascii="Cambria" w:hAnsi="Cambria"/>
          <w:b/>
        </w:rPr>
        <w:t>…………………………………………………………………………………………………………</w:t>
      </w:r>
      <w:r>
        <w:rPr>
          <w:rFonts w:ascii="Times New Roman" w:hAnsi="Times New Roman" w:cs="Times New Roman"/>
          <w:b/>
          <w:color w:val="000000"/>
          <w:kern w:val="0"/>
          <w:szCs w:val="21"/>
        </w:rPr>
        <w:t>…………………</w:t>
      </w:r>
      <w:r>
        <w:rPr>
          <w:rFonts w:ascii="Cambria" w:hAnsi="Cambria"/>
          <w:b/>
        </w:rPr>
        <w:t>……</w:t>
      </w:r>
      <w:r>
        <w:rPr>
          <w:rFonts w:ascii="Cambria" w:hAnsi="Cambria" w:hint="eastAsia"/>
          <w:b/>
        </w:rPr>
        <w:t>..15</w:t>
      </w:r>
    </w:p>
    <w:p w:rsidR="005842A3" w:rsidRDefault="005842A3" w:rsidP="005842A3">
      <w:pPr>
        <w:jc w:val="left"/>
        <w:rPr>
          <w:rFonts w:ascii="Cambria" w:hAnsi="Cambria" w:hint="eastAsia"/>
          <w:b/>
        </w:rPr>
      </w:pPr>
      <w:r w:rsidRPr="00976347">
        <w:rPr>
          <w:rFonts w:ascii="Cambria" w:hAnsi="Cambria" w:hint="eastAsia"/>
          <w:b/>
        </w:rPr>
        <w:t xml:space="preserve">Appendix A. </w:t>
      </w:r>
      <w:r>
        <w:rPr>
          <w:rFonts w:ascii="Cambria" w:hAnsi="Cambria" w:hint="eastAsia"/>
          <w:b/>
        </w:rPr>
        <w:t>Tesla</w:t>
      </w:r>
      <w:r>
        <w:rPr>
          <w:rFonts w:ascii="Cambria" w:hAnsi="Cambria"/>
          <w:b/>
        </w:rPr>
        <w:t>’</w:t>
      </w:r>
      <w:r>
        <w:rPr>
          <w:rFonts w:ascii="Cambria" w:hAnsi="Cambria" w:hint="eastAsia"/>
          <w:b/>
        </w:rPr>
        <w:t>s financial results for the last five years</w:t>
      </w:r>
      <w:r>
        <w:rPr>
          <w:rFonts w:ascii="Cambria" w:hAnsi="Cambria"/>
          <w:b/>
        </w:rPr>
        <w:t>…………………………………</w:t>
      </w:r>
      <w:r>
        <w:rPr>
          <w:rFonts w:ascii="Times New Roman" w:hAnsi="Times New Roman" w:cs="Times New Roman"/>
          <w:b/>
          <w:color w:val="000000"/>
          <w:kern w:val="0"/>
          <w:szCs w:val="21"/>
        </w:rPr>
        <w:t>………</w:t>
      </w:r>
      <w:r>
        <w:rPr>
          <w:rFonts w:ascii="Times New Roman" w:hAnsi="Times New Roman" w:cs="Times New Roman" w:hint="eastAsia"/>
          <w:b/>
          <w:color w:val="000000"/>
          <w:kern w:val="0"/>
          <w:szCs w:val="21"/>
        </w:rPr>
        <w:t>..</w:t>
      </w:r>
      <w:r>
        <w:rPr>
          <w:rFonts w:ascii="Times New Roman" w:hAnsi="Times New Roman" w:cs="Times New Roman"/>
          <w:b/>
          <w:color w:val="000000"/>
          <w:kern w:val="0"/>
          <w:szCs w:val="21"/>
        </w:rPr>
        <w:t>………</w:t>
      </w:r>
      <w:r>
        <w:rPr>
          <w:rFonts w:ascii="Cambria" w:hAnsi="Cambria"/>
          <w:b/>
        </w:rPr>
        <w:t>…</w:t>
      </w:r>
      <w:r>
        <w:rPr>
          <w:rFonts w:ascii="Cambria" w:hAnsi="Cambria" w:hint="eastAsia"/>
          <w:b/>
        </w:rPr>
        <w:t>..</w:t>
      </w:r>
      <w:r>
        <w:rPr>
          <w:rFonts w:ascii="Cambria" w:hAnsi="Cambria"/>
          <w:b/>
        </w:rPr>
        <w:t>.</w:t>
      </w:r>
      <w:r>
        <w:rPr>
          <w:rFonts w:ascii="Cambria" w:hAnsi="Cambria" w:hint="eastAsia"/>
          <w:b/>
        </w:rPr>
        <w:t>..21</w:t>
      </w:r>
    </w:p>
    <w:p w:rsidR="005842A3" w:rsidRPr="00976347" w:rsidRDefault="005842A3" w:rsidP="005842A3">
      <w:pPr>
        <w:jc w:val="left"/>
        <w:rPr>
          <w:rFonts w:ascii="Cambria" w:hAnsi="Cambria"/>
          <w:b/>
        </w:rPr>
      </w:pPr>
      <w:r w:rsidRPr="00976347">
        <w:rPr>
          <w:rFonts w:ascii="Cambria" w:hAnsi="Cambria" w:hint="eastAsia"/>
          <w:b/>
        </w:rPr>
        <w:t xml:space="preserve">Appendix B. </w:t>
      </w:r>
      <w:r>
        <w:rPr>
          <w:rFonts w:ascii="Cambria" w:hAnsi="Cambria" w:hint="eastAsia"/>
          <w:b/>
        </w:rPr>
        <w:t>BYD</w:t>
      </w:r>
      <w:r>
        <w:rPr>
          <w:rFonts w:ascii="Cambria" w:hAnsi="Cambria"/>
          <w:b/>
        </w:rPr>
        <w:t>’</w:t>
      </w:r>
      <w:r>
        <w:rPr>
          <w:rFonts w:ascii="Cambria" w:hAnsi="Cambria" w:hint="eastAsia"/>
          <w:b/>
        </w:rPr>
        <w:t>s financial results for the last five years</w:t>
      </w:r>
      <w:r>
        <w:rPr>
          <w:rFonts w:ascii="Cambria" w:hAnsi="Cambria"/>
          <w:b/>
        </w:rPr>
        <w:t>……………………………………</w:t>
      </w:r>
      <w:r>
        <w:rPr>
          <w:rFonts w:ascii="Times New Roman" w:hAnsi="Times New Roman" w:cs="Times New Roman"/>
          <w:b/>
          <w:color w:val="000000"/>
          <w:kern w:val="0"/>
          <w:szCs w:val="21"/>
        </w:rPr>
        <w:t>………………</w:t>
      </w:r>
      <w:r>
        <w:rPr>
          <w:rFonts w:ascii="Times New Roman" w:hAnsi="Times New Roman" w:cs="Times New Roman" w:hint="eastAsia"/>
          <w:b/>
          <w:color w:val="000000"/>
          <w:kern w:val="0"/>
          <w:szCs w:val="21"/>
        </w:rPr>
        <w:t>..</w:t>
      </w:r>
      <w:r>
        <w:rPr>
          <w:rFonts w:ascii="Cambria" w:hAnsi="Cambria"/>
          <w:b/>
        </w:rPr>
        <w:t>……</w:t>
      </w:r>
      <w:r>
        <w:rPr>
          <w:rFonts w:ascii="Cambria" w:hAnsi="Cambria" w:hint="eastAsia"/>
          <w:b/>
        </w:rPr>
        <w:t>22</w:t>
      </w:r>
    </w:p>
    <w:p w:rsidR="005842A3" w:rsidRPr="00976347" w:rsidRDefault="005842A3" w:rsidP="005842A3">
      <w:pPr>
        <w:jc w:val="left"/>
        <w:rPr>
          <w:rFonts w:ascii="Cambria" w:hAnsi="Cambria" w:hint="eastAsia"/>
          <w:b/>
        </w:rPr>
      </w:pPr>
      <w:r w:rsidRPr="00976347">
        <w:rPr>
          <w:rFonts w:ascii="Cambria" w:hAnsi="Cambria" w:hint="eastAsia"/>
          <w:b/>
        </w:rPr>
        <w:t>Appendix C. Equations</w:t>
      </w:r>
      <w:r>
        <w:rPr>
          <w:rFonts w:ascii="Cambria" w:hAnsi="Cambria"/>
          <w:b/>
        </w:rPr>
        <w:t>……………………………</w:t>
      </w:r>
      <w:r>
        <w:rPr>
          <w:rFonts w:ascii="Cambria" w:hAnsi="Cambria" w:hint="eastAsia"/>
          <w:b/>
        </w:rPr>
        <w:t>.</w:t>
      </w:r>
      <w:r>
        <w:rPr>
          <w:rFonts w:ascii="Cambria" w:hAnsi="Cambria"/>
          <w:b/>
        </w:rPr>
        <w:t>…………………………………………………………</w:t>
      </w:r>
      <w:r>
        <w:rPr>
          <w:rFonts w:ascii="Cambria" w:hAnsi="Cambria" w:hint="eastAsia"/>
          <w:b/>
        </w:rPr>
        <w:t>.</w:t>
      </w:r>
      <w:r w:rsidRPr="005842A3">
        <w:rPr>
          <w:rFonts w:ascii="Times New Roman" w:hAnsi="Times New Roman" w:cs="Times New Roman"/>
          <w:b/>
          <w:color w:val="000000"/>
          <w:kern w:val="0"/>
          <w:szCs w:val="21"/>
        </w:rPr>
        <w:t xml:space="preserve"> </w:t>
      </w:r>
      <w:r>
        <w:rPr>
          <w:rFonts w:ascii="Times New Roman" w:hAnsi="Times New Roman" w:cs="Times New Roman"/>
          <w:b/>
          <w:color w:val="000000"/>
          <w:kern w:val="0"/>
          <w:szCs w:val="21"/>
        </w:rPr>
        <w:t>……………</w:t>
      </w:r>
      <w:r>
        <w:rPr>
          <w:rFonts w:ascii="Times New Roman" w:hAnsi="Times New Roman" w:cs="Times New Roman" w:hint="eastAsia"/>
          <w:b/>
          <w:color w:val="000000"/>
          <w:kern w:val="0"/>
          <w:szCs w:val="21"/>
        </w:rPr>
        <w:t>...</w:t>
      </w:r>
      <w:r>
        <w:rPr>
          <w:rFonts w:ascii="Times New Roman" w:hAnsi="Times New Roman" w:cs="Times New Roman"/>
          <w:b/>
          <w:color w:val="000000"/>
          <w:kern w:val="0"/>
          <w:szCs w:val="21"/>
        </w:rPr>
        <w:t>…</w:t>
      </w:r>
      <w:r>
        <w:rPr>
          <w:rFonts w:ascii="Cambria" w:hAnsi="Cambria"/>
          <w:b/>
        </w:rPr>
        <w:t>……</w:t>
      </w:r>
      <w:r>
        <w:rPr>
          <w:rFonts w:ascii="Cambria" w:hAnsi="Cambria" w:hint="eastAsia"/>
          <w:b/>
        </w:rPr>
        <w:t>23</w:t>
      </w:r>
    </w:p>
    <w:p w:rsidR="005842A3" w:rsidRDefault="005842A3" w:rsidP="005842A3">
      <w:pPr>
        <w:jc w:val="left"/>
        <w:rPr>
          <w:rFonts w:ascii="Times New Roman" w:hAnsi="Times New Roman" w:cs="Times New Roman" w:hint="eastAsia"/>
          <w:b/>
          <w:color w:val="000000"/>
          <w:kern w:val="0"/>
          <w:sz w:val="28"/>
          <w:szCs w:val="28"/>
        </w:rPr>
      </w:pPr>
    </w:p>
    <w:p w:rsidR="005842A3" w:rsidRPr="00A14B01" w:rsidRDefault="005842A3" w:rsidP="005842A3">
      <w:pPr>
        <w:jc w:val="left"/>
        <w:rPr>
          <w:rFonts w:ascii="Times New Roman" w:hAnsi="Times New Roman" w:cs="Times New Roman" w:hint="eastAsia"/>
          <w:b/>
          <w:color w:val="000000"/>
          <w:kern w:val="0"/>
          <w:sz w:val="28"/>
          <w:szCs w:val="28"/>
        </w:rPr>
      </w:pPr>
      <w:r w:rsidRPr="00A14B01">
        <w:rPr>
          <w:rFonts w:ascii="Times New Roman" w:hAnsi="Times New Roman" w:cs="Times New Roman" w:hint="eastAsia"/>
          <w:b/>
          <w:color w:val="000000"/>
          <w:kern w:val="0"/>
          <w:sz w:val="28"/>
          <w:szCs w:val="28"/>
        </w:rPr>
        <w:t>Table of Figures</w:t>
      </w:r>
    </w:p>
    <w:p w:rsidR="005842A3" w:rsidRPr="00A14B01" w:rsidRDefault="005842A3" w:rsidP="005842A3">
      <w:pPr>
        <w:pStyle w:val="ab"/>
        <w:ind w:firstLineChars="0" w:firstLine="0"/>
        <w:jc w:val="left"/>
        <w:rPr>
          <w:rFonts w:ascii="Cambria" w:hAnsi="Cambria" w:hint="eastAsia"/>
          <w:b/>
        </w:rPr>
      </w:pPr>
      <w:r w:rsidRPr="00A14B01">
        <w:rPr>
          <w:rFonts w:ascii="Cambria" w:hAnsi="Cambria" w:hint="eastAsia"/>
          <w:b/>
        </w:rPr>
        <w:t>Figure 1</w:t>
      </w:r>
      <w:r>
        <w:rPr>
          <w:rFonts w:ascii="Cambria" w:hAnsi="Cambria" w:hint="eastAsia"/>
          <w:b/>
        </w:rPr>
        <w:t>.Tesla</w:t>
      </w:r>
      <w:r>
        <w:rPr>
          <w:rFonts w:ascii="Cambria" w:hAnsi="Cambria"/>
          <w:b/>
        </w:rPr>
        <w:t>’</w:t>
      </w:r>
      <w:r>
        <w:rPr>
          <w:rFonts w:ascii="Cambria" w:hAnsi="Cambria" w:hint="eastAsia"/>
          <w:b/>
        </w:rPr>
        <w:t>s revenue from FY2008 to FY 2023</w:t>
      </w:r>
      <w:r>
        <w:rPr>
          <w:rFonts w:ascii="Cambria" w:hAnsi="Cambria"/>
          <w:b/>
        </w:rPr>
        <w:t>………………………………………………………………………</w:t>
      </w:r>
      <w:r>
        <w:rPr>
          <w:rFonts w:ascii="Cambria" w:hAnsi="Cambria" w:hint="eastAsia"/>
          <w:b/>
        </w:rPr>
        <w:t>.</w:t>
      </w:r>
      <w:r>
        <w:rPr>
          <w:rFonts w:ascii="Cambria" w:hAnsi="Cambria"/>
          <w:b/>
        </w:rPr>
        <w:t>……</w:t>
      </w:r>
      <w:r>
        <w:rPr>
          <w:rFonts w:ascii="Cambria" w:hAnsi="Cambria" w:hint="eastAsia"/>
          <w:b/>
        </w:rPr>
        <w:t>..5</w:t>
      </w:r>
    </w:p>
    <w:p w:rsidR="005842A3" w:rsidRDefault="005842A3" w:rsidP="005842A3">
      <w:pPr>
        <w:pStyle w:val="ab"/>
        <w:ind w:firstLineChars="0" w:firstLine="0"/>
        <w:jc w:val="left"/>
        <w:rPr>
          <w:rFonts w:ascii="Cambria" w:hAnsi="Cambria" w:hint="eastAsia"/>
          <w:b/>
        </w:rPr>
      </w:pPr>
      <w:r w:rsidRPr="00A14B01">
        <w:rPr>
          <w:rFonts w:ascii="Cambria" w:hAnsi="Cambria" w:hint="eastAsia"/>
          <w:b/>
        </w:rPr>
        <w:t>Figure 2</w:t>
      </w:r>
      <w:r>
        <w:rPr>
          <w:rFonts w:ascii="Cambria" w:hAnsi="Cambria" w:hint="eastAsia"/>
          <w:b/>
        </w:rPr>
        <w:t>.The sales of BYD and Tesla between 2020 Q1 to 2024 Q1</w:t>
      </w:r>
      <w:r>
        <w:rPr>
          <w:rFonts w:ascii="Cambria" w:hAnsi="Cambria"/>
          <w:b/>
        </w:rPr>
        <w:t>…………………</w:t>
      </w:r>
      <w:r>
        <w:rPr>
          <w:rFonts w:ascii="Cambria" w:hAnsi="Cambria" w:hint="eastAsia"/>
          <w:b/>
        </w:rPr>
        <w:t>.</w:t>
      </w:r>
      <w:r>
        <w:rPr>
          <w:rFonts w:ascii="Cambria" w:hAnsi="Cambria"/>
          <w:b/>
        </w:rPr>
        <w:t>…………………………………</w:t>
      </w:r>
      <w:r>
        <w:rPr>
          <w:rFonts w:ascii="Cambria" w:hAnsi="Cambria" w:hint="eastAsia"/>
          <w:b/>
        </w:rPr>
        <w:t>5</w:t>
      </w:r>
    </w:p>
    <w:p w:rsidR="005842A3" w:rsidRPr="00A14B01" w:rsidRDefault="005842A3" w:rsidP="005842A3">
      <w:pPr>
        <w:pStyle w:val="ab"/>
        <w:ind w:firstLineChars="0" w:firstLine="0"/>
        <w:jc w:val="left"/>
        <w:rPr>
          <w:rFonts w:ascii="Cambria" w:hAnsi="Cambria"/>
          <w:b/>
        </w:rPr>
      </w:pPr>
      <w:r>
        <w:rPr>
          <w:rFonts w:ascii="Cambria" w:hAnsi="Cambria" w:hint="eastAsia"/>
          <w:b/>
        </w:rPr>
        <w:t>Figure 3.Telsa</w:t>
      </w:r>
      <w:r>
        <w:rPr>
          <w:rFonts w:ascii="Cambria" w:hAnsi="Cambria"/>
          <w:b/>
        </w:rPr>
        <w:t>’</w:t>
      </w:r>
      <w:r>
        <w:rPr>
          <w:rFonts w:ascii="Cambria" w:hAnsi="Cambria" w:hint="eastAsia"/>
          <w:b/>
        </w:rPr>
        <w:t>s years average in last five years</w:t>
      </w:r>
      <w:r>
        <w:rPr>
          <w:rFonts w:ascii="Cambria" w:hAnsi="Cambria"/>
          <w:b/>
        </w:rPr>
        <w:t>………………………………………………………………</w:t>
      </w:r>
      <w:r>
        <w:rPr>
          <w:rFonts w:ascii="Cambria" w:hAnsi="Cambria" w:hint="eastAsia"/>
          <w:b/>
        </w:rPr>
        <w:t>..</w:t>
      </w:r>
      <w:r>
        <w:rPr>
          <w:rFonts w:ascii="Cambria" w:hAnsi="Cambria"/>
          <w:b/>
        </w:rPr>
        <w:t>…………….</w:t>
      </w:r>
      <w:r>
        <w:rPr>
          <w:rFonts w:ascii="Cambria" w:hAnsi="Cambria" w:hint="eastAsia"/>
          <w:b/>
        </w:rPr>
        <w:t>..10</w:t>
      </w:r>
    </w:p>
    <w:p w:rsidR="005842A3" w:rsidRPr="00A14B01" w:rsidRDefault="005842A3" w:rsidP="005842A3">
      <w:pPr>
        <w:pStyle w:val="ab"/>
        <w:ind w:firstLineChars="0" w:firstLine="0"/>
        <w:jc w:val="left"/>
        <w:rPr>
          <w:rFonts w:ascii="Cambria" w:hAnsi="Cambria"/>
          <w:b/>
        </w:rPr>
      </w:pPr>
      <w:r>
        <w:rPr>
          <w:rFonts w:ascii="Cambria" w:hAnsi="Cambria" w:hint="eastAsia"/>
          <w:b/>
        </w:rPr>
        <w:t>Figure 4.Tesla</w:t>
      </w:r>
      <w:r>
        <w:rPr>
          <w:rFonts w:ascii="Cambria" w:hAnsi="Cambria"/>
          <w:b/>
        </w:rPr>
        <w:t>’</w:t>
      </w:r>
      <w:r>
        <w:rPr>
          <w:rFonts w:ascii="Cambria" w:hAnsi="Cambria" w:hint="eastAsia"/>
          <w:b/>
        </w:rPr>
        <w:t>s return in last five years</w:t>
      </w:r>
      <w:r>
        <w:rPr>
          <w:rFonts w:ascii="Cambria" w:hAnsi="Cambria"/>
          <w:b/>
        </w:rPr>
        <w:t>……………………………………………………………………………………………</w:t>
      </w:r>
      <w:r>
        <w:rPr>
          <w:rFonts w:ascii="Cambria" w:hAnsi="Cambria" w:hint="eastAsia"/>
          <w:b/>
        </w:rPr>
        <w:t>10</w:t>
      </w:r>
    </w:p>
    <w:p w:rsidR="005842A3" w:rsidRDefault="005842A3" w:rsidP="005842A3">
      <w:pPr>
        <w:pStyle w:val="ab"/>
        <w:ind w:firstLineChars="0" w:firstLine="0"/>
        <w:jc w:val="left"/>
        <w:rPr>
          <w:rFonts w:ascii="Cambria" w:hAnsi="Cambria" w:hint="eastAsia"/>
          <w:b/>
        </w:rPr>
      </w:pPr>
      <w:r>
        <w:rPr>
          <w:rFonts w:ascii="Cambria" w:hAnsi="Cambria" w:hint="eastAsia"/>
          <w:b/>
        </w:rPr>
        <w:t>Figure 5.Tesla</w:t>
      </w:r>
      <w:r>
        <w:rPr>
          <w:rFonts w:ascii="Cambria" w:hAnsi="Cambria"/>
          <w:b/>
        </w:rPr>
        <w:t>’</w:t>
      </w:r>
      <w:r>
        <w:rPr>
          <w:rFonts w:ascii="Cambria" w:hAnsi="Cambria" w:hint="eastAsia"/>
          <w:b/>
        </w:rPr>
        <w:t>s total debt from 2012 to 2018</w:t>
      </w:r>
      <w:r>
        <w:rPr>
          <w:rFonts w:ascii="Cambria" w:hAnsi="Cambria"/>
          <w:b/>
        </w:rPr>
        <w:t>…………………………</w:t>
      </w:r>
      <w:r>
        <w:rPr>
          <w:rFonts w:ascii="Cambria" w:hAnsi="Cambria" w:hint="eastAsia"/>
          <w:b/>
        </w:rPr>
        <w:t>..</w:t>
      </w:r>
      <w:r>
        <w:rPr>
          <w:rFonts w:ascii="Cambria" w:hAnsi="Cambria"/>
          <w:b/>
        </w:rPr>
        <w:t>……</w:t>
      </w:r>
      <w:r>
        <w:rPr>
          <w:rFonts w:ascii="Cambria" w:hAnsi="Cambria" w:hint="eastAsia"/>
          <w:b/>
        </w:rPr>
        <w:t>.</w:t>
      </w:r>
      <w:r>
        <w:rPr>
          <w:rFonts w:ascii="Cambria" w:hAnsi="Cambria"/>
          <w:b/>
        </w:rPr>
        <w:t>……………………………………………</w:t>
      </w:r>
      <w:r>
        <w:rPr>
          <w:rFonts w:ascii="Cambria" w:hAnsi="Cambria" w:hint="eastAsia"/>
          <w:b/>
        </w:rPr>
        <w:t>..</w:t>
      </w:r>
      <w:r>
        <w:rPr>
          <w:rFonts w:ascii="Cambria" w:hAnsi="Cambria"/>
          <w:b/>
        </w:rPr>
        <w:t>…</w:t>
      </w:r>
      <w:r>
        <w:rPr>
          <w:rFonts w:ascii="Cambria" w:hAnsi="Cambria" w:hint="eastAsia"/>
          <w:b/>
        </w:rPr>
        <w:t>13</w:t>
      </w:r>
    </w:p>
    <w:p w:rsidR="005842A3" w:rsidRDefault="005842A3" w:rsidP="005842A3">
      <w:pPr>
        <w:pStyle w:val="ab"/>
        <w:ind w:firstLineChars="0" w:firstLine="0"/>
        <w:jc w:val="left"/>
        <w:rPr>
          <w:rFonts w:ascii="Cambria" w:hAnsi="Cambria" w:hint="eastAsia"/>
          <w:b/>
        </w:rPr>
      </w:pPr>
    </w:p>
    <w:p w:rsidR="005842A3" w:rsidRDefault="005842A3" w:rsidP="005842A3">
      <w:pPr>
        <w:jc w:val="left"/>
        <w:rPr>
          <w:rFonts w:ascii="Times New Roman" w:hAnsi="Times New Roman" w:cs="Times New Roman" w:hint="eastAsia"/>
          <w:b/>
          <w:color w:val="000000"/>
          <w:kern w:val="0"/>
          <w:sz w:val="28"/>
          <w:szCs w:val="28"/>
        </w:rPr>
      </w:pPr>
      <w:r w:rsidRPr="00A14B01">
        <w:rPr>
          <w:rFonts w:ascii="Times New Roman" w:hAnsi="Times New Roman" w:cs="Times New Roman" w:hint="eastAsia"/>
          <w:b/>
          <w:color w:val="000000"/>
          <w:kern w:val="0"/>
          <w:sz w:val="28"/>
          <w:szCs w:val="28"/>
        </w:rPr>
        <w:t>Table of Tables</w:t>
      </w:r>
    </w:p>
    <w:p w:rsidR="005842A3" w:rsidRDefault="005842A3" w:rsidP="005842A3">
      <w:pPr>
        <w:pStyle w:val="ab"/>
        <w:ind w:firstLineChars="0" w:firstLine="0"/>
        <w:jc w:val="left"/>
        <w:rPr>
          <w:rFonts w:ascii="Cambria" w:hAnsi="Cambria" w:hint="eastAsia"/>
          <w:b/>
        </w:rPr>
      </w:pPr>
      <w:r w:rsidRPr="00A14B01">
        <w:rPr>
          <w:rFonts w:ascii="Cambria" w:hAnsi="Cambria" w:hint="eastAsia"/>
          <w:b/>
        </w:rPr>
        <w:t>Table1.</w:t>
      </w:r>
      <w:r>
        <w:rPr>
          <w:rFonts w:ascii="Cambria" w:hAnsi="Cambria" w:hint="eastAsia"/>
          <w:b/>
        </w:rPr>
        <w:t>The liquidity ratios of Tesla in last five years</w:t>
      </w:r>
      <w:r>
        <w:rPr>
          <w:rFonts w:ascii="Cambria" w:hAnsi="Cambria"/>
          <w:b/>
        </w:rPr>
        <w:t>………………………………………………………………</w:t>
      </w:r>
      <w:r>
        <w:rPr>
          <w:rFonts w:ascii="Cambria" w:hAnsi="Cambria" w:hint="eastAsia"/>
          <w:b/>
        </w:rPr>
        <w:t>..</w:t>
      </w:r>
      <w:r>
        <w:rPr>
          <w:rFonts w:ascii="Cambria" w:hAnsi="Cambria"/>
          <w:b/>
        </w:rPr>
        <w:t>…</w:t>
      </w:r>
      <w:r>
        <w:rPr>
          <w:rFonts w:ascii="Cambria" w:hAnsi="Cambria" w:hint="eastAsia"/>
          <w:b/>
        </w:rPr>
        <w:t>..</w:t>
      </w:r>
      <w:r>
        <w:rPr>
          <w:rFonts w:ascii="Cambria" w:hAnsi="Cambria"/>
          <w:b/>
        </w:rPr>
        <w:t>……</w:t>
      </w:r>
      <w:r>
        <w:rPr>
          <w:rFonts w:ascii="Cambria" w:hAnsi="Cambria" w:hint="eastAsia"/>
          <w:b/>
        </w:rPr>
        <w:t>6</w:t>
      </w:r>
    </w:p>
    <w:p w:rsidR="005842A3" w:rsidRPr="00A14B01" w:rsidRDefault="005842A3" w:rsidP="005842A3">
      <w:pPr>
        <w:pStyle w:val="ab"/>
        <w:ind w:firstLineChars="0" w:firstLine="0"/>
        <w:jc w:val="left"/>
        <w:rPr>
          <w:rFonts w:ascii="Cambria" w:hAnsi="Cambria"/>
          <w:b/>
        </w:rPr>
      </w:pPr>
      <w:r w:rsidRPr="00A14B01">
        <w:rPr>
          <w:rFonts w:ascii="Cambria" w:hAnsi="Cambria" w:hint="eastAsia"/>
          <w:b/>
        </w:rPr>
        <w:t>Table2. The leverage ratios of Tesla in last five years</w:t>
      </w:r>
      <w:r>
        <w:rPr>
          <w:rFonts w:ascii="Cambria" w:hAnsi="Cambria"/>
          <w:b/>
        </w:rPr>
        <w:t>…………………………………………………………………</w:t>
      </w:r>
      <w:r>
        <w:rPr>
          <w:rFonts w:ascii="Cambria" w:hAnsi="Cambria" w:hint="eastAsia"/>
          <w:b/>
        </w:rPr>
        <w:t>..</w:t>
      </w:r>
      <w:r>
        <w:rPr>
          <w:rFonts w:ascii="Cambria" w:hAnsi="Cambria"/>
          <w:b/>
        </w:rPr>
        <w:t>…</w:t>
      </w:r>
      <w:r>
        <w:rPr>
          <w:rFonts w:ascii="Cambria" w:hAnsi="Cambria" w:hint="eastAsia"/>
          <w:b/>
        </w:rPr>
        <w:t>..</w:t>
      </w:r>
      <w:r>
        <w:rPr>
          <w:rFonts w:ascii="Cambria" w:hAnsi="Cambria"/>
          <w:b/>
        </w:rPr>
        <w:t>.</w:t>
      </w:r>
      <w:r>
        <w:rPr>
          <w:rFonts w:ascii="Cambria" w:hAnsi="Cambria" w:hint="eastAsia"/>
          <w:b/>
        </w:rPr>
        <w:t>..7</w:t>
      </w:r>
    </w:p>
    <w:p w:rsidR="005842A3" w:rsidRPr="00A14B01" w:rsidRDefault="005842A3" w:rsidP="005842A3">
      <w:pPr>
        <w:pStyle w:val="ab"/>
        <w:ind w:firstLineChars="0" w:firstLine="0"/>
        <w:jc w:val="left"/>
        <w:rPr>
          <w:rFonts w:ascii="Cambria" w:hAnsi="Cambria"/>
          <w:b/>
        </w:rPr>
      </w:pPr>
      <w:r w:rsidRPr="00A14B01">
        <w:rPr>
          <w:rFonts w:ascii="Cambria" w:hAnsi="Cambria"/>
          <w:b/>
        </w:rPr>
        <w:t xml:space="preserve">Table3. </w:t>
      </w:r>
      <w:r w:rsidRPr="00A14B01">
        <w:rPr>
          <w:rFonts w:ascii="Cambria" w:hAnsi="Cambria" w:hint="eastAsia"/>
          <w:b/>
        </w:rPr>
        <w:t>The liquidity ratios of BYD in last five years</w:t>
      </w:r>
      <w:r>
        <w:rPr>
          <w:rFonts w:ascii="Cambria" w:hAnsi="Cambria"/>
          <w:b/>
        </w:rPr>
        <w:t>……………………………………………………………………………</w:t>
      </w:r>
      <w:r>
        <w:rPr>
          <w:rFonts w:ascii="Cambria" w:hAnsi="Cambria" w:hint="eastAsia"/>
          <w:b/>
        </w:rPr>
        <w:t>8</w:t>
      </w:r>
    </w:p>
    <w:p w:rsidR="005842A3" w:rsidRPr="00A14B01" w:rsidRDefault="005842A3" w:rsidP="005842A3">
      <w:pPr>
        <w:pStyle w:val="ab"/>
        <w:ind w:firstLineChars="0" w:firstLine="0"/>
        <w:jc w:val="left"/>
        <w:rPr>
          <w:rFonts w:ascii="Cambria" w:hAnsi="Cambria"/>
          <w:b/>
        </w:rPr>
      </w:pPr>
      <w:r w:rsidRPr="00A14B01">
        <w:rPr>
          <w:rFonts w:ascii="Cambria" w:hAnsi="Cambria"/>
          <w:b/>
        </w:rPr>
        <w:lastRenderedPageBreak/>
        <w:t xml:space="preserve">Table4. </w:t>
      </w:r>
      <w:r w:rsidRPr="00A14B01">
        <w:rPr>
          <w:rFonts w:ascii="Cambria" w:hAnsi="Cambria" w:hint="eastAsia"/>
          <w:b/>
        </w:rPr>
        <w:t>The leverage ratios of BYD in last five years</w:t>
      </w:r>
      <w:r>
        <w:rPr>
          <w:rFonts w:ascii="Cambria" w:hAnsi="Cambria"/>
          <w:b/>
        </w:rPr>
        <w:t>……………………………………………</w:t>
      </w:r>
      <w:r>
        <w:rPr>
          <w:rFonts w:ascii="Cambria" w:hAnsi="Cambria" w:hint="eastAsia"/>
          <w:b/>
        </w:rPr>
        <w:t>..</w:t>
      </w:r>
      <w:r>
        <w:rPr>
          <w:rFonts w:ascii="Cambria" w:hAnsi="Cambria"/>
          <w:b/>
        </w:rPr>
        <w:t>……………………………</w:t>
      </w:r>
      <w:r>
        <w:rPr>
          <w:rFonts w:ascii="Cambria" w:hAnsi="Cambria" w:hint="eastAsia"/>
          <w:b/>
        </w:rPr>
        <w:t>8</w:t>
      </w:r>
    </w:p>
    <w:p w:rsidR="005842A3" w:rsidRDefault="005842A3" w:rsidP="005842A3">
      <w:pPr>
        <w:pStyle w:val="ab"/>
        <w:ind w:firstLineChars="0" w:firstLine="0"/>
        <w:jc w:val="left"/>
        <w:rPr>
          <w:rFonts w:ascii="Cambria" w:hAnsi="Cambria" w:hint="eastAsia"/>
          <w:b/>
        </w:rPr>
      </w:pPr>
      <w:r w:rsidRPr="00A14B01">
        <w:rPr>
          <w:rFonts w:ascii="Cambria" w:hAnsi="Cambria" w:hint="eastAsia"/>
          <w:b/>
        </w:rPr>
        <w:t>Table5. Tesla</w:t>
      </w:r>
      <w:r w:rsidRPr="00A14B01">
        <w:rPr>
          <w:rFonts w:ascii="Cambria" w:hAnsi="Cambria"/>
          <w:b/>
        </w:rPr>
        <w:t>’</w:t>
      </w:r>
      <w:r w:rsidRPr="00A14B01">
        <w:rPr>
          <w:rFonts w:ascii="Cambria" w:hAnsi="Cambria" w:hint="eastAsia"/>
          <w:b/>
        </w:rPr>
        <w:t xml:space="preserve">s </w:t>
      </w:r>
      <w:r w:rsidRPr="00A14B01">
        <w:rPr>
          <w:rFonts w:ascii="Cambria" w:hAnsi="Cambria"/>
          <w:b/>
        </w:rPr>
        <w:t>average stock price and return</w:t>
      </w:r>
      <w:r w:rsidRPr="00A14B01">
        <w:rPr>
          <w:rFonts w:ascii="Cambria" w:hAnsi="Cambria" w:hint="eastAsia"/>
          <w:b/>
        </w:rPr>
        <w:t xml:space="preserve"> over the past five years</w:t>
      </w:r>
      <w:r>
        <w:rPr>
          <w:rFonts w:ascii="Cambria" w:hAnsi="Cambria"/>
          <w:b/>
        </w:rPr>
        <w:t>………………………………</w:t>
      </w:r>
      <w:r>
        <w:rPr>
          <w:rFonts w:ascii="Cambria" w:hAnsi="Cambria" w:hint="eastAsia"/>
          <w:b/>
        </w:rPr>
        <w:t>..</w:t>
      </w:r>
      <w:r>
        <w:rPr>
          <w:rFonts w:ascii="Cambria" w:hAnsi="Cambria"/>
          <w:b/>
        </w:rPr>
        <w:t>………</w:t>
      </w:r>
      <w:r>
        <w:rPr>
          <w:rFonts w:ascii="Cambria" w:hAnsi="Cambria" w:hint="eastAsia"/>
          <w:b/>
        </w:rPr>
        <w:t>.</w:t>
      </w:r>
      <w:r>
        <w:rPr>
          <w:rFonts w:ascii="Cambria" w:hAnsi="Cambria"/>
          <w:b/>
        </w:rPr>
        <w:t>…</w:t>
      </w:r>
      <w:r>
        <w:rPr>
          <w:rFonts w:ascii="Cambria" w:hAnsi="Cambria" w:hint="eastAsia"/>
          <w:b/>
        </w:rPr>
        <w:t>10</w:t>
      </w:r>
    </w:p>
    <w:p w:rsidR="000112A4" w:rsidRPr="005842A3"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0112A4" w:rsidRDefault="000112A4" w:rsidP="001476F7">
      <w:pPr>
        <w:rPr>
          <w:rFonts w:ascii="Cambria" w:hAnsi="Cambria" w:hint="eastAsia"/>
          <w:b/>
          <w:sz w:val="24"/>
          <w:szCs w:val="24"/>
        </w:rPr>
      </w:pPr>
    </w:p>
    <w:p w:rsidR="005842A3" w:rsidRDefault="005842A3">
      <w:pPr>
        <w:widowControl/>
        <w:jc w:val="left"/>
        <w:rPr>
          <w:rFonts w:ascii="Cambria" w:hAnsi="Cambria"/>
          <w:b/>
          <w:sz w:val="24"/>
          <w:szCs w:val="24"/>
        </w:rPr>
      </w:pPr>
      <w:r>
        <w:rPr>
          <w:rFonts w:ascii="Cambria" w:hAnsi="Cambria"/>
          <w:b/>
          <w:sz w:val="24"/>
          <w:szCs w:val="24"/>
        </w:rPr>
        <w:br w:type="page"/>
      </w:r>
    </w:p>
    <w:p w:rsidR="001476F7" w:rsidRPr="001476F7" w:rsidRDefault="001476F7" w:rsidP="001476F7">
      <w:pPr>
        <w:rPr>
          <w:rFonts w:ascii="Cambria" w:hAnsi="Cambria" w:hint="eastAsia"/>
          <w:b/>
          <w:sz w:val="24"/>
          <w:szCs w:val="24"/>
        </w:rPr>
      </w:pPr>
      <w:r w:rsidRPr="001476F7">
        <w:rPr>
          <w:rFonts w:ascii="Cambria" w:hAnsi="Cambria" w:hint="eastAsia"/>
          <w:b/>
          <w:sz w:val="24"/>
          <w:szCs w:val="24"/>
        </w:rPr>
        <w:lastRenderedPageBreak/>
        <w:t>Introduction</w:t>
      </w:r>
    </w:p>
    <w:p w:rsidR="001476F7" w:rsidRDefault="001476F7" w:rsidP="001476F7">
      <w:pPr>
        <w:rPr>
          <w:rFonts w:ascii="Cambria" w:hAnsi="Cambria" w:hint="eastAsia"/>
        </w:rPr>
      </w:pPr>
      <w:r w:rsidRPr="008E6702">
        <w:rPr>
          <w:rFonts w:ascii="Cambria" w:hAnsi="Cambria"/>
        </w:rPr>
        <w:t>This article provides a brief overview of Tesla's development history, industry conditions, and main competitors. By analyzing Tesla's financial reports over the past five years, the liquidity and leverage ratios, average stock price, and return rate of Tesla were calculated to evaluate the company's financial performance. Furthermore, the article assesses Tesla's capital structure based on the capital balance theory and static financial theory. Lastly, the author introduces Tesla's largest investment activity over the past five years, the scale, feasibility, and outcomes of the Nevada Gigafactory project, concluding with a brief assessment of the current situation.</w:t>
      </w:r>
    </w:p>
    <w:p w:rsidR="00894935" w:rsidRDefault="00894935" w:rsidP="0013799B">
      <w:pPr>
        <w:rPr>
          <w:rFonts w:ascii="Cambria" w:hAnsi="Cambria"/>
        </w:rPr>
      </w:pPr>
    </w:p>
    <w:p w:rsidR="00C029A3" w:rsidRPr="001476F7" w:rsidRDefault="00EB4751" w:rsidP="0013799B">
      <w:pPr>
        <w:rPr>
          <w:rFonts w:ascii="Cambria" w:hAnsi="Cambria"/>
          <w:b/>
          <w:sz w:val="24"/>
          <w:szCs w:val="24"/>
        </w:rPr>
      </w:pPr>
      <w:r w:rsidRPr="001476F7">
        <w:rPr>
          <w:rFonts w:ascii="Cambria" w:hAnsi="Cambria" w:hint="eastAsia"/>
          <w:b/>
          <w:sz w:val="24"/>
          <w:szCs w:val="24"/>
        </w:rPr>
        <w:t>Part A</w:t>
      </w:r>
    </w:p>
    <w:p w:rsidR="003365DD" w:rsidRPr="001476F7" w:rsidRDefault="00C029A3" w:rsidP="00C52A10">
      <w:pPr>
        <w:pStyle w:val="ab"/>
        <w:numPr>
          <w:ilvl w:val="0"/>
          <w:numId w:val="4"/>
        </w:numPr>
        <w:ind w:firstLineChars="0"/>
        <w:rPr>
          <w:rFonts w:ascii="Times New Roman" w:hAnsi="Times New Roman" w:cs="Times New Roman"/>
          <w:b/>
          <w:color w:val="000000"/>
          <w:kern w:val="0"/>
          <w:sz w:val="24"/>
          <w:szCs w:val="24"/>
        </w:rPr>
      </w:pPr>
      <w:r w:rsidRPr="001476F7">
        <w:rPr>
          <w:rFonts w:ascii="Times New Roman" w:hAnsi="Times New Roman" w:cs="Times New Roman" w:hint="eastAsia"/>
          <w:b/>
          <w:color w:val="000000"/>
          <w:kern w:val="0"/>
          <w:sz w:val="24"/>
          <w:szCs w:val="24"/>
        </w:rPr>
        <w:t xml:space="preserve">A brief history of </w:t>
      </w:r>
      <w:r w:rsidR="00171BF0" w:rsidRPr="001476F7">
        <w:rPr>
          <w:rFonts w:ascii="Times New Roman" w:hAnsi="Times New Roman" w:cs="Times New Roman" w:hint="eastAsia"/>
          <w:b/>
          <w:color w:val="000000"/>
          <w:kern w:val="0"/>
          <w:sz w:val="24"/>
          <w:szCs w:val="24"/>
        </w:rPr>
        <w:t>Tesla</w:t>
      </w:r>
    </w:p>
    <w:p w:rsidR="00C029A3" w:rsidRDefault="00171BF0" w:rsidP="007F46F0">
      <w:pPr>
        <w:rPr>
          <w:rFonts w:ascii="Cambria" w:hAnsi="Cambria"/>
        </w:rPr>
      </w:pPr>
      <w:r>
        <w:rPr>
          <w:rFonts w:ascii="Cambria" w:hAnsi="Cambria"/>
        </w:rPr>
        <w:t>Tesla</w:t>
      </w:r>
      <w:r w:rsidR="007F46F0" w:rsidRPr="007F46F0">
        <w:rPr>
          <w:rFonts w:ascii="Cambria" w:hAnsi="Cambria"/>
        </w:rPr>
        <w:t xml:space="preserve">, Inc. was founded in California in 2003 by engineers Martin Eberhard and Marc Tarpenning under the original name </w:t>
      </w:r>
      <w:r>
        <w:rPr>
          <w:rFonts w:ascii="Cambria" w:hAnsi="Cambria"/>
        </w:rPr>
        <w:t>Tesla</w:t>
      </w:r>
      <w:r w:rsidR="007F46F0" w:rsidRPr="007F46F0">
        <w:rPr>
          <w:rFonts w:ascii="Cambria" w:hAnsi="Cambria"/>
        </w:rPr>
        <w:t xml:space="preserve"> Motors. The company was established to develop and produce fully electric vehicles. In 2004, Elon Musk invested $30 million in the company, becoming chairman of the board, and later assumed the role of CEO in 2008. In 2006, </w:t>
      </w:r>
      <w:r>
        <w:rPr>
          <w:rFonts w:ascii="Cambria" w:hAnsi="Cambria"/>
        </w:rPr>
        <w:t>Tesla</w:t>
      </w:r>
      <w:r w:rsidR="007F46F0" w:rsidRPr="007F46F0">
        <w:rPr>
          <w:rFonts w:ascii="Cambria" w:hAnsi="Cambria"/>
        </w:rPr>
        <w:t xml:space="preserve"> launched its first commercial vehicle, the Roadster, achieving significant market success. </w:t>
      </w:r>
      <w:r>
        <w:rPr>
          <w:rFonts w:ascii="Cambria" w:hAnsi="Cambria" w:hint="eastAsia"/>
        </w:rPr>
        <w:t>Tesla</w:t>
      </w:r>
      <w:r w:rsidR="00382FF1">
        <w:rPr>
          <w:rFonts w:ascii="Cambria" w:hAnsi="Cambria" w:hint="eastAsia"/>
        </w:rPr>
        <w:t xml:space="preserve"> f</w:t>
      </w:r>
      <w:r w:rsidR="00C52A10">
        <w:rPr>
          <w:rFonts w:ascii="Cambria" w:hAnsi="Cambria"/>
        </w:rPr>
        <w:t>ac</w:t>
      </w:r>
      <w:r w:rsidR="00C52A10">
        <w:rPr>
          <w:rFonts w:ascii="Cambria" w:hAnsi="Cambria" w:hint="eastAsia"/>
        </w:rPr>
        <w:t>ed</w:t>
      </w:r>
      <w:r w:rsidR="007F46F0" w:rsidRPr="007F46F0">
        <w:rPr>
          <w:rFonts w:ascii="Cambria" w:hAnsi="Cambria"/>
        </w:rPr>
        <w:t xml:space="preserve"> serious financial challenges in </w:t>
      </w:r>
      <w:r w:rsidR="00C52A10" w:rsidRPr="007F46F0">
        <w:rPr>
          <w:rFonts w:ascii="Cambria" w:hAnsi="Cambria"/>
        </w:rPr>
        <w:t>2009</w:t>
      </w:r>
      <w:r w:rsidR="00382FF1">
        <w:rPr>
          <w:rFonts w:ascii="Cambria" w:hAnsi="Cambria" w:hint="eastAsia"/>
        </w:rPr>
        <w:t xml:space="preserve"> </w:t>
      </w:r>
      <w:r w:rsidR="00C52A10">
        <w:rPr>
          <w:rFonts w:ascii="Cambria" w:hAnsi="Cambria" w:hint="eastAsia"/>
        </w:rPr>
        <w:t xml:space="preserve">and </w:t>
      </w:r>
      <w:r w:rsidR="007F46F0" w:rsidRPr="007F46F0">
        <w:rPr>
          <w:rFonts w:ascii="Cambria" w:hAnsi="Cambria"/>
        </w:rPr>
        <w:t xml:space="preserve">survived the financial crisis with loans from the U.S. Department of Energy and an IPO the following year. In 2013, fueled by the tremendous success of the Model S, </w:t>
      </w:r>
      <w:r>
        <w:rPr>
          <w:rFonts w:ascii="Cambria" w:hAnsi="Cambria"/>
        </w:rPr>
        <w:t>Tesla</w:t>
      </w:r>
      <w:r w:rsidR="007F46F0" w:rsidRPr="007F46F0">
        <w:rPr>
          <w:rFonts w:ascii="Cambria" w:hAnsi="Cambria"/>
        </w:rPr>
        <w:t xml:space="preserve"> reported its first profitable quarter and announced the construction of a gigafactory in Nevada the following year, </w:t>
      </w:r>
      <w:r w:rsidR="00C52A10">
        <w:rPr>
          <w:rFonts w:ascii="Cambria" w:hAnsi="Cambria" w:hint="eastAsia"/>
        </w:rPr>
        <w:t>which</w:t>
      </w:r>
      <w:r w:rsidR="007F46F0" w:rsidRPr="007F46F0">
        <w:rPr>
          <w:rFonts w:ascii="Cambria" w:hAnsi="Cambria"/>
        </w:rPr>
        <w:t xml:space="preserve"> considered critical to its entire business model (Reed, 2020). By 2021, </w:t>
      </w:r>
      <w:r>
        <w:rPr>
          <w:rFonts w:ascii="Cambria" w:hAnsi="Cambria"/>
        </w:rPr>
        <w:t>Tesla</w:t>
      </w:r>
      <w:r w:rsidR="007F46F0" w:rsidRPr="007F46F0">
        <w:rPr>
          <w:rFonts w:ascii="Cambria" w:hAnsi="Cambria"/>
        </w:rPr>
        <w:t xml:space="preserve"> became the world's fifth company to surpass a market value of $1 trillion (Thomas, 2021).</w:t>
      </w:r>
    </w:p>
    <w:p w:rsidR="007F46F0" w:rsidRDefault="007F46F0" w:rsidP="007F46F0">
      <w:pPr>
        <w:rPr>
          <w:rFonts w:ascii="Cambria" w:hAnsi="Cambria"/>
        </w:rPr>
      </w:pPr>
    </w:p>
    <w:p w:rsidR="001B3968" w:rsidRPr="001476F7" w:rsidRDefault="00C029A3" w:rsidP="00C52A10">
      <w:pPr>
        <w:pStyle w:val="ab"/>
        <w:numPr>
          <w:ilvl w:val="0"/>
          <w:numId w:val="4"/>
        </w:numPr>
        <w:ind w:firstLineChars="0"/>
        <w:rPr>
          <w:rFonts w:ascii="Cambria" w:hAnsi="Cambria"/>
          <w:b/>
          <w:sz w:val="24"/>
          <w:szCs w:val="24"/>
        </w:rPr>
      </w:pPr>
      <w:r w:rsidRPr="001476F7">
        <w:rPr>
          <w:rFonts w:ascii="Cambria" w:hAnsi="Cambria" w:hint="eastAsia"/>
          <w:b/>
          <w:sz w:val="24"/>
          <w:szCs w:val="24"/>
        </w:rPr>
        <w:t>Industry</w:t>
      </w:r>
    </w:p>
    <w:p w:rsidR="00C029A3" w:rsidRDefault="00171BF0" w:rsidP="0013799B">
      <w:pPr>
        <w:rPr>
          <w:rFonts w:ascii="Cambria" w:hAnsi="Cambria"/>
        </w:rPr>
      </w:pPr>
      <w:r>
        <w:rPr>
          <w:rFonts w:ascii="Cambria" w:hAnsi="Cambria"/>
        </w:rPr>
        <w:t>Tesla</w:t>
      </w:r>
      <w:r w:rsidR="007F46F0" w:rsidRPr="007F46F0">
        <w:rPr>
          <w:rFonts w:ascii="Cambria" w:hAnsi="Cambria"/>
        </w:rPr>
        <w:t xml:space="preserve"> is a multinational automotive manufacturer and clean energy company, with some investors considering it a technology company as well. </w:t>
      </w:r>
      <w:r>
        <w:rPr>
          <w:rFonts w:ascii="Cambria" w:hAnsi="Cambria"/>
        </w:rPr>
        <w:t>Tesla</w:t>
      </w:r>
      <w:r w:rsidR="007F46F0" w:rsidRPr="007F46F0">
        <w:rPr>
          <w:rFonts w:ascii="Cambria" w:hAnsi="Cambria"/>
        </w:rPr>
        <w:t xml:space="preserve">'s mission is to accelerate the world's transition to sustainable energy. To achieve this goal, </w:t>
      </w:r>
      <w:r>
        <w:rPr>
          <w:rFonts w:ascii="Cambria" w:hAnsi="Cambria"/>
        </w:rPr>
        <w:t>Tesla</w:t>
      </w:r>
      <w:r w:rsidR="007F46F0" w:rsidRPr="007F46F0">
        <w:rPr>
          <w:rFonts w:ascii="Cambria" w:hAnsi="Cambria"/>
        </w:rPr>
        <w:t xml:space="preserve"> is committed to creating new products that replace some of the largest polluters on the planet. Currently, </w:t>
      </w:r>
      <w:r>
        <w:rPr>
          <w:rFonts w:ascii="Cambria" w:hAnsi="Cambria"/>
        </w:rPr>
        <w:t>Tesla</w:t>
      </w:r>
      <w:r w:rsidR="007F46F0" w:rsidRPr="007F46F0">
        <w:rPr>
          <w:rFonts w:ascii="Cambria" w:hAnsi="Cambria"/>
        </w:rPr>
        <w:t>'s operations include automobile manufacturing, clean energy solutions such as solar power, production of energy storage devices, and software development (</w:t>
      </w:r>
      <w:r>
        <w:rPr>
          <w:rFonts w:ascii="Cambria" w:hAnsi="Cambria"/>
        </w:rPr>
        <w:t>Tesla</w:t>
      </w:r>
      <w:r w:rsidR="007F46F0" w:rsidRPr="007F46F0">
        <w:rPr>
          <w:rFonts w:ascii="Cambria" w:hAnsi="Cambria"/>
        </w:rPr>
        <w:t>, 2022c).</w:t>
      </w:r>
    </w:p>
    <w:p w:rsidR="00C52A10" w:rsidRPr="007F46F0" w:rsidRDefault="00C52A10" w:rsidP="0013799B">
      <w:pPr>
        <w:rPr>
          <w:rFonts w:ascii="Cambria" w:hAnsi="Cambria"/>
        </w:rPr>
      </w:pPr>
    </w:p>
    <w:p w:rsidR="00C029A3" w:rsidRPr="001476F7" w:rsidRDefault="00C029A3" w:rsidP="00C52A10">
      <w:pPr>
        <w:pStyle w:val="ab"/>
        <w:numPr>
          <w:ilvl w:val="0"/>
          <w:numId w:val="4"/>
        </w:numPr>
        <w:ind w:firstLineChars="0"/>
        <w:rPr>
          <w:rFonts w:ascii="Cambria" w:hAnsi="Cambria"/>
          <w:b/>
          <w:sz w:val="24"/>
          <w:szCs w:val="24"/>
        </w:rPr>
      </w:pPr>
      <w:r w:rsidRPr="001476F7">
        <w:rPr>
          <w:rFonts w:ascii="Cambria" w:hAnsi="Cambria" w:hint="eastAsia"/>
          <w:b/>
          <w:sz w:val="24"/>
          <w:szCs w:val="24"/>
        </w:rPr>
        <w:t>Business model</w:t>
      </w:r>
    </w:p>
    <w:p w:rsidR="007F46F0" w:rsidRPr="00C52A10" w:rsidRDefault="00171BF0" w:rsidP="007F46F0">
      <w:pPr>
        <w:rPr>
          <w:rFonts w:ascii="Cambria" w:hAnsi="Cambria"/>
        </w:rPr>
      </w:pPr>
      <w:r>
        <w:rPr>
          <w:rFonts w:ascii="Cambria" w:hAnsi="Cambria"/>
        </w:rPr>
        <w:t>Tesla</w:t>
      </w:r>
      <w:r w:rsidR="007F46F0" w:rsidRPr="00C52A10">
        <w:rPr>
          <w:rFonts w:ascii="Cambria" w:hAnsi="Cambria"/>
        </w:rPr>
        <w:t xml:space="preserve">'s business model is based on three pillars: sales model, service, and charging network. </w:t>
      </w:r>
    </w:p>
    <w:p w:rsidR="007F46F0" w:rsidRPr="00C52A10" w:rsidRDefault="007F46F0" w:rsidP="007F46F0">
      <w:pPr>
        <w:rPr>
          <w:rFonts w:ascii="Cambria" w:hAnsi="Cambria"/>
        </w:rPr>
      </w:pPr>
      <w:r w:rsidRPr="00C52A10">
        <w:rPr>
          <w:rFonts w:ascii="Cambria" w:hAnsi="Cambria"/>
        </w:rPr>
        <w:t xml:space="preserve">Firstly, unlike other car manufacturers that sell and provide after-sales services through franchised dealers, </w:t>
      </w:r>
      <w:r w:rsidR="00171BF0">
        <w:rPr>
          <w:rFonts w:ascii="Cambria" w:hAnsi="Cambria"/>
        </w:rPr>
        <w:t>Tesla</w:t>
      </w:r>
      <w:r w:rsidRPr="00C52A10">
        <w:rPr>
          <w:rFonts w:ascii="Cambria" w:hAnsi="Cambria"/>
        </w:rPr>
        <w:t xml:space="preserve"> op</w:t>
      </w:r>
      <w:r w:rsidR="00D8031B">
        <w:rPr>
          <w:rFonts w:ascii="Cambria" w:hAnsi="Cambria" w:hint="eastAsia"/>
        </w:rPr>
        <w:t>era</w:t>
      </w:r>
      <w:r w:rsidRPr="00C52A10">
        <w:rPr>
          <w:rFonts w:ascii="Cambria" w:hAnsi="Cambria"/>
        </w:rPr>
        <w:t>t</w:t>
      </w:r>
      <w:r w:rsidR="00D8031B">
        <w:rPr>
          <w:rFonts w:ascii="Cambria" w:hAnsi="Cambria" w:hint="eastAsia"/>
        </w:rPr>
        <w:t>e</w:t>
      </w:r>
      <w:r w:rsidRPr="00C52A10">
        <w:rPr>
          <w:rFonts w:ascii="Cambria" w:hAnsi="Cambria"/>
        </w:rPr>
        <w:t xml:space="preserve">s to sell directly to consumers, establishing an internationally owned distribution and after-sales network, most of which are located in city centers. </w:t>
      </w:r>
      <w:r w:rsidR="00171BF0">
        <w:rPr>
          <w:rFonts w:ascii="Cambria" w:hAnsi="Cambria"/>
        </w:rPr>
        <w:t>Tesla</w:t>
      </w:r>
      <w:r w:rsidRPr="00C52A10">
        <w:rPr>
          <w:rFonts w:ascii="Cambria" w:hAnsi="Cambria"/>
        </w:rPr>
        <w:t xml:space="preserve"> also utilizes the internet for sales, allowing customers to customize and purchase </w:t>
      </w:r>
      <w:r w:rsidR="00171BF0">
        <w:rPr>
          <w:rFonts w:ascii="Cambria" w:hAnsi="Cambria"/>
        </w:rPr>
        <w:t>Tesla</w:t>
      </w:r>
      <w:r w:rsidR="00C52A10">
        <w:rPr>
          <w:rFonts w:ascii="Cambria" w:hAnsi="Cambria"/>
        </w:rPr>
        <w:t>’</w:t>
      </w:r>
      <w:r w:rsidRPr="00C52A10">
        <w:rPr>
          <w:rFonts w:ascii="Cambria" w:hAnsi="Cambria"/>
        </w:rPr>
        <w:t xml:space="preserve">s online. </w:t>
      </w:r>
      <w:r w:rsidR="00171BF0">
        <w:rPr>
          <w:rFonts w:ascii="Cambria" w:hAnsi="Cambria"/>
        </w:rPr>
        <w:t>Tesla</w:t>
      </w:r>
      <w:r w:rsidRPr="00C52A10">
        <w:rPr>
          <w:rFonts w:ascii="Cambria" w:hAnsi="Cambria"/>
        </w:rPr>
        <w:t xml:space="preserve"> believes that by selling directly, it can gain an advantage in product development speed and, more importantly, direct market access, creating a better customer experience. Furthermore, to address the biggest barrier to the mass adoption of electric vehicles—the issue of charging—</w:t>
      </w:r>
      <w:r w:rsidR="00171BF0">
        <w:rPr>
          <w:rFonts w:ascii="Cambria" w:hAnsi="Cambria"/>
        </w:rPr>
        <w:t>Tesla</w:t>
      </w:r>
      <w:r w:rsidRPr="00C52A10">
        <w:rPr>
          <w:rFonts w:ascii="Cambria" w:hAnsi="Cambria"/>
        </w:rPr>
        <w:t xml:space="preserve"> has created and operates the world's largest fast-charging network, with over 45,000 Supercharger stations. Users can quickly find a charging station to recharge their </w:t>
      </w:r>
      <w:r w:rsidR="00171BF0">
        <w:rPr>
          <w:rFonts w:ascii="Cambria" w:hAnsi="Cambria"/>
        </w:rPr>
        <w:t>Tesla</w:t>
      </w:r>
      <w:r w:rsidRPr="00C52A10">
        <w:rPr>
          <w:rFonts w:ascii="Cambria" w:hAnsi="Cambria"/>
        </w:rPr>
        <w:t>, and the cost is only a quarter of the price of gasoline (</w:t>
      </w:r>
      <w:r w:rsidR="00171BF0">
        <w:rPr>
          <w:rFonts w:ascii="Cambria" w:hAnsi="Cambria"/>
        </w:rPr>
        <w:t>Tesla</w:t>
      </w:r>
      <w:r w:rsidRPr="00C52A10">
        <w:rPr>
          <w:rFonts w:ascii="Cambria" w:hAnsi="Cambria"/>
        </w:rPr>
        <w:t>, 2022b), (Patel, 2023).</w:t>
      </w:r>
    </w:p>
    <w:p w:rsidR="007F46F0" w:rsidRPr="00C029A3" w:rsidRDefault="007F46F0" w:rsidP="0013799B">
      <w:pPr>
        <w:rPr>
          <w:rFonts w:ascii="Cambria" w:hAnsi="Cambria"/>
        </w:rPr>
      </w:pPr>
    </w:p>
    <w:p w:rsidR="00A33BE8" w:rsidRPr="001476F7" w:rsidRDefault="001028E8" w:rsidP="00C52A10">
      <w:pPr>
        <w:pStyle w:val="ab"/>
        <w:numPr>
          <w:ilvl w:val="0"/>
          <w:numId w:val="4"/>
        </w:numPr>
        <w:ind w:firstLineChars="0"/>
        <w:rPr>
          <w:rFonts w:ascii="Cambria" w:hAnsi="Cambria"/>
          <w:b/>
          <w:sz w:val="24"/>
          <w:szCs w:val="24"/>
        </w:rPr>
      </w:pPr>
      <w:r w:rsidRPr="001476F7">
        <w:rPr>
          <w:noProof/>
          <w:sz w:val="24"/>
          <w:szCs w:val="24"/>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314pt;margin-top:13.95pt;width:178.5pt;height:171.4pt;z-index:251660288">
            <v:imagedata r:id="rId9" o:title="wewerewr"/>
            <w10:wrap type="square"/>
          </v:shape>
        </w:pict>
      </w:r>
      <w:r w:rsidR="00C029A3" w:rsidRPr="001476F7">
        <w:rPr>
          <w:rFonts w:ascii="Cambria" w:hAnsi="Cambria" w:hint="eastAsia"/>
          <w:b/>
          <w:sz w:val="24"/>
          <w:szCs w:val="24"/>
        </w:rPr>
        <w:t>Market place</w:t>
      </w:r>
    </w:p>
    <w:p w:rsidR="00290476" w:rsidRDefault="007F46F0" w:rsidP="007F46F0">
      <w:pPr>
        <w:rPr>
          <w:rFonts w:ascii="Cambria" w:hAnsi="Cambria"/>
        </w:rPr>
      </w:pPr>
      <w:r w:rsidRPr="007F46F0">
        <w:rPr>
          <w:rFonts w:ascii="Cambria" w:hAnsi="Cambria"/>
        </w:rPr>
        <w:t>In 2022, the company continued to lead the pure electric vehicle market, holding an 18% share. By 2023, it was the world's most valuable car manufacturer</w:t>
      </w:r>
      <w:r w:rsidR="0088636C">
        <w:rPr>
          <w:rFonts w:ascii="Cambria" w:hAnsi="Cambria" w:hint="eastAsia"/>
        </w:rPr>
        <w:t xml:space="preserve">, </w:t>
      </w:r>
      <w:r w:rsidRPr="007F46F0">
        <w:rPr>
          <w:rFonts w:ascii="Cambria" w:hAnsi="Cambria"/>
        </w:rPr>
        <w:t>ranked 69th in the Forbes Global 2000 list.</w:t>
      </w:r>
      <w:r w:rsidR="0088636C">
        <w:rPr>
          <w:rFonts w:ascii="Cambria" w:hAnsi="Cambria" w:hint="eastAsia"/>
        </w:rPr>
        <w:t xml:space="preserve"> </w:t>
      </w:r>
      <w:r w:rsidRPr="007F46F0">
        <w:rPr>
          <w:rFonts w:ascii="Cambria" w:hAnsi="Cambria"/>
        </w:rPr>
        <w:t xml:space="preserve">From the third quarter of 2018 to the third quarter of 2023, </w:t>
      </w:r>
      <w:r w:rsidR="00171BF0">
        <w:rPr>
          <w:rFonts w:ascii="Cambria" w:hAnsi="Cambria"/>
        </w:rPr>
        <w:t>Tesla</w:t>
      </w:r>
      <w:r w:rsidRPr="007F46F0">
        <w:rPr>
          <w:rFonts w:ascii="Cambria" w:hAnsi="Cambria"/>
        </w:rPr>
        <w:t xml:space="preserve">'s revenue grew from $6.8 billion to $23.4 billion, with an incredible compound annual growth rate of 28% (Patel, 2023). In 2023, </w:t>
      </w:r>
      <w:r w:rsidR="00171BF0">
        <w:rPr>
          <w:rFonts w:ascii="Cambria" w:hAnsi="Cambria"/>
        </w:rPr>
        <w:t>Tesla</w:t>
      </w:r>
      <w:r w:rsidRPr="007F46F0">
        <w:rPr>
          <w:rFonts w:ascii="Cambria" w:hAnsi="Cambria"/>
        </w:rPr>
        <w:t xml:space="preserve"> delivered 1.81 million vehicles worldwide, a 38% increase from 2022 (</w:t>
      </w:r>
      <w:r w:rsidR="00171BF0">
        <w:rPr>
          <w:rFonts w:ascii="Cambria" w:hAnsi="Cambria"/>
        </w:rPr>
        <w:t>Tesla</w:t>
      </w:r>
      <w:r w:rsidRPr="007F46F0">
        <w:rPr>
          <w:rFonts w:ascii="Cambria" w:hAnsi="Cambria"/>
        </w:rPr>
        <w:t xml:space="preserve">, 2024), maintaining the top spot in global market share at 19.9% (Lu, 2024). However, given the increasingly fierce competition in the electric vehicle market, </w:t>
      </w:r>
      <w:r w:rsidR="00171BF0">
        <w:rPr>
          <w:rFonts w:ascii="Cambria" w:hAnsi="Cambria"/>
        </w:rPr>
        <w:t>Tesla</w:t>
      </w:r>
      <w:r w:rsidRPr="007F46F0">
        <w:rPr>
          <w:rFonts w:ascii="Cambria" w:hAnsi="Cambria"/>
        </w:rPr>
        <w:t>'s market share has been declining from 72% in 2021, and it is expected to lose its position as the market leader in 2024</w:t>
      </w:r>
      <w:r w:rsidR="0062093D" w:rsidRPr="002031D3">
        <w:rPr>
          <w:rFonts w:ascii="Cambria" w:hAnsi="Cambria"/>
        </w:rPr>
        <w:t>(Hoskins and Sherman, 2024)</w:t>
      </w:r>
      <w:r w:rsidRPr="007F46F0">
        <w:rPr>
          <w:rFonts w:ascii="Cambria" w:hAnsi="Cambria"/>
        </w:rPr>
        <w:t>.</w:t>
      </w:r>
    </w:p>
    <w:p w:rsidR="00205FE6" w:rsidRDefault="00205FE6" w:rsidP="001E6C3B">
      <w:pPr>
        <w:rPr>
          <w:rFonts w:ascii="Cambria" w:hAnsi="Cambria"/>
        </w:rPr>
      </w:pPr>
    </w:p>
    <w:p w:rsidR="00C029A3" w:rsidRPr="001476F7" w:rsidRDefault="00B91A0B" w:rsidP="00C52A10">
      <w:pPr>
        <w:pStyle w:val="ab"/>
        <w:numPr>
          <w:ilvl w:val="0"/>
          <w:numId w:val="4"/>
        </w:numPr>
        <w:ind w:firstLineChars="0"/>
        <w:rPr>
          <w:rFonts w:ascii="Cambria" w:hAnsi="Cambria"/>
          <w:b/>
          <w:sz w:val="24"/>
          <w:szCs w:val="24"/>
        </w:rPr>
      </w:pPr>
      <w:r w:rsidRPr="001476F7">
        <w:rPr>
          <w:rFonts w:ascii="Cambria" w:hAnsi="Cambria" w:hint="eastAsia"/>
          <w:b/>
          <w:noProof/>
          <w:sz w:val="24"/>
          <w:szCs w:val="24"/>
        </w:rPr>
        <w:drawing>
          <wp:anchor distT="0" distB="0" distL="114300" distR="114300" simplePos="0" relativeHeight="251661312" behindDoc="0" locked="0" layoutInCell="1" allowOverlap="1">
            <wp:simplePos x="0" y="0"/>
            <wp:positionH relativeFrom="column">
              <wp:posOffset>3811905</wp:posOffset>
            </wp:positionH>
            <wp:positionV relativeFrom="paragraph">
              <wp:posOffset>101600</wp:posOffset>
            </wp:positionV>
            <wp:extent cx="2783205" cy="1735455"/>
            <wp:effectExtent l="19050" t="0" r="0" b="0"/>
            <wp:wrapSquare wrapText="bothSides"/>
            <wp:docPr id="1" name="图片 0" descr="wewerewrret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ewerewrretw.jpg"/>
                    <pic:cNvPicPr/>
                  </pic:nvPicPr>
                  <pic:blipFill>
                    <a:blip r:embed="rId10"/>
                    <a:stretch>
                      <a:fillRect/>
                    </a:stretch>
                  </pic:blipFill>
                  <pic:spPr>
                    <a:xfrm>
                      <a:off x="0" y="0"/>
                      <a:ext cx="2783205" cy="1735455"/>
                    </a:xfrm>
                    <a:prstGeom prst="rect">
                      <a:avLst/>
                    </a:prstGeom>
                  </pic:spPr>
                </pic:pic>
              </a:graphicData>
            </a:graphic>
          </wp:anchor>
        </w:drawing>
      </w:r>
      <w:r w:rsidR="00C029A3" w:rsidRPr="001476F7">
        <w:rPr>
          <w:rFonts w:ascii="Cambria" w:hAnsi="Cambria" w:hint="eastAsia"/>
          <w:b/>
          <w:sz w:val="24"/>
          <w:szCs w:val="24"/>
        </w:rPr>
        <w:t>Major competitor</w:t>
      </w:r>
    </w:p>
    <w:p w:rsidR="00B048D1" w:rsidRPr="007F46F0" w:rsidRDefault="00171BF0" w:rsidP="001E6C3B">
      <w:pPr>
        <w:rPr>
          <w:rFonts w:ascii="Cambria" w:hAnsi="Cambria"/>
        </w:rPr>
      </w:pPr>
      <w:r>
        <w:rPr>
          <w:rFonts w:ascii="Cambria" w:hAnsi="Cambria"/>
        </w:rPr>
        <w:t>Tesla</w:t>
      </w:r>
      <w:r w:rsidR="007F46F0" w:rsidRPr="007F46F0">
        <w:rPr>
          <w:rFonts w:ascii="Cambria" w:hAnsi="Cambria"/>
        </w:rPr>
        <w:t xml:space="preserve"> is currently facing some strong competitors such as Ford, General Motors, BMW, or Toyota, but the most competitive of them all is undoubtedly BYD. In the fourth quarter of 2023, BYD reached a record-breaking sales volume of 526,000 pure electric vehicles, surpassing </w:t>
      </w:r>
      <w:r>
        <w:rPr>
          <w:rFonts w:ascii="Cambria" w:hAnsi="Cambria"/>
        </w:rPr>
        <w:t>Tesla</w:t>
      </w:r>
      <w:r w:rsidR="007F46F0" w:rsidRPr="007F46F0">
        <w:rPr>
          <w:rFonts w:ascii="Cambria" w:hAnsi="Cambria"/>
        </w:rPr>
        <w:t>'s 484,500 electric vehicles, becoming the world's largest electric vehicle manufacturer (Hoskins and Sherman, 2024).</w:t>
      </w:r>
    </w:p>
    <w:p w:rsidR="00B048D1" w:rsidRPr="00401D1F" w:rsidRDefault="00B048D1" w:rsidP="001E6C3B">
      <w:pPr>
        <w:rPr>
          <w:rFonts w:ascii="Cambria" w:hAnsi="Cambria"/>
        </w:rPr>
      </w:pPr>
    </w:p>
    <w:p w:rsidR="000C4F60" w:rsidRPr="001476F7" w:rsidRDefault="00C029A3" w:rsidP="00C52A10">
      <w:pPr>
        <w:pStyle w:val="ab"/>
        <w:numPr>
          <w:ilvl w:val="0"/>
          <w:numId w:val="4"/>
        </w:numPr>
        <w:ind w:firstLineChars="0"/>
        <w:rPr>
          <w:rFonts w:ascii="Cambria" w:hAnsi="Cambria"/>
          <w:b/>
          <w:sz w:val="24"/>
          <w:szCs w:val="24"/>
        </w:rPr>
      </w:pPr>
      <w:r w:rsidRPr="001476F7">
        <w:rPr>
          <w:rFonts w:ascii="Cambria" w:hAnsi="Cambria" w:hint="eastAsia"/>
          <w:b/>
          <w:sz w:val="24"/>
          <w:szCs w:val="24"/>
        </w:rPr>
        <w:t>M</w:t>
      </w:r>
      <w:r w:rsidR="000C4F60" w:rsidRPr="001476F7">
        <w:rPr>
          <w:rFonts w:ascii="Cambria" w:hAnsi="Cambria" w:hint="eastAsia"/>
          <w:b/>
          <w:sz w:val="24"/>
          <w:szCs w:val="24"/>
        </w:rPr>
        <w:t>ajor events over the past five years every year</w:t>
      </w:r>
    </w:p>
    <w:p w:rsidR="003365DD" w:rsidRPr="001A2A1D" w:rsidRDefault="007F46F0" w:rsidP="001A2A1D">
      <w:pPr>
        <w:rPr>
          <w:rFonts w:ascii="Cambria" w:hAnsi="Cambria"/>
        </w:rPr>
      </w:pPr>
      <w:r w:rsidRPr="007F46F0">
        <w:rPr>
          <w:rFonts w:ascii="Cambria" w:hAnsi="Cambria"/>
        </w:rPr>
        <w:t xml:space="preserve">In January 2023, faced with increasingly fierce market competition and challenging global economic prospects, </w:t>
      </w:r>
      <w:r w:rsidR="00171BF0">
        <w:rPr>
          <w:rFonts w:ascii="Cambria" w:hAnsi="Cambria"/>
        </w:rPr>
        <w:t>Tesla</w:t>
      </w:r>
      <w:r w:rsidRPr="007F46F0">
        <w:rPr>
          <w:rFonts w:ascii="Cambria" w:hAnsi="Cambria"/>
        </w:rPr>
        <w:t xml:space="preserve"> decided to cut prices by a fifth to boost demand. In the UK, the price reductions ranged from 10% to 13%, while in the US, some models saw price cuts of up to 20%, amounting to savings of thousands of pounds. This indicates that, amid concerns over an economic slowdown, </w:t>
      </w:r>
      <w:r w:rsidR="00171BF0">
        <w:rPr>
          <w:rFonts w:ascii="Cambria" w:hAnsi="Cambria"/>
        </w:rPr>
        <w:t>Tesla</w:t>
      </w:r>
      <w:r w:rsidRPr="007F46F0">
        <w:rPr>
          <w:rFonts w:ascii="Cambria" w:hAnsi="Cambria"/>
        </w:rPr>
        <w:t xml:space="preserve"> is making efforts to address the potential slowdown in car demand. </w:t>
      </w:r>
      <w:r w:rsidR="00171BF0">
        <w:rPr>
          <w:rFonts w:ascii="Cambria" w:hAnsi="Cambria"/>
        </w:rPr>
        <w:t>Tesla</w:t>
      </w:r>
      <w:r w:rsidRPr="007F46F0">
        <w:rPr>
          <w:rFonts w:ascii="Cambria" w:hAnsi="Cambria"/>
        </w:rPr>
        <w:t>'s stock price hit a low again after the announcement of the price cuts (Hooker, 2023).</w:t>
      </w:r>
    </w:p>
    <w:p w:rsidR="00BC3E95" w:rsidRPr="00D918DA" w:rsidRDefault="007F46F0" w:rsidP="00D918DA">
      <w:pPr>
        <w:rPr>
          <w:rFonts w:ascii="Cambria" w:hAnsi="Cambria"/>
        </w:rPr>
      </w:pPr>
      <w:r w:rsidRPr="007F46F0">
        <w:rPr>
          <w:rFonts w:ascii="Cambria" w:hAnsi="Cambria"/>
        </w:rPr>
        <w:t xml:space="preserve">Starting July 27, 2022, </w:t>
      </w:r>
      <w:r w:rsidR="00171BF0">
        <w:rPr>
          <w:rFonts w:ascii="Cambria" w:hAnsi="Cambria"/>
        </w:rPr>
        <w:t>Tesla</w:t>
      </w:r>
      <w:r w:rsidRPr="007F46F0">
        <w:rPr>
          <w:rFonts w:ascii="Cambria" w:hAnsi="Cambria"/>
        </w:rPr>
        <w:t xml:space="preserve"> will begin charging for its standard connectivity services for all models, reversing the old policy of free standard connectivity for the lifetime of new vehicle purchases. New </w:t>
      </w:r>
      <w:r w:rsidR="00171BF0">
        <w:rPr>
          <w:rFonts w:ascii="Cambria" w:hAnsi="Cambria"/>
        </w:rPr>
        <w:t>Tesla</w:t>
      </w:r>
      <w:r w:rsidRPr="007F46F0">
        <w:rPr>
          <w:rFonts w:ascii="Cambria" w:hAnsi="Cambria"/>
        </w:rPr>
        <w:t xml:space="preserve"> Model S, 3, X, and Y vehicles ordered after July 20 will now only include eight years of standard connectivity service. After this period, if owners wish to continue using navigation and voice command services, they will need to upgrade to the company's premium connectivity level (Mullen, 2022).</w:t>
      </w:r>
    </w:p>
    <w:p w:rsidR="001A2A1D" w:rsidRPr="001A2A1D" w:rsidRDefault="007F46F0" w:rsidP="001A2A1D">
      <w:pPr>
        <w:rPr>
          <w:rFonts w:ascii="Cambria" w:hAnsi="Cambria"/>
        </w:rPr>
      </w:pPr>
      <w:r w:rsidRPr="007F46F0">
        <w:rPr>
          <w:rFonts w:ascii="Cambria" w:hAnsi="Cambria"/>
        </w:rPr>
        <w:t xml:space="preserve">In August 2022, Elon Musk sold nearly $7 billion of </w:t>
      </w:r>
      <w:r w:rsidR="00171BF0">
        <w:rPr>
          <w:rFonts w:ascii="Cambria" w:hAnsi="Cambria"/>
        </w:rPr>
        <w:t>Tesla</w:t>
      </w:r>
      <w:r w:rsidRPr="007F46F0">
        <w:rPr>
          <w:rFonts w:ascii="Cambria" w:hAnsi="Cambria"/>
        </w:rPr>
        <w:t xml:space="preserve"> stock to finance his Twitter deal. Musk was forced to sign a $44 billion acquisition agreement for Twitter in April, with the majority of his wealth tied to </w:t>
      </w:r>
      <w:r w:rsidR="00171BF0">
        <w:rPr>
          <w:rFonts w:ascii="Cambria" w:hAnsi="Cambria"/>
        </w:rPr>
        <w:t>Tesla</w:t>
      </w:r>
      <w:r w:rsidRPr="007F46F0">
        <w:rPr>
          <w:rFonts w:ascii="Cambria" w:hAnsi="Cambria"/>
        </w:rPr>
        <w:t xml:space="preserve"> stock. Despite the current slump in </w:t>
      </w:r>
      <w:r w:rsidR="00171BF0">
        <w:rPr>
          <w:rFonts w:ascii="Cambria" w:hAnsi="Cambria"/>
        </w:rPr>
        <w:t>Tesla</w:t>
      </w:r>
      <w:r w:rsidRPr="007F46F0">
        <w:rPr>
          <w:rFonts w:ascii="Cambria" w:hAnsi="Cambria"/>
        </w:rPr>
        <w:t>'s stock price, Musk had to continue selling his shares to fulfill the terms of the acquisition (Hirsch, 2022).</w:t>
      </w:r>
    </w:p>
    <w:p w:rsidR="000112A4" w:rsidRDefault="007F46F0">
      <w:pPr>
        <w:rPr>
          <w:rFonts w:ascii="Cambria" w:hAnsi="Cambria" w:hint="eastAsia"/>
        </w:rPr>
      </w:pPr>
      <w:r w:rsidRPr="007F46F0">
        <w:rPr>
          <w:rFonts w:ascii="Cambria" w:hAnsi="Cambria"/>
        </w:rPr>
        <w:t xml:space="preserve">In November 2021, Uber reached an agreement with </w:t>
      </w:r>
      <w:r w:rsidR="00171BF0">
        <w:rPr>
          <w:rFonts w:ascii="Cambria" w:hAnsi="Cambria"/>
        </w:rPr>
        <w:t>Tesla</w:t>
      </w:r>
      <w:r w:rsidRPr="007F46F0">
        <w:rPr>
          <w:rFonts w:ascii="Cambria" w:hAnsi="Cambria"/>
        </w:rPr>
        <w:t xml:space="preserve">, establishing a new partnership to fulfill the promise of electrifying all of Uber's vehicles in London by 2025. Following the agreement, Uber drivers will be able to use the Clean Air Fund to purchase or lease </w:t>
      </w:r>
      <w:r w:rsidR="00171BF0">
        <w:rPr>
          <w:rFonts w:ascii="Cambria" w:hAnsi="Cambria"/>
        </w:rPr>
        <w:t>Tesla</w:t>
      </w:r>
      <w:r w:rsidRPr="007F46F0">
        <w:rPr>
          <w:rFonts w:ascii="Cambria" w:hAnsi="Cambria"/>
        </w:rPr>
        <w:t xml:space="preserve"> vehicles. An Uber spokesperson mentioned that a typical driver would have approximately 3,500 to 4,000 pounds available for switching to an electric vehicle (EV) (Sky News, 2021).</w:t>
      </w:r>
    </w:p>
    <w:p w:rsidR="003365DD" w:rsidRDefault="007F46F0">
      <w:pPr>
        <w:rPr>
          <w:rFonts w:ascii="Cambria" w:hAnsi="Cambria"/>
        </w:rPr>
      </w:pPr>
      <w:r w:rsidRPr="007F46F0">
        <w:rPr>
          <w:rFonts w:ascii="Cambria" w:hAnsi="Cambria"/>
        </w:rPr>
        <w:lastRenderedPageBreak/>
        <w:t xml:space="preserve">On July 1, 2020, </w:t>
      </w:r>
      <w:r w:rsidR="00171BF0">
        <w:rPr>
          <w:rFonts w:ascii="Cambria" w:hAnsi="Cambria"/>
        </w:rPr>
        <w:t>Tesla</w:t>
      </w:r>
      <w:r w:rsidRPr="007F46F0">
        <w:rPr>
          <w:rFonts w:ascii="Cambria" w:hAnsi="Cambria"/>
        </w:rPr>
        <w:t>'s stock price reached a record high of $1,134, pushing its market value to $209.47 billion, surpassing Toyota to become the world's most valuable automaker. Despite Toyota's car sales increasing nearly 30 times last year and revenue growing over 10 times, investors showed tremendous enthusiasm for this American company, believing it could dominate the future electric vehicle market (BBC News, 2020).</w:t>
      </w:r>
    </w:p>
    <w:p w:rsidR="00836AC0" w:rsidRPr="002569B6" w:rsidRDefault="00836AC0">
      <w:pPr>
        <w:rPr>
          <w:rFonts w:ascii="Cambria" w:hAnsi="Cambria"/>
        </w:rPr>
      </w:pPr>
    </w:p>
    <w:p w:rsidR="00EB4751" w:rsidRPr="001476F7" w:rsidRDefault="000C1838">
      <w:pPr>
        <w:rPr>
          <w:rFonts w:ascii="Cambria" w:hAnsi="Cambria"/>
          <w:b/>
          <w:sz w:val="24"/>
          <w:szCs w:val="24"/>
        </w:rPr>
      </w:pPr>
      <w:r w:rsidRPr="001476F7">
        <w:rPr>
          <w:rFonts w:ascii="Cambria" w:hAnsi="Cambria" w:hint="eastAsia"/>
          <w:b/>
          <w:sz w:val="24"/>
          <w:szCs w:val="24"/>
        </w:rPr>
        <w:t>Part B</w:t>
      </w:r>
    </w:p>
    <w:p w:rsidR="0013799B" w:rsidRPr="001476F7" w:rsidRDefault="009204FE" w:rsidP="00C52A10">
      <w:pPr>
        <w:pStyle w:val="ab"/>
        <w:numPr>
          <w:ilvl w:val="0"/>
          <w:numId w:val="5"/>
        </w:numPr>
        <w:ind w:firstLineChars="0"/>
        <w:rPr>
          <w:rFonts w:ascii="Cambria" w:hAnsi="Cambria"/>
          <w:b/>
          <w:sz w:val="24"/>
          <w:szCs w:val="24"/>
        </w:rPr>
      </w:pPr>
      <w:r w:rsidRPr="001476F7">
        <w:rPr>
          <w:rFonts w:ascii="Cambria" w:hAnsi="Cambria" w:hint="eastAsia"/>
          <w:b/>
          <w:sz w:val="24"/>
          <w:szCs w:val="24"/>
        </w:rPr>
        <w:t>Calculate and briefly evaluate the liquidity for the past five years</w:t>
      </w:r>
      <w:r w:rsidR="00A46E97" w:rsidRPr="001476F7">
        <w:rPr>
          <w:rFonts w:ascii="Cambria" w:hAnsi="Cambria" w:hint="eastAsia"/>
          <w:b/>
          <w:sz w:val="24"/>
          <w:szCs w:val="24"/>
        </w:rPr>
        <w:t xml:space="preserve"> </w:t>
      </w:r>
    </w:p>
    <w:p w:rsidR="00203A83" w:rsidRPr="00244F9D" w:rsidRDefault="00203A83">
      <w:pPr>
        <w:rPr>
          <w:rFonts w:ascii="Cambria" w:hAnsi="Cambria"/>
        </w:rPr>
      </w:pPr>
      <w:r w:rsidRPr="00203A83">
        <w:rPr>
          <w:rFonts w:ascii="Cambria" w:hAnsi="Cambria"/>
        </w:rPr>
        <w:t>Liquidity refers to the availability of cash that can be used to meet financial obligations in the near future, considering current financial commitments. Short-term cash sources include bank deposits, cash released from selling stocks, and cash collected from customers (Weetman, 2013, pp.351). Liquidity is crucial for a company's ability to operate smoothly. Some important indicators used to measure liquidity include the current ratio, quick ratio, and cash ratio.</w:t>
      </w:r>
    </w:p>
    <w:p w:rsidR="00203A83" w:rsidRPr="00203A83" w:rsidRDefault="00203A83" w:rsidP="00203A83">
      <w:pPr>
        <w:rPr>
          <w:rFonts w:ascii="Cambria" w:hAnsi="Cambria"/>
        </w:rPr>
      </w:pPr>
      <w:r w:rsidRPr="00203A83">
        <w:rPr>
          <w:rFonts w:ascii="Cambria" w:hAnsi="Cambria"/>
        </w:rPr>
        <w:t>The current ratio compares a company's current assets to its current liabilities. A higher current ratio indicates better liquidity. However, an unreasonably high current ratio may suggest excessive funds tied up in cash or inefficiencies in fund utilization (Atrill and Mclaney, 2018, pp.216–217).</w:t>
      </w:r>
    </w:p>
    <w:p w:rsidR="00203A83" w:rsidRPr="00203A83" w:rsidRDefault="00203A83" w:rsidP="00203A83">
      <w:pPr>
        <w:rPr>
          <w:rFonts w:ascii="Cambria" w:hAnsi="Cambria"/>
        </w:rPr>
      </w:pPr>
      <w:r w:rsidRPr="00203A83">
        <w:rPr>
          <w:rFonts w:ascii="Cambria" w:hAnsi="Cambria"/>
        </w:rPr>
        <w:t>Quick Ratio (Acid Test Ratio)</w:t>
      </w:r>
      <w:r w:rsidR="0062093D">
        <w:rPr>
          <w:rFonts w:ascii="Cambria" w:hAnsi="Cambria" w:hint="eastAsia"/>
        </w:rPr>
        <w:t xml:space="preserve"> is s</w:t>
      </w:r>
      <w:r w:rsidRPr="00203A83">
        <w:rPr>
          <w:rFonts w:ascii="Cambria" w:hAnsi="Cambria"/>
        </w:rPr>
        <w:t>imilar to the current ratio but measures a company's ability to repay current liabilities using only its quick assets (assets that can be quickly converted to cash) without relying on inventory sales. The generally accepted minimum level for this ratio is often stated as 1.0 (Atrill and Mclaney, 2018a, pp.216–218).</w:t>
      </w:r>
    </w:p>
    <w:p w:rsidR="00203A83" w:rsidRDefault="00203A83" w:rsidP="00203A83">
      <w:pPr>
        <w:rPr>
          <w:rFonts w:ascii="Cambria" w:hAnsi="Cambria"/>
        </w:rPr>
      </w:pPr>
      <w:r w:rsidRPr="00203A83">
        <w:rPr>
          <w:rFonts w:ascii="Cambria" w:hAnsi="Cambria"/>
        </w:rPr>
        <w:t>Cash Ratio</w:t>
      </w:r>
      <w:r w:rsidR="0062093D">
        <w:rPr>
          <w:rFonts w:ascii="Cambria" w:hAnsi="Cambria" w:hint="eastAsia"/>
        </w:rPr>
        <w:t xml:space="preserve"> a</w:t>
      </w:r>
      <w:r w:rsidRPr="00203A83">
        <w:rPr>
          <w:rFonts w:ascii="Cambria" w:hAnsi="Cambria"/>
        </w:rPr>
        <w:t>lso known as the cash asset ratio, this indicates a company's ability to repay short-term liabilities using its cash and cash equivalents. The cash ratio is a stricter and more conservative measure compared to other liquidity ratios like the current ratio and quick ratio because it includes only cash and cash equivalents in its calculation (CFI, 2020).</w:t>
      </w:r>
    </w:p>
    <w:p w:rsidR="0086165D" w:rsidRPr="0086165D" w:rsidRDefault="0086165D" w:rsidP="00203A83">
      <w:pPr>
        <w:rPr>
          <w:rFonts w:ascii="Cambria" w:hAnsi="Cambria"/>
        </w:rPr>
      </w:pPr>
    </w:p>
    <w:p w:rsidR="00203A83" w:rsidRPr="0062093D" w:rsidRDefault="0062093D" w:rsidP="00203A83">
      <w:pPr>
        <w:rPr>
          <w:rFonts w:ascii="Cambria" w:hAnsi="Cambria"/>
        </w:rPr>
      </w:pPr>
      <w:r w:rsidRPr="00203A83">
        <w:rPr>
          <w:rFonts w:ascii="Cambria" w:hAnsi="Cambria"/>
        </w:rPr>
        <w:t xml:space="preserve">Based on </w:t>
      </w:r>
      <w:r w:rsidR="00171BF0">
        <w:rPr>
          <w:rFonts w:ascii="Cambria" w:hAnsi="Cambria"/>
        </w:rPr>
        <w:t>Tesla</w:t>
      </w:r>
      <w:r w:rsidRPr="00203A83">
        <w:rPr>
          <w:rFonts w:ascii="Cambria" w:hAnsi="Cambria"/>
        </w:rPr>
        <w:t>'s five-year financial data (Appendix A) and the liquidity-related formulas (Appendix C), the liquidity me</w:t>
      </w:r>
      <w:r>
        <w:rPr>
          <w:rFonts w:ascii="Cambria" w:hAnsi="Cambria"/>
        </w:rPr>
        <w:t xml:space="preserve">trics for </w:t>
      </w:r>
      <w:r w:rsidR="00171BF0">
        <w:rPr>
          <w:rFonts w:ascii="Cambria" w:hAnsi="Cambria"/>
        </w:rPr>
        <w:t>Tesla</w:t>
      </w:r>
      <w:r>
        <w:rPr>
          <w:rFonts w:ascii="Cambria" w:hAnsi="Cambria"/>
        </w:rPr>
        <w:t xml:space="preserve"> are as follows:</w:t>
      </w:r>
    </w:p>
    <w:p w:rsidR="002420FE" w:rsidRPr="00445EBF" w:rsidRDefault="002420FE" w:rsidP="00D71348">
      <w:pPr>
        <w:jc w:val="left"/>
        <w:rPr>
          <w:rFonts w:ascii="Times New Roman" w:hAnsi="Times New Roman" w:cs="Times New Roman"/>
        </w:rPr>
      </w:pPr>
    </w:p>
    <w:tbl>
      <w:tblPr>
        <w:tblW w:w="7655" w:type="dxa"/>
        <w:tblInd w:w="250" w:type="dxa"/>
        <w:tblLook w:val="04A0"/>
      </w:tblPr>
      <w:tblGrid>
        <w:gridCol w:w="2022"/>
        <w:gridCol w:w="1097"/>
        <w:gridCol w:w="1134"/>
        <w:gridCol w:w="1134"/>
        <w:gridCol w:w="1134"/>
        <w:gridCol w:w="1134"/>
      </w:tblGrid>
      <w:tr w:rsidR="00D71348" w:rsidRPr="007C067F" w:rsidTr="00E847D5">
        <w:trPr>
          <w:trHeight w:val="290"/>
        </w:trPr>
        <w:tc>
          <w:tcPr>
            <w:tcW w:w="20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D71348" w:rsidRPr="0082024F" w:rsidRDefault="00D71348" w:rsidP="00E847D5">
            <w:pPr>
              <w:jc w:val="center"/>
              <w:rPr>
                <w:rFonts w:ascii="Times New Roman" w:hAnsi="Times New Roman" w:cs="Times New Roman"/>
                <w:sz w:val="18"/>
                <w:szCs w:val="18"/>
              </w:rPr>
            </w:pPr>
            <w:r w:rsidRPr="0082024F">
              <w:rPr>
                <w:rFonts w:ascii="Times New Roman" w:hAnsi="Times New Roman" w:cs="Times New Roman"/>
                <w:sz w:val="18"/>
                <w:szCs w:val="18"/>
              </w:rPr>
              <w:t>Ratios</w:t>
            </w:r>
          </w:p>
        </w:tc>
        <w:tc>
          <w:tcPr>
            <w:tcW w:w="1097" w:type="dxa"/>
            <w:tcBorders>
              <w:top w:val="single" w:sz="4" w:space="0" w:color="auto"/>
              <w:left w:val="nil"/>
              <w:bottom w:val="single" w:sz="4" w:space="0" w:color="auto"/>
              <w:right w:val="single" w:sz="4" w:space="0" w:color="auto"/>
            </w:tcBorders>
            <w:shd w:val="clear" w:color="auto" w:fill="auto"/>
            <w:noWrap/>
            <w:vAlign w:val="center"/>
            <w:hideMark/>
          </w:tcPr>
          <w:p w:rsidR="00D71348" w:rsidRPr="0082024F" w:rsidRDefault="00D71348"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2023</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D71348" w:rsidRPr="0082024F" w:rsidRDefault="00D71348"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2022</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D71348" w:rsidRPr="0082024F" w:rsidRDefault="00D71348"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2021</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D71348" w:rsidRPr="0082024F" w:rsidRDefault="00D71348"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2020</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D71348" w:rsidRPr="0082024F" w:rsidRDefault="00D71348"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2019</w:t>
            </w:r>
          </w:p>
        </w:tc>
      </w:tr>
      <w:tr w:rsidR="0088636C" w:rsidRPr="00BA59C6" w:rsidTr="0088636C">
        <w:trPr>
          <w:trHeight w:val="290"/>
        </w:trPr>
        <w:tc>
          <w:tcPr>
            <w:tcW w:w="2022" w:type="dxa"/>
            <w:tcBorders>
              <w:top w:val="nil"/>
              <w:left w:val="single" w:sz="4" w:space="0" w:color="auto"/>
              <w:bottom w:val="single" w:sz="4" w:space="0" w:color="auto"/>
              <w:right w:val="single" w:sz="4" w:space="0" w:color="auto"/>
            </w:tcBorders>
            <w:shd w:val="clear" w:color="auto" w:fill="auto"/>
            <w:noWrap/>
            <w:vAlign w:val="center"/>
            <w:hideMark/>
          </w:tcPr>
          <w:p w:rsidR="0088636C" w:rsidRPr="0082024F" w:rsidRDefault="0088636C" w:rsidP="0088636C">
            <w:pPr>
              <w:jc w:val="center"/>
              <w:rPr>
                <w:rFonts w:ascii="Times New Roman" w:hAnsi="Times New Roman" w:cs="Times New Roman"/>
                <w:sz w:val="18"/>
                <w:szCs w:val="18"/>
              </w:rPr>
            </w:pPr>
            <w:r w:rsidRPr="0082024F">
              <w:rPr>
                <w:rFonts w:ascii="Times New Roman" w:hAnsi="Times New Roman" w:cs="Times New Roman"/>
                <w:sz w:val="18"/>
                <w:szCs w:val="18"/>
              </w:rPr>
              <w:t>Current Ration</w:t>
            </w:r>
          </w:p>
        </w:tc>
        <w:tc>
          <w:tcPr>
            <w:tcW w:w="1097" w:type="dxa"/>
            <w:tcBorders>
              <w:top w:val="nil"/>
              <w:left w:val="nil"/>
              <w:bottom w:val="single" w:sz="4" w:space="0" w:color="auto"/>
              <w:right w:val="single" w:sz="4" w:space="0" w:color="auto"/>
            </w:tcBorders>
            <w:shd w:val="clear" w:color="auto" w:fill="auto"/>
            <w:noWrap/>
            <w:vAlign w:val="center"/>
            <w:hideMark/>
          </w:tcPr>
          <w:p w:rsidR="0088636C" w:rsidRPr="0082024F" w:rsidRDefault="0088636C" w:rsidP="0088636C">
            <w:pPr>
              <w:jc w:val="center"/>
              <w:rPr>
                <w:rFonts w:ascii="Times New Roman" w:hAnsi="Times New Roman" w:cs="Times New Roman"/>
                <w:sz w:val="18"/>
                <w:szCs w:val="18"/>
              </w:rPr>
            </w:pPr>
            <w:r w:rsidRPr="0082024F">
              <w:rPr>
                <w:rFonts w:ascii="Times New Roman" w:hAnsi="Times New Roman" w:cs="Times New Roman" w:hint="eastAsia"/>
                <w:sz w:val="18"/>
                <w:szCs w:val="18"/>
              </w:rPr>
              <w:t>1.25</w:t>
            </w:r>
          </w:p>
        </w:tc>
        <w:tc>
          <w:tcPr>
            <w:tcW w:w="1134" w:type="dxa"/>
            <w:tcBorders>
              <w:top w:val="nil"/>
              <w:left w:val="nil"/>
              <w:bottom w:val="single" w:sz="4" w:space="0" w:color="auto"/>
              <w:right w:val="single" w:sz="4" w:space="0" w:color="auto"/>
            </w:tcBorders>
            <w:shd w:val="clear" w:color="auto" w:fill="auto"/>
            <w:noWrap/>
            <w:vAlign w:val="center"/>
            <w:hideMark/>
          </w:tcPr>
          <w:p w:rsidR="0088636C" w:rsidRPr="0082024F" w:rsidRDefault="0088636C" w:rsidP="0088636C">
            <w:pPr>
              <w:jc w:val="center"/>
              <w:rPr>
                <w:rFonts w:ascii="Times New Roman" w:hAnsi="Times New Roman" w:cs="Times New Roman"/>
                <w:sz w:val="18"/>
                <w:szCs w:val="18"/>
              </w:rPr>
            </w:pPr>
            <w:r w:rsidRPr="0082024F">
              <w:rPr>
                <w:rFonts w:ascii="Times New Roman" w:hAnsi="Times New Roman" w:cs="Times New Roman"/>
                <w:sz w:val="18"/>
                <w:szCs w:val="18"/>
              </w:rPr>
              <w:t>1.05</w:t>
            </w:r>
          </w:p>
        </w:tc>
        <w:tc>
          <w:tcPr>
            <w:tcW w:w="1134" w:type="dxa"/>
            <w:tcBorders>
              <w:top w:val="nil"/>
              <w:left w:val="nil"/>
              <w:bottom w:val="single" w:sz="4" w:space="0" w:color="auto"/>
              <w:right w:val="single" w:sz="4" w:space="0" w:color="auto"/>
            </w:tcBorders>
            <w:shd w:val="clear" w:color="auto" w:fill="auto"/>
            <w:noWrap/>
            <w:vAlign w:val="center"/>
            <w:hideMark/>
          </w:tcPr>
          <w:p w:rsidR="0088636C" w:rsidRPr="0082024F" w:rsidRDefault="0088636C" w:rsidP="0088636C">
            <w:pPr>
              <w:jc w:val="center"/>
              <w:rPr>
                <w:rFonts w:ascii="Times New Roman" w:hAnsi="Times New Roman" w:cs="Times New Roman"/>
                <w:sz w:val="18"/>
                <w:szCs w:val="18"/>
              </w:rPr>
            </w:pPr>
            <w:r w:rsidRPr="0082024F">
              <w:rPr>
                <w:rFonts w:ascii="Times New Roman" w:hAnsi="Times New Roman" w:cs="Times New Roman"/>
                <w:sz w:val="18"/>
                <w:szCs w:val="18"/>
              </w:rPr>
              <w:t>1.08</w:t>
            </w:r>
          </w:p>
        </w:tc>
        <w:tc>
          <w:tcPr>
            <w:tcW w:w="1134" w:type="dxa"/>
            <w:tcBorders>
              <w:top w:val="nil"/>
              <w:left w:val="nil"/>
              <w:bottom w:val="single" w:sz="4" w:space="0" w:color="auto"/>
              <w:right w:val="single" w:sz="4" w:space="0" w:color="auto"/>
            </w:tcBorders>
            <w:shd w:val="clear" w:color="auto" w:fill="auto"/>
            <w:noWrap/>
            <w:vAlign w:val="center"/>
            <w:hideMark/>
          </w:tcPr>
          <w:p w:rsidR="0088636C" w:rsidRPr="0082024F" w:rsidRDefault="0088636C" w:rsidP="0088636C">
            <w:pPr>
              <w:jc w:val="center"/>
              <w:rPr>
                <w:rFonts w:ascii="Times New Roman" w:hAnsi="Times New Roman" w:cs="Times New Roman"/>
                <w:sz w:val="18"/>
                <w:szCs w:val="18"/>
              </w:rPr>
            </w:pPr>
            <w:r w:rsidRPr="0082024F">
              <w:rPr>
                <w:rFonts w:ascii="Times New Roman" w:hAnsi="Times New Roman" w:cs="Times New Roman"/>
                <w:sz w:val="18"/>
                <w:szCs w:val="18"/>
              </w:rPr>
              <w:t>1.59</w:t>
            </w:r>
          </w:p>
        </w:tc>
        <w:tc>
          <w:tcPr>
            <w:tcW w:w="1134" w:type="dxa"/>
            <w:tcBorders>
              <w:top w:val="nil"/>
              <w:left w:val="nil"/>
              <w:bottom w:val="single" w:sz="4" w:space="0" w:color="auto"/>
              <w:right w:val="single" w:sz="4" w:space="0" w:color="auto"/>
            </w:tcBorders>
            <w:shd w:val="clear" w:color="auto" w:fill="auto"/>
            <w:noWrap/>
            <w:vAlign w:val="center"/>
            <w:hideMark/>
          </w:tcPr>
          <w:p w:rsidR="0088636C" w:rsidRPr="0082024F" w:rsidRDefault="0088636C" w:rsidP="0088636C">
            <w:pPr>
              <w:jc w:val="center"/>
              <w:rPr>
                <w:rFonts w:ascii="Times New Roman" w:hAnsi="Times New Roman" w:cs="Times New Roman"/>
                <w:sz w:val="18"/>
                <w:szCs w:val="18"/>
              </w:rPr>
            </w:pPr>
            <w:r w:rsidRPr="0082024F">
              <w:rPr>
                <w:rFonts w:ascii="Times New Roman" w:hAnsi="Times New Roman" w:cs="Times New Roman"/>
                <w:sz w:val="18"/>
                <w:szCs w:val="18"/>
              </w:rPr>
              <w:t>0.8</w:t>
            </w:r>
          </w:p>
        </w:tc>
      </w:tr>
      <w:tr w:rsidR="00815B01" w:rsidRPr="00BA59C6" w:rsidTr="00E847D5">
        <w:trPr>
          <w:trHeight w:val="290"/>
        </w:trPr>
        <w:tc>
          <w:tcPr>
            <w:tcW w:w="2022" w:type="dxa"/>
            <w:tcBorders>
              <w:top w:val="nil"/>
              <w:left w:val="single" w:sz="4" w:space="0" w:color="auto"/>
              <w:bottom w:val="single" w:sz="4" w:space="0" w:color="auto"/>
              <w:right w:val="single" w:sz="4" w:space="0" w:color="auto"/>
            </w:tcBorders>
            <w:shd w:val="clear" w:color="auto" w:fill="auto"/>
            <w:noWrap/>
            <w:vAlign w:val="center"/>
            <w:hideMark/>
          </w:tcPr>
          <w:p w:rsidR="00815B01" w:rsidRPr="0082024F" w:rsidRDefault="00815B01" w:rsidP="00E847D5">
            <w:pPr>
              <w:jc w:val="center"/>
              <w:rPr>
                <w:rFonts w:ascii="Times New Roman" w:hAnsi="Times New Roman" w:cs="Times New Roman"/>
                <w:sz w:val="18"/>
                <w:szCs w:val="18"/>
              </w:rPr>
            </w:pPr>
            <w:r w:rsidRPr="0082024F">
              <w:rPr>
                <w:rFonts w:ascii="Times New Roman" w:hAnsi="Times New Roman" w:cs="Times New Roman"/>
                <w:sz w:val="18"/>
                <w:szCs w:val="18"/>
              </w:rPr>
              <w:t>Quick Ration</w:t>
            </w:r>
          </w:p>
        </w:tc>
        <w:tc>
          <w:tcPr>
            <w:tcW w:w="1097"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1.72</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rsidP="00815B01">
            <w:pPr>
              <w:jc w:val="center"/>
              <w:rPr>
                <w:rFonts w:ascii="Times New Roman" w:hAnsi="Times New Roman" w:cs="Times New Roman"/>
                <w:sz w:val="18"/>
                <w:szCs w:val="18"/>
              </w:rPr>
            </w:pPr>
            <w:r w:rsidRPr="0082024F">
              <w:rPr>
                <w:rFonts w:ascii="Times New Roman" w:hAnsi="Times New Roman" w:cs="Times New Roman"/>
                <w:sz w:val="18"/>
                <w:szCs w:val="18"/>
              </w:rPr>
              <w:t>1.53</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rsidP="00815B01">
            <w:pPr>
              <w:jc w:val="center"/>
              <w:rPr>
                <w:rFonts w:ascii="Times New Roman" w:hAnsi="Times New Roman" w:cs="Times New Roman"/>
                <w:sz w:val="18"/>
                <w:szCs w:val="18"/>
              </w:rPr>
            </w:pPr>
            <w:r w:rsidRPr="0082024F">
              <w:rPr>
                <w:rFonts w:ascii="Times New Roman" w:hAnsi="Times New Roman" w:cs="Times New Roman"/>
                <w:sz w:val="18"/>
                <w:szCs w:val="18"/>
              </w:rPr>
              <w:t>1.38</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rsidP="00815B01">
            <w:pPr>
              <w:jc w:val="center"/>
              <w:rPr>
                <w:rFonts w:ascii="Times New Roman" w:hAnsi="Times New Roman" w:cs="Times New Roman"/>
                <w:sz w:val="18"/>
                <w:szCs w:val="18"/>
              </w:rPr>
            </w:pPr>
            <w:r w:rsidRPr="0082024F">
              <w:rPr>
                <w:rFonts w:ascii="Times New Roman" w:hAnsi="Times New Roman" w:cs="Times New Roman"/>
                <w:sz w:val="18"/>
                <w:szCs w:val="18"/>
              </w:rPr>
              <w:t>1.88</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rsidP="00815B01">
            <w:pPr>
              <w:jc w:val="center"/>
              <w:rPr>
                <w:rFonts w:ascii="Times New Roman" w:hAnsi="Times New Roman" w:cs="Times New Roman"/>
                <w:sz w:val="18"/>
                <w:szCs w:val="18"/>
              </w:rPr>
            </w:pPr>
            <w:r w:rsidRPr="0082024F">
              <w:rPr>
                <w:rFonts w:ascii="Times New Roman" w:hAnsi="Times New Roman" w:cs="Times New Roman"/>
                <w:sz w:val="18"/>
                <w:szCs w:val="18"/>
              </w:rPr>
              <w:t>1.13</w:t>
            </w:r>
          </w:p>
        </w:tc>
      </w:tr>
      <w:tr w:rsidR="00815B01" w:rsidRPr="00BA59C6" w:rsidTr="00E847D5">
        <w:trPr>
          <w:trHeight w:val="290"/>
        </w:trPr>
        <w:tc>
          <w:tcPr>
            <w:tcW w:w="2022" w:type="dxa"/>
            <w:tcBorders>
              <w:top w:val="nil"/>
              <w:left w:val="single" w:sz="4" w:space="0" w:color="auto"/>
              <w:bottom w:val="single" w:sz="4" w:space="0" w:color="auto"/>
              <w:right w:val="single" w:sz="4" w:space="0" w:color="auto"/>
            </w:tcBorders>
            <w:shd w:val="clear" w:color="auto" w:fill="auto"/>
            <w:noWrap/>
            <w:vAlign w:val="center"/>
            <w:hideMark/>
          </w:tcPr>
          <w:p w:rsidR="00815B01" w:rsidRPr="0082024F" w:rsidRDefault="00815B01" w:rsidP="00E847D5">
            <w:pPr>
              <w:jc w:val="center"/>
              <w:rPr>
                <w:rFonts w:ascii="Times New Roman" w:hAnsi="Times New Roman" w:cs="Times New Roman"/>
                <w:sz w:val="18"/>
                <w:szCs w:val="18"/>
              </w:rPr>
            </w:pPr>
            <w:r w:rsidRPr="0082024F">
              <w:rPr>
                <w:rFonts w:ascii="Times New Roman" w:hAnsi="Times New Roman" w:cs="Times New Roman"/>
                <w:sz w:val="18"/>
                <w:szCs w:val="18"/>
              </w:rPr>
              <w:t>Cash Ration</w:t>
            </w:r>
          </w:p>
        </w:tc>
        <w:tc>
          <w:tcPr>
            <w:tcW w:w="1097"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rsidP="00815B01">
            <w:pPr>
              <w:jc w:val="center"/>
              <w:rPr>
                <w:rFonts w:ascii="Times New Roman" w:hAnsi="Times New Roman" w:cs="Times New Roman"/>
                <w:sz w:val="18"/>
                <w:szCs w:val="18"/>
              </w:rPr>
            </w:pPr>
            <w:r w:rsidRPr="0082024F">
              <w:rPr>
                <w:rFonts w:ascii="Times New Roman" w:hAnsi="Times New Roman" w:cs="Times New Roman" w:hint="eastAsia"/>
                <w:sz w:val="18"/>
                <w:szCs w:val="18"/>
              </w:rPr>
              <w:t>1.03</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rsidP="00815B01">
            <w:pPr>
              <w:jc w:val="center"/>
              <w:rPr>
                <w:rFonts w:ascii="Times New Roman" w:hAnsi="Times New Roman" w:cs="Times New Roman"/>
                <w:sz w:val="18"/>
                <w:szCs w:val="18"/>
              </w:rPr>
            </w:pPr>
            <w:r w:rsidRPr="0082024F">
              <w:rPr>
                <w:rFonts w:ascii="Times New Roman" w:hAnsi="Times New Roman" w:cs="Times New Roman"/>
                <w:sz w:val="18"/>
                <w:szCs w:val="18"/>
              </w:rPr>
              <w:t>0.84</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rsidP="00815B01">
            <w:pPr>
              <w:jc w:val="center"/>
              <w:rPr>
                <w:rFonts w:ascii="Times New Roman" w:hAnsi="Times New Roman" w:cs="Times New Roman"/>
                <w:sz w:val="18"/>
                <w:szCs w:val="18"/>
              </w:rPr>
            </w:pPr>
            <w:r w:rsidRPr="0082024F">
              <w:rPr>
                <w:rFonts w:ascii="Times New Roman" w:hAnsi="Times New Roman" w:cs="Times New Roman"/>
                <w:sz w:val="18"/>
                <w:szCs w:val="18"/>
              </w:rPr>
              <w:t>0.92</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rsidP="00815B01">
            <w:pPr>
              <w:jc w:val="center"/>
              <w:rPr>
                <w:rFonts w:ascii="Times New Roman" w:hAnsi="Times New Roman" w:cs="Times New Roman"/>
                <w:sz w:val="18"/>
                <w:szCs w:val="18"/>
              </w:rPr>
            </w:pPr>
            <w:r w:rsidRPr="0082024F">
              <w:rPr>
                <w:rFonts w:ascii="Times New Roman" w:hAnsi="Times New Roman" w:cs="Times New Roman"/>
                <w:sz w:val="18"/>
                <w:szCs w:val="18"/>
              </w:rPr>
              <w:t>1.38</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rsidP="00815B01">
            <w:pPr>
              <w:jc w:val="center"/>
              <w:rPr>
                <w:rFonts w:ascii="Times New Roman" w:hAnsi="Times New Roman" w:cs="Times New Roman"/>
                <w:sz w:val="18"/>
                <w:szCs w:val="18"/>
              </w:rPr>
            </w:pPr>
            <w:r w:rsidRPr="0082024F">
              <w:rPr>
                <w:rFonts w:ascii="Times New Roman" w:hAnsi="Times New Roman" w:cs="Times New Roman"/>
                <w:sz w:val="18"/>
                <w:szCs w:val="18"/>
              </w:rPr>
              <w:t>0.61</w:t>
            </w:r>
          </w:p>
        </w:tc>
      </w:tr>
    </w:tbl>
    <w:p w:rsidR="00996AF2" w:rsidRDefault="00996AF2" w:rsidP="00996AF2">
      <w:pPr>
        <w:ind w:firstLineChars="50" w:firstLine="105"/>
        <w:jc w:val="left"/>
        <w:rPr>
          <w:rFonts w:ascii="Times New Roman" w:hAnsi="Times New Roman" w:cs="Times New Roman"/>
        </w:rPr>
      </w:pPr>
      <w:r w:rsidRPr="00445EBF">
        <w:rPr>
          <w:rFonts w:ascii="Times New Roman" w:hAnsi="Times New Roman" w:cs="Times New Roman"/>
        </w:rPr>
        <w:t>Table</w:t>
      </w:r>
      <w:r>
        <w:rPr>
          <w:rFonts w:ascii="Times New Roman" w:hAnsi="Times New Roman" w:cs="Times New Roman"/>
        </w:rPr>
        <w:t>1</w:t>
      </w:r>
      <w:r w:rsidRPr="00445EBF">
        <w:rPr>
          <w:rFonts w:ascii="Times New Roman" w:hAnsi="Times New Roman" w:cs="Times New Roman"/>
        </w:rPr>
        <w:t xml:space="preserve">. </w:t>
      </w:r>
      <w:r>
        <w:rPr>
          <w:rFonts w:ascii="Times New Roman" w:hAnsi="Times New Roman" w:cs="Times New Roman" w:hint="eastAsia"/>
        </w:rPr>
        <w:t xml:space="preserve">The liquidity ratios of </w:t>
      </w:r>
      <w:r w:rsidR="00171BF0">
        <w:rPr>
          <w:rFonts w:ascii="Times New Roman" w:hAnsi="Times New Roman" w:cs="Times New Roman" w:hint="eastAsia"/>
        </w:rPr>
        <w:t>Tesla</w:t>
      </w:r>
      <w:r>
        <w:rPr>
          <w:rFonts w:ascii="Times New Roman" w:hAnsi="Times New Roman" w:cs="Times New Roman" w:hint="eastAsia"/>
        </w:rPr>
        <w:t xml:space="preserve"> in last five years</w:t>
      </w:r>
    </w:p>
    <w:p w:rsidR="0086165D" w:rsidRDefault="0086165D" w:rsidP="00304718">
      <w:pPr>
        <w:rPr>
          <w:rFonts w:ascii="Cambria" w:hAnsi="Cambria"/>
        </w:rPr>
      </w:pPr>
    </w:p>
    <w:p w:rsidR="00203A83" w:rsidRDefault="00203A83" w:rsidP="00304718">
      <w:pPr>
        <w:rPr>
          <w:rFonts w:ascii="Cambria" w:hAnsi="Cambria"/>
        </w:rPr>
      </w:pPr>
      <w:r w:rsidRPr="00203A83">
        <w:rPr>
          <w:rFonts w:ascii="Cambria" w:hAnsi="Cambria"/>
        </w:rPr>
        <w:t xml:space="preserve">From the data in Table 1, it is evident that over the past five years, </w:t>
      </w:r>
      <w:r w:rsidR="00171BF0">
        <w:rPr>
          <w:rFonts w:ascii="Cambria" w:hAnsi="Cambria"/>
        </w:rPr>
        <w:t>Tesla</w:t>
      </w:r>
      <w:r w:rsidRPr="00203A83">
        <w:rPr>
          <w:rFonts w:ascii="Cambria" w:hAnsi="Cambria"/>
        </w:rPr>
        <w:t xml:space="preserve"> has been consistently improving its liquidity, leading to a significant enhancement in the company's ability to repay debts and meet accounts payable in the short term.</w:t>
      </w:r>
    </w:p>
    <w:p w:rsidR="00203A83" w:rsidRPr="00304718" w:rsidRDefault="00203A83" w:rsidP="00304718">
      <w:pPr>
        <w:rPr>
          <w:rFonts w:ascii="Cambria" w:hAnsi="Cambria"/>
        </w:rPr>
      </w:pPr>
    </w:p>
    <w:p w:rsidR="009204FE" w:rsidRPr="001476F7" w:rsidRDefault="009204FE" w:rsidP="00C52A10">
      <w:pPr>
        <w:pStyle w:val="ab"/>
        <w:numPr>
          <w:ilvl w:val="0"/>
          <w:numId w:val="5"/>
        </w:numPr>
        <w:ind w:firstLineChars="0"/>
        <w:rPr>
          <w:rFonts w:ascii="Cambria" w:hAnsi="Cambria"/>
          <w:b/>
          <w:sz w:val="24"/>
          <w:szCs w:val="24"/>
        </w:rPr>
      </w:pPr>
      <w:r w:rsidRPr="001476F7">
        <w:rPr>
          <w:rFonts w:ascii="Cambria" w:hAnsi="Cambria" w:hint="eastAsia"/>
          <w:b/>
          <w:sz w:val="24"/>
          <w:szCs w:val="24"/>
        </w:rPr>
        <w:t xml:space="preserve">Calculate and briefly evaluate the </w:t>
      </w:r>
      <w:r w:rsidR="002420FE" w:rsidRPr="001476F7">
        <w:rPr>
          <w:rFonts w:ascii="Cambria" w:hAnsi="Cambria"/>
          <w:b/>
          <w:sz w:val="24"/>
          <w:szCs w:val="24"/>
        </w:rPr>
        <w:t>leverage (</w:t>
      </w:r>
      <w:r w:rsidR="00CB6C4B" w:rsidRPr="001476F7">
        <w:rPr>
          <w:rFonts w:ascii="Cambria" w:hAnsi="Cambria" w:hint="eastAsia"/>
          <w:b/>
          <w:sz w:val="24"/>
          <w:szCs w:val="24"/>
        </w:rPr>
        <w:t>gearing)</w:t>
      </w:r>
      <w:r w:rsidRPr="001476F7">
        <w:rPr>
          <w:rFonts w:ascii="Cambria" w:hAnsi="Cambria" w:hint="eastAsia"/>
          <w:b/>
          <w:sz w:val="24"/>
          <w:szCs w:val="24"/>
        </w:rPr>
        <w:t xml:space="preserve"> ratios for the past five years</w:t>
      </w:r>
      <w:r w:rsidR="00A46E97" w:rsidRPr="001476F7">
        <w:rPr>
          <w:rFonts w:ascii="Cambria" w:hAnsi="Cambria" w:hint="eastAsia"/>
          <w:b/>
          <w:sz w:val="24"/>
          <w:szCs w:val="24"/>
        </w:rPr>
        <w:t xml:space="preserve"> </w:t>
      </w:r>
    </w:p>
    <w:p w:rsidR="00203A83" w:rsidRDefault="00203A83">
      <w:pPr>
        <w:rPr>
          <w:rFonts w:ascii="Times New Roman" w:hAnsi="Times New Roman" w:cs="Times New Roman"/>
        </w:rPr>
      </w:pPr>
      <w:r w:rsidRPr="00203A83">
        <w:rPr>
          <w:rFonts w:ascii="Times New Roman" w:hAnsi="Times New Roman" w:cs="Times New Roman"/>
        </w:rPr>
        <w:t>Financial leverage refers to the relationship between the financing contributed by owners and that provided by others in the form of loans. This relationship is significant because the level of debt affects the associated risk level of a business. The debt-to-equity ratio helps reveal the extent of financing through borrowing and its impact on the risk level borne by the company (Atrill and Mclaney, 2018b, p.264).</w:t>
      </w:r>
    </w:p>
    <w:p w:rsidR="00203A83" w:rsidRPr="00323EB2" w:rsidRDefault="00203A83">
      <w:pPr>
        <w:rPr>
          <w:rFonts w:ascii="Times New Roman" w:hAnsi="Times New Roman" w:cs="Times New Roman"/>
        </w:rPr>
      </w:pPr>
    </w:p>
    <w:p w:rsidR="00203A83" w:rsidRPr="00203A83" w:rsidRDefault="00203A83" w:rsidP="00203A83">
      <w:pPr>
        <w:rPr>
          <w:rFonts w:ascii="Times New Roman" w:hAnsi="Times New Roman" w:cs="Times New Roman"/>
        </w:rPr>
      </w:pPr>
      <w:r w:rsidRPr="00203A83">
        <w:rPr>
          <w:rFonts w:ascii="Times New Roman" w:hAnsi="Times New Roman" w:cs="Times New Roman"/>
        </w:rPr>
        <w:lastRenderedPageBreak/>
        <w:t xml:space="preserve">The debt-to-equity ratio measures the risk to a company from the perspectives of both existing and potential lenders. The primary risk for a company is the obligation to pay debt in the form of fixed costs of principal and interest, even if the company's business and cash flow decline. Another risk faced by the company is that a decrease in its ratio could result in a breach of its loan agreements. This could lead to higher interest rates or, worse, banks demanding immediate repayment of </w:t>
      </w:r>
      <w:r w:rsidR="0062093D">
        <w:rPr>
          <w:rFonts w:ascii="Times New Roman" w:hAnsi="Times New Roman" w:cs="Times New Roman"/>
        </w:rPr>
        <w:t>the loan (Fields, 2016, p.136).</w:t>
      </w:r>
    </w:p>
    <w:p w:rsidR="00203A83" w:rsidRPr="00323EB2" w:rsidRDefault="00203A83" w:rsidP="00203A83">
      <w:pPr>
        <w:rPr>
          <w:rFonts w:ascii="Times New Roman" w:hAnsi="Times New Roman" w:cs="Times New Roman"/>
        </w:rPr>
      </w:pPr>
      <w:r w:rsidRPr="00203A83">
        <w:rPr>
          <w:rFonts w:ascii="Times New Roman" w:hAnsi="Times New Roman" w:cs="Times New Roman"/>
        </w:rPr>
        <w:t>The debt-to-capital ratio is a measure of total debt compared to total capital and serves as an indicator of risk. Generally, a higher debt-to-capital ratio signifies greater risk for a company, indicating that its earnings may not be sufficient to cover the costs of its debt and other liabilities. However, a higher debt-to-capital ratio is not always negative; some companies prefer to use loans or other forms of debt to fund almost all of their operations as this can reduce tax burdens (Tamplin, 2023).</w:t>
      </w:r>
    </w:p>
    <w:p w:rsidR="00203A83" w:rsidRPr="00203A83" w:rsidRDefault="00203A83" w:rsidP="00203A83">
      <w:pPr>
        <w:rPr>
          <w:rFonts w:ascii="Cambria" w:hAnsi="Cambria"/>
        </w:rPr>
      </w:pPr>
      <w:r w:rsidRPr="00203A83">
        <w:rPr>
          <w:rFonts w:ascii="Cambria" w:hAnsi="Cambria"/>
        </w:rPr>
        <w:t>The debt to asset ratio is the ratio of total financing debt (including both current and long-term portions) to total company assets. This ratio helps understand the extent to which a company's operations are funded by debt. Generally, a ratio close to 1 indicates a very high level of debt financing, which may raise concerns about the company's solvency (Peterdy, 2020).</w:t>
      </w:r>
    </w:p>
    <w:p w:rsidR="00203A83" w:rsidRPr="00203A83" w:rsidRDefault="00203A83" w:rsidP="00203A83">
      <w:pPr>
        <w:rPr>
          <w:rFonts w:ascii="Cambria" w:hAnsi="Cambria"/>
        </w:rPr>
      </w:pPr>
    </w:p>
    <w:p w:rsidR="00203A83" w:rsidRDefault="00203A83" w:rsidP="00203A83">
      <w:pPr>
        <w:rPr>
          <w:rFonts w:ascii="Cambria" w:hAnsi="Cambria"/>
        </w:rPr>
      </w:pPr>
      <w:r w:rsidRPr="00203A83">
        <w:rPr>
          <w:rFonts w:ascii="Cambria" w:hAnsi="Cambria"/>
        </w:rPr>
        <w:t xml:space="preserve">Based on </w:t>
      </w:r>
      <w:r w:rsidR="00171BF0">
        <w:rPr>
          <w:rFonts w:ascii="Cambria" w:hAnsi="Cambria"/>
        </w:rPr>
        <w:t>Tesla</w:t>
      </w:r>
      <w:r w:rsidRPr="00203A83">
        <w:rPr>
          <w:rFonts w:ascii="Cambria" w:hAnsi="Cambria"/>
        </w:rPr>
        <w:t xml:space="preserve">'s five-year financial data (see Appendix A) and the relevant formulas for leverage ratios (see Appendix C), we can derive </w:t>
      </w:r>
      <w:r w:rsidR="00171BF0">
        <w:rPr>
          <w:rFonts w:ascii="Cambria" w:hAnsi="Cambria"/>
        </w:rPr>
        <w:t>Tesla</w:t>
      </w:r>
      <w:r w:rsidRPr="00203A83">
        <w:rPr>
          <w:rFonts w:ascii="Cambria" w:hAnsi="Cambria"/>
        </w:rPr>
        <w:t>'s leverage ratio over the past five years.</w:t>
      </w:r>
    </w:p>
    <w:p w:rsidR="00203A83" w:rsidRPr="00611DDB" w:rsidRDefault="00203A83" w:rsidP="00203A83">
      <w:pPr>
        <w:rPr>
          <w:rFonts w:ascii="Cambria" w:hAnsi="Cambria"/>
        </w:rPr>
      </w:pPr>
    </w:p>
    <w:tbl>
      <w:tblPr>
        <w:tblW w:w="8364" w:type="dxa"/>
        <w:tblInd w:w="108" w:type="dxa"/>
        <w:tblLook w:val="04A0"/>
      </w:tblPr>
      <w:tblGrid>
        <w:gridCol w:w="2694"/>
        <w:gridCol w:w="1134"/>
        <w:gridCol w:w="1134"/>
        <w:gridCol w:w="1134"/>
        <w:gridCol w:w="1134"/>
        <w:gridCol w:w="1134"/>
      </w:tblGrid>
      <w:tr w:rsidR="00D71348" w:rsidRPr="007C067F" w:rsidTr="00E847D5">
        <w:trPr>
          <w:trHeight w:val="290"/>
        </w:trPr>
        <w:tc>
          <w:tcPr>
            <w:tcW w:w="269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D71348" w:rsidRPr="00172482" w:rsidRDefault="00D71348" w:rsidP="00E847D5">
            <w:pPr>
              <w:jc w:val="center"/>
              <w:rPr>
                <w:rFonts w:ascii="Times New Roman" w:hAnsi="Times New Roman" w:cs="Times New Roman"/>
                <w:sz w:val="18"/>
                <w:szCs w:val="18"/>
              </w:rPr>
            </w:pPr>
            <w:r w:rsidRPr="00172482">
              <w:rPr>
                <w:rFonts w:ascii="Times New Roman" w:hAnsi="Times New Roman" w:cs="Times New Roman"/>
                <w:sz w:val="18"/>
                <w:szCs w:val="18"/>
              </w:rPr>
              <w:t>Ratios</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D71348" w:rsidRPr="00172482" w:rsidRDefault="00D71348" w:rsidP="00E847D5">
            <w:pPr>
              <w:jc w:val="center"/>
              <w:rPr>
                <w:rFonts w:ascii="Times New Roman" w:hAnsi="Times New Roman" w:cs="Times New Roman"/>
                <w:sz w:val="18"/>
                <w:szCs w:val="18"/>
              </w:rPr>
            </w:pPr>
            <w:r w:rsidRPr="00172482">
              <w:rPr>
                <w:rFonts w:ascii="Times New Roman" w:hAnsi="Times New Roman" w:cs="Times New Roman" w:hint="eastAsia"/>
                <w:sz w:val="18"/>
                <w:szCs w:val="18"/>
              </w:rPr>
              <w:t>2023</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D71348" w:rsidRPr="00172482" w:rsidRDefault="00D71348" w:rsidP="00E847D5">
            <w:pPr>
              <w:jc w:val="center"/>
              <w:rPr>
                <w:rFonts w:ascii="Times New Roman" w:hAnsi="Times New Roman" w:cs="Times New Roman"/>
                <w:sz w:val="18"/>
                <w:szCs w:val="18"/>
              </w:rPr>
            </w:pPr>
            <w:r w:rsidRPr="00172482">
              <w:rPr>
                <w:rFonts w:ascii="Times New Roman" w:hAnsi="Times New Roman" w:cs="Times New Roman" w:hint="eastAsia"/>
                <w:sz w:val="18"/>
                <w:szCs w:val="18"/>
              </w:rPr>
              <w:t>2022</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D71348" w:rsidRPr="00172482" w:rsidRDefault="00D71348" w:rsidP="00E847D5">
            <w:pPr>
              <w:jc w:val="center"/>
              <w:rPr>
                <w:rFonts w:ascii="Times New Roman" w:hAnsi="Times New Roman" w:cs="Times New Roman"/>
                <w:sz w:val="18"/>
                <w:szCs w:val="18"/>
              </w:rPr>
            </w:pPr>
            <w:r w:rsidRPr="00172482">
              <w:rPr>
                <w:rFonts w:ascii="Times New Roman" w:hAnsi="Times New Roman" w:cs="Times New Roman" w:hint="eastAsia"/>
                <w:sz w:val="18"/>
                <w:szCs w:val="18"/>
              </w:rPr>
              <w:t>2021</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D71348" w:rsidRPr="00172482" w:rsidRDefault="00D71348" w:rsidP="00E847D5">
            <w:pPr>
              <w:jc w:val="center"/>
              <w:rPr>
                <w:rFonts w:ascii="Times New Roman" w:hAnsi="Times New Roman" w:cs="Times New Roman"/>
                <w:sz w:val="18"/>
                <w:szCs w:val="18"/>
              </w:rPr>
            </w:pPr>
            <w:r w:rsidRPr="00172482">
              <w:rPr>
                <w:rFonts w:ascii="Times New Roman" w:hAnsi="Times New Roman" w:cs="Times New Roman" w:hint="eastAsia"/>
                <w:sz w:val="18"/>
                <w:szCs w:val="18"/>
              </w:rPr>
              <w:t>2020</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D71348" w:rsidRPr="00172482" w:rsidRDefault="00D71348" w:rsidP="00E847D5">
            <w:pPr>
              <w:jc w:val="center"/>
              <w:rPr>
                <w:rFonts w:ascii="Times New Roman" w:hAnsi="Times New Roman" w:cs="Times New Roman"/>
                <w:sz w:val="18"/>
                <w:szCs w:val="18"/>
              </w:rPr>
            </w:pPr>
            <w:r w:rsidRPr="00172482">
              <w:rPr>
                <w:rFonts w:ascii="Times New Roman" w:hAnsi="Times New Roman" w:cs="Times New Roman" w:hint="eastAsia"/>
                <w:sz w:val="18"/>
                <w:szCs w:val="18"/>
              </w:rPr>
              <w:t>2019</w:t>
            </w:r>
          </w:p>
        </w:tc>
      </w:tr>
      <w:tr w:rsidR="00815B01" w:rsidRPr="007C067F" w:rsidTr="00E847D5">
        <w:trPr>
          <w:trHeight w:val="290"/>
        </w:trPr>
        <w:tc>
          <w:tcPr>
            <w:tcW w:w="2694" w:type="dxa"/>
            <w:tcBorders>
              <w:top w:val="nil"/>
              <w:left w:val="single" w:sz="4" w:space="0" w:color="auto"/>
              <w:bottom w:val="single" w:sz="4" w:space="0" w:color="auto"/>
              <w:right w:val="single" w:sz="4" w:space="0" w:color="auto"/>
            </w:tcBorders>
            <w:shd w:val="clear" w:color="auto" w:fill="auto"/>
            <w:noWrap/>
            <w:vAlign w:val="center"/>
            <w:hideMark/>
          </w:tcPr>
          <w:p w:rsidR="00815B01" w:rsidRPr="00172482" w:rsidRDefault="00815B01" w:rsidP="00E847D5">
            <w:pPr>
              <w:jc w:val="center"/>
              <w:rPr>
                <w:rFonts w:ascii="Times New Roman" w:hAnsi="Times New Roman" w:cs="Times New Roman"/>
                <w:sz w:val="18"/>
                <w:szCs w:val="18"/>
              </w:rPr>
            </w:pPr>
            <w:r w:rsidRPr="00172482">
              <w:rPr>
                <w:rFonts w:ascii="Times New Roman" w:hAnsi="Times New Roman" w:cs="Times New Roman" w:hint="eastAsia"/>
                <w:sz w:val="18"/>
                <w:szCs w:val="18"/>
              </w:rPr>
              <w:t>Debt-Equity Ratio</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pPr>
              <w:jc w:val="center"/>
              <w:rPr>
                <w:rFonts w:ascii="Times New Roman" w:hAnsi="Times New Roman" w:cs="Times New Roman"/>
                <w:sz w:val="18"/>
                <w:szCs w:val="18"/>
              </w:rPr>
            </w:pPr>
            <w:r w:rsidRPr="0082024F">
              <w:rPr>
                <w:rFonts w:ascii="Times New Roman" w:hAnsi="Times New Roman" w:cs="Times New Roman"/>
                <w:sz w:val="18"/>
                <w:szCs w:val="18"/>
              </w:rPr>
              <w:t xml:space="preserve">0.10 </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pPr>
              <w:jc w:val="center"/>
              <w:rPr>
                <w:rFonts w:ascii="Times New Roman" w:hAnsi="Times New Roman" w:cs="Times New Roman"/>
                <w:sz w:val="18"/>
                <w:szCs w:val="18"/>
              </w:rPr>
            </w:pPr>
            <w:r w:rsidRPr="0082024F">
              <w:rPr>
                <w:rFonts w:ascii="Times New Roman" w:hAnsi="Times New Roman" w:cs="Times New Roman"/>
                <w:sz w:val="18"/>
                <w:szCs w:val="18"/>
              </w:rPr>
              <w:t xml:space="preserve">0.08 </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pPr>
              <w:jc w:val="center"/>
              <w:rPr>
                <w:rFonts w:ascii="Times New Roman" w:hAnsi="Times New Roman" w:cs="Times New Roman"/>
                <w:sz w:val="18"/>
                <w:szCs w:val="18"/>
              </w:rPr>
            </w:pPr>
            <w:r w:rsidRPr="0082024F">
              <w:rPr>
                <w:rFonts w:ascii="Times New Roman" w:hAnsi="Times New Roman" w:cs="Times New Roman"/>
                <w:sz w:val="18"/>
                <w:szCs w:val="18"/>
              </w:rPr>
              <w:t xml:space="preserve">0.22 </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pPr>
              <w:jc w:val="center"/>
              <w:rPr>
                <w:rFonts w:ascii="Times New Roman" w:hAnsi="Times New Roman" w:cs="Times New Roman"/>
                <w:sz w:val="18"/>
                <w:szCs w:val="18"/>
              </w:rPr>
            </w:pPr>
            <w:r w:rsidRPr="0082024F">
              <w:rPr>
                <w:rFonts w:ascii="Times New Roman" w:hAnsi="Times New Roman" w:cs="Times New Roman"/>
                <w:sz w:val="18"/>
                <w:szCs w:val="18"/>
              </w:rPr>
              <w:t xml:space="preserve">0.47 </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pPr>
              <w:jc w:val="center"/>
              <w:rPr>
                <w:rFonts w:ascii="Times New Roman" w:hAnsi="Times New Roman" w:cs="Times New Roman"/>
                <w:sz w:val="18"/>
                <w:szCs w:val="18"/>
              </w:rPr>
            </w:pPr>
            <w:r w:rsidRPr="0082024F">
              <w:rPr>
                <w:rFonts w:ascii="Times New Roman" w:hAnsi="Times New Roman" w:cs="Times New Roman"/>
                <w:sz w:val="18"/>
                <w:szCs w:val="18"/>
              </w:rPr>
              <w:t xml:space="preserve">1.69 </w:t>
            </w:r>
          </w:p>
        </w:tc>
      </w:tr>
      <w:tr w:rsidR="00815B01" w:rsidRPr="007C067F" w:rsidTr="00E847D5">
        <w:trPr>
          <w:trHeight w:val="290"/>
        </w:trPr>
        <w:tc>
          <w:tcPr>
            <w:tcW w:w="2694" w:type="dxa"/>
            <w:tcBorders>
              <w:top w:val="nil"/>
              <w:left w:val="single" w:sz="4" w:space="0" w:color="auto"/>
              <w:bottom w:val="single" w:sz="4" w:space="0" w:color="auto"/>
              <w:right w:val="single" w:sz="4" w:space="0" w:color="auto"/>
            </w:tcBorders>
            <w:shd w:val="clear" w:color="auto" w:fill="auto"/>
            <w:noWrap/>
            <w:vAlign w:val="center"/>
            <w:hideMark/>
          </w:tcPr>
          <w:p w:rsidR="00815B01" w:rsidRPr="00172482" w:rsidRDefault="00815B01" w:rsidP="00E847D5">
            <w:pPr>
              <w:jc w:val="center"/>
              <w:rPr>
                <w:rFonts w:ascii="Times New Roman" w:hAnsi="Times New Roman" w:cs="Times New Roman"/>
                <w:sz w:val="18"/>
                <w:szCs w:val="18"/>
              </w:rPr>
            </w:pPr>
            <w:r w:rsidRPr="00172482">
              <w:rPr>
                <w:rFonts w:ascii="Times New Roman" w:hAnsi="Times New Roman" w:cs="Times New Roman" w:hint="eastAsia"/>
                <w:sz w:val="18"/>
                <w:szCs w:val="18"/>
              </w:rPr>
              <w:t>Debt-to-Capital Ratio</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pPr>
              <w:jc w:val="center"/>
              <w:rPr>
                <w:rFonts w:ascii="Times New Roman" w:hAnsi="Times New Roman" w:cs="Times New Roman"/>
                <w:sz w:val="18"/>
                <w:szCs w:val="18"/>
              </w:rPr>
            </w:pPr>
            <w:r w:rsidRPr="0082024F">
              <w:rPr>
                <w:rFonts w:ascii="Times New Roman" w:hAnsi="Times New Roman" w:cs="Times New Roman"/>
                <w:sz w:val="18"/>
                <w:szCs w:val="18"/>
              </w:rPr>
              <w:t xml:space="preserve">0.09 </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pPr>
              <w:jc w:val="center"/>
              <w:rPr>
                <w:rFonts w:ascii="Times New Roman" w:hAnsi="Times New Roman" w:cs="Times New Roman"/>
                <w:sz w:val="18"/>
                <w:szCs w:val="18"/>
              </w:rPr>
            </w:pPr>
            <w:r w:rsidRPr="0082024F">
              <w:rPr>
                <w:rFonts w:ascii="Times New Roman" w:hAnsi="Times New Roman" w:cs="Times New Roman"/>
                <w:sz w:val="18"/>
                <w:szCs w:val="18"/>
              </w:rPr>
              <w:t xml:space="preserve">0.08 </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pPr>
              <w:jc w:val="center"/>
              <w:rPr>
                <w:rFonts w:ascii="Times New Roman" w:hAnsi="Times New Roman" w:cs="Times New Roman"/>
                <w:sz w:val="18"/>
                <w:szCs w:val="18"/>
              </w:rPr>
            </w:pPr>
            <w:r w:rsidRPr="0082024F">
              <w:rPr>
                <w:rFonts w:ascii="Times New Roman" w:hAnsi="Times New Roman" w:cs="Times New Roman"/>
                <w:sz w:val="18"/>
                <w:szCs w:val="18"/>
              </w:rPr>
              <w:t xml:space="preserve">0.18 </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pPr>
              <w:jc w:val="center"/>
              <w:rPr>
                <w:rFonts w:ascii="Times New Roman" w:hAnsi="Times New Roman" w:cs="Times New Roman"/>
                <w:sz w:val="18"/>
                <w:szCs w:val="18"/>
              </w:rPr>
            </w:pPr>
            <w:r w:rsidRPr="0082024F">
              <w:rPr>
                <w:rFonts w:ascii="Times New Roman" w:hAnsi="Times New Roman" w:cs="Times New Roman"/>
                <w:sz w:val="18"/>
                <w:szCs w:val="18"/>
              </w:rPr>
              <w:t xml:space="preserve">0.32 </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pPr>
              <w:jc w:val="center"/>
              <w:rPr>
                <w:rFonts w:ascii="Times New Roman" w:hAnsi="Times New Roman" w:cs="Times New Roman"/>
                <w:sz w:val="18"/>
                <w:szCs w:val="18"/>
              </w:rPr>
            </w:pPr>
            <w:r w:rsidRPr="0082024F">
              <w:rPr>
                <w:rFonts w:ascii="Times New Roman" w:hAnsi="Times New Roman" w:cs="Times New Roman"/>
                <w:sz w:val="18"/>
                <w:szCs w:val="18"/>
              </w:rPr>
              <w:t xml:space="preserve">0.63 </w:t>
            </w:r>
          </w:p>
        </w:tc>
      </w:tr>
      <w:tr w:rsidR="00815B01" w:rsidRPr="007C067F" w:rsidTr="00E847D5">
        <w:trPr>
          <w:trHeight w:val="290"/>
        </w:trPr>
        <w:tc>
          <w:tcPr>
            <w:tcW w:w="2694" w:type="dxa"/>
            <w:tcBorders>
              <w:top w:val="nil"/>
              <w:left w:val="single" w:sz="4" w:space="0" w:color="auto"/>
              <w:bottom w:val="single" w:sz="4" w:space="0" w:color="auto"/>
              <w:right w:val="single" w:sz="4" w:space="0" w:color="auto"/>
            </w:tcBorders>
            <w:shd w:val="clear" w:color="auto" w:fill="auto"/>
            <w:noWrap/>
            <w:vAlign w:val="center"/>
            <w:hideMark/>
          </w:tcPr>
          <w:p w:rsidR="00815B01" w:rsidRPr="00172482" w:rsidRDefault="00815B01" w:rsidP="00E847D5">
            <w:pPr>
              <w:jc w:val="center"/>
              <w:rPr>
                <w:rFonts w:ascii="Times New Roman" w:hAnsi="Times New Roman" w:cs="Times New Roman"/>
                <w:sz w:val="18"/>
                <w:szCs w:val="18"/>
              </w:rPr>
            </w:pPr>
            <w:r w:rsidRPr="00172482">
              <w:rPr>
                <w:rFonts w:ascii="Times New Roman" w:hAnsi="Times New Roman" w:cs="Times New Roman" w:hint="eastAsia"/>
                <w:sz w:val="18"/>
                <w:szCs w:val="18"/>
              </w:rPr>
              <w:t>Total Debt to Total Assets</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pPr>
              <w:jc w:val="center"/>
              <w:rPr>
                <w:rFonts w:ascii="Times New Roman" w:hAnsi="Times New Roman" w:cs="Times New Roman"/>
                <w:sz w:val="18"/>
                <w:szCs w:val="18"/>
              </w:rPr>
            </w:pPr>
            <w:r w:rsidRPr="0082024F">
              <w:rPr>
                <w:rFonts w:ascii="Times New Roman" w:hAnsi="Times New Roman" w:cs="Times New Roman"/>
                <w:sz w:val="18"/>
                <w:szCs w:val="18"/>
              </w:rPr>
              <w:t xml:space="preserve">0.06 </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pPr>
              <w:jc w:val="center"/>
              <w:rPr>
                <w:rFonts w:ascii="Times New Roman" w:hAnsi="Times New Roman" w:cs="Times New Roman"/>
                <w:sz w:val="18"/>
                <w:szCs w:val="18"/>
              </w:rPr>
            </w:pPr>
            <w:r w:rsidRPr="0082024F">
              <w:rPr>
                <w:rFonts w:ascii="Times New Roman" w:hAnsi="Times New Roman" w:cs="Times New Roman"/>
                <w:sz w:val="18"/>
                <w:szCs w:val="18"/>
              </w:rPr>
              <w:t xml:space="preserve">0.05 </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pPr>
              <w:jc w:val="center"/>
              <w:rPr>
                <w:rFonts w:ascii="Times New Roman" w:hAnsi="Times New Roman" w:cs="Times New Roman"/>
                <w:sz w:val="18"/>
                <w:szCs w:val="18"/>
              </w:rPr>
            </w:pPr>
            <w:r w:rsidRPr="0082024F">
              <w:rPr>
                <w:rFonts w:ascii="Times New Roman" w:hAnsi="Times New Roman" w:cs="Times New Roman"/>
                <w:sz w:val="18"/>
                <w:szCs w:val="18"/>
              </w:rPr>
              <w:t xml:space="preserve">0.11 </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pPr>
              <w:jc w:val="center"/>
              <w:rPr>
                <w:rFonts w:ascii="Times New Roman" w:hAnsi="Times New Roman" w:cs="Times New Roman"/>
                <w:sz w:val="18"/>
                <w:szCs w:val="18"/>
              </w:rPr>
            </w:pPr>
            <w:r w:rsidRPr="0082024F">
              <w:rPr>
                <w:rFonts w:ascii="Times New Roman" w:hAnsi="Times New Roman" w:cs="Times New Roman"/>
                <w:sz w:val="18"/>
                <w:szCs w:val="18"/>
              </w:rPr>
              <w:t xml:space="preserve">0.21 </w:t>
            </w:r>
          </w:p>
        </w:tc>
        <w:tc>
          <w:tcPr>
            <w:tcW w:w="1134" w:type="dxa"/>
            <w:tcBorders>
              <w:top w:val="nil"/>
              <w:left w:val="nil"/>
              <w:bottom w:val="single" w:sz="4" w:space="0" w:color="auto"/>
              <w:right w:val="single" w:sz="4" w:space="0" w:color="auto"/>
            </w:tcBorders>
            <w:shd w:val="clear" w:color="auto" w:fill="auto"/>
            <w:noWrap/>
            <w:vAlign w:val="center"/>
            <w:hideMark/>
          </w:tcPr>
          <w:p w:rsidR="00815B01" w:rsidRPr="0082024F" w:rsidRDefault="00815B01">
            <w:pPr>
              <w:jc w:val="center"/>
              <w:rPr>
                <w:rFonts w:ascii="Times New Roman" w:hAnsi="Times New Roman" w:cs="Times New Roman"/>
                <w:sz w:val="18"/>
                <w:szCs w:val="18"/>
              </w:rPr>
            </w:pPr>
            <w:r w:rsidRPr="0082024F">
              <w:rPr>
                <w:rFonts w:ascii="Times New Roman" w:hAnsi="Times New Roman" w:cs="Times New Roman"/>
                <w:sz w:val="18"/>
                <w:szCs w:val="18"/>
              </w:rPr>
              <w:t xml:space="preserve">0.37 </w:t>
            </w:r>
          </w:p>
        </w:tc>
      </w:tr>
    </w:tbl>
    <w:p w:rsidR="0082024F" w:rsidRDefault="0082024F" w:rsidP="0082024F">
      <w:pPr>
        <w:jc w:val="left"/>
        <w:rPr>
          <w:rFonts w:ascii="Times New Roman" w:hAnsi="Times New Roman" w:cs="Times New Roman" w:hint="eastAsia"/>
        </w:rPr>
      </w:pPr>
      <w:r>
        <w:rPr>
          <w:rFonts w:ascii="Times New Roman" w:hAnsi="Times New Roman" w:cs="Times New Roman" w:hint="eastAsia"/>
        </w:rPr>
        <w:t xml:space="preserve">Table2. The leverage ratios of </w:t>
      </w:r>
      <w:r w:rsidR="00171BF0">
        <w:rPr>
          <w:rFonts w:ascii="Times New Roman" w:hAnsi="Times New Roman" w:cs="Times New Roman" w:hint="eastAsia"/>
        </w:rPr>
        <w:t>Tesla</w:t>
      </w:r>
      <w:r>
        <w:rPr>
          <w:rFonts w:ascii="Times New Roman" w:hAnsi="Times New Roman" w:cs="Times New Roman" w:hint="eastAsia"/>
        </w:rPr>
        <w:t xml:space="preserve"> in last five years</w:t>
      </w:r>
    </w:p>
    <w:p w:rsidR="000112A4" w:rsidRPr="00445EBF" w:rsidRDefault="000112A4" w:rsidP="0082024F">
      <w:pPr>
        <w:jc w:val="left"/>
        <w:rPr>
          <w:rFonts w:ascii="Times New Roman" w:hAnsi="Times New Roman" w:cs="Times New Roman"/>
        </w:rPr>
      </w:pPr>
    </w:p>
    <w:p w:rsidR="00A7190A" w:rsidRDefault="00203A83" w:rsidP="00D71348">
      <w:pPr>
        <w:rPr>
          <w:rFonts w:ascii="Cambria" w:hAnsi="Cambria"/>
        </w:rPr>
      </w:pPr>
      <w:r w:rsidRPr="00203A83">
        <w:rPr>
          <w:rFonts w:ascii="Cambria" w:hAnsi="Cambria"/>
        </w:rPr>
        <w:t xml:space="preserve">From the data in Table 2, it is evident that </w:t>
      </w:r>
      <w:r w:rsidR="00171BF0">
        <w:rPr>
          <w:rFonts w:ascii="Cambria" w:hAnsi="Cambria"/>
        </w:rPr>
        <w:t>Tesla</w:t>
      </w:r>
      <w:r w:rsidRPr="00203A83">
        <w:rPr>
          <w:rFonts w:ascii="Cambria" w:hAnsi="Cambria"/>
        </w:rPr>
        <w:t xml:space="preserve"> is making significant efforts to reduce the company's leverage ratio, especially the debt-to-equity ratio, which has shown considerable improvement. This indicates that </w:t>
      </w:r>
      <w:r w:rsidR="00171BF0">
        <w:rPr>
          <w:rFonts w:ascii="Cambria" w:hAnsi="Cambria"/>
        </w:rPr>
        <w:t>Tesla</w:t>
      </w:r>
      <w:r w:rsidRPr="00203A83">
        <w:rPr>
          <w:rFonts w:ascii="Cambria" w:hAnsi="Cambria"/>
        </w:rPr>
        <w:t>, after a period of rapid expansion, is transitioning towards more stable operations and actively reducing financial risks by controlling leverage levels to a healthy range.</w:t>
      </w:r>
    </w:p>
    <w:p w:rsidR="0062093D" w:rsidRPr="0082024F" w:rsidRDefault="0062093D" w:rsidP="00D71348">
      <w:pPr>
        <w:rPr>
          <w:rFonts w:ascii="Cambria" w:hAnsi="Cambria"/>
        </w:rPr>
      </w:pPr>
    </w:p>
    <w:p w:rsidR="00203A83" w:rsidRPr="000112A4" w:rsidRDefault="00F47889" w:rsidP="005F1CF6">
      <w:pPr>
        <w:pStyle w:val="ab"/>
        <w:numPr>
          <w:ilvl w:val="0"/>
          <w:numId w:val="5"/>
        </w:numPr>
        <w:ind w:firstLineChars="0"/>
        <w:rPr>
          <w:rFonts w:ascii="Cambria" w:hAnsi="Cambria"/>
          <w:b/>
          <w:sz w:val="24"/>
          <w:szCs w:val="24"/>
        </w:rPr>
      </w:pPr>
      <w:r w:rsidRPr="001476F7">
        <w:rPr>
          <w:rFonts w:ascii="Cambria" w:hAnsi="Cambria" w:hint="eastAsia"/>
          <w:b/>
          <w:sz w:val="24"/>
          <w:szCs w:val="24"/>
        </w:rPr>
        <w:t>A critical analysis of the corporation's financial performance</w:t>
      </w:r>
    </w:p>
    <w:p w:rsidR="00203A83" w:rsidRDefault="00203A83" w:rsidP="005F1CF6">
      <w:pPr>
        <w:rPr>
          <w:rFonts w:ascii="Cambria" w:hAnsi="Cambria"/>
        </w:rPr>
      </w:pPr>
      <w:r w:rsidRPr="00203A83">
        <w:rPr>
          <w:rFonts w:ascii="Cambria" w:hAnsi="Cambria"/>
        </w:rPr>
        <w:t>A company's financial performance refers to its ability to generate profits and increase shareholder value, serving as indicators to measure how effectively the company manages resources and achieves financial objectives. Some key financial performance indicators include revenue growth, profit margins, return on investment, and other financial ratios. To assess a company's financial condition, the 10-K filing is a critical reference, which includes the balance sheet, income statement, and cash flow statement. Through the 10-K filing, specific financial ratios can be calculated and analyzed to gain insights into the company's financial condition and performance (Lenglet, 2023).</w:t>
      </w:r>
    </w:p>
    <w:p w:rsidR="00203A83" w:rsidRDefault="00203A83" w:rsidP="005F1CF6">
      <w:pPr>
        <w:rPr>
          <w:rFonts w:ascii="Cambria" w:hAnsi="Cambria"/>
        </w:rPr>
      </w:pPr>
    </w:p>
    <w:p w:rsidR="00203A83" w:rsidRPr="00203A83" w:rsidRDefault="00203A83" w:rsidP="00203A83">
      <w:pPr>
        <w:rPr>
          <w:rFonts w:ascii="Cambria" w:hAnsi="Cambria"/>
        </w:rPr>
      </w:pPr>
      <w:r w:rsidRPr="00203A83">
        <w:rPr>
          <w:rFonts w:ascii="Cambria" w:hAnsi="Cambria"/>
        </w:rPr>
        <w:t xml:space="preserve">Based on </w:t>
      </w:r>
      <w:r w:rsidR="00171BF0">
        <w:rPr>
          <w:rFonts w:ascii="Cambria" w:hAnsi="Cambria"/>
        </w:rPr>
        <w:t>Tesla</w:t>
      </w:r>
      <w:r w:rsidRPr="00203A83">
        <w:rPr>
          <w:rFonts w:ascii="Cambria" w:hAnsi="Cambria"/>
        </w:rPr>
        <w:t xml:space="preserve">'s financial reports over the past five years (see Appendix A), from 2020 to 2023, </w:t>
      </w:r>
      <w:r w:rsidR="00171BF0">
        <w:rPr>
          <w:rFonts w:ascii="Cambria" w:hAnsi="Cambria"/>
        </w:rPr>
        <w:t>Tesla</w:t>
      </w:r>
      <w:r w:rsidRPr="00203A83">
        <w:rPr>
          <w:rFonts w:ascii="Cambria" w:hAnsi="Cambria"/>
        </w:rPr>
        <w:t xml:space="preserve">'s revenue growth rates were 70.67%, 51.35%, 18.8%, and 3.49%, indicating that </w:t>
      </w:r>
      <w:r w:rsidR="00171BF0">
        <w:rPr>
          <w:rFonts w:ascii="Cambria" w:hAnsi="Cambria"/>
        </w:rPr>
        <w:t>Tesla</w:t>
      </w:r>
      <w:r w:rsidRPr="00203A83">
        <w:rPr>
          <w:rFonts w:ascii="Cambria" w:hAnsi="Cambria"/>
        </w:rPr>
        <w:t xml:space="preserve"> experienced significant revenue leaps until 2022 when it entered a phase of slower growth. However, during this period, </w:t>
      </w:r>
      <w:r w:rsidR="00171BF0">
        <w:rPr>
          <w:rFonts w:ascii="Cambria" w:hAnsi="Cambria"/>
        </w:rPr>
        <w:t>Tesla</w:t>
      </w:r>
      <w:r w:rsidRPr="00203A83">
        <w:rPr>
          <w:rFonts w:ascii="Cambria" w:hAnsi="Cambria"/>
        </w:rPr>
        <w:t xml:space="preserve">'s gross profit margins were 105.22%, 53.26%, -15.31%, and -23.18%, indicating a rapid decline in profit margins, likely influenced by intensifying competition in the electric vehicle market and economic conditions, which have had a significantly negative impact on </w:t>
      </w:r>
      <w:r w:rsidR="00171BF0">
        <w:rPr>
          <w:rFonts w:ascii="Cambria" w:hAnsi="Cambria"/>
        </w:rPr>
        <w:t>Tesla</w:t>
      </w:r>
      <w:r w:rsidRPr="00203A83">
        <w:rPr>
          <w:rFonts w:ascii="Cambria" w:hAnsi="Cambria"/>
        </w:rPr>
        <w:t>.</w:t>
      </w:r>
    </w:p>
    <w:p w:rsidR="00203A83" w:rsidRPr="00203A83" w:rsidRDefault="00203A83" w:rsidP="00203A83">
      <w:pPr>
        <w:rPr>
          <w:rFonts w:ascii="Cambria" w:hAnsi="Cambria"/>
        </w:rPr>
      </w:pPr>
    </w:p>
    <w:p w:rsidR="00203A83" w:rsidRPr="00203A83" w:rsidRDefault="00203A83" w:rsidP="00203A83">
      <w:pPr>
        <w:rPr>
          <w:rFonts w:ascii="Cambria" w:hAnsi="Cambria"/>
        </w:rPr>
      </w:pPr>
      <w:r w:rsidRPr="00203A83">
        <w:rPr>
          <w:rFonts w:ascii="Cambria" w:hAnsi="Cambria"/>
        </w:rPr>
        <w:t xml:space="preserve">Nevertheless, due to </w:t>
      </w:r>
      <w:r w:rsidR="00171BF0">
        <w:rPr>
          <w:rFonts w:ascii="Cambria" w:hAnsi="Cambria"/>
        </w:rPr>
        <w:t>Tesla</w:t>
      </w:r>
      <w:r w:rsidRPr="00203A83">
        <w:rPr>
          <w:rFonts w:ascii="Cambria" w:hAnsi="Cambria"/>
        </w:rPr>
        <w:t xml:space="preserve">'s maturing operations and successes in the energy storage and generation sectors with a 10% growth rate (Ali, 2024b), </w:t>
      </w:r>
      <w:r w:rsidR="00171BF0">
        <w:rPr>
          <w:rFonts w:ascii="Cambria" w:hAnsi="Cambria"/>
        </w:rPr>
        <w:t>Tesla</w:t>
      </w:r>
      <w:r w:rsidRPr="00203A83">
        <w:rPr>
          <w:rFonts w:ascii="Cambria" w:hAnsi="Cambria"/>
        </w:rPr>
        <w:t xml:space="preserve">'s net income performance remains remarkable. From 2020 to 2023, </w:t>
      </w:r>
      <w:r w:rsidR="00171BF0">
        <w:rPr>
          <w:rFonts w:ascii="Cambria" w:hAnsi="Cambria"/>
        </w:rPr>
        <w:t>Tesla</w:t>
      </w:r>
      <w:r w:rsidRPr="00203A83">
        <w:rPr>
          <w:rFonts w:ascii="Cambria" w:hAnsi="Cambria"/>
        </w:rPr>
        <w:t xml:space="preserve">'s net income growth rates were 700.58%, 127.79%, 19.2%, and 113.09% (Macrotrends, 2022). Over the past 5 years, </w:t>
      </w:r>
      <w:r w:rsidR="00171BF0">
        <w:rPr>
          <w:rFonts w:ascii="Cambria" w:hAnsi="Cambria"/>
        </w:rPr>
        <w:t>Tesla</w:t>
      </w:r>
      <w:r w:rsidRPr="00203A83">
        <w:rPr>
          <w:rFonts w:ascii="Cambria" w:hAnsi="Cambria"/>
        </w:rPr>
        <w:t>'s electric vehicle production and deliveries have grown by over 500%, while its energy storage business has seen nearly 900% growth, thanks to the successful operation of the Nevada Gigafactory, with deliveries increasing from 1.65 GWh in 2019 to 14.7 GWh in 2023, a 125% increase just in 2023, achieving a transformative development from losses to a $500 million annual profit.</w:t>
      </w:r>
    </w:p>
    <w:p w:rsidR="00203A83" w:rsidRPr="00203A83" w:rsidRDefault="00203A83" w:rsidP="00203A83">
      <w:pPr>
        <w:rPr>
          <w:rFonts w:ascii="Cambria" w:hAnsi="Cambria"/>
        </w:rPr>
      </w:pPr>
    </w:p>
    <w:p w:rsidR="00A46E97" w:rsidRDefault="00171BF0" w:rsidP="00203A83">
      <w:pPr>
        <w:rPr>
          <w:rFonts w:ascii="Cambria" w:hAnsi="Cambria"/>
        </w:rPr>
      </w:pPr>
      <w:r>
        <w:rPr>
          <w:rFonts w:ascii="Cambria" w:hAnsi="Cambria"/>
        </w:rPr>
        <w:t>Tesla</w:t>
      </w:r>
      <w:r w:rsidR="00203A83" w:rsidRPr="00203A83">
        <w:rPr>
          <w:rFonts w:ascii="Cambria" w:hAnsi="Cambria"/>
        </w:rPr>
        <w:t xml:space="preserve">'s operating profit margin also grew from a negative -0.3% in 2019 to 9.2% in 2023. The year 2022 was the best year for </w:t>
      </w:r>
      <w:r>
        <w:rPr>
          <w:rFonts w:ascii="Cambria" w:hAnsi="Cambria"/>
        </w:rPr>
        <w:t>Tesla</w:t>
      </w:r>
      <w:r w:rsidR="00203A83" w:rsidRPr="00203A83">
        <w:rPr>
          <w:rFonts w:ascii="Cambria" w:hAnsi="Cambria"/>
        </w:rPr>
        <w:t xml:space="preserve">, with an operating profit margin of approximately 17% (Ali, 2024a). Despite facing numerous challenges and issues, the data indicates that </w:t>
      </w:r>
      <w:r>
        <w:rPr>
          <w:rFonts w:ascii="Cambria" w:hAnsi="Cambria"/>
        </w:rPr>
        <w:t>Tesla</w:t>
      </w:r>
      <w:r w:rsidR="00203A83" w:rsidRPr="00203A83">
        <w:rPr>
          <w:rFonts w:ascii="Cambria" w:hAnsi="Cambria"/>
        </w:rPr>
        <w:t>'s future prospects and profitability remain one of the top choices for investors.</w:t>
      </w:r>
    </w:p>
    <w:p w:rsidR="00203A83" w:rsidRDefault="00203A83" w:rsidP="00203A83">
      <w:pPr>
        <w:rPr>
          <w:rFonts w:ascii="Cambria" w:hAnsi="Cambria"/>
        </w:rPr>
      </w:pPr>
    </w:p>
    <w:p w:rsidR="000112A4" w:rsidRPr="000112A4" w:rsidRDefault="00C52A10" w:rsidP="00203A83">
      <w:pPr>
        <w:rPr>
          <w:rFonts w:ascii="Cambria" w:hAnsi="Cambria" w:hint="eastAsia"/>
          <w:b/>
          <w:sz w:val="24"/>
          <w:szCs w:val="24"/>
        </w:rPr>
      </w:pPr>
      <w:r w:rsidRPr="001476F7">
        <w:rPr>
          <w:rFonts w:ascii="Cambria" w:hAnsi="Cambria" w:hint="eastAsia"/>
          <w:b/>
          <w:sz w:val="24"/>
          <w:szCs w:val="24"/>
        </w:rPr>
        <w:t xml:space="preserve">d. </w:t>
      </w:r>
      <w:r w:rsidR="000C1838" w:rsidRPr="001476F7">
        <w:rPr>
          <w:rFonts w:ascii="Cambria" w:hAnsi="Cambria" w:hint="eastAsia"/>
          <w:b/>
          <w:sz w:val="24"/>
          <w:szCs w:val="24"/>
        </w:rPr>
        <w:t>C</w:t>
      </w:r>
      <w:r w:rsidR="00A46E97" w:rsidRPr="001476F7">
        <w:rPr>
          <w:rFonts w:ascii="Cambria" w:hAnsi="Cambria" w:hint="eastAsia"/>
          <w:b/>
          <w:sz w:val="24"/>
          <w:szCs w:val="24"/>
        </w:rPr>
        <w:t xml:space="preserve">ompare the financial ratios calculated above to the ratios of major competitor, </w:t>
      </w:r>
      <w:r w:rsidR="00A46E97" w:rsidRPr="001476F7">
        <w:rPr>
          <w:rFonts w:ascii="Cambria" w:hAnsi="Cambria"/>
          <w:b/>
          <w:sz w:val="24"/>
          <w:szCs w:val="24"/>
        </w:rPr>
        <w:t>commenting</w:t>
      </w:r>
      <w:r w:rsidR="00A46E97" w:rsidRPr="001476F7">
        <w:rPr>
          <w:rFonts w:ascii="Cambria" w:hAnsi="Cambria" w:hint="eastAsia"/>
          <w:b/>
          <w:sz w:val="24"/>
          <w:szCs w:val="24"/>
        </w:rPr>
        <w:t xml:space="preserve"> on similarities or differences </w:t>
      </w:r>
    </w:p>
    <w:p w:rsidR="00203A83" w:rsidRPr="00203A83" w:rsidRDefault="00203A83" w:rsidP="00203A83">
      <w:pPr>
        <w:rPr>
          <w:rFonts w:ascii="Cambria" w:hAnsi="Cambria"/>
        </w:rPr>
      </w:pPr>
      <w:r w:rsidRPr="00203A83">
        <w:rPr>
          <w:rFonts w:ascii="Cambria" w:hAnsi="Cambria"/>
        </w:rPr>
        <w:t xml:space="preserve">BYD (Build Your Dreams) is a Chinese technology company founded in 1995, with over 30 industrial parks established globally. It primarily focuses on research and development, as well as production of new energy vehicles, dedicated to providing zero-emission energy solutions (BYD Global, n.d.). BYD is listed on the stock exchanges in China and Hong Kong and has seen significant growth in performance since 2020, emerging as one of </w:t>
      </w:r>
      <w:r w:rsidR="00171BF0">
        <w:rPr>
          <w:rFonts w:ascii="Cambria" w:hAnsi="Cambria"/>
        </w:rPr>
        <w:t>Tesla</w:t>
      </w:r>
      <w:r w:rsidRPr="00203A83">
        <w:rPr>
          <w:rFonts w:ascii="Cambria" w:hAnsi="Cambria"/>
        </w:rPr>
        <w:t xml:space="preserve">'s strongest competitors in the electric vehicle sector. It is projected that BYD may surpass </w:t>
      </w:r>
      <w:r w:rsidR="00171BF0">
        <w:rPr>
          <w:rFonts w:ascii="Cambria" w:hAnsi="Cambria"/>
        </w:rPr>
        <w:t>Tesla</w:t>
      </w:r>
      <w:r w:rsidRPr="00203A83">
        <w:rPr>
          <w:rFonts w:ascii="Cambria" w:hAnsi="Cambria"/>
        </w:rPr>
        <w:t xml:space="preserve"> in both production and sales in 2024 (CARSON, 2024).</w:t>
      </w:r>
    </w:p>
    <w:p w:rsidR="00203A83" w:rsidRPr="00203A83" w:rsidRDefault="00203A83" w:rsidP="00203A83">
      <w:pPr>
        <w:rPr>
          <w:rFonts w:ascii="Cambria" w:hAnsi="Cambria"/>
        </w:rPr>
      </w:pPr>
    </w:p>
    <w:p w:rsidR="000376D8" w:rsidRDefault="00203A83" w:rsidP="00203A83">
      <w:pPr>
        <w:rPr>
          <w:rFonts w:ascii="Cambria" w:hAnsi="Cambria"/>
        </w:rPr>
      </w:pPr>
      <w:r w:rsidRPr="00203A83">
        <w:rPr>
          <w:rFonts w:ascii="Cambria" w:hAnsi="Cambria"/>
        </w:rPr>
        <w:t>Based on BYD's five-year financial data (see Appendix B) and the relevant formulas for liquidity and leverage ratios (see Appendix C), we can determine BYD's liquidity ratios and leverage ratios over the past five years.</w:t>
      </w:r>
    </w:p>
    <w:p w:rsidR="00203A83" w:rsidRPr="00203A83" w:rsidRDefault="00203A83" w:rsidP="00203A83">
      <w:pPr>
        <w:rPr>
          <w:rFonts w:ascii="Cambria" w:hAnsi="Cambria"/>
        </w:rPr>
      </w:pPr>
    </w:p>
    <w:tbl>
      <w:tblPr>
        <w:tblW w:w="7655" w:type="dxa"/>
        <w:tblInd w:w="108" w:type="dxa"/>
        <w:tblLook w:val="04A0"/>
      </w:tblPr>
      <w:tblGrid>
        <w:gridCol w:w="2022"/>
        <w:gridCol w:w="1097"/>
        <w:gridCol w:w="1134"/>
        <w:gridCol w:w="1134"/>
        <w:gridCol w:w="1134"/>
        <w:gridCol w:w="1134"/>
      </w:tblGrid>
      <w:tr w:rsidR="00533579" w:rsidRPr="0082024F" w:rsidTr="00203755">
        <w:trPr>
          <w:trHeight w:val="290"/>
        </w:trPr>
        <w:tc>
          <w:tcPr>
            <w:tcW w:w="20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33579" w:rsidRPr="0082024F" w:rsidRDefault="00533579" w:rsidP="00E847D5">
            <w:pPr>
              <w:jc w:val="center"/>
              <w:rPr>
                <w:rFonts w:ascii="Times New Roman" w:hAnsi="Times New Roman" w:cs="Times New Roman"/>
                <w:sz w:val="18"/>
                <w:szCs w:val="18"/>
              </w:rPr>
            </w:pPr>
            <w:r w:rsidRPr="0082024F">
              <w:rPr>
                <w:rFonts w:ascii="Times New Roman" w:hAnsi="Times New Roman" w:cs="Times New Roman"/>
                <w:sz w:val="18"/>
                <w:szCs w:val="18"/>
              </w:rPr>
              <w:t>Ratios</w:t>
            </w:r>
          </w:p>
        </w:tc>
        <w:tc>
          <w:tcPr>
            <w:tcW w:w="1097" w:type="dxa"/>
            <w:tcBorders>
              <w:top w:val="single" w:sz="4" w:space="0" w:color="auto"/>
              <w:left w:val="nil"/>
              <w:bottom w:val="single" w:sz="4" w:space="0" w:color="auto"/>
              <w:right w:val="single" w:sz="4" w:space="0" w:color="auto"/>
            </w:tcBorders>
            <w:shd w:val="clear" w:color="auto" w:fill="auto"/>
            <w:noWrap/>
            <w:vAlign w:val="center"/>
            <w:hideMark/>
          </w:tcPr>
          <w:p w:rsidR="00533579" w:rsidRPr="0082024F" w:rsidRDefault="00533579"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2023</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533579" w:rsidRPr="0082024F" w:rsidRDefault="00533579"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2022</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533579" w:rsidRPr="0082024F" w:rsidRDefault="00533579"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2021</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533579" w:rsidRPr="0082024F" w:rsidRDefault="00533579"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2020</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533579" w:rsidRPr="0082024F" w:rsidRDefault="00533579"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2019</w:t>
            </w:r>
          </w:p>
        </w:tc>
      </w:tr>
      <w:tr w:rsidR="0041325B" w:rsidRPr="0082024F" w:rsidTr="00203755">
        <w:trPr>
          <w:trHeight w:val="290"/>
        </w:trPr>
        <w:tc>
          <w:tcPr>
            <w:tcW w:w="2022" w:type="dxa"/>
            <w:tcBorders>
              <w:top w:val="nil"/>
              <w:left w:val="single" w:sz="4" w:space="0" w:color="auto"/>
              <w:bottom w:val="single" w:sz="4" w:space="0" w:color="auto"/>
              <w:right w:val="single" w:sz="4" w:space="0" w:color="auto"/>
            </w:tcBorders>
            <w:shd w:val="clear" w:color="auto" w:fill="auto"/>
            <w:noWrap/>
            <w:vAlign w:val="center"/>
            <w:hideMark/>
          </w:tcPr>
          <w:p w:rsidR="0041325B" w:rsidRPr="0082024F" w:rsidRDefault="0041325B" w:rsidP="00E847D5">
            <w:pPr>
              <w:jc w:val="center"/>
              <w:rPr>
                <w:rFonts w:ascii="Times New Roman" w:hAnsi="Times New Roman" w:cs="Times New Roman"/>
                <w:sz w:val="18"/>
                <w:szCs w:val="18"/>
              </w:rPr>
            </w:pPr>
            <w:r w:rsidRPr="0082024F">
              <w:rPr>
                <w:rFonts w:ascii="Times New Roman" w:hAnsi="Times New Roman" w:cs="Times New Roman"/>
                <w:sz w:val="18"/>
                <w:szCs w:val="18"/>
              </w:rPr>
              <w:t>Quick Ration</w:t>
            </w:r>
          </w:p>
        </w:tc>
        <w:tc>
          <w:tcPr>
            <w:tcW w:w="1097"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rsidP="0041325B">
            <w:pPr>
              <w:jc w:val="center"/>
              <w:rPr>
                <w:rFonts w:ascii="Times New Roman" w:hAnsi="Times New Roman" w:cs="Times New Roman"/>
                <w:sz w:val="18"/>
                <w:szCs w:val="18"/>
              </w:rPr>
            </w:pPr>
            <w:r w:rsidRPr="0082024F">
              <w:rPr>
                <w:rFonts w:ascii="Times New Roman" w:hAnsi="Times New Roman" w:cs="Times New Roman"/>
                <w:sz w:val="18"/>
                <w:szCs w:val="18"/>
              </w:rPr>
              <w:t>0.49</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rsidP="0041325B">
            <w:pPr>
              <w:jc w:val="center"/>
              <w:rPr>
                <w:rFonts w:ascii="Times New Roman" w:hAnsi="Times New Roman" w:cs="Times New Roman"/>
                <w:sz w:val="18"/>
                <w:szCs w:val="18"/>
              </w:rPr>
            </w:pPr>
            <w:r w:rsidRPr="0082024F">
              <w:rPr>
                <w:rFonts w:ascii="Times New Roman" w:hAnsi="Times New Roman" w:cs="Times New Roman"/>
                <w:sz w:val="18"/>
                <w:szCs w:val="18"/>
              </w:rPr>
              <w:t>0.72</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rsidP="0041325B">
            <w:pPr>
              <w:jc w:val="center"/>
              <w:rPr>
                <w:rFonts w:ascii="Times New Roman" w:hAnsi="Times New Roman" w:cs="Times New Roman"/>
                <w:sz w:val="18"/>
                <w:szCs w:val="18"/>
              </w:rPr>
            </w:pPr>
            <w:r w:rsidRPr="0082024F">
              <w:rPr>
                <w:rFonts w:ascii="Times New Roman" w:hAnsi="Times New Roman" w:cs="Times New Roman"/>
                <w:sz w:val="18"/>
                <w:szCs w:val="18"/>
              </w:rPr>
              <w:t>0.75</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rsidP="0041325B">
            <w:pPr>
              <w:jc w:val="center"/>
              <w:rPr>
                <w:rFonts w:ascii="Times New Roman" w:hAnsi="Times New Roman" w:cs="Times New Roman"/>
                <w:sz w:val="18"/>
                <w:szCs w:val="18"/>
              </w:rPr>
            </w:pPr>
            <w:r w:rsidRPr="0082024F">
              <w:rPr>
                <w:rFonts w:ascii="Times New Roman" w:hAnsi="Times New Roman" w:cs="Times New Roman"/>
                <w:sz w:val="18"/>
                <w:szCs w:val="18"/>
              </w:rPr>
              <w:t>0.75</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rsidP="0041325B">
            <w:pPr>
              <w:jc w:val="center"/>
              <w:rPr>
                <w:rFonts w:ascii="Times New Roman" w:hAnsi="Times New Roman" w:cs="Times New Roman"/>
                <w:sz w:val="18"/>
                <w:szCs w:val="18"/>
              </w:rPr>
            </w:pPr>
            <w:r w:rsidRPr="0082024F">
              <w:rPr>
                <w:rFonts w:ascii="Times New Roman" w:hAnsi="Times New Roman" w:cs="Times New Roman"/>
                <w:sz w:val="18"/>
                <w:szCs w:val="18"/>
              </w:rPr>
              <w:t>0.76</w:t>
            </w:r>
          </w:p>
        </w:tc>
      </w:tr>
      <w:tr w:rsidR="0041325B" w:rsidRPr="0082024F" w:rsidTr="00203755">
        <w:trPr>
          <w:trHeight w:val="290"/>
        </w:trPr>
        <w:tc>
          <w:tcPr>
            <w:tcW w:w="2022" w:type="dxa"/>
            <w:tcBorders>
              <w:top w:val="nil"/>
              <w:left w:val="single" w:sz="4" w:space="0" w:color="auto"/>
              <w:bottom w:val="single" w:sz="4" w:space="0" w:color="auto"/>
              <w:right w:val="single" w:sz="4" w:space="0" w:color="auto"/>
            </w:tcBorders>
            <w:shd w:val="clear" w:color="auto" w:fill="auto"/>
            <w:noWrap/>
            <w:vAlign w:val="center"/>
            <w:hideMark/>
          </w:tcPr>
          <w:p w:rsidR="0041325B" w:rsidRPr="0082024F" w:rsidRDefault="0041325B" w:rsidP="00E847D5">
            <w:pPr>
              <w:jc w:val="center"/>
              <w:rPr>
                <w:rFonts w:ascii="Times New Roman" w:hAnsi="Times New Roman" w:cs="Times New Roman"/>
                <w:sz w:val="18"/>
                <w:szCs w:val="18"/>
              </w:rPr>
            </w:pPr>
            <w:r w:rsidRPr="0082024F">
              <w:rPr>
                <w:rFonts w:ascii="Times New Roman" w:hAnsi="Times New Roman" w:cs="Times New Roman"/>
                <w:sz w:val="18"/>
                <w:szCs w:val="18"/>
              </w:rPr>
              <w:t>Cash Ration</w:t>
            </w:r>
          </w:p>
        </w:tc>
        <w:tc>
          <w:tcPr>
            <w:tcW w:w="1097"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rsidP="0041325B">
            <w:pPr>
              <w:jc w:val="center"/>
              <w:rPr>
                <w:rFonts w:ascii="Times New Roman" w:hAnsi="Times New Roman" w:cs="Times New Roman"/>
                <w:sz w:val="18"/>
                <w:szCs w:val="18"/>
              </w:rPr>
            </w:pPr>
            <w:r w:rsidRPr="0082024F">
              <w:rPr>
                <w:rFonts w:ascii="Times New Roman" w:hAnsi="Times New Roman" w:cs="Times New Roman"/>
                <w:sz w:val="18"/>
                <w:szCs w:val="18"/>
              </w:rPr>
              <w:t>0.22</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rsidP="0041325B">
            <w:pPr>
              <w:jc w:val="center"/>
              <w:rPr>
                <w:rFonts w:ascii="Times New Roman" w:hAnsi="Times New Roman" w:cs="Times New Roman"/>
                <w:sz w:val="18"/>
                <w:szCs w:val="18"/>
              </w:rPr>
            </w:pPr>
            <w:r w:rsidRPr="0082024F">
              <w:rPr>
                <w:rFonts w:ascii="Times New Roman" w:hAnsi="Times New Roman" w:cs="Times New Roman"/>
                <w:sz w:val="18"/>
                <w:szCs w:val="18"/>
              </w:rPr>
              <w:t>0.33</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rsidP="0041325B">
            <w:pPr>
              <w:jc w:val="center"/>
              <w:rPr>
                <w:rFonts w:ascii="Times New Roman" w:hAnsi="Times New Roman" w:cs="Times New Roman"/>
                <w:sz w:val="18"/>
                <w:szCs w:val="18"/>
              </w:rPr>
            </w:pPr>
            <w:r w:rsidRPr="0082024F">
              <w:rPr>
                <w:rFonts w:ascii="Times New Roman" w:hAnsi="Times New Roman" w:cs="Times New Roman"/>
                <w:sz w:val="18"/>
                <w:szCs w:val="18"/>
              </w:rPr>
              <w:t>0.14</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rsidP="0041325B">
            <w:pPr>
              <w:jc w:val="center"/>
              <w:rPr>
                <w:rFonts w:ascii="Times New Roman" w:hAnsi="Times New Roman" w:cs="Times New Roman"/>
                <w:sz w:val="18"/>
                <w:szCs w:val="18"/>
              </w:rPr>
            </w:pPr>
            <w:r w:rsidRPr="0082024F">
              <w:rPr>
                <w:rFonts w:ascii="Times New Roman" w:hAnsi="Times New Roman" w:cs="Times New Roman"/>
                <w:sz w:val="18"/>
                <w:szCs w:val="18"/>
              </w:rPr>
              <w:t>0.12</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rsidP="0041325B">
            <w:pPr>
              <w:jc w:val="center"/>
              <w:rPr>
                <w:rFonts w:ascii="Times New Roman" w:hAnsi="Times New Roman" w:cs="Times New Roman"/>
                <w:sz w:val="18"/>
                <w:szCs w:val="18"/>
              </w:rPr>
            </w:pPr>
            <w:r w:rsidRPr="0082024F">
              <w:rPr>
                <w:rFonts w:ascii="Times New Roman" w:hAnsi="Times New Roman" w:cs="Times New Roman"/>
                <w:sz w:val="18"/>
                <w:szCs w:val="18"/>
              </w:rPr>
              <w:t>0.11</w:t>
            </w:r>
          </w:p>
        </w:tc>
      </w:tr>
      <w:tr w:rsidR="0041325B" w:rsidRPr="0082024F" w:rsidTr="00203755">
        <w:trPr>
          <w:trHeight w:val="290"/>
        </w:trPr>
        <w:tc>
          <w:tcPr>
            <w:tcW w:w="2022" w:type="dxa"/>
            <w:tcBorders>
              <w:top w:val="nil"/>
              <w:left w:val="single" w:sz="4" w:space="0" w:color="auto"/>
              <w:bottom w:val="single" w:sz="4" w:space="0" w:color="auto"/>
              <w:right w:val="single" w:sz="4" w:space="0" w:color="auto"/>
            </w:tcBorders>
            <w:shd w:val="clear" w:color="auto" w:fill="auto"/>
            <w:noWrap/>
            <w:vAlign w:val="center"/>
            <w:hideMark/>
          </w:tcPr>
          <w:p w:rsidR="0041325B" w:rsidRPr="0082024F" w:rsidRDefault="0041325B" w:rsidP="00E847D5">
            <w:pPr>
              <w:jc w:val="center"/>
              <w:rPr>
                <w:rFonts w:ascii="Times New Roman" w:hAnsi="Times New Roman" w:cs="Times New Roman"/>
                <w:sz w:val="18"/>
                <w:szCs w:val="18"/>
              </w:rPr>
            </w:pPr>
            <w:r w:rsidRPr="0082024F">
              <w:rPr>
                <w:rFonts w:ascii="Times New Roman" w:hAnsi="Times New Roman" w:cs="Times New Roman"/>
                <w:sz w:val="18"/>
                <w:szCs w:val="18"/>
              </w:rPr>
              <w:t>Current Ration</w:t>
            </w:r>
          </w:p>
        </w:tc>
        <w:tc>
          <w:tcPr>
            <w:tcW w:w="1097"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rsidP="0041325B">
            <w:pPr>
              <w:jc w:val="center"/>
              <w:rPr>
                <w:rFonts w:ascii="Times New Roman" w:hAnsi="Times New Roman" w:cs="Times New Roman"/>
                <w:sz w:val="18"/>
                <w:szCs w:val="18"/>
              </w:rPr>
            </w:pPr>
            <w:r w:rsidRPr="0082024F">
              <w:rPr>
                <w:rFonts w:ascii="Times New Roman" w:hAnsi="Times New Roman" w:cs="Times New Roman"/>
                <w:sz w:val="18"/>
                <w:szCs w:val="18"/>
              </w:rPr>
              <w:t>0.72</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rsidP="0041325B">
            <w:pPr>
              <w:jc w:val="center"/>
              <w:rPr>
                <w:rFonts w:ascii="Times New Roman" w:hAnsi="Times New Roman" w:cs="Times New Roman"/>
                <w:sz w:val="18"/>
                <w:szCs w:val="18"/>
              </w:rPr>
            </w:pPr>
            <w:r w:rsidRPr="0082024F">
              <w:rPr>
                <w:rFonts w:ascii="Times New Roman" w:hAnsi="Times New Roman" w:cs="Times New Roman"/>
                <w:sz w:val="18"/>
                <w:szCs w:val="18"/>
              </w:rPr>
              <w:t>0.97</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rsidP="0041325B">
            <w:pPr>
              <w:jc w:val="center"/>
              <w:rPr>
                <w:rFonts w:ascii="Times New Roman" w:hAnsi="Times New Roman" w:cs="Times New Roman"/>
                <w:sz w:val="18"/>
                <w:szCs w:val="18"/>
              </w:rPr>
            </w:pPr>
            <w:r w:rsidRPr="0082024F">
              <w:rPr>
                <w:rFonts w:ascii="Times New Roman" w:hAnsi="Times New Roman" w:cs="Times New Roman"/>
                <w:sz w:val="18"/>
                <w:szCs w:val="18"/>
              </w:rPr>
              <w:t>1.05</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rsidP="0041325B">
            <w:pPr>
              <w:jc w:val="center"/>
              <w:rPr>
                <w:rFonts w:ascii="Times New Roman" w:hAnsi="Times New Roman" w:cs="Times New Roman"/>
                <w:sz w:val="18"/>
                <w:szCs w:val="18"/>
              </w:rPr>
            </w:pPr>
            <w:r w:rsidRPr="0082024F">
              <w:rPr>
                <w:rFonts w:ascii="Times New Roman" w:hAnsi="Times New Roman" w:cs="Times New Roman"/>
                <w:sz w:val="18"/>
                <w:szCs w:val="18"/>
              </w:rPr>
              <w:t>0.99</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rsidP="0041325B">
            <w:pPr>
              <w:jc w:val="center"/>
              <w:rPr>
                <w:rFonts w:ascii="Times New Roman" w:hAnsi="Times New Roman" w:cs="Times New Roman"/>
                <w:sz w:val="18"/>
                <w:szCs w:val="18"/>
              </w:rPr>
            </w:pPr>
            <w:r w:rsidRPr="0082024F">
              <w:rPr>
                <w:rFonts w:ascii="Times New Roman" w:hAnsi="Times New Roman" w:cs="Times New Roman"/>
                <w:sz w:val="18"/>
                <w:szCs w:val="18"/>
              </w:rPr>
              <w:t>0.99</w:t>
            </w:r>
          </w:p>
        </w:tc>
      </w:tr>
    </w:tbl>
    <w:p w:rsidR="0082024F" w:rsidRPr="0082024F" w:rsidRDefault="0082024F" w:rsidP="0082024F">
      <w:pPr>
        <w:jc w:val="left"/>
        <w:rPr>
          <w:rFonts w:ascii="Times New Roman" w:hAnsi="Times New Roman" w:cs="Times New Roman"/>
          <w:sz w:val="18"/>
          <w:szCs w:val="18"/>
        </w:rPr>
      </w:pPr>
      <w:r w:rsidRPr="0082024F">
        <w:rPr>
          <w:rFonts w:ascii="Times New Roman" w:hAnsi="Times New Roman" w:cs="Times New Roman"/>
          <w:sz w:val="18"/>
          <w:szCs w:val="18"/>
        </w:rPr>
        <w:t xml:space="preserve">Table3. </w:t>
      </w:r>
      <w:r w:rsidRPr="0082024F">
        <w:rPr>
          <w:rFonts w:ascii="Times New Roman" w:hAnsi="Times New Roman" w:cs="Times New Roman" w:hint="eastAsia"/>
          <w:sz w:val="18"/>
          <w:szCs w:val="18"/>
        </w:rPr>
        <w:t>The liquidity ratios of BYD in last five years</w:t>
      </w:r>
    </w:p>
    <w:p w:rsidR="00533579" w:rsidRPr="0082024F" w:rsidRDefault="00533579" w:rsidP="0041325B">
      <w:pPr>
        <w:jc w:val="center"/>
        <w:rPr>
          <w:rFonts w:ascii="Times New Roman" w:hAnsi="Times New Roman" w:cs="Times New Roman"/>
          <w:sz w:val="18"/>
          <w:szCs w:val="18"/>
        </w:rPr>
      </w:pPr>
    </w:p>
    <w:tbl>
      <w:tblPr>
        <w:tblW w:w="8364" w:type="dxa"/>
        <w:tblInd w:w="108" w:type="dxa"/>
        <w:tblLook w:val="04A0"/>
      </w:tblPr>
      <w:tblGrid>
        <w:gridCol w:w="2694"/>
        <w:gridCol w:w="1134"/>
        <w:gridCol w:w="1134"/>
        <w:gridCol w:w="1134"/>
        <w:gridCol w:w="1134"/>
        <w:gridCol w:w="1134"/>
      </w:tblGrid>
      <w:tr w:rsidR="00533579" w:rsidRPr="0082024F" w:rsidTr="00E847D5">
        <w:trPr>
          <w:trHeight w:val="290"/>
        </w:trPr>
        <w:tc>
          <w:tcPr>
            <w:tcW w:w="269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533579" w:rsidRPr="0082024F" w:rsidRDefault="00533579" w:rsidP="00E847D5">
            <w:pPr>
              <w:jc w:val="center"/>
              <w:rPr>
                <w:rFonts w:ascii="Times New Roman" w:hAnsi="Times New Roman" w:cs="Times New Roman"/>
                <w:sz w:val="18"/>
                <w:szCs w:val="18"/>
              </w:rPr>
            </w:pPr>
            <w:r w:rsidRPr="0082024F">
              <w:rPr>
                <w:rFonts w:ascii="Times New Roman" w:hAnsi="Times New Roman" w:cs="Times New Roman"/>
                <w:sz w:val="18"/>
                <w:szCs w:val="18"/>
              </w:rPr>
              <w:t>Ratios</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533579" w:rsidRPr="0082024F" w:rsidRDefault="00533579"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2023</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533579" w:rsidRPr="0082024F" w:rsidRDefault="00533579"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2022</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533579" w:rsidRPr="0082024F" w:rsidRDefault="00533579"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2021</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533579" w:rsidRPr="0082024F" w:rsidRDefault="00533579"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2020</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533579" w:rsidRPr="0082024F" w:rsidRDefault="00533579"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2019</w:t>
            </w:r>
          </w:p>
        </w:tc>
      </w:tr>
      <w:tr w:rsidR="0041325B" w:rsidRPr="0082024F" w:rsidTr="00E847D5">
        <w:trPr>
          <w:trHeight w:val="290"/>
        </w:trPr>
        <w:tc>
          <w:tcPr>
            <w:tcW w:w="2694" w:type="dxa"/>
            <w:tcBorders>
              <w:top w:val="nil"/>
              <w:left w:val="single" w:sz="4" w:space="0" w:color="auto"/>
              <w:bottom w:val="single" w:sz="4" w:space="0" w:color="auto"/>
              <w:right w:val="single" w:sz="4" w:space="0" w:color="auto"/>
            </w:tcBorders>
            <w:shd w:val="clear" w:color="auto" w:fill="auto"/>
            <w:noWrap/>
            <w:vAlign w:val="center"/>
            <w:hideMark/>
          </w:tcPr>
          <w:p w:rsidR="0041325B" w:rsidRPr="0082024F" w:rsidRDefault="0041325B"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Debt-Equity Ratio</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pPr>
              <w:jc w:val="center"/>
              <w:rPr>
                <w:rFonts w:ascii="Calibri" w:eastAsia="宋体" w:hAnsi="Calibri" w:cs="Calibri"/>
                <w:color w:val="000000"/>
                <w:sz w:val="18"/>
                <w:szCs w:val="18"/>
              </w:rPr>
            </w:pPr>
            <w:r w:rsidRPr="0082024F">
              <w:rPr>
                <w:rFonts w:ascii="Calibri" w:hAnsi="Calibri" w:cs="Calibri"/>
                <w:color w:val="000000"/>
                <w:sz w:val="18"/>
                <w:szCs w:val="18"/>
              </w:rPr>
              <w:t xml:space="preserve">0.11 </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pPr>
              <w:jc w:val="center"/>
              <w:rPr>
                <w:rFonts w:ascii="Calibri" w:eastAsia="宋体" w:hAnsi="Calibri" w:cs="Calibri"/>
                <w:color w:val="000000"/>
                <w:sz w:val="18"/>
                <w:szCs w:val="18"/>
              </w:rPr>
            </w:pPr>
            <w:r w:rsidRPr="0082024F">
              <w:rPr>
                <w:rFonts w:ascii="Calibri" w:hAnsi="Calibri" w:cs="Calibri"/>
                <w:color w:val="000000"/>
                <w:sz w:val="18"/>
                <w:szCs w:val="18"/>
              </w:rPr>
              <w:t xml:space="preserve">0.15 </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pPr>
              <w:jc w:val="center"/>
              <w:rPr>
                <w:rFonts w:ascii="Calibri" w:eastAsia="宋体" w:hAnsi="Calibri" w:cs="Calibri"/>
                <w:color w:val="000000"/>
                <w:sz w:val="18"/>
                <w:szCs w:val="18"/>
              </w:rPr>
            </w:pPr>
            <w:r w:rsidRPr="0082024F">
              <w:rPr>
                <w:rFonts w:ascii="Calibri" w:hAnsi="Calibri" w:cs="Calibri"/>
                <w:color w:val="000000"/>
                <w:sz w:val="18"/>
                <w:szCs w:val="18"/>
              </w:rPr>
              <w:t xml:space="preserve">0.45 </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pPr>
              <w:jc w:val="center"/>
              <w:rPr>
                <w:rFonts w:ascii="Calibri" w:eastAsia="宋体" w:hAnsi="Calibri" w:cs="Calibri"/>
                <w:color w:val="000000"/>
                <w:sz w:val="18"/>
                <w:szCs w:val="18"/>
              </w:rPr>
            </w:pPr>
            <w:r w:rsidRPr="0082024F">
              <w:rPr>
                <w:rFonts w:ascii="Calibri" w:hAnsi="Calibri" w:cs="Calibri"/>
                <w:color w:val="000000"/>
                <w:sz w:val="18"/>
                <w:szCs w:val="18"/>
              </w:rPr>
              <w:t xml:space="preserve">0.46 </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pPr>
              <w:jc w:val="center"/>
              <w:rPr>
                <w:rFonts w:ascii="Calibri" w:eastAsia="宋体" w:hAnsi="Calibri" w:cs="Calibri"/>
                <w:color w:val="000000"/>
                <w:sz w:val="18"/>
                <w:szCs w:val="18"/>
              </w:rPr>
            </w:pPr>
            <w:r w:rsidRPr="0082024F">
              <w:rPr>
                <w:rFonts w:ascii="Calibri" w:hAnsi="Calibri" w:cs="Calibri"/>
                <w:color w:val="000000"/>
                <w:sz w:val="18"/>
                <w:szCs w:val="18"/>
              </w:rPr>
              <w:t xml:space="preserve">0.32 </w:t>
            </w:r>
          </w:p>
        </w:tc>
      </w:tr>
      <w:tr w:rsidR="0041325B" w:rsidRPr="0082024F" w:rsidTr="00E847D5">
        <w:trPr>
          <w:trHeight w:val="290"/>
        </w:trPr>
        <w:tc>
          <w:tcPr>
            <w:tcW w:w="2694" w:type="dxa"/>
            <w:tcBorders>
              <w:top w:val="nil"/>
              <w:left w:val="single" w:sz="4" w:space="0" w:color="auto"/>
              <w:bottom w:val="single" w:sz="4" w:space="0" w:color="auto"/>
              <w:right w:val="single" w:sz="4" w:space="0" w:color="auto"/>
            </w:tcBorders>
            <w:shd w:val="clear" w:color="auto" w:fill="auto"/>
            <w:noWrap/>
            <w:vAlign w:val="center"/>
            <w:hideMark/>
          </w:tcPr>
          <w:p w:rsidR="0041325B" w:rsidRPr="0082024F" w:rsidRDefault="0041325B"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Debt-to-Capital Ratio</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pPr>
              <w:jc w:val="center"/>
              <w:rPr>
                <w:rFonts w:ascii="Calibri" w:eastAsia="宋体" w:hAnsi="Calibri" w:cs="Calibri"/>
                <w:color w:val="000000"/>
                <w:sz w:val="18"/>
                <w:szCs w:val="18"/>
              </w:rPr>
            </w:pPr>
            <w:r w:rsidRPr="0082024F">
              <w:rPr>
                <w:rFonts w:ascii="Calibri" w:hAnsi="Calibri" w:cs="Calibri"/>
                <w:color w:val="000000"/>
                <w:sz w:val="18"/>
                <w:szCs w:val="18"/>
              </w:rPr>
              <w:t xml:space="preserve">0.10 </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pPr>
              <w:jc w:val="center"/>
              <w:rPr>
                <w:rFonts w:ascii="Calibri" w:eastAsia="宋体" w:hAnsi="Calibri" w:cs="Calibri"/>
                <w:color w:val="000000"/>
                <w:sz w:val="18"/>
                <w:szCs w:val="18"/>
              </w:rPr>
            </w:pPr>
            <w:r w:rsidRPr="0082024F">
              <w:rPr>
                <w:rFonts w:ascii="Calibri" w:hAnsi="Calibri" w:cs="Calibri"/>
                <w:color w:val="000000"/>
                <w:sz w:val="18"/>
                <w:szCs w:val="18"/>
              </w:rPr>
              <w:t xml:space="preserve">0.13 </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pPr>
              <w:jc w:val="center"/>
              <w:rPr>
                <w:rFonts w:ascii="Calibri" w:eastAsia="宋体" w:hAnsi="Calibri" w:cs="Calibri"/>
                <w:color w:val="000000"/>
                <w:sz w:val="18"/>
                <w:szCs w:val="18"/>
              </w:rPr>
            </w:pPr>
            <w:r w:rsidRPr="0082024F">
              <w:rPr>
                <w:rFonts w:ascii="Calibri" w:hAnsi="Calibri" w:cs="Calibri"/>
                <w:color w:val="000000"/>
                <w:sz w:val="18"/>
                <w:szCs w:val="18"/>
              </w:rPr>
              <w:t xml:space="preserve">0.31 </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pPr>
              <w:jc w:val="center"/>
              <w:rPr>
                <w:rFonts w:ascii="Calibri" w:eastAsia="宋体" w:hAnsi="Calibri" w:cs="Calibri"/>
                <w:color w:val="000000"/>
                <w:sz w:val="18"/>
                <w:szCs w:val="18"/>
              </w:rPr>
            </w:pPr>
            <w:r w:rsidRPr="0082024F">
              <w:rPr>
                <w:rFonts w:ascii="Calibri" w:hAnsi="Calibri" w:cs="Calibri"/>
                <w:color w:val="000000"/>
                <w:sz w:val="18"/>
                <w:szCs w:val="18"/>
              </w:rPr>
              <w:t xml:space="preserve">0.32 </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pPr>
              <w:jc w:val="center"/>
              <w:rPr>
                <w:rFonts w:ascii="Calibri" w:eastAsia="宋体" w:hAnsi="Calibri" w:cs="Calibri"/>
                <w:color w:val="000000"/>
                <w:sz w:val="18"/>
                <w:szCs w:val="18"/>
              </w:rPr>
            </w:pPr>
            <w:r w:rsidRPr="0082024F">
              <w:rPr>
                <w:rFonts w:ascii="Calibri" w:hAnsi="Calibri" w:cs="Calibri"/>
                <w:color w:val="000000"/>
                <w:sz w:val="18"/>
                <w:szCs w:val="18"/>
              </w:rPr>
              <w:t xml:space="preserve">0.24 </w:t>
            </w:r>
          </w:p>
        </w:tc>
      </w:tr>
      <w:tr w:rsidR="0041325B" w:rsidRPr="0082024F" w:rsidTr="00E847D5">
        <w:trPr>
          <w:trHeight w:val="290"/>
        </w:trPr>
        <w:tc>
          <w:tcPr>
            <w:tcW w:w="2694" w:type="dxa"/>
            <w:tcBorders>
              <w:top w:val="nil"/>
              <w:left w:val="single" w:sz="4" w:space="0" w:color="auto"/>
              <w:bottom w:val="single" w:sz="4" w:space="0" w:color="auto"/>
              <w:right w:val="single" w:sz="4" w:space="0" w:color="auto"/>
            </w:tcBorders>
            <w:shd w:val="clear" w:color="auto" w:fill="auto"/>
            <w:noWrap/>
            <w:vAlign w:val="center"/>
            <w:hideMark/>
          </w:tcPr>
          <w:p w:rsidR="0041325B" w:rsidRPr="0082024F" w:rsidRDefault="0041325B" w:rsidP="00E847D5">
            <w:pPr>
              <w:jc w:val="center"/>
              <w:rPr>
                <w:rFonts w:ascii="Times New Roman" w:hAnsi="Times New Roman" w:cs="Times New Roman"/>
                <w:sz w:val="18"/>
                <w:szCs w:val="18"/>
              </w:rPr>
            </w:pPr>
            <w:r w:rsidRPr="0082024F">
              <w:rPr>
                <w:rFonts w:ascii="Times New Roman" w:hAnsi="Times New Roman" w:cs="Times New Roman" w:hint="eastAsia"/>
                <w:sz w:val="18"/>
                <w:szCs w:val="18"/>
              </w:rPr>
              <w:t>Total Debt to Total Assets</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pPr>
              <w:jc w:val="center"/>
              <w:rPr>
                <w:rFonts w:ascii="Calibri" w:eastAsia="宋体" w:hAnsi="Calibri" w:cs="Calibri"/>
                <w:color w:val="000000"/>
                <w:sz w:val="18"/>
                <w:szCs w:val="18"/>
              </w:rPr>
            </w:pPr>
            <w:r w:rsidRPr="0082024F">
              <w:rPr>
                <w:rFonts w:ascii="Calibri" w:hAnsi="Calibri" w:cs="Calibri"/>
                <w:color w:val="000000"/>
                <w:sz w:val="18"/>
                <w:szCs w:val="18"/>
              </w:rPr>
              <w:t xml:space="preserve">0.03 </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pPr>
              <w:jc w:val="center"/>
              <w:rPr>
                <w:rFonts w:ascii="Calibri" w:eastAsia="宋体" w:hAnsi="Calibri" w:cs="Calibri"/>
                <w:color w:val="000000"/>
                <w:sz w:val="18"/>
                <w:szCs w:val="18"/>
              </w:rPr>
            </w:pPr>
            <w:r w:rsidRPr="0082024F">
              <w:rPr>
                <w:rFonts w:ascii="Calibri" w:hAnsi="Calibri" w:cs="Calibri"/>
                <w:color w:val="000000"/>
                <w:sz w:val="18"/>
                <w:szCs w:val="18"/>
              </w:rPr>
              <w:t xml:space="preserve">0.05 </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pPr>
              <w:jc w:val="center"/>
              <w:rPr>
                <w:rFonts w:ascii="Calibri" w:eastAsia="宋体" w:hAnsi="Calibri" w:cs="Calibri"/>
                <w:color w:val="000000"/>
                <w:sz w:val="18"/>
                <w:szCs w:val="18"/>
              </w:rPr>
            </w:pPr>
            <w:r w:rsidRPr="0082024F">
              <w:rPr>
                <w:rFonts w:ascii="Calibri" w:hAnsi="Calibri" w:cs="Calibri"/>
                <w:color w:val="000000"/>
                <w:sz w:val="18"/>
                <w:szCs w:val="18"/>
              </w:rPr>
              <w:t xml:space="preserve">0.14 </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pPr>
              <w:jc w:val="center"/>
              <w:rPr>
                <w:rFonts w:ascii="Calibri" w:eastAsia="宋体" w:hAnsi="Calibri" w:cs="Calibri"/>
                <w:color w:val="000000"/>
                <w:sz w:val="18"/>
                <w:szCs w:val="18"/>
              </w:rPr>
            </w:pPr>
            <w:r w:rsidRPr="0082024F">
              <w:rPr>
                <w:rFonts w:ascii="Calibri" w:hAnsi="Calibri" w:cs="Calibri"/>
                <w:color w:val="000000"/>
                <w:sz w:val="18"/>
                <w:szCs w:val="18"/>
              </w:rPr>
              <w:t xml:space="preserve">0.14 </w:t>
            </w:r>
          </w:p>
        </w:tc>
        <w:tc>
          <w:tcPr>
            <w:tcW w:w="1134" w:type="dxa"/>
            <w:tcBorders>
              <w:top w:val="nil"/>
              <w:left w:val="nil"/>
              <w:bottom w:val="single" w:sz="4" w:space="0" w:color="auto"/>
              <w:right w:val="single" w:sz="4" w:space="0" w:color="auto"/>
            </w:tcBorders>
            <w:shd w:val="clear" w:color="auto" w:fill="auto"/>
            <w:noWrap/>
            <w:vAlign w:val="center"/>
            <w:hideMark/>
          </w:tcPr>
          <w:p w:rsidR="0041325B" w:rsidRPr="0082024F" w:rsidRDefault="0041325B">
            <w:pPr>
              <w:jc w:val="center"/>
              <w:rPr>
                <w:rFonts w:ascii="Calibri" w:eastAsia="宋体" w:hAnsi="Calibri" w:cs="Calibri"/>
                <w:color w:val="000000"/>
                <w:sz w:val="18"/>
                <w:szCs w:val="18"/>
              </w:rPr>
            </w:pPr>
            <w:r w:rsidRPr="0082024F">
              <w:rPr>
                <w:rFonts w:ascii="Calibri" w:hAnsi="Calibri" w:cs="Calibri"/>
                <w:color w:val="000000"/>
                <w:sz w:val="18"/>
                <w:szCs w:val="18"/>
              </w:rPr>
              <w:t xml:space="preserve">0.09 </w:t>
            </w:r>
          </w:p>
        </w:tc>
      </w:tr>
    </w:tbl>
    <w:p w:rsidR="00533579" w:rsidRDefault="0082024F" w:rsidP="0082024F">
      <w:pPr>
        <w:jc w:val="left"/>
        <w:rPr>
          <w:rFonts w:ascii="Times New Roman" w:hAnsi="Times New Roman" w:cs="Times New Roman"/>
          <w:sz w:val="18"/>
          <w:szCs w:val="18"/>
        </w:rPr>
      </w:pPr>
      <w:r w:rsidRPr="0082024F">
        <w:rPr>
          <w:rFonts w:ascii="Times New Roman" w:hAnsi="Times New Roman" w:cs="Times New Roman"/>
          <w:sz w:val="18"/>
          <w:szCs w:val="18"/>
        </w:rPr>
        <w:t xml:space="preserve">Table4. </w:t>
      </w:r>
      <w:r w:rsidRPr="0082024F">
        <w:rPr>
          <w:rFonts w:ascii="Times New Roman" w:hAnsi="Times New Roman" w:cs="Times New Roman" w:hint="eastAsia"/>
          <w:sz w:val="18"/>
          <w:szCs w:val="18"/>
        </w:rPr>
        <w:t>The leverage ratios of BYD in last five years</w:t>
      </w:r>
    </w:p>
    <w:p w:rsidR="000065E4" w:rsidRPr="0082024F" w:rsidRDefault="000065E4" w:rsidP="0082024F">
      <w:pPr>
        <w:jc w:val="left"/>
        <w:rPr>
          <w:rFonts w:ascii="Times New Roman" w:hAnsi="Times New Roman" w:cs="Times New Roman"/>
          <w:sz w:val="18"/>
          <w:szCs w:val="18"/>
        </w:rPr>
      </w:pPr>
    </w:p>
    <w:p w:rsidR="00203A83" w:rsidRPr="00203A83" w:rsidRDefault="00203A83" w:rsidP="00203A83">
      <w:pPr>
        <w:rPr>
          <w:rFonts w:ascii="Cambria" w:hAnsi="Cambria"/>
        </w:rPr>
      </w:pPr>
      <w:r w:rsidRPr="00203A83">
        <w:rPr>
          <w:rFonts w:ascii="Cambria" w:hAnsi="Cambria"/>
        </w:rPr>
        <w:t xml:space="preserve">Based on the data from Table 3 and Table 4, it is observed that BYD's liquidity and leverage ratios have remained relatively stable over the past five years. BYD's liquidity experienced a slight decrease in 2023, with the quick ratio and cash ratio decreasing by 31.9% and 33.3%, respectively, compared to 2022. Compared to </w:t>
      </w:r>
      <w:r w:rsidR="00171BF0">
        <w:rPr>
          <w:rFonts w:ascii="Cambria" w:hAnsi="Cambria"/>
        </w:rPr>
        <w:t>Tesla</w:t>
      </w:r>
      <w:r w:rsidRPr="00203A83">
        <w:rPr>
          <w:rFonts w:ascii="Cambria" w:hAnsi="Cambria"/>
        </w:rPr>
        <w:t xml:space="preserve">'s data (Table 1, Table 2), BYD's liquidity levels are notably low. In 2023, </w:t>
      </w:r>
      <w:r w:rsidR="00171BF0">
        <w:rPr>
          <w:rFonts w:ascii="Cambria" w:hAnsi="Cambria"/>
        </w:rPr>
        <w:t>Tesla</w:t>
      </w:r>
      <w:r w:rsidRPr="00203A83">
        <w:rPr>
          <w:rFonts w:ascii="Cambria" w:hAnsi="Cambria"/>
        </w:rPr>
        <w:t>'s cash ratio was 20 times that of BYD.</w:t>
      </w:r>
    </w:p>
    <w:p w:rsidR="00203A83" w:rsidRPr="00203A83" w:rsidRDefault="00203A83" w:rsidP="00203A83">
      <w:pPr>
        <w:rPr>
          <w:rFonts w:ascii="Cambria" w:hAnsi="Cambria"/>
        </w:rPr>
      </w:pPr>
    </w:p>
    <w:p w:rsidR="00203A83" w:rsidRPr="00203A83" w:rsidRDefault="00203A83" w:rsidP="00203A83">
      <w:pPr>
        <w:rPr>
          <w:rFonts w:ascii="Cambria" w:hAnsi="Cambria"/>
        </w:rPr>
      </w:pPr>
      <w:r w:rsidRPr="00203A83">
        <w:rPr>
          <w:rFonts w:ascii="Cambria" w:hAnsi="Cambria"/>
        </w:rPr>
        <w:lastRenderedPageBreak/>
        <w:t xml:space="preserve">In terms of leverage ratios, due to </w:t>
      </w:r>
      <w:r w:rsidR="00171BF0">
        <w:rPr>
          <w:rFonts w:ascii="Cambria" w:hAnsi="Cambria"/>
        </w:rPr>
        <w:t>Tesla</w:t>
      </w:r>
      <w:r w:rsidRPr="00203A83">
        <w:rPr>
          <w:rFonts w:ascii="Cambria" w:hAnsi="Cambria"/>
        </w:rPr>
        <w:t xml:space="preserve">'s emphasis on reducing debt over the past five years, by 2023, </w:t>
      </w:r>
      <w:r w:rsidR="00171BF0">
        <w:rPr>
          <w:rFonts w:ascii="Cambria" w:hAnsi="Cambria"/>
        </w:rPr>
        <w:t>Tesla</w:t>
      </w:r>
      <w:r w:rsidRPr="00203A83">
        <w:rPr>
          <w:rFonts w:ascii="Cambria" w:hAnsi="Cambria"/>
        </w:rPr>
        <w:t xml:space="preserve">'s debt levels had decreased to a relatively robust range, similar to BYD. In 2023, the Debt-Equity Ratios for </w:t>
      </w:r>
      <w:r w:rsidR="00171BF0">
        <w:rPr>
          <w:rFonts w:ascii="Cambria" w:hAnsi="Cambria"/>
        </w:rPr>
        <w:t>Tesla</w:t>
      </w:r>
      <w:r w:rsidRPr="00203A83">
        <w:rPr>
          <w:rFonts w:ascii="Cambria" w:hAnsi="Cambria"/>
        </w:rPr>
        <w:t xml:space="preserve"> and BYD were 0.10 and 0.11, respectively, and the Debt-to-Capital Ratios were 0.09 and 0.10, respectively. However, in terms of Total Debt to Total Assets, </w:t>
      </w:r>
      <w:r w:rsidR="00171BF0">
        <w:rPr>
          <w:rFonts w:ascii="Cambria" w:hAnsi="Cambria"/>
        </w:rPr>
        <w:t>Tesla</w:t>
      </w:r>
      <w:r w:rsidRPr="00203A83">
        <w:rPr>
          <w:rFonts w:ascii="Cambria" w:hAnsi="Cambria"/>
        </w:rPr>
        <w:t xml:space="preserve">'s ratio was 0.06, which is twice that of BYD. This may be attributed to a significant 53.5% growth in BYD's Total Assets in </w:t>
      </w:r>
      <w:r w:rsidR="00171BF0" w:rsidRPr="00203A83">
        <w:rPr>
          <w:rFonts w:ascii="Cambria" w:hAnsi="Cambria"/>
        </w:rPr>
        <w:t>2023;</w:t>
      </w:r>
      <w:r w:rsidRPr="00203A83">
        <w:rPr>
          <w:rFonts w:ascii="Cambria" w:hAnsi="Cambria"/>
        </w:rPr>
        <w:t xml:space="preserve"> thereby improving the data (see Appendix B).</w:t>
      </w:r>
    </w:p>
    <w:p w:rsidR="00203A83" w:rsidRPr="00203A83" w:rsidRDefault="00203A83" w:rsidP="00203A83">
      <w:pPr>
        <w:rPr>
          <w:rFonts w:ascii="Cambria" w:hAnsi="Cambria"/>
        </w:rPr>
      </w:pPr>
    </w:p>
    <w:p w:rsidR="00C65F36" w:rsidRDefault="00203A83" w:rsidP="00203A83">
      <w:pPr>
        <w:rPr>
          <w:rFonts w:ascii="Cambria" w:hAnsi="Cambria"/>
        </w:rPr>
      </w:pPr>
      <w:r w:rsidRPr="00203A83">
        <w:rPr>
          <w:rFonts w:ascii="Cambria" w:hAnsi="Cambria"/>
        </w:rPr>
        <w:t xml:space="preserve">Overall, as major competitors in the automotive industry, both companies demonstrate a similar level of risk control in their financial performance. </w:t>
      </w:r>
      <w:r w:rsidR="00171BF0">
        <w:rPr>
          <w:rFonts w:ascii="Cambria" w:hAnsi="Cambria"/>
        </w:rPr>
        <w:t>Tesla</w:t>
      </w:r>
      <w:r w:rsidRPr="00203A83">
        <w:rPr>
          <w:rFonts w:ascii="Cambria" w:hAnsi="Cambria"/>
        </w:rPr>
        <w:t xml:space="preserve">'s liquidity is notably stronger, likely due to its higher profit margins, providing </w:t>
      </w:r>
      <w:r w:rsidR="00171BF0">
        <w:rPr>
          <w:rFonts w:ascii="Cambria" w:hAnsi="Cambria"/>
        </w:rPr>
        <w:t>Tesla</w:t>
      </w:r>
      <w:r w:rsidRPr="00203A83">
        <w:rPr>
          <w:rFonts w:ascii="Cambria" w:hAnsi="Cambria"/>
        </w:rPr>
        <w:t xml:space="preserve"> with better risk resilience and options when facing unexpected risks.</w:t>
      </w:r>
    </w:p>
    <w:p w:rsidR="00203A83" w:rsidRPr="007966C4" w:rsidRDefault="00203A83" w:rsidP="00203A83">
      <w:pPr>
        <w:rPr>
          <w:rFonts w:ascii="Cambria" w:hAnsi="Cambria"/>
        </w:rPr>
      </w:pPr>
    </w:p>
    <w:p w:rsidR="000112A4" w:rsidRPr="000112A4" w:rsidRDefault="0082024F" w:rsidP="009F24C8">
      <w:pPr>
        <w:rPr>
          <w:rFonts w:ascii="Cambria" w:hAnsi="Cambria" w:hint="eastAsia"/>
          <w:b/>
          <w:sz w:val="24"/>
          <w:szCs w:val="24"/>
        </w:rPr>
      </w:pPr>
      <w:r w:rsidRPr="001476F7">
        <w:rPr>
          <w:rFonts w:ascii="Cambria" w:hAnsi="Cambria"/>
          <w:b/>
          <w:sz w:val="24"/>
          <w:szCs w:val="24"/>
        </w:rPr>
        <w:t>e. Briefly</w:t>
      </w:r>
      <w:r w:rsidR="00A46E97" w:rsidRPr="001476F7">
        <w:rPr>
          <w:rFonts w:ascii="Cambria" w:hAnsi="Cambria" w:hint="eastAsia"/>
          <w:b/>
          <w:sz w:val="24"/>
          <w:szCs w:val="24"/>
        </w:rPr>
        <w:t xml:space="preserve"> review a capital structure theory of your choice, drawing on published research </w:t>
      </w:r>
    </w:p>
    <w:p w:rsidR="00203A83" w:rsidRDefault="00203A83" w:rsidP="009F24C8">
      <w:pPr>
        <w:rPr>
          <w:rFonts w:ascii="Cambria" w:hAnsi="Cambria"/>
        </w:rPr>
      </w:pPr>
      <w:r w:rsidRPr="00203A83">
        <w:rPr>
          <w:rFonts w:ascii="Cambria" w:hAnsi="Cambria"/>
        </w:rPr>
        <w:t>Capital structure theory is an important theory in the field of financial management, focusing on how companies choose the optimal capital structure to maximize shareholder wealth. The capital structure of a company refers to the sum of all liabilities and all equities, typically the sum of the credit side of the balance sheet. Capital structure theory predominantly concerns itself with measuring overall corporate risk through metrics such as the ratio of total liabilities to equity (Schwartz, 1959). Some important theories within capital structure include the trade-off theory and the static trade-off theory.</w:t>
      </w:r>
    </w:p>
    <w:p w:rsidR="006A78E8" w:rsidRPr="00203A83" w:rsidRDefault="00203A83" w:rsidP="00322D02">
      <w:pPr>
        <w:rPr>
          <w:rFonts w:ascii="Cambria" w:hAnsi="Cambria"/>
        </w:rPr>
      </w:pPr>
      <w:r w:rsidRPr="00203A83">
        <w:rPr>
          <w:rFonts w:ascii="Cambria" w:hAnsi="Cambria"/>
        </w:rPr>
        <w:t>The trade-off theory of capital structure suggests that companies should determine the optimal mix of debt and equity financing to balance the returns and costs associated with each source, while considering factors such as the company's risk profile, expected future cash flows, and the tax implications of each financing source. The trade-off theory of capital structure helps traders and investors assess the valuation of stocks as part of fundamental analysis. By understanding this theory, one can identify the optimal capital structure for a company and calculate its theoretical value (McCall, 2021).</w:t>
      </w:r>
    </w:p>
    <w:p w:rsidR="006F431A" w:rsidRDefault="00203A83" w:rsidP="00A46E97">
      <w:pPr>
        <w:rPr>
          <w:rFonts w:ascii="Cambria" w:hAnsi="Cambria"/>
        </w:rPr>
      </w:pPr>
      <w:r w:rsidRPr="00203A83">
        <w:rPr>
          <w:rFonts w:ascii="Cambria" w:hAnsi="Cambria"/>
        </w:rPr>
        <w:t>The static financial theory primarily concerns the relationship between corporate value and capital structure. One of the most well-known theories in static financial theory is the Modigliani-Miller theorem, which posits that capital structure has no impact on the value of a company. The Modigliani-Miller theorem was originally proposed in a no-tax environment. Under this assumption, the value of a company is unaffected by its capital structure; whether a company uses debt financing or equity financing, the value of the company remains the same. Additionally, investors can buy and sell securities at any time without any costs or restrictions, and companies can obtain debt and equity capital at the same cost. According to the Modigliani-Miller theorem, investors can adjust capital structure through their own portfolios to achieve the desired structure (Suthar, 2024).</w:t>
      </w:r>
    </w:p>
    <w:p w:rsidR="00203A83" w:rsidRPr="00B175F5" w:rsidRDefault="00203A83" w:rsidP="00A46E97">
      <w:pPr>
        <w:rPr>
          <w:rFonts w:ascii="Cambria" w:hAnsi="Cambria"/>
        </w:rPr>
      </w:pPr>
    </w:p>
    <w:p w:rsidR="000112A4" w:rsidRPr="000112A4" w:rsidRDefault="0082024F" w:rsidP="00203A83">
      <w:pPr>
        <w:rPr>
          <w:rFonts w:ascii="Cambria" w:hAnsi="Cambria" w:hint="eastAsia"/>
          <w:b/>
          <w:sz w:val="24"/>
          <w:szCs w:val="24"/>
        </w:rPr>
      </w:pPr>
      <w:r w:rsidRPr="001476F7">
        <w:rPr>
          <w:rFonts w:ascii="Cambria" w:hAnsi="Cambria"/>
          <w:b/>
          <w:sz w:val="24"/>
          <w:szCs w:val="24"/>
        </w:rPr>
        <w:t>f. Comment</w:t>
      </w:r>
      <w:r w:rsidR="00A46E97" w:rsidRPr="001476F7">
        <w:rPr>
          <w:rFonts w:ascii="Cambria" w:hAnsi="Cambria" w:hint="eastAsia"/>
          <w:b/>
          <w:sz w:val="24"/>
          <w:szCs w:val="24"/>
        </w:rPr>
        <w:t xml:space="preserve"> on your selected company with </w:t>
      </w:r>
      <w:r w:rsidR="00A46E97" w:rsidRPr="001476F7">
        <w:rPr>
          <w:rFonts w:ascii="Cambria" w:hAnsi="Cambria"/>
          <w:b/>
          <w:sz w:val="24"/>
          <w:szCs w:val="24"/>
        </w:rPr>
        <w:t>respect</w:t>
      </w:r>
      <w:r w:rsidR="00A46E97" w:rsidRPr="001476F7">
        <w:rPr>
          <w:rFonts w:ascii="Cambria" w:hAnsi="Cambria" w:hint="eastAsia"/>
          <w:b/>
          <w:sz w:val="24"/>
          <w:szCs w:val="24"/>
        </w:rPr>
        <w:t xml:space="preserve"> to your selected capital structure theory </w:t>
      </w:r>
    </w:p>
    <w:p w:rsidR="00203A83" w:rsidRPr="00203A83" w:rsidRDefault="00203A83" w:rsidP="00203A83">
      <w:pPr>
        <w:rPr>
          <w:rFonts w:ascii="Cambria" w:hAnsi="Cambria"/>
        </w:rPr>
      </w:pPr>
      <w:r w:rsidRPr="00203A83">
        <w:rPr>
          <w:rFonts w:ascii="Cambria" w:hAnsi="Cambria"/>
        </w:rPr>
        <w:t xml:space="preserve">Analyzing </w:t>
      </w:r>
      <w:r w:rsidR="00171BF0">
        <w:rPr>
          <w:rFonts w:ascii="Cambria" w:hAnsi="Cambria"/>
        </w:rPr>
        <w:t>Tesla</w:t>
      </w:r>
      <w:r w:rsidRPr="00203A83">
        <w:rPr>
          <w:rFonts w:ascii="Cambria" w:hAnsi="Cambria"/>
        </w:rPr>
        <w:t xml:space="preserve">'s capital structure through the Trade-off Theory, we can consider several factors. Firstly, as a high-tech and high-growth company, </w:t>
      </w:r>
      <w:r w:rsidR="00171BF0">
        <w:rPr>
          <w:rFonts w:ascii="Cambria" w:hAnsi="Cambria"/>
        </w:rPr>
        <w:t>Tesla</w:t>
      </w:r>
      <w:r w:rsidRPr="00203A83">
        <w:rPr>
          <w:rFonts w:ascii="Cambria" w:hAnsi="Cambria"/>
        </w:rPr>
        <w:t xml:space="preserve">'s significant research and investment expenditures may generate noticeable interest tax shields. Debt financing allows </w:t>
      </w:r>
      <w:r w:rsidR="00171BF0">
        <w:rPr>
          <w:rFonts w:ascii="Cambria" w:hAnsi="Cambria"/>
        </w:rPr>
        <w:t>Tesla</w:t>
      </w:r>
      <w:r w:rsidRPr="00203A83">
        <w:rPr>
          <w:rFonts w:ascii="Cambria" w:hAnsi="Cambria"/>
        </w:rPr>
        <w:t xml:space="preserve"> to leverage this advantage, overall reducing tax burdens, which is a positive factor. However, despite the tax benefits of debt, it also increases the company's financial risk. </w:t>
      </w:r>
      <w:r w:rsidR="00171BF0">
        <w:rPr>
          <w:rFonts w:ascii="Cambria" w:hAnsi="Cambria"/>
        </w:rPr>
        <w:t>Tesla</w:t>
      </w:r>
      <w:r w:rsidRPr="00203A83">
        <w:rPr>
          <w:rFonts w:ascii="Cambria" w:hAnsi="Cambria"/>
        </w:rPr>
        <w:t xml:space="preserve"> operates in a market environment with high uncertainty and volatility, which may increase the potential risk of bankruptcy.</w:t>
      </w:r>
    </w:p>
    <w:p w:rsidR="00203A83" w:rsidRPr="00203A83" w:rsidRDefault="00203A83" w:rsidP="00203A83">
      <w:pPr>
        <w:rPr>
          <w:rFonts w:ascii="Cambria" w:hAnsi="Cambria"/>
        </w:rPr>
      </w:pPr>
      <w:r w:rsidRPr="00203A83">
        <w:rPr>
          <w:rFonts w:ascii="Cambria" w:hAnsi="Cambria"/>
        </w:rPr>
        <w:t xml:space="preserve">Secondly, </w:t>
      </w:r>
      <w:r w:rsidR="00171BF0">
        <w:rPr>
          <w:rFonts w:ascii="Cambria" w:hAnsi="Cambria"/>
        </w:rPr>
        <w:t>Tesla</w:t>
      </w:r>
      <w:r w:rsidRPr="00203A83">
        <w:rPr>
          <w:rFonts w:ascii="Cambria" w:hAnsi="Cambria"/>
        </w:rPr>
        <w:t xml:space="preserve">, in its rapid expansion phase, requires substantial funding support, necessitating adequate liquidity to flexibly address potential capital needs at any time. While utilizing bond financing, it is essential </w:t>
      </w:r>
      <w:r w:rsidRPr="00203A83">
        <w:rPr>
          <w:rFonts w:ascii="Cambria" w:hAnsi="Cambria"/>
        </w:rPr>
        <w:lastRenderedPageBreak/>
        <w:t>to pay extra attention to reducing financial risk to cope with unforeseen circumstances.</w:t>
      </w:r>
    </w:p>
    <w:p w:rsidR="00410164" w:rsidRPr="00410164" w:rsidRDefault="00203A83" w:rsidP="00203A83">
      <w:pPr>
        <w:rPr>
          <w:rFonts w:ascii="Cambria" w:hAnsi="Cambria"/>
        </w:rPr>
      </w:pPr>
      <w:r w:rsidRPr="00203A83">
        <w:rPr>
          <w:rFonts w:ascii="Cambria" w:hAnsi="Cambria"/>
        </w:rPr>
        <w:t xml:space="preserve">Lastly, according to the Trade-off Theory, </w:t>
      </w:r>
      <w:r w:rsidR="00171BF0">
        <w:rPr>
          <w:rFonts w:ascii="Cambria" w:hAnsi="Cambria"/>
        </w:rPr>
        <w:t>Tesla</w:t>
      </w:r>
      <w:r w:rsidRPr="00203A83">
        <w:rPr>
          <w:rFonts w:ascii="Cambria" w:hAnsi="Cambria"/>
        </w:rPr>
        <w:t>'s optimal capital structure should strike a balance between maximizing tax advantages and minimizing bankruptcy risk. While leveraging debt, it is crucial to consider the high risks associated with high growth and cautiously manage to avoid excessive financial risk.</w:t>
      </w:r>
    </w:p>
    <w:p w:rsidR="00B341DB" w:rsidRDefault="00203A83" w:rsidP="00B341DB">
      <w:pPr>
        <w:rPr>
          <w:rFonts w:ascii="Cambria" w:hAnsi="Cambria" w:hint="eastAsia"/>
        </w:rPr>
      </w:pPr>
      <w:r w:rsidRPr="00203A83">
        <w:rPr>
          <w:rFonts w:ascii="Cambria" w:hAnsi="Cambria"/>
        </w:rPr>
        <w:t xml:space="preserve">If we apply the static financial theory to evaluate </w:t>
      </w:r>
      <w:r w:rsidR="00171BF0">
        <w:rPr>
          <w:rFonts w:ascii="Cambria" w:hAnsi="Cambria"/>
        </w:rPr>
        <w:t>Tesla</w:t>
      </w:r>
      <w:r w:rsidRPr="00203A83">
        <w:rPr>
          <w:rFonts w:ascii="Cambria" w:hAnsi="Cambria"/>
        </w:rPr>
        <w:t xml:space="preserve">'s capital structure choice, we can consider factors such as costs, tax implications, and financial flexibility. First, from a cost perspective, </w:t>
      </w:r>
      <w:r w:rsidR="00171BF0">
        <w:rPr>
          <w:rFonts w:ascii="Cambria" w:hAnsi="Cambria"/>
        </w:rPr>
        <w:t>Tesla</w:t>
      </w:r>
      <w:r w:rsidRPr="00203A83">
        <w:rPr>
          <w:rFonts w:ascii="Cambria" w:hAnsi="Cambria"/>
        </w:rPr>
        <w:t xml:space="preserve"> has frequently been in a loss-making position in recent years, and debt financing may increase its financial burden. As a high-growth company, </w:t>
      </w:r>
      <w:r w:rsidR="00171BF0">
        <w:rPr>
          <w:rFonts w:ascii="Cambria" w:hAnsi="Cambria"/>
        </w:rPr>
        <w:t>Tesla</w:t>
      </w:r>
      <w:r w:rsidRPr="00203A83">
        <w:rPr>
          <w:rFonts w:ascii="Cambria" w:hAnsi="Cambria"/>
        </w:rPr>
        <w:t xml:space="preserve">'s future profitability is relatively uncertain, which could result in higher costs of debt financing. Secondly, given </w:t>
      </w:r>
      <w:r w:rsidR="00171BF0">
        <w:rPr>
          <w:rFonts w:ascii="Cambria" w:hAnsi="Cambria"/>
        </w:rPr>
        <w:t>Tesla</w:t>
      </w:r>
      <w:r w:rsidRPr="00203A83">
        <w:rPr>
          <w:rFonts w:ascii="Cambria" w:hAnsi="Cambria"/>
        </w:rPr>
        <w:t xml:space="preserve">'s frequent losses in recent years and the uncertainties associated with its expansion, debt financing may not fully leverage tax advantages. Additionally, changes in U.S. government subsidies and tax incentives for the electric vehicle industry could impact </w:t>
      </w:r>
      <w:r w:rsidR="00171BF0">
        <w:rPr>
          <w:rFonts w:ascii="Cambria" w:hAnsi="Cambria"/>
        </w:rPr>
        <w:t>Tesla</w:t>
      </w:r>
      <w:r w:rsidRPr="00203A83">
        <w:rPr>
          <w:rFonts w:ascii="Cambria" w:hAnsi="Cambria"/>
        </w:rPr>
        <w:t xml:space="preserve">'s debt financing strategy. Thirdly, as a high-tech company, </w:t>
      </w:r>
      <w:r w:rsidR="00171BF0">
        <w:rPr>
          <w:rFonts w:ascii="Cambria" w:hAnsi="Cambria"/>
        </w:rPr>
        <w:t>Tesla</w:t>
      </w:r>
      <w:r w:rsidRPr="00203A83">
        <w:rPr>
          <w:rFonts w:ascii="Cambria" w:hAnsi="Cambria"/>
        </w:rPr>
        <w:t xml:space="preserve"> may need to maintain high financial flexibility to adapt to rapidly changing market and technological environments. Therefore, the company may lean towards reducing financial risk and maintaining flexibility. However, this choice could also be influenced by market conditions, government policies, and the company's own financial situation.</w:t>
      </w:r>
    </w:p>
    <w:p w:rsidR="000112A4" w:rsidRPr="00B341DB" w:rsidRDefault="000112A4" w:rsidP="00B341DB">
      <w:pPr>
        <w:rPr>
          <w:rFonts w:ascii="Cambria" w:hAnsi="Cambria"/>
        </w:rPr>
      </w:pPr>
    </w:p>
    <w:p w:rsidR="000112A4" w:rsidRDefault="0082024F" w:rsidP="00A46E97">
      <w:pPr>
        <w:rPr>
          <w:rFonts w:ascii="Cambria" w:hAnsi="Cambria" w:hint="eastAsia"/>
        </w:rPr>
      </w:pPr>
      <w:r w:rsidRPr="001476F7">
        <w:rPr>
          <w:rFonts w:ascii="Cambria" w:hAnsi="Cambria"/>
          <w:b/>
          <w:sz w:val="24"/>
          <w:szCs w:val="24"/>
        </w:rPr>
        <w:t>g. Average</w:t>
      </w:r>
      <w:r w:rsidR="00A46E97" w:rsidRPr="001476F7">
        <w:rPr>
          <w:rFonts w:ascii="Cambria" w:hAnsi="Cambria" w:hint="eastAsia"/>
          <w:b/>
          <w:sz w:val="24"/>
          <w:szCs w:val="24"/>
        </w:rPr>
        <w:t xml:space="preserve"> annual share returns for the past five </w:t>
      </w:r>
      <w:r w:rsidR="00FF1369" w:rsidRPr="001476F7">
        <w:rPr>
          <w:rFonts w:ascii="Cambria" w:hAnsi="Cambria" w:hint="eastAsia"/>
          <w:b/>
          <w:sz w:val="24"/>
          <w:szCs w:val="24"/>
        </w:rPr>
        <w:t>years</w:t>
      </w:r>
      <w:r w:rsidR="00D8031B">
        <w:br/>
      </w:r>
    </w:p>
    <w:p w:rsidR="00D8031B" w:rsidRPr="000112A4" w:rsidRDefault="00D8031B" w:rsidP="00A46E97">
      <w:pPr>
        <w:rPr>
          <w:rFonts w:ascii="Cambria" w:hAnsi="Cambria" w:hint="eastAsia"/>
          <w:b/>
          <w:sz w:val="24"/>
          <w:szCs w:val="24"/>
        </w:rPr>
      </w:pPr>
      <w:r w:rsidRPr="00D8031B">
        <w:rPr>
          <w:rFonts w:ascii="Cambria" w:hAnsi="Cambria"/>
        </w:rPr>
        <w:t xml:space="preserve">Based on </w:t>
      </w:r>
      <w:r w:rsidR="00171BF0">
        <w:rPr>
          <w:rFonts w:ascii="Cambria" w:hAnsi="Cambria"/>
        </w:rPr>
        <w:t>Tesla</w:t>
      </w:r>
      <w:r w:rsidRPr="00D8031B">
        <w:rPr>
          <w:rFonts w:ascii="Cambria" w:hAnsi="Cambria"/>
        </w:rPr>
        <w:t xml:space="preserve">'s monthly stock prices over the past five years, we can calculate </w:t>
      </w:r>
      <w:r w:rsidR="00171BF0">
        <w:rPr>
          <w:rFonts w:ascii="Cambria" w:hAnsi="Cambria"/>
        </w:rPr>
        <w:t>Tesla</w:t>
      </w:r>
      <w:r w:rsidRPr="00D8031B">
        <w:rPr>
          <w:rFonts w:ascii="Cambria" w:hAnsi="Cambria"/>
        </w:rPr>
        <w:t>'s average annual stock price and annual return rate as follows:</w:t>
      </w:r>
    </w:p>
    <w:p w:rsidR="000112A4" w:rsidRPr="0013799B" w:rsidRDefault="000112A4" w:rsidP="00A46E97">
      <w:pPr>
        <w:rPr>
          <w:rFonts w:ascii="Cambria" w:hAnsi="Cambria"/>
        </w:rPr>
      </w:pPr>
    </w:p>
    <w:tbl>
      <w:tblPr>
        <w:tblStyle w:val="a9"/>
        <w:tblW w:w="0" w:type="auto"/>
        <w:tblInd w:w="250" w:type="dxa"/>
        <w:tblLook w:val="04A0"/>
      </w:tblPr>
      <w:tblGrid>
        <w:gridCol w:w="1384"/>
        <w:gridCol w:w="1559"/>
        <w:gridCol w:w="2779"/>
        <w:gridCol w:w="2324"/>
      </w:tblGrid>
      <w:tr w:rsidR="0006737C" w:rsidRPr="00457461" w:rsidTr="00DD2991">
        <w:tc>
          <w:tcPr>
            <w:tcW w:w="1384" w:type="dxa"/>
            <w:vAlign w:val="center"/>
          </w:tcPr>
          <w:p w:rsidR="0006737C" w:rsidRPr="00457461" w:rsidRDefault="0006737C" w:rsidP="000376D8">
            <w:pPr>
              <w:jc w:val="center"/>
              <w:rPr>
                <w:rFonts w:ascii="Cambria" w:hAnsi="Cambria"/>
                <w:sz w:val="18"/>
                <w:szCs w:val="18"/>
              </w:rPr>
            </w:pPr>
            <w:r w:rsidRPr="00457461">
              <w:rPr>
                <w:rFonts w:ascii="Cambria" w:hAnsi="Cambria" w:hint="eastAsia"/>
                <w:sz w:val="18"/>
                <w:szCs w:val="18"/>
              </w:rPr>
              <w:t>Date</w:t>
            </w:r>
          </w:p>
        </w:tc>
        <w:tc>
          <w:tcPr>
            <w:tcW w:w="1559" w:type="dxa"/>
            <w:vAlign w:val="center"/>
          </w:tcPr>
          <w:p w:rsidR="0006737C" w:rsidRPr="00457461" w:rsidRDefault="0006737C" w:rsidP="000376D8">
            <w:pPr>
              <w:jc w:val="center"/>
              <w:rPr>
                <w:rFonts w:ascii="Cambria" w:hAnsi="Cambria"/>
                <w:sz w:val="18"/>
                <w:szCs w:val="18"/>
              </w:rPr>
            </w:pPr>
            <w:r w:rsidRPr="00457461">
              <w:rPr>
                <w:rFonts w:ascii="Cambria" w:hAnsi="Cambria" w:hint="eastAsia"/>
                <w:sz w:val="18"/>
                <w:szCs w:val="18"/>
              </w:rPr>
              <w:t>Close</w:t>
            </w:r>
          </w:p>
        </w:tc>
        <w:tc>
          <w:tcPr>
            <w:tcW w:w="2779" w:type="dxa"/>
            <w:vAlign w:val="center"/>
          </w:tcPr>
          <w:p w:rsidR="000376D8" w:rsidRPr="00457461" w:rsidRDefault="0006737C" w:rsidP="000376D8">
            <w:pPr>
              <w:jc w:val="center"/>
              <w:rPr>
                <w:rFonts w:ascii="Cambria" w:hAnsi="Cambria"/>
                <w:sz w:val="18"/>
                <w:szCs w:val="18"/>
              </w:rPr>
            </w:pPr>
            <w:r w:rsidRPr="00457461">
              <w:rPr>
                <w:rFonts w:ascii="Cambria" w:hAnsi="Cambria" w:hint="eastAsia"/>
                <w:sz w:val="18"/>
                <w:szCs w:val="18"/>
              </w:rPr>
              <w:t>Yearly average</w:t>
            </w:r>
          </w:p>
          <w:p w:rsidR="0006737C" w:rsidRPr="00457461" w:rsidRDefault="0006737C" w:rsidP="000376D8">
            <w:pPr>
              <w:jc w:val="center"/>
              <w:rPr>
                <w:rFonts w:ascii="Cambria" w:hAnsi="Cambria"/>
                <w:sz w:val="18"/>
                <w:szCs w:val="18"/>
              </w:rPr>
            </w:pPr>
            <w:r w:rsidRPr="00457461">
              <w:rPr>
                <w:rFonts w:ascii="Cambria" w:hAnsi="Cambria" w:hint="eastAsia"/>
                <w:sz w:val="18"/>
                <w:szCs w:val="18"/>
              </w:rPr>
              <w:t>(Average of 12 months)</w:t>
            </w:r>
          </w:p>
        </w:tc>
        <w:tc>
          <w:tcPr>
            <w:tcW w:w="2324" w:type="dxa"/>
            <w:vAlign w:val="center"/>
          </w:tcPr>
          <w:p w:rsidR="0006737C" w:rsidRPr="00457461" w:rsidRDefault="00C02B54" w:rsidP="000376D8">
            <w:pPr>
              <w:jc w:val="center"/>
              <w:rPr>
                <w:rFonts w:ascii="Cambria" w:hAnsi="Cambria"/>
                <w:sz w:val="18"/>
                <w:szCs w:val="18"/>
              </w:rPr>
            </w:pPr>
            <w:r w:rsidRPr="00457461">
              <w:rPr>
                <w:rFonts w:ascii="Cambria" w:hAnsi="Cambria" w:hint="eastAsia"/>
                <w:sz w:val="18"/>
                <w:szCs w:val="18"/>
              </w:rPr>
              <w:t>R</w:t>
            </w:r>
            <w:r w:rsidR="0006737C" w:rsidRPr="00457461">
              <w:rPr>
                <w:rFonts w:ascii="Cambria" w:hAnsi="Cambria" w:hint="eastAsia"/>
                <w:sz w:val="18"/>
                <w:szCs w:val="18"/>
              </w:rPr>
              <w:t>eturn</w:t>
            </w:r>
          </w:p>
        </w:tc>
      </w:tr>
      <w:tr w:rsidR="0006737C" w:rsidRPr="00457461" w:rsidTr="00DD2991">
        <w:tc>
          <w:tcPr>
            <w:tcW w:w="1384" w:type="dxa"/>
            <w:vAlign w:val="center"/>
          </w:tcPr>
          <w:p w:rsidR="0006737C" w:rsidRPr="00457461" w:rsidRDefault="0006737C" w:rsidP="00FF1369">
            <w:pPr>
              <w:rPr>
                <w:rFonts w:ascii="Cambria" w:hAnsi="Cambria"/>
                <w:sz w:val="18"/>
                <w:szCs w:val="18"/>
              </w:rPr>
            </w:pPr>
            <w:r w:rsidRPr="00457461">
              <w:rPr>
                <w:rFonts w:ascii="Cambria" w:hAnsi="Cambria" w:hint="eastAsia"/>
                <w:sz w:val="18"/>
                <w:szCs w:val="18"/>
              </w:rPr>
              <w:t>2024/3/1</w:t>
            </w:r>
          </w:p>
        </w:tc>
        <w:tc>
          <w:tcPr>
            <w:tcW w:w="1559" w:type="dxa"/>
            <w:vAlign w:val="center"/>
          </w:tcPr>
          <w:p w:rsidR="0006737C" w:rsidRPr="00457461" w:rsidRDefault="0006737C" w:rsidP="00FF1369">
            <w:pPr>
              <w:jc w:val="right"/>
              <w:rPr>
                <w:rFonts w:ascii="Cambria" w:hAnsi="Cambria"/>
                <w:sz w:val="18"/>
                <w:szCs w:val="18"/>
              </w:rPr>
            </w:pPr>
            <w:r w:rsidRPr="00457461">
              <w:rPr>
                <w:rFonts w:ascii="Cambria" w:hAnsi="Cambria" w:hint="eastAsia"/>
                <w:sz w:val="18"/>
                <w:szCs w:val="18"/>
              </w:rPr>
              <w:t>179.83</w:t>
            </w:r>
          </w:p>
        </w:tc>
        <w:tc>
          <w:tcPr>
            <w:tcW w:w="2779" w:type="dxa"/>
          </w:tcPr>
          <w:p w:rsidR="0006737C" w:rsidRPr="00457461" w:rsidRDefault="0006737C" w:rsidP="00FF1369">
            <w:pPr>
              <w:jc w:val="right"/>
              <w:rPr>
                <w:rFonts w:ascii="Cambria" w:hAnsi="Cambria"/>
                <w:sz w:val="18"/>
                <w:szCs w:val="18"/>
              </w:rPr>
            </w:pPr>
            <w:r w:rsidRPr="00457461">
              <w:rPr>
                <w:rFonts w:ascii="Cambria" w:hAnsi="Cambria" w:hint="eastAsia"/>
                <w:sz w:val="18"/>
                <w:szCs w:val="18"/>
              </w:rPr>
              <w:t>222.01</w:t>
            </w:r>
          </w:p>
        </w:tc>
        <w:tc>
          <w:tcPr>
            <w:tcW w:w="2324" w:type="dxa"/>
          </w:tcPr>
          <w:p w:rsidR="0006737C" w:rsidRPr="00457461" w:rsidRDefault="0006737C" w:rsidP="00FF1369">
            <w:pPr>
              <w:jc w:val="right"/>
              <w:rPr>
                <w:rFonts w:ascii="Cambria" w:hAnsi="Cambria"/>
                <w:sz w:val="18"/>
                <w:szCs w:val="18"/>
              </w:rPr>
            </w:pPr>
            <w:r w:rsidRPr="00457461">
              <w:rPr>
                <w:rFonts w:ascii="Cambria" w:hAnsi="Cambria" w:hint="eastAsia"/>
                <w:sz w:val="18"/>
                <w:szCs w:val="18"/>
              </w:rPr>
              <w:t>-2.67%</w:t>
            </w:r>
          </w:p>
        </w:tc>
      </w:tr>
      <w:tr w:rsidR="0006737C" w:rsidRPr="00457461" w:rsidTr="00DD2991">
        <w:tc>
          <w:tcPr>
            <w:tcW w:w="1384" w:type="dxa"/>
            <w:vAlign w:val="center"/>
          </w:tcPr>
          <w:p w:rsidR="0006737C" w:rsidRPr="00457461" w:rsidRDefault="0006737C" w:rsidP="00FF1369">
            <w:pPr>
              <w:rPr>
                <w:rFonts w:ascii="Cambria" w:hAnsi="Cambria"/>
                <w:sz w:val="18"/>
                <w:szCs w:val="18"/>
              </w:rPr>
            </w:pPr>
            <w:r w:rsidRPr="00457461">
              <w:rPr>
                <w:rFonts w:ascii="Cambria" w:hAnsi="Cambria" w:hint="eastAsia"/>
                <w:sz w:val="18"/>
                <w:szCs w:val="18"/>
              </w:rPr>
              <w:t>2023/3/1</w:t>
            </w:r>
          </w:p>
        </w:tc>
        <w:tc>
          <w:tcPr>
            <w:tcW w:w="1559" w:type="dxa"/>
            <w:vAlign w:val="center"/>
          </w:tcPr>
          <w:p w:rsidR="0006737C" w:rsidRPr="00457461" w:rsidRDefault="0006737C" w:rsidP="00FF1369">
            <w:pPr>
              <w:jc w:val="right"/>
              <w:rPr>
                <w:rFonts w:ascii="Cambria" w:hAnsi="Cambria"/>
                <w:sz w:val="18"/>
                <w:szCs w:val="18"/>
              </w:rPr>
            </w:pPr>
            <w:r w:rsidRPr="00457461">
              <w:rPr>
                <w:rFonts w:ascii="Cambria" w:hAnsi="Cambria" w:hint="eastAsia"/>
                <w:sz w:val="18"/>
                <w:szCs w:val="18"/>
              </w:rPr>
              <w:t>207.46</w:t>
            </w:r>
          </w:p>
        </w:tc>
        <w:tc>
          <w:tcPr>
            <w:tcW w:w="2779" w:type="dxa"/>
          </w:tcPr>
          <w:p w:rsidR="0006737C" w:rsidRPr="00457461" w:rsidRDefault="0006737C" w:rsidP="00FF1369">
            <w:pPr>
              <w:jc w:val="right"/>
              <w:rPr>
                <w:rFonts w:ascii="Cambria" w:hAnsi="Cambria"/>
                <w:sz w:val="18"/>
                <w:szCs w:val="18"/>
              </w:rPr>
            </w:pPr>
            <w:r w:rsidRPr="00457461">
              <w:rPr>
                <w:rFonts w:ascii="Cambria" w:hAnsi="Cambria" w:hint="eastAsia"/>
                <w:sz w:val="18"/>
                <w:szCs w:val="18"/>
              </w:rPr>
              <w:t>228.11</w:t>
            </w:r>
          </w:p>
        </w:tc>
        <w:tc>
          <w:tcPr>
            <w:tcW w:w="2324" w:type="dxa"/>
          </w:tcPr>
          <w:p w:rsidR="0006737C" w:rsidRPr="00457461" w:rsidRDefault="0006737C" w:rsidP="00FF1369">
            <w:pPr>
              <w:jc w:val="right"/>
              <w:rPr>
                <w:rFonts w:ascii="Cambria" w:hAnsi="Cambria"/>
                <w:sz w:val="18"/>
                <w:szCs w:val="18"/>
              </w:rPr>
            </w:pPr>
            <w:r w:rsidRPr="00457461">
              <w:rPr>
                <w:rFonts w:ascii="Cambria" w:hAnsi="Cambria" w:hint="eastAsia"/>
                <w:sz w:val="18"/>
                <w:szCs w:val="18"/>
              </w:rPr>
              <w:t>-21.14</w:t>
            </w:r>
            <w:r w:rsidR="00704026" w:rsidRPr="00457461">
              <w:rPr>
                <w:rFonts w:ascii="Cambria" w:hAnsi="Cambria" w:hint="eastAsia"/>
                <w:sz w:val="18"/>
                <w:szCs w:val="18"/>
              </w:rPr>
              <w:t>%</w:t>
            </w:r>
          </w:p>
        </w:tc>
      </w:tr>
      <w:tr w:rsidR="0006737C" w:rsidRPr="00457461" w:rsidTr="00DD2991">
        <w:tc>
          <w:tcPr>
            <w:tcW w:w="1384" w:type="dxa"/>
            <w:vAlign w:val="center"/>
          </w:tcPr>
          <w:p w:rsidR="0006737C" w:rsidRPr="00457461" w:rsidRDefault="0006737C" w:rsidP="00FF1369">
            <w:pPr>
              <w:rPr>
                <w:rFonts w:ascii="Cambria" w:hAnsi="Cambria"/>
                <w:sz w:val="18"/>
                <w:szCs w:val="18"/>
              </w:rPr>
            </w:pPr>
            <w:r w:rsidRPr="00457461">
              <w:rPr>
                <w:rFonts w:ascii="Cambria" w:hAnsi="Cambria" w:hint="eastAsia"/>
                <w:sz w:val="18"/>
                <w:szCs w:val="18"/>
              </w:rPr>
              <w:t>2022/3/1</w:t>
            </w:r>
          </w:p>
        </w:tc>
        <w:tc>
          <w:tcPr>
            <w:tcW w:w="1559" w:type="dxa"/>
            <w:vAlign w:val="center"/>
          </w:tcPr>
          <w:p w:rsidR="0006737C" w:rsidRPr="00457461" w:rsidRDefault="0006737C" w:rsidP="00FF1369">
            <w:pPr>
              <w:jc w:val="right"/>
              <w:rPr>
                <w:rFonts w:ascii="Cambria" w:hAnsi="Cambria"/>
                <w:sz w:val="18"/>
                <w:szCs w:val="18"/>
              </w:rPr>
            </w:pPr>
            <w:r w:rsidRPr="00457461">
              <w:rPr>
                <w:rFonts w:ascii="Cambria" w:hAnsi="Cambria" w:hint="eastAsia"/>
                <w:sz w:val="18"/>
                <w:szCs w:val="18"/>
              </w:rPr>
              <w:t>359.2</w:t>
            </w:r>
            <w:r w:rsidR="00BA7D00" w:rsidRPr="00457461">
              <w:rPr>
                <w:rFonts w:ascii="Cambria" w:hAnsi="Cambria" w:hint="eastAsia"/>
                <w:sz w:val="18"/>
                <w:szCs w:val="18"/>
              </w:rPr>
              <w:t>0</w:t>
            </w:r>
          </w:p>
        </w:tc>
        <w:tc>
          <w:tcPr>
            <w:tcW w:w="2779" w:type="dxa"/>
          </w:tcPr>
          <w:p w:rsidR="0006737C" w:rsidRPr="00457461" w:rsidRDefault="0006737C" w:rsidP="0006737C">
            <w:pPr>
              <w:jc w:val="right"/>
              <w:rPr>
                <w:rFonts w:ascii="Cambria" w:hAnsi="Cambria"/>
                <w:sz w:val="18"/>
                <w:szCs w:val="18"/>
              </w:rPr>
            </w:pPr>
            <w:r w:rsidRPr="00457461">
              <w:rPr>
                <w:rFonts w:ascii="Cambria" w:hAnsi="Cambria" w:hint="eastAsia"/>
                <w:sz w:val="18"/>
                <w:szCs w:val="18"/>
              </w:rPr>
              <w:t>289.25</w:t>
            </w:r>
          </w:p>
        </w:tc>
        <w:tc>
          <w:tcPr>
            <w:tcW w:w="2324" w:type="dxa"/>
          </w:tcPr>
          <w:p w:rsidR="0006737C" w:rsidRPr="00457461" w:rsidRDefault="00704026" w:rsidP="00FF1369">
            <w:pPr>
              <w:jc w:val="right"/>
              <w:rPr>
                <w:rFonts w:ascii="Cambria" w:hAnsi="Cambria"/>
                <w:sz w:val="18"/>
                <w:szCs w:val="18"/>
              </w:rPr>
            </w:pPr>
            <w:r w:rsidRPr="00457461">
              <w:rPr>
                <w:rFonts w:ascii="Cambria" w:hAnsi="Cambria" w:hint="eastAsia"/>
                <w:sz w:val="18"/>
                <w:szCs w:val="18"/>
              </w:rPr>
              <w:t>87.58</w:t>
            </w:r>
            <w:r w:rsidR="00BA7D00" w:rsidRPr="00457461">
              <w:rPr>
                <w:rFonts w:ascii="Cambria" w:hAnsi="Cambria" w:hint="eastAsia"/>
                <w:sz w:val="18"/>
                <w:szCs w:val="18"/>
              </w:rPr>
              <w:t>%</w:t>
            </w:r>
          </w:p>
        </w:tc>
      </w:tr>
      <w:tr w:rsidR="0006737C" w:rsidRPr="00457461" w:rsidTr="00DD2991">
        <w:tc>
          <w:tcPr>
            <w:tcW w:w="1384" w:type="dxa"/>
            <w:vAlign w:val="center"/>
          </w:tcPr>
          <w:p w:rsidR="0006737C" w:rsidRPr="00457461" w:rsidRDefault="0006737C" w:rsidP="00FF1369">
            <w:pPr>
              <w:rPr>
                <w:rFonts w:ascii="Cambria" w:hAnsi="Cambria"/>
                <w:sz w:val="18"/>
                <w:szCs w:val="18"/>
              </w:rPr>
            </w:pPr>
            <w:r w:rsidRPr="00457461">
              <w:rPr>
                <w:rFonts w:ascii="Cambria" w:hAnsi="Cambria" w:hint="eastAsia"/>
                <w:sz w:val="18"/>
                <w:szCs w:val="18"/>
              </w:rPr>
              <w:t>2021/3/1</w:t>
            </w:r>
          </w:p>
        </w:tc>
        <w:tc>
          <w:tcPr>
            <w:tcW w:w="1559" w:type="dxa"/>
            <w:vAlign w:val="center"/>
          </w:tcPr>
          <w:p w:rsidR="0006737C" w:rsidRPr="00457461" w:rsidRDefault="0006737C" w:rsidP="00FF1369">
            <w:pPr>
              <w:jc w:val="right"/>
              <w:rPr>
                <w:rFonts w:ascii="Cambria" w:hAnsi="Cambria"/>
                <w:sz w:val="18"/>
                <w:szCs w:val="18"/>
              </w:rPr>
            </w:pPr>
            <w:r w:rsidRPr="00457461">
              <w:rPr>
                <w:rFonts w:ascii="Cambria" w:hAnsi="Cambria" w:hint="eastAsia"/>
                <w:sz w:val="18"/>
                <w:szCs w:val="18"/>
              </w:rPr>
              <w:t>222.6433</w:t>
            </w:r>
          </w:p>
        </w:tc>
        <w:tc>
          <w:tcPr>
            <w:tcW w:w="2779" w:type="dxa"/>
          </w:tcPr>
          <w:p w:rsidR="0006737C" w:rsidRPr="00457461" w:rsidRDefault="0006737C" w:rsidP="00FF1369">
            <w:pPr>
              <w:jc w:val="right"/>
              <w:rPr>
                <w:rFonts w:ascii="Cambria" w:hAnsi="Cambria"/>
                <w:sz w:val="18"/>
                <w:szCs w:val="18"/>
              </w:rPr>
            </w:pPr>
            <w:r w:rsidRPr="00457461">
              <w:rPr>
                <w:rFonts w:ascii="Cambria" w:hAnsi="Cambria" w:hint="eastAsia"/>
                <w:sz w:val="18"/>
                <w:szCs w:val="18"/>
              </w:rPr>
              <w:t>154.20</w:t>
            </w:r>
          </w:p>
        </w:tc>
        <w:tc>
          <w:tcPr>
            <w:tcW w:w="2324" w:type="dxa"/>
          </w:tcPr>
          <w:p w:rsidR="0006737C" w:rsidRPr="00457461" w:rsidRDefault="00704026" w:rsidP="00FF1369">
            <w:pPr>
              <w:jc w:val="right"/>
              <w:rPr>
                <w:rFonts w:ascii="Cambria" w:hAnsi="Cambria"/>
                <w:sz w:val="18"/>
                <w:szCs w:val="18"/>
              </w:rPr>
            </w:pPr>
            <w:r w:rsidRPr="00457461">
              <w:rPr>
                <w:rFonts w:ascii="Cambria" w:hAnsi="Cambria" w:hint="eastAsia"/>
                <w:sz w:val="18"/>
                <w:szCs w:val="18"/>
              </w:rPr>
              <w:t>551.46</w:t>
            </w:r>
            <w:r w:rsidR="00BA7D00" w:rsidRPr="00457461">
              <w:rPr>
                <w:rFonts w:ascii="Cambria" w:hAnsi="Cambria" w:hint="eastAsia"/>
                <w:sz w:val="18"/>
                <w:szCs w:val="18"/>
              </w:rPr>
              <w:t>%</w:t>
            </w:r>
          </w:p>
        </w:tc>
      </w:tr>
      <w:tr w:rsidR="0006737C" w:rsidRPr="00457461" w:rsidTr="00DD2991">
        <w:tc>
          <w:tcPr>
            <w:tcW w:w="1384" w:type="dxa"/>
            <w:vAlign w:val="center"/>
          </w:tcPr>
          <w:p w:rsidR="0006737C" w:rsidRPr="00457461" w:rsidRDefault="0006737C" w:rsidP="00FF1369">
            <w:pPr>
              <w:rPr>
                <w:rFonts w:ascii="Cambria" w:hAnsi="Cambria"/>
                <w:sz w:val="18"/>
                <w:szCs w:val="18"/>
              </w:rPr>
            </w:pPr>
            <w:r w:rsidRPr="00457461">
              <w:rPr>
                <w:rFonts w:ascii="Cambria" w:hAnsi="Cambria" w:hint="eastAsia"/>
                <w:sz w:val="18"/>
                <w:szCs w:val="18"/>
              </w:rPr>
              <w:t>2020/3/1</w:t>
            </w:r>
          </w:p>
        </w:tc>
        <w:tc>
          <w:tcPr>
            <w:tcW w:w="1559" w:type="dxa"/>
            <w:vAlign w:val="center"/>
          </w:tcPr>
          <w:p w:rsidR="0006737C" w:rsidRPr="00457461" w:rsidRDefault="0006737C" w:rsidP="00FF1369">
            <w:pPr>
              <w:jc w:val="right"/>
              <w:rPr>
                <w:rFonts w:ascii="Cambria" w:hAnsi="Cambria"/>
                <w:sz w:val="18"/>
                <w:szCs w:val="18"/>
              </w:rPr>
            </w:pPr>
            <w:r w:rsidRPr="00457461">
              <w:rPr>
                <w:rFonts w:ascii="Cambria" w:hAnsi="Cambria" w:hint="eastAsia"/>
                <w:sz w:val="18"/>
                <w:szCs w:val="18"/>
              </w:rPr>
              <w:t>34.93333</w:t>
            </w:r>
          </w:p>
        </w:tc>
        <w:tc>
          <w:tcPr>
            <w:tcW w:w="2779" w:type="dxa"/>
          </w:tcPr>
          <w:p w:rsidR="0006737C" w:rsidRPr="00457461" w:rsidRDefault="0006737C" w:rsidP="00FF1369">
            <w:pPr>
              <w:jc w:val="right"/>
              <w:rPr>
                <w:rFonts w:ascii="Cambria" w:hAnsi="Cambria"/>
                <w:sz w:val="18"/>
                <w:szCs w:val="18"/>
              </w:rPr>
            </w:pPr>
            <w:r w:rsidRPr="00457461">
              <w:rPr>
                <w:rFonts w:ascii="Cambria" w:hAnsi="Cambria" w:hint="eastAsia"/>
                <w:sz w:val="18"/>
                <w:szCs w:val="18"/>
              </w:rPr>
              <w:t>23.67</w:t>
            </w:r>
          </w:p>
        </w:tc>
        <w:tc>
          <w:tcPr>
            <w:tcW w:w="2324" w:type="dxa"/>
          </w:tcPr>
          <w:p w:rsidR="0006737C" w:rsidRPr="00457461" w:rsidRDefault="00BA7D00" w:rsidP="00FF1369">
            <w:pPr>
              <w:jc w:val="right"/>
              <w:rPr>
                <w:rFonts w:ascii="Cambria" w:hAnsi="Cambria"/>
                <w:sz w:val="18"/>
                <w:szCs w:val="18"/>
              </w:rPr>
            </w:pPr>
            <w:r w:rsidRPr="00457461">
              <w:rPr>
                <w:rFonts w:ascii="Cambria" w:hAnsi="Cambria" w:hint="eastAsia"/>
                <w:sz w:val="18"/>
                <w:szCs w:val="18"/>
              </w:rPr>
              <w:t>14.73%</w:t>
            </w:r>
          </w:p>
        </w:tc>
      </w:tr>
    </w:tbl>
    <w:p w:rsidR="0086165D" w:rsidRDefault="00B048D1" w:rsidP="00120409">
      <w:pPr>
        <w:rPr>
          <w:rFonts w:ascii="Cambria" w:hAnsi="Cambria"/>
          <w:sz w:val="18"/>
          <w:szCs w:val="18"/>
        </w:rPr>
      </w:pPr>
      <w:r w:rsidRPr="00457461">
        <w:rPr>
          <w:rFonts w:ascii="Cambria" w:hAnsi="Cambria" w:hint="eastAsia"/>
          <w:sz w:val="18"/>
          <w:szCs w:val="18"/>
        </w:rPr>
        <w:t>Table5.</w:t>
      </w:r>
      <w:r w:rsidR="006A78E8" w:rsidRPr="00457461">
        <w:rPr>
          <w:rFonts w:ascii="Cambria" w:hAnsi="Cambria" w:hint="eastAsia"/>
          <w:sz w:val="18"/>
          <w:szCs w:val="18"/>
        </w:rPr>
        <w:t xml:space="preserve"> </w:t>
      </w:r>
      <w:r w:rsidR="00171BF0">
        <w:rPr>
          <w:rFonts w:ascii="Cambria" w:hAnsi="Cambria" w:hint="eastAsia"/>
          <w:sz w:val="18"/>
          <w:szCs w:val="18"/>
        </w:rPr>
        <w:t>Tesla</w:t>
      </w:r>
      <w:r w:rsidR="0086165D">
        <w:rPr>
          <w:rFonts w:ascii="Cambria" w:hAnsi="Cambria"/>
          <w:sz w:val="18"/>
          <w:szCs w:val="18"/>
        </w:rPr>
        <w:t>’</w:t>
      </w:r>
      <w:r w:rsidR="0086165D">
        <w:rPr>
          <w:rFonts w:ascii="Cambria" w:hAnsi="Cambria" w:hint="eastAsia"/>
          <w:sz w:val="18"/>
          <w:szCs w:val="18"/>
        </w:rPr>
        <w:t xml:space="preserve">s </w:t>
      </w:r>
      <w:r w:rsidR="0086165D" w:rsidRPr="0086165D">
        <w:rPr>
          <w:rFonts w:ascii="Cambria" w:hAnsi="Cambria"/>
          <w:sz w:val="18"/>
          <w:szCs w:val="18"/>
        </w:rPr>
        <w:t>average stock price and return</w:t>
      </w:r>
      <w:r w:rsidR="0086165D">
        <w:rPr>
          <w:rFonts w:ascii="Cambria" w:hAnsi="Cambria" w:hint="eastAsia"/>
          <w:sz w:val="18"/>
          <w:szCs w:val="18"/>
        </w:rPr>
        <w:t xml:space="preserve"> over the past five years</w:t>
      </w:r>
    </w:p>
    <w:p w:rsidR="009F24C8" w:rsidRPr="0086165D" w:rsidRDefault="0086165D" w:rsidP="00120409">
      <w:pPr>
        <w:rPr>
          <w:rFonts w:ascii="Times New Roman" w:eastAsia="宋体" w:hAnsi="Times New Roman" w:cs="Times New Roman"/>
          <w:kern w:val="0"/>
          <w:sz w:val="18"/>
          <w:szCs w:val="18"/>
        </w:rPr>
      </w:pPr>
      <w:r>
        <w:rPr>
          <w:rFonts w:ascii="Cambria" w:hAnsi="Cambria" w:hint="eastAsia"/>
          <w:sz w:val="18"/>
          <w:szCs w:val="18"/>
        </w:rPr>
        <w:t>(</w:t>
      </w:r>
      <w:r w:rsidR="009F24C8" w:rsidRPr="009F24C8">
        <w:rPr>
          <w:rFonts w:ascii="Cambria" w:hAnsi="Cambria" w:hint="eastAsia"/>
          <w:sz w:val="18"/>
          <w:szCs w:val="18"/>
        </w:rPr>
        <w:t>Source:</w:t>
      </w:r>
      <w:r w:rsidR="009F24C8">
        <w:rPr>
          <w:rFonts w:ascii="Cambria" w:hAnsi="Cambria" w:hint="eastAsia"/>
          <w:sz w:val="18"/>
          <w:szCs w:val="18"/>
        </w:rPr>
        <w:t xml:space="preserve"> </w:t>
      </w:r>
      <w:r w:rsidR="009F24C8" w:rsidRPr="009F24C8">
        <w:rPr>
          <w:rFonts w:ascii="Times New Roman" w:eastAsia="宋体" w:hAnsi="Times New Roman" w:cs="Times New Roman"/>
          <w:kern w:val="0"/>
          <w:sz w:val="18"/>
          <w:szCs w:val="18"/>
        </w:rPr>
        <w:t>uk.finance.yahoo.com, 2024</w:t>
      </w:r>
      <w:r>
        <w:rPr>
          <w:rFonts w:ascii="Times New Roman" w:eastAsia="宋体" w:hAnsi="Times New Roman" w:cs="Times New Roman" w:hint="eastAsia"/>
          <w:kern w:val="0"/>
          <w:sz w:val="18"/>
          <w:szCs w:val="18"/>
        </w:rPr>
        <w:t>)</w:t>
      </w:r>
    </w:p>
    <w:p w:rsidR="0085635E" w:rsidRDefault="0085635E" w:rsidP="00120409">
      <w:pPr>
        <w:rPr>
          <w:rFonts w:ascii="Times New Roman" w:eastAsia="宋体" w:hAnsi="Times New Roman" w:cs="Times New Roman"/>
          <w:kern w:val="0"/>
          <w:sz w:val="18"/>
          <w:szCs w:val="18"/>
        </w:rPr>
      </w:pPr>
    </w:p>
    <w:p w:rsidR="00770605" w:rsidRPr="00D8031B" w:rsidRDefault="00D8031B" w:rsidP="00120409">
      <w:pPr>
        <w:rPr>
          <w:rFonts w:ascii="Cambria" w:hAnsi="Cambria"/>
        </w:rPr>
      </w:pPr>
      <w:r w:rsidRPr="00D8031B">
        <w:rPr>
          <w:rFonts w:ascii="Cambria" w:hAnsi="Cambria"/>
        </w:rPr>
        <w:t xml:space="preserve">Based on the data from Table 5, we can plot the trend of </w:t>
      </w:r>
      <w:r w:rsidR="00171BF0">
        <w:rPr>
          <w:rFonts w:ascii="Cambria" w:hAnsi="Cambria"/>
        </w:rPr>
        <w:t>Tesla</w:t>
      </w:r>
      <w:r w:rsidRPr="00D8031B">
        <w:rPr>
          <w:rFonts w:ascii="Cambria" w:hAnsi="Cambria"/>
        </w:rPr>
        <w:t>'s average annual stock price and return rate over the past five years.</w:t>
      </w:r>
    </w:p>
    <w:p w:rsidR="0085635E" w:rsidRDefault="0085635E" w:rsidP="005842A3">
      <w:pPr>
        <w:ind w:leftChars="135" w:left="283"/>
        <w:rPr>
          <w:rFonts w:ascii="Cambria" w:hAnsi="Cambria"/>
        </w:rPr>
      </w:pPr>
      <w:r>
        <w:rPr>
          <w:rFonts w:ascii="Cambria" w:hAnsi="Cambria"/>
          <w:noProof/>
        </w:rPr>
        <w:drawing>
          <wp:inline distT="0" distB="0" distL="0" distR="0">
            <wp:extent cx="2130180" cy="1780278"/>
            <wp:effectExtent l="19050" t="0" r="342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2131820" cy="1781649"/>
                    </a:xfrm>
                    <a:prstGeom prst="rect">
                      <a:avLst/>
                    </a:prstGeom>
                    <a:noFill/>
                  </pic:spPr>
                </pic:pic>
              </a:graphicData>
            </a:graphic>
          </wp:inline>
        </w:drawing>
      </w:r>
      <w:r>
        <w:rPr>
          <w:rFonts w:ascii="Cambria" w:hAnsi="Cambria" w:hint="eastAsia"/>
        </w:rPr>
        <w:t xml:space="preserve">   </w:t>
      </w:r>
      <w:r w:rsidR="000112A4">
        <w:rPr>
          <w:rFonts w:ascii="Cambria" w:hAnsi="Cambria" w:hint="eastAsia"/>
        </w:rPr>
        <w:t xml:space="preserve">       </w:t>
      </w:r>
      <w:r>
        <w:rPr>
          <w:rFonts w:ascii="Cambria" w:hAnsi="Cambria" w:hint="eastAsia"/>
        </w:rPr>
        <w:t xml:space="preserve"> </w:t>
      </w:r>
      <w:r>
        <w:rPr>
          <w:rFonts w:ascii="Cambria" w:hAnsi="Cambria" w:hint="eastAsia"/>
          <w:noProof/>
        </w:rPr>
        <w:drawing>
          <wp:inline distT="0" distB="0" distL="0" distR="0">
            <wp:extent cx="2497766" cy="1781908"/>
            <wp:effectExtent l="19050" t="0" r="0" b="0"/>
            <wp:docPr id="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2501343" cy="1784460"/>
                    </a:xfrm>
                    <a:prstGeom prst="rect">
                      <a:avLst/>
                    </a:prstGeom>
                    <a:noFill/>
                    <a:ln w="9525">
                      <a:noFill/>
                      <a:miter lim="800000"/>
                      <a:headEnd/>
                      <a:tailEnd/>
                    </a:ln>
                  </pic:spPr>
                </pic:pic>
              </a:graphicData>
            </a:graphic>
          </wp:inline>
        </w:drawing>
      </w:r>
    </w:p>
    <w:p w:rsidR="0085635E" w:rsidRPr="000112A4" w:rsidRDefault="0085635E" w:rsidP="005842A3">
      <w:pPr>
        <w:ind w:firstLineChars="150" w:firstLine="270"/>
        <w:rPr>
          <w:rFonts w:ascii="Cambria" w:hAnsi="Cambria"/>
          <w:sz w:val="18"/>
          <w:szCs w:val="18"/>
        </w:rPr>
      </w:pPr>
      <w:r w:rsidRPr="000112A4">
        <w:rPr>
          <w:rFonts w:ascii="Cambria" w:hAnsi="Cambria" w:hint="eastAsia"/>
          <w:sz w:val="18"/>
          <w:szCs w:val="18"/>
        </w:rPr>
        <w:t xml:space="preserve">Figure 3 </w:t>
      </w:r>
      <w:r w:rsidR="00171BF0" w:rsidRPr="000112A4">
        <w:rPr>
          <w:rFonts w:ascii="Cambria" w:hAnsi="Cambria" w:hint="eastAsia"/>
          <w:sz w:val="18"/>
          <w:szCs w:val="18"/>
        </w:rPr>
        <w:t>Tesla</w:t>
      </w:r>
      <w:r w:rsidR="005C7F15" w:rsidRPr="000112A4">
        <w:rPr>
          <w:rFonts w:ascii="Cambria" w:hAnsi="Cambria"/>
          <w:sz w:val="18"/>
          <w:szCs w:val="18"/>
        </w:rPr>
        <w:t>’</w:t>
      </w:r>
      <w:r w:rsidR="000112A4" w:rsidRPr="000112A4">
        <w:rPr>
          <w:rFonts w:ascii="Cambria" w:hAnsi="Cambria" w:hint="eastAsia"/>
          <w:sz w:val="18"/>
          <w:szCs w:val="18"/>
        </w:rPr>
        <w:t>s years average in last five</w:t>
      </w:r>
      <w:r w:rsidR="005C7F15" w:rsidRPr="000112A4">
        <w:rPr>
          <w:rFonts w:ascii="Cambria" w:hAnsi="Cambria" w:hint="eastAsia"/>
          <w:sz w:val="18"/>
          <w:szCs w:val="18"/>
        </w:rPr>
        <w:t xml:space="preserve"> years</w:t>
      </w:r>
      <w:r w:rsidRPr="000112A4">
        <w:rPr>
          <w:rFonts w:ascii="Cambria" w:hAnsi="Cambria" w:hint="eastAsia"/>
          <w:sz w:val="18"/>
          <w:szCs w:val="18"/>
        </w:rPr>
        <w:t xml:space="preserve">             Figure 4</w:t>
      </w:r>
      <w:r w:rsidR="005C7F15" w:rsidRPr="000112A4">
        <w:rPr>
          <w:rFonts w:ascii="Cambria" w:hAnsi="Cambria" w:hint="eastAsia"/>
          <w:sz w:val="18"/>
          <w:szCs w:val="18"/>
        </w:rPr>
        <w:t xml:space="preserve"> </w:t>
      </w:r>
      <w:r w:rsidR="00171BF0" w:rsidRPr="000112A4">
        <w:rPr>
          <w:rFonts w:ascii="Cambria" w:hAnsi="Cambria" w:hint="eastAsia"/>
          <w:sz w:val="18"/>
          <w:szCs w:val="18"/>
        </w:rPr>
        <w:t>Tesla</w:t>
      </w:r>
      <w:r w:rsidR="005C7F15" w:rsidRPr="000112A4">
        <w:rPr>
          <w:rFonts w:ascii="Cambria" w:hAnsi="Cambria"/>
          <w:sz w:val="18"/>
          <w:szCs w:val="18"/>
        </w:rPr>
        <w:t>’</w:t>
      </w:r>
      <w:r w:rsidR="000112A4" w:rsidRPr="000112A4">
        <w:rPr>
          <w:rFonts w:ascii="Cambria" w:hAnsi="Cambria" w:hint="eastAsia"/>
          <w:sz w:val="18"/>
          <w:szCs w:val="18"/>
        </w:rPr>
        <w:t>s return in last five</w:t>
      </w:r>
      <w:r w:rsidR="005C7F15" w:rsidRPr="000112A4">
        <w:rPr>
          <w:rFonts w:ascii="Cambria" w:hAnsi="Cambria" w:hint="eastAsia"/>
          <w:sz w:val="18"/>
          <w:szCs w:val="18"/>
        </w:rPr>
        <w:t xml:space="preserve"> years</w:t>
      </w:r>
    </w:p>
    <w:p w:rsidR="0086165D" w:rsidRPr="000112A4" w:rsidRDefault="0086165D" w:rsidP="005842A3">
      <w:pPr>
        <w:ind w:firstLineChars="150" w:firstLine="270"/>
        <w:rPr>
          <w:rFonts w:ascii="Cambria" w:hAnsi="Cambria"/>
          <w:sz w:val="18"/>
          <w:szCs w:val="18"/>
        </w:rPr>
      </w:pPr>
      <w:r w:rsidRPr="000112A4">
        <w:rPr>
          <w:rFonts w:ascii="Cambria" w:hAnsi="Cambria" w:hint="eastAsia"/>
          <w:sz w:val="18"/>
          <w:szCs w:val="18"/>
        </w:rPr>
        <w:t xml:space="preserve">(Source: Table5)                                  </w:t>
      </w:r>
      <w:r w:rsidR="000112A4" w:rsidRPr="000112A4">
        <w:rPr>
          <w:rFonts w:ascii="Cambria" w:hAnsi="Cambria" w:hint="eastAsia"/>
          <w:sz w:val="18"/>
          <w:szCs w:val="18"/>
        </w:rPr>
        <w:t xml:space="preserve">  </w:t>
      </w:r>
      <w:r w:rsidRPr="000112A4">
        <w:rPr>
          <w:rFonts w:ascii="Cambria" w:hAnsi="Cambria" w:hint="eastAsia"/>
          <w:sz w:val="18"/>
          <w:szCs w:val="18"/>
        </w:rPr>
        <w:t xml:space="preserve">  (Source: Table 5)</w:t>
      </w:r>
    </w:p>
    <w:p w:rsidR="0086165D" w:rsidRDefault="0086165D">
      <w:pPr>
        <w:rPr>
          <w:rFonts w:ascii="Cambria" w:hAnsi="Cambria"/>
        </w:rPr>
      </w:pPr>
    </w:p>
    <w:p w:rsidR="00D8031B" w:rsidRPr="00D8031B" w:rsidRDefault="00D8031B" w:rsidP="00D8031B">
      <w:pPr>
        <w:rPr>
          <w:rFonts w:ascii="Cambria" w:hAnsi="Cambria"/>
        </w:rPr>
      </w:pPr>
      <w:r w:rsidRPr="00D8031B">
        <w:rPr>
          <w:rFonts w:ascii="Cambria" w:hAnsi="Cambria"/>
        </w:rPr>
        <w:t xml:space="preserve">Based on the trend chart, it is evident that </w:t>
      </w:r>
      <w:r w:rsidR="00171BF0">
        <w:rPr>
          <w:rFonts w:ascii="Cambria" w:hAnsi="Cambria"/>
        </w:rPr>
        <w:t>Tesla</w:t>
      </w:r>
      <w:r w:rsidRPr="00D8031B">
        <w:rPr>
          <w:rFonts w:ascii="Cambria" w:hAnsi="Cambria"/>
        </w:rPr>
        <w:t xml:space="preserve"> experienced rapid stock price growth from 2020 to 2022. This was primarily driven by </w:t>
      </w:r>
      <w:r w:rsidR="00171BF0">
        <w:rPr>
          <w:rFonts w:ascii="Cambria" w:hAnsi="Cambria"/>
        </w:rPr>
        <w:t>Tesla</w:t>
      </w:r>
      <w:r w:rsidRPr="00D8031B">
        <w:rPr>
          <w:rFonts w:ascii="Cambria" w:hAnsi="Cambria"/>
        </w:rPr>
        <w:t xml:space="preserve">'s annual revenue growth rates of 28.3%, 70.6%, and 51.3% from 2019 to 2022 (see Appendix A). The astonishing stock return rate of 551.46% from 2020 to 2021 may be attributed to the significant market success of </w:t>
      </w:r>
      <w:r w:rsidR="00171BF0">
        <w:rPr>
          <w:rFonts w:ascii="Cambria" w:hAnsi="Cambria"/>
        </w:rPr>
        <w:t>Tesla</w:t>
      </w:r>
      <w:r w:rsidRPr="00D8031B">
        <w:rPr>
          <w:rFonts w:ascii="Cambria" w:hAnsi="Cambria"/>
        </w:rPr>
        <w:t xml:space="preserve">'s Model 3 in 2020. In 2020, the Model 3 was the best-selling electric vehicle globally, with sales exceeding 360,000 units. </w:t>
      </w:r>
      <w:r w:rsidR="00171BF0">
        <w:rPr>
          <w:rFonts w:ascii="Cambria" w:hAnsi="Cambria"/>
        </w:rPr>
        <w:t>Tesla</w:t>
      </w:r>
      <w:r w:rsidRPr="00D8031B">
        <w:rPr>
          <w:rFonts w:ascii="Cambria" w:hAnsi="Cambria"/>
        </w:rPr>
        <w:t xml:space="preserve"> captured 79% of the U.S. pure electric vehicle market share and 16% of the global electric vehicle market share (Lindner, 2023). However, in the subsequent three years, </w:t>
      </w:r>
      <w:r w:rsidR="00171BF0">
        <w:rPr>
          <w:rFonts w:ascii="Cambria" w:hAnsi="Cambria"/>
        </w:rPr>
        <w:t>Tesla</w:t>
      </w:r>
      <w:r w:rsidRPr="00D8031B">
        <w:rPr>
          <w:rFonts w:ascii="Cambria" w:hAnsi="Cambria"/>
        </w:rPr>
        <w:t xml:space="preserve"> faced intense competition in the electric vehicle market, challenging its market share. Additionally, </w:t>
      </w:r>
      <w:r w:rsidR="00171BF0">
        <w:rPr>
          <w:rFonts w:ascii="Cambria" w:hAnsi="Cambria"/>
        </w:rPr>
        <w:t>Tesla</w:t>
      </w:r>
      <w:r w:rsidRPr="00D8031B">
        <w:rPr>
          <w:rFonts w:ascii="Cambria" w:hAnsi="Cambria"/>
        </w:rPr>
        <w:t>'s profit margins declined, leading to a decrease in its stock price.</w:t>
      </w:r>
    </w:p>
    <w:p w:rsidR="00D8031B" w:rsidRPr="00D8031B" w:rsidRDefault="00D8031B" w:rsidP="00D8031B">
      <w:pPr>
        <w:rPr>
          <w:rFonts w:ascii="Cambria" w:hAnsi="Cambria"/>
        </w:rPr>
      </w:pPr>
    </w:p>
    <w:p w:rsidR="000065E4" w:rsidRDefault="00171BF0" w:rsidP="00D8031B">
      <w:pPr>
        <w:rPr>
          <w:rFonts w:ascii="Cambria" w:hAnsi="Cambria"/>
        </w:rPr>
      </w:pPr>
      <w:r>
        <w:rPr>
          <w:rFonts w:ascii="Cambria" w:hAnsi="Cambria"/>
        </w:rPr>
        <w:t>Tesla</w:t>
      </w:r>
      <w:r w:rsidR="00D8031B" w:rsidRPr="00D8031B">
        <w:rPr>
          <w:rFonts w:ascii="Cambria" w:hAnsi="Cambria"/>
        </w:rPr>
        <w:t xml:space="preserve">'s stock return rate sharply declined to -21.14% in 2023. This decline could also be attributed to actions such as multiple interest rate hikes by the Federal Reserve to combat inflation, an overall challenging economic environment, and Elon Musk's substantial sale of </w:t>
      </w:r>
      <w:r>
        <w:rPr>
          <w:rFonts w:ascii="Cambria" w:hAnsi="Cambria"/>
        </w:rPr>
        <w:t>Tesla</w:t>
      </w:r>
      <w:r w:rsidR="00D8031B" w:rsidRPr="00D8031B">
        <w:rPr>
          <w:rFonts w:ascii="Cambria" w:hAnsi="Cambria"/>
        </w:rPr>
        <w:t xml:space="preserve"> stock to fund the acquisition of Twitter.</w:t>
      </w:r>
    </w:p>
    <w:p w:rsidR="00D8031B" w:rsidRPr="00C70A11" w:rsidRDefault="00D8031B" w:rsidP="00D8031B">
      <w:pPr>
        <w:rPr>
          <w:rFonts w:ascii="Cambria" w:hAnsi="Cambria"/>
        </w:rPr>
      </w:pPr>
    </w:p>
    <w:p w:rsidR="009204FE" w:rsidRPr="001476F7" w:rsidRDefault="0013799B">
      <w:pPr>
        <w:rPr>
          <w:rFonts w:ascii="Cambria" w:hAnsi="Cambria"/>
          <w:sz w:val="24"/>
          <w:szCs w:val="24"/>
        </w:rPr>
      </w:pPr>
      <w:r w:rsidRPr="001476F7">
        <w:rPr>
          <w:rFonts w:ascii="Cambria" w:hAnsi="Cambria" w:hint="eastAsia"/>
          <w:b/>
          <w:sz w:val="24"/>
          <w:szCs w:val="24"/>
        </w:rPr>
        <w:t>Part C.</w:t>
      </w:r>
      <w:r w:rsidR="00C64D5C" w:rsidRPr="001476F7">
        <w:rPr>
          <w:rFonts w:ascii="Cambria" w:hAnsi="Cambria" w:hint="eastAsia"/>
          <w:b/>
          <w:sz w:val="24"/>
          <w:szCs w:val="24"/>
        </w:rPr>
        <w:t xml:space="preserve"> </w:t>
      </w:r>
      <w:r w:rsidR="00171BF0" w:rsidRPr="001476F7">
        <w:rPr>
          <w:rFonts w:ascii="Cambria" w:hAnsi="Cambria" w:hint="eastAsia"/>
          <w:b/>
          <w:sz w:val="24"/>
          <w:szCs w:val="24"/>
        </w:rPr>
        <w:t>Tesla</w:t>
      </w:r>
      <w:r w:rsidR="00C64D5C" w:rsidRPr="001476F7">
        <w:rPr>
          <w:rFonts w:ascii="Cambria" w:hAnsi="Cambria" w:hint="eastAsia"/>
          <w:b/>
          <w:sz w:val="24"/>
          <w:szCs w:val="24"/>
        </w:rPr>
        <w:t>'s largest investment activity during the past five years</w:t>
      </w:r>
    </w:p>
    <w:p w:rsidR="000112A4" w:rsidRPr="000112A4" w:rsidRDefault="009A2A0D" w:rsidP="000112A4">
      <w:pPr>
        <w:pStyle w:val="ab"/>
        <w:numPr>
          <w:ilvl w:val="0"/>
          <w:numId w:val="6"/>
        </w:numPr>
        <w:ind w:firstLineChars="0"/>
        <w:rPr>
          <w:rFonts w:ascii="Cambria" w:hAnsi="Cambria"/>
          <w:b/>
          <w:sz w:val="24"/>
          <w:szCs w:val="24"/>
        </w:rPr>
      </w:pPr>
      <w:r w:rsidRPr="001476F7">
        <w:rPr>
          <w:rFonts w:ascii="Cambria" w:hAnsi="Cambria"/>
          <w:b/>
          <w:sz w:val="24"/>
          <w:szCs w:val="24"/>
        </w:rPr>
        <w:t>Purpose, aims</w:t>
      </w:r>
      <w:r w:rsidR="00C64D5C" w:rsidRPr="001476F7">
        <w:rPr>
          <w:rFonts w:ascii="Cambria" w:hAnsi="Cambria"/>
          <w:b/>
          <w:sz w:val="24"/>
          <w:szCs w:val="24"/>
        </w:rPr>
        <w:t xml:space="preserve"> and expected </w:t>
      </w:r>
      <w:r w:rsidRPr="001476F7">
        <w:rPr>
          <w:rFonts w:ascii="Cambria" w:hAnsi="Cambria" w:hint="eastAsia"/>
          <w:b/>
          <w:sz w:val="24"/>
          <w:szCs w:val="24"/>
        </w:rPr>
        <w:t>outcome</w:t>
      </w:r>
      <w:r w:rsidR="00C64D5C" w:rsidRPr="001476F7">
        <w:rPr>
          <w:rFonts w:ascii="Cambria" w:hAnsi="Cambria"/>
          <w:b/>
          <w:sz w:val="24"/>
          <w:szCs w:val="24"/>
        </w:rPr>
        <w:t>s of the investment</w:t>
      </w:r>
    </w:p>
    <w:p w:rsidR="00D8031B" w:rsidRPr="00D8031B" w:rsidRDefault="00171BF0" w:rsidP="00D8031B">
      <w:pPr>
        <w:rPr>
          <w:rFonts w:ascii="Cambria" w:hAnsi="Cambria"/>
        </w:rPr>
      </w:pPr>
      <w:r>
        <w:rPr>
          <w:rFonts w:ascii="Cambria" w:hAnsi="Cambria"/>
        </w:rPr>
        <w:t>Tesla</w:t>
      </w:r>
      <w:r w:rsidR="00D8031B" w:rsidRPr="00D8031B">
        <w:rPr>
          <w:rFonts w:ascii="Cambria" w:hAnsi="Cambria"/>
        </w:rPr>
        <w:t xml:space="preserve"> pioneered the concept of Gigafactories as a cornerstone of its business strategy. The purpose of constructing Gigafactories is to manufacture batteries, electric vehicle components, and renewable energy products at an unprecedented scale while minimizing production costs and maximizing efficiency. Building Gigafactories aligns with </w:t>
      </w:r>
      <w:r>
        <w:rPr>
          <w:rFonts w:ascii="Cambria" w:hAnsi="Cambria"/>
        </w:rPr>
        <w:t>Tesla</w:t>
      </w:r>
      <w:r w:rsidR="00D8031B" w:rsidRPr="00D8031B">
        <w:rPr>
          <w:rFonts w:ascii="Cambria" w:hAnsi="Cambria"/>
        </w:rPr>
        <w:t xml:space="preserve">'s vertical integration strategy, allowing maximal utilization of </w:t>
      </w:r>
      <w:r>
        <w:rPr>
          <w:rFonts w:ascii="Cambria" w:hAnsi="Cambria"/>
        </w:rPr>
        <w:t>Tesla</w:t>
      </w:r>
      <w:r w:rsidR="00D8031B" w:rsidRPr="00D8031B">
        <w:rPr>
          <w:rFonts w:ascii="Cambria" w:hAnsi="Cambria"/>
        </w:rPr>
        <w:t>'s technological innovations and enabling rapid global expansion. Establishing Gigafactories in key sales markets reduces transportation and production costs, lowers trade barriers, and caters to local markets.</w:t>
      </w:r>
    </w:p>
    <w:p w:rsidR="00D8031B" w:rsidRPr="00D8031B" w:rsidRDefault="00D8031B" w:rsidP="00D8031B">
      <w:pPr>
        <w:rPr>
          <w:rFonts w:ascii="Cambria" w:hAnsi="Cambria"/>
        </w:rPr>
      </w:pPr>
    </w:p>
    <w:p w:rsidR="00412742" w:rsidRDefault="00171BF0" w:rsidP="00D8031B">
      <w:pPr>
        <w:rPr>
          <w:rFonts w:ascii="Cambria" w:hAnsi="Cambria"/>
        </w:rPr>
      </w:pPr>
      <w:r>
        <w:rPr>
          <w:rFonts w:ascii="Cambria" w:hAnsi="Cambria"/>
        </w:rPr>
        <w:t>Tesla</w:t>
      </w:r>
      <w:r w:rsidR="00D8031B" w:rsidRPr="00D8031B">
        <w:rPr>
          <w:rFonts w:ascii="Cambria" w:hAnsi="Cambria"/>
        </w:rPr>
        <w:t xml:space="preserve"> began investing in and constructing Gigafactories globally since 2013, with six Gigafactories established to date. The first and longest-standing Gigafactory is located in Nevada, USA. The </w:t>
      </w:r>
      <w:r>
        <w:rPr>
          <w:rFonts w:ascii="Cambria" w:hAnsi="Cambria"/>
        </w:rPr>
        <w:t>Tesla</w:t>
      </w:r>
      <w:r w:rsidR="00D8031B" w:rsidRPr="00D8031B">
        <w:rPr>
          <w:rFonts w:ascii="Cambria" w:hAnsi="Cambria"/>
        </w:rPr>
        <w:t xml:space="preserve"> Gigafactory in Nevada was initiated in 2014 and commenced operations in 2016. Spanning 2,900 acres and employing approximately 20,000 staff, it is the largest factory in the world by footprint. </w:t>
      </w:r>
      <w:r>
        <w:rPr>
          <w:rFonts w:ascii="Cambria" w:hAnsi="Cambria"/>
        </w:rPr>
        <w:t>Tesla</w:t>
      </w:r>
      <w:r w:rsidR="00D8031B" w:rsidRPr="00D8031B">
        <w:rPr>
          <w:rFonts w:ascii="Cambria" w:hAnsi="Cambria"/>
        </w:rPr>
        <w:t xml:space="preserve"> aims to make the Nevada Gigafactory one of the highest-volume electric motor, energy storage, </w:t>
      </w:r>
      <w:r w:rsidRPr="00D8031B">
        <w:rPr>
          <w:rFonts w:ascii="Cambria" w:hAnsi="Cambria"/>
        </w:rPr>
        <w:t>power train</w:t>
      </w:r>
      <w:r w:rsidR="00D8031B" w:rsidRPr="00D8031B">
        <w:rPr>
          <w:rFonts w:ascii="Cambria" w:hAnsi="Cambria"/>
        </w:rPr>
        <w:t>, and battery factories globally, with plans to produce billions of batteries and half a million electric vehicles annually in the future.</w:t>
      </w:r>
    </w:p>
    <w:p w:rsidR="00D8031B" w:rsidRPr="00412742" w:rsidRDefault="00D8031B" w:rsidP="00412742">
      <w:pPr>
        <w:rPr>
          <w:rFonts w:ascii="Cambria" w:hAnsi="Cambria"/>
        </w:rPr>
      </w:pPr>
    </w:p>
    <w:p w:rsidR="00C64D5C" w:rsidRPr="001476F7" w:rsidRDefault="00C64D5C" w:rsidP="00996AF2">
      <w:pPr>
        <w:pStyle w:val="ab"/>
        <w:numPr>
          <w:ilvl w:val="0"/>
          <w:numId w:val="6"/>
        </w:numPr>
        <w:ind w:firstLineChars="0"/>
        <w:rPr>
          <w:rFonts w:ascii="Cambria" w:hAnsi="Cambria"/>
          <w:b/>
          <w:sz w:val="24"/>
          <w:szCs w:val="24"/>
        </w:rPr>
      </w:pPr>
      <w:r w:rsidRPr="001476F7">
        <w:rPr>
          <w:rFonts w:ascii="Cambria" w:hAnsi="Cambria"/>
          <w:b/>
          <w:sz w:val="24"/>
          <w:szCs w:val="24"/>
        </w:rPr>
        <w:t>Investment scale and financing</w:t>
      </w:r>
    </w:p>
    <w:p w:rsidR="00412742" w:rsidRPr="0032753F" w:rsidRDefault="00412742" w:rsidP="00560048">
      <w:pPr>
        <w:rPr>
          <w:rFonts w:ascii="Cambria" w:hAnsi="Cambria"/>
        </w:rPr>
      </w:pPr>
      <w:r w:rsidRPr="00412742">
        <w:rPr>
          <w:rFonts w:ascii="Cambria" w:hAnsi="Cambria"/>
        </w:rPr>
        <w:t xml:space="preserve">The </w:t>
      </w:r>
      <w:r w:rsidR="00171BF0">
        <w:rPr>
          <w:rFonts w:ascii="Cambria" w:hAnsi="Cambria"/>
        </w:rPr>
        <w:t>Tesla</w:t>
      </w:r>
      <w:r w:rsidRPr="00412742">
        <w:rPr>
          <w:rFonts w:ascii="Cambria" w:hAnsi="Cambria"/>
        </w:rPr>
        <w:t xml:space="preserve"> Gigafactory in Nevada consists of two large factories. The initial investment was $6.2 billion, followed by an additional $3.6 billion investment to construct a new battery factory and a Semi truck factory for the production of fully electric trucks (</w:t>
      </w:r>
      <w:r w:rsidR="00171BF0">
        <w:rPr>
          <w:rFonts w:ascii="Cambria" w:hAnsi="Cambria"/>
        </w:rPr>
        <w:t>Tesla</w:t>
      </w:r>
      <w:r w:rsidRPr="00412742">
        <w:rPr>
          <w:rFonts w:ascii="Cambria" w:hAnsi="Cambria"/>
        </w:rPr>
        <w:t>, 2023).</w:t>
      </w:r>
    </w:p>
    <w:p w:rsidR="00412742" w:rsidRPr="00412742" w:rsidRDefault="00412742" w:rsidP="00412742">
      <w:pPr>
        <w:rPr>
          <w:rFonts w:ascii="Cambria" w:hAnsi="Cambria"/>
        </w:rPr>
      </w:pPr>
      <w:r w:rsidRPr="00412742">
        <w:rPr>
          <w:rFonts w:ascii="Cambria" w:hAnsi="Cambria"/>
        </w:rPr>
        <w:t xml:space="preserve">When </w:t>
      </w:r>
      <w:r w:rsidR="00171BF0">
        <w:rPr>
          <w:rFonts w:ascii="Cambria" w:hAnsi="Cambria"/>
        </w:rPr>
        <w:t>Tesla</w:t>
      </w:r>
      <w:r w:rsidRPr="00412742">
        <w:rPr>
          <w:rFonts w:ascii="Cambria" w:hAnsi="Cambria"/>
        </w:rPr>
        <w:t xml:space="preserve"> began planning its Gigafactory in 2014, it actively sought external technological and financial support. Initially, </w:t>
      </w:r>
      <w:r w:rsidR="00171BF0">
        <w:rPr>
          <w:rFonts w:ascii="Cambria" w:hAnsi="Cambria"/>
        </w:rPr>
        <w:t>Tesla</w:t>
      </w:r>
      <w:r w:rsidRPr="00412742">
        <w:rPr>
          <w:rFonts w:ascii="Cambria" w:hAnsi="Cambria"/>
        </w:rPr>
        <w:t xml:space="preserve"> attracted competition among Texas, Arizona, New Mexico, and Nevada by offering tax incentives, tax breaks, cash subsidies, or other incentives when selecting the site for the Gigafactory. Faced with the substantial and ongoing construction costs of the Gigafactory, these direct economic subsidies and tax relief policies were crucial sources of funding and bargaining chips for </w:t>
      </w:r>
      <w:r w:rsidR="00171BF0">
        <w:rPr>
          <w:rFonts w:ascii="Cambria" w:hAnsi="Cambria"/>
        </w:rPr>
        <w:t>Tesla</w:t>
      </w:r>
      <w:r w:rsidRPr="00412742">
        <w:rPr>
          <w:rFonts w:ascii="Cambria" w:hAnsi="Cambria"/>
        </w:rPr>
        <w:t>. Ultimately, Nevada emerged victorious with an incentive package valued at nearly $1.3 billion</w:t>
      </w:r>
      <w:r w:rsidR="00511CBB">
        <w:rPr>
          <w:rFonts w:ascii="Cambria" w:hAnsi="Cambria" w:hint="eastAsia"/>
        </w:rPr>
        <w:t xml:space="preserve"> (</w:t>
      </w:r>
      <w:r w:rsidRPr="00412742">
        <w:rPr>
          <w:rFonts w:ascii="Cambria" w:hAnsi="Cambria"/>
        </w:rPr>
        <w:t>including exemptions from sales tax on equipment and building materials, full exemption from personal and real property taxes, exemptions from consumption taxes, transferable tax cred</w:t>
      </w:r>
      <w:r w:rsidR="00511CBB">
        <w:rPr>
          <w:rFonts w:ascii="Cambria" w:hAnsi="Cambria"/>
        </w:rPr>
        <w:t>its, and discounted electricity</w:t>
      </w:r>
      <w:r w:rsidR="00511CBB">
        <w:rPr>
          <w:rFonts w:ascii="Cambria" w:hAnsi="Cambria" w:hint="eastAsia"/>
        </w:rPr>
        <w:t>)</w:t>
      </w:r>
      <w:r w:rsidR="00264B25">
        <w:rPr>
          <w:rFonts w:ascii="Cambria" w:hAnsi="Cambria" w:hint="eastAsia"/>
        </w:rPr>
        <w:t>,</w:t>
      </w:r>
      <w:r w:rsidRPr="00412742">
        <w:rPr>
          <w:rFonts w:ascii="Cambria" w:hAnsi="Cambria"/>
        </w:rPr>
        <w:t xml:space="preserve"> along with TRIC owners' commitment to provide </w:t>
      </w:r>
      <w:r w:rsidR="00171BF0">
        <w:rPr>
          <w:rFonts w:ascii="Cambria" w:hAnsi="Cambria"/>
        </w:rPr>
        <w:t>Tesla</w:t>
      </w:r>
      <w:r w:rsidRPr="00412742">
        <w:rPr>
          <w:rFonts w:ascii="Cambria" w:hAnsi="Cambria"/>
        </w:rPr>
        <w:t xml:space="preserve"> with nearly 1,000 acres of land for free use (WESOFF, 2014), (Hidalgo, 2014). In March 2023, Nevada approved a new package of tax incentives worth over $330 million to attract and </w:t>
      </w:r>
      <w:r w:rsidRPr="00412742">
        <w:rPr>
          <w:rFonts w:ascii="Cambria" w:hAnsi="Cambria"/>
        </w:rPr>
        <w:lastRenderedPageBreak/>
        <w:t xml:space="preserve">support </w:t>
      </w:r>
      <w:r w:rsidR="00171BF0">
        <w:rPr>
          <w:rFonts w:ascii="Cambria" w:hAnsi="Cambria"/>
        </w:rPr>
        <w:t>Tesla</w:t>
      </w:r>
      <w:r w:rsidRPr="00412742">
        <w:rPr>
          <w:rFonts w:ascii="Cambria" w:hAnsi="Cambria"/>
        </w:rPr>
        <w:t>'s continued investment in the Nevada Gigafactory (RITTER, 2023).</w:t>
      </w:r>
    </w:p>
    <w:p w:rsidR="00412742" w:rsidRDefault="00412742" w:rsidP="00412742">
      <w:pPr>
        <w:rPr>
          <w:rFonts w:ascii="Cambria" w:hAnsi="Cambria"/>
        </w:rPr>
      </w:pPr>
      <w:r w:rsidRPr="00412742">
        <w:rPr>
          <w:rFonts w:ascii="Cambria" w:hAnsi="Cambria"/>
        </w:rPr>
        <w:t xml:space="preserve">Additionally, </w:t>
      </w:r>
      <w:r w:rsidR="00171BF0">
        <w:rPr>
          <w:rFonts w:ascii="Cambria" w:hAnsi="Cambria"/>
        </w:rPr>
        <w:t>Tesla</w:t>
      </w:r>
      <w:r w:rsidR="00264B25">
        <w:rPr>
          <w:rFonts w:ascii="Cambria" w:hAnsi="Cambria" w:hint="eastAsia"/>
        </w:rPr>
        <w:t xml:space="preserve"> turns to </w:t>
      </w:r>
      <w:r w:rsidR="00264B25" w:rsidRPr="00412742">
        <w:rPr>
          <w:rFonts w:ascii="Cambria" w:hAnsi="Cambria"/>
        </w:rPr>
        <w:t>Panasonic Energy</w:t>
      </w:r>
      <w:r w:rsidR="00264B25">
        <w:rPr>
          <w:rFonts w:ascii="Cambria" w:hAnsi="Cambria" w:hint="eastAsia"/>
        </w:rPr>
        <w:t>, its</w:t>
      </w:r>
      <w:r w:rsidRPr="00412742">
        <w:rPr>
          <w:rFonts w:ascii="Cambria" w:hAnsi="Cambria"/>
        </w:rPr>
        <w:t xml:space="preserve"> primary partner in the battery sector</w:t>
      </w:r>
      <w:r w:rsidR="00264B25">
        <w:rPr>
          <w:rFonts w:ascii="Cambria" w:hAnsi="Cambria" w:hint="eastAsia"/>
        </w:rPr>
        <w:t>, for help</w:t>
      </w:r>
      <w:r w:rsidRPr="00412742">
        <w:rPr>
          <w:rFonts w:ascii="Cambria" w:hAnsi="Cambria"/>
        </w:rPr>
        <w:t xml:space="preserve">. The two parties reached an agreement for Panasonic Energy to lead the battery production at </w:t>
      </w:r>
      <w:r w:rsidR="00171BF0">
        <w:rPr>
          <w:rFonts w:ascii="Cambria" w:hAnsi="Cambria"/>
        </w:rPr>
        <w:t>Tesla</w:t>
      </w:r>
      <w:r w:rsidRPr="00412742">
        <w:rPr>
          <w:rFonts w:ascii="Cambria" w:hAnsi="Cambria"/>
        </w:rPr>
        <w:t>'s Nevada Gigafactory. Panasonic financed $3.86 billion through bonds in 2016, with a significant portion allocated to the construction of the Nevada Gigafactory (Trudell and Horie, 2015).</w:t>
      </w:r>
    </w:p>
    <w:p w:rsidR="00412742" w:rsidRPr="00264B25" w:rsidRDefault="00412742" w:rsidP="003D6F9B">
      <w:pPr>
        <w:rPr>
          <w:rFonts w:ascii="Cambria" w:hAnsi="Cambria"/>
        </w:rPr>
      </w:pPr>
      <w:r w:rsidRPr="00264B25">
        <w:rPr>
          <w:rFonts w:ascii="Cambria" w:hAnsi="Cambria"/>
        </w:rPr>
        <w:t xml:space="preserve">The total investment scale of the Nevada Gigafactory has reached $9.8 billion, with a significant portion financed by </w:t>
      </w:r>
      <w:r w:rsidR="00171BF0">
        <w:rPr>
          <w:rFonts w:ascii="Cambria" w:hAnsi="Cambria"/>
        </w:rPr>
        <w:t>Tesla</w:t>
      </w:r>
      <w:r w:rsidRPr="00264B25">
        <w:rPr>
          <w:rFonts w:ascii="Cambria" w:hAnsi="Cambria"/>
        </w:rPr>
        <w:t xml:space="preserve"> through bond issuance, in addition to government support and investments from partners. Due to the extensive Gigafactory project, </w:t>
      </w:r>
      <w:r w:rsidR="00171BF0">
        <w:rPr>
          <w:rFonts w:ascii="Cambria" w:hAnsi="Cambria"/>
        </w:rPr>
        <w:t>Tesla</w:t>
      </w:r>
      <w:r w:rsidRPr="00264B25">
        <w:rPr>
          <w:rFonts w:ascii="Cambria" w:hAnsi="Cambria"/>
        </w:rPr>
        <w:t xml:space="preserve">'s total debt soared from $1.8 billion in the fourth quarter of 2013 to $11 billion by 2018. Concurrently, </w:t>
      </w:r>
      <w:r w:rsidR="00171BF0">
        <w:rPr>
          <w:rFonts w:ascii="Cambria" w:hAnsi="Cambria"/>
        </w:rPr>
        <w:t>Tesla</w:t>
      </w:r>
      <w:r w:rsidRPr="00264B25">
        <w:rPr>
          <w:rFonts w:ascii="Cambria" w:hAnsi="Cambria"/>
        </w:rPr>
        <w:t xml:space="preserve"> delayed payments to suppliers, and by 2018, </w:t>
      </w:r>
      <w:r w:rsidR="00171BF0">
        <w:rPr>
          <w:rFonts w:ascii="Cambria" w:hAnsi="Cambria"/>
        </w:rPr>
        <w:t>Tesla</w:t>
      </w:r>
      <w:r w:rsidRPr="00264B25">
        <w:rPr>
          <w:rFonts w:ascii="Cambria" w:hAnsi="Cambria"/>
        </w:rPr>
        <w:t xml:space="preserve">'s accounts payable had </w:t>
      </w:r>
      <w:r w:rsidR="00264B25" w:rsidRPr="00264B25">
        <w:rPr>
          <w:rFonts w:ascii="Cambria" w:hAnsi="Cambria"/>
        </w:rPr>
        <w:t>raised</w:t>
      </w:r>
      <w:r w:rsidRPr="00264B25">
        <w:rPr>
          <w:rFonts w:ascii="Cambria" w:hAnsi="Cambria"/>
        </w:rPr>
        <w:t xml:space="preserve"> to $3.6 billion, four times the amount in 2015. Extensive cash investments led to a surge in </w:t>
      </w:r>
      <w:r w:rsidR="00171BF0">
        <w:rPr>
          <w:rFonts w:ascii="Cambria" w:hAnsi="Cambria"/>
        </w:rPr>
        <w:t>Tesla</w:t>
      </w:r>
      <w:r w:rsidRPr="00264B25">
        <w:rPr>
          <w:rFonts w:ascii="Cambria" w:hAnsi="Cambria"/>
        </w:rPr>
        <w:t>'s debt, severe cash flow shortages, and posed significant financial risks (SEC, 2018), (Chan and Burns, 2018).</w:t>
      </w:r>
    </w:p>
    <w:p w:rsidR="005E3086" w:rsidRPr="00FE2F1D" w:rsidRDefault="005E3086" w:rsidP="00560048">
      <w:pPr>
        <w:rPr>
          <w:rFonts w:ascii="Cambria" w:hAnsi="Cambria"/>
        </w:rPr>
      </w:pPr>
    </w:p>
    <w:p w:rsidR="000112A4" w:rsidRPr="000112A4" w:rsidRDefault="00C64D5C" w:rsidP="00DA54B7">
      <w:pPr>
        <w:pStyle w:val="ab"/>
        <w:numPr>
          <w:ilvl w:val="0"/>
          <w:numId w:val="6"/>
        </w:numPr>
        <w:ind w:firstLineChars="0"/>
        <w:rPr>
          <w:rFonts w:ascii="Cambria" w:hAnsi="Cambria" w:hint="eastAsia"/>
          <w:b/>
          <w:sz w:val="24"/>
          <w:szCs w:val="24"/>
        </w:rPr>
      </w:pPr>
      <w:r w:rsidRPr="001476F7">
        <w:rPr>
          <w:rFonts w:ascii="Cambria" w:hAnsi="Cambria" w:hint="eastAsia"/>
          <w:b/>
          <w:sz w:val="24"/>
          <w:szCs w:val="24"/>
        </w:rPr>
        <w:t>I</w:t>
      </w:r>
      <w:r w:rsidRPr="001476F7">
        <w:rPr>
          <w:rFonts w:ascii="Cambria" w:hAnsi="Cambria"/>
          <w:b/>
          <w:sz w:val="24"/>
          <w:szCs w:val="24"/>
        </w:rPr>
        <w:t>nvestment feasibility</w:t>
      </w:r>
    </w:p>
    <w:p w:rsidR="003D6F9B" w:rsidRDefault="00412742" w:rsidP="00DA54B7">
      <w:pPr>
        <w:rPr>
          <w:rFonts w:ascii="Cambria" w:hAnsi="Cambria"/>
        </w:rPr>
      </w:pPr>
      <w:r w:rsidRPr="00412742">
        <w:rPr>
          <w:rFonts w:ascii="Cambria" w:hAnsi="Cambria"/>
        </w:rPr>
        <w:t>Investment feasibility refers to a comprehensive and systematic study and evaluation of potential economic benefits, technical solutions, legal environment, market prospects, funding arrangements, and other aspects before the implementation of a large-scale investment project to determine whether the investment is worthwhile. Investment feasibility studies are an important risk management tool that ensures investments yield expected returns, avoid unnecessary economic losses, and minimize risks associated with unexpected costs. There are four main elements of investment feasibility: technical feasibility, financial feasibility, market feasibility, and operational feasibility (Martins, 2023).</w:t>
      </w:r>
    </w:p>
    <w:p w:rsidR="00507FDB" w:rsidRPr="00507FDB" w:rsidRDefault="00507FDB" w:rsidP="00DA54B7">
      <w:pPr>
        <w:rPr>
          <w:rFonts w:ascii="宋体" w:eastAsia="宋体" w:hAnsi="宋体" w:cs="宋体"/>
          <w:kern w:val="0"/>
          <w:sz w:val="24"/>
          <w:szCs w:val="24"/>
        </w:rPr>
      </w:pPr>
    </w:p>
    <w:p w:rsidR="00412742" w:rsidRPr="00412742" w:rsidRDefault="00412742" w:rsidP="00412742">
      <w:pPr>
        <w:rPr>
          <w:rFonts w:ascii="Cambria" w:hAnsi="Cambria"/>
        </w:rPr>
      </w:pPr>
      <w:r w:rsidRPr="00412742">
        <w:rPr>
          <w:rFonts w:ascii="Cambria" w:hAnsi="Cambria"/>
        </w:rPr>
        <w:t xml:space="preserve">The investment feasibility analysis of the </w:t>
      </w:r>
      <w:r w:rsidR="00171BF0">
        <w:rPr>
          <w:rFonts w:ascii="Cambria" w:hAnsi="Cambria"/>
        </w:rPr>
        <w:t>Tesla</w:t>
      </w:r>
      <w:r w:rsidRPr="00412742">
        <w:rPr>
          <w:rFonts w:ascii="Cambria" w:hAnsi="Cambria"/>
        </w:rPr>
        <w:t xml:space="preserve"> Gigafactory in Nevada is as follows:</w:t>
      </w:r>
    </w:p>
    <w:p w:rsidR="009A2A0D" w:rsidRDefault="00412742" w:rsidP="00412742">
      <w:pPr>
        <w:rPr>
          <w:rFonts w:ascii="Cambria" w:hAnsi="Cambria"/>
        </w:rPr>
      </w:pPr>
      <w:r w:rsidRPr="00412742">
        <w:rPr>
          <w:rFonts w:ascii="Cambria" w:hAnsi="Cambria"/>
        </w:rPr>
        <w:t xml:space="preserve">Technical Feasibility: </w:t>
      </w:r>
      <w:r w:rsidR="00171BF0">
        <w:rPr>
          <w:rFonts w:ascii="Cambria" w:hAnsi="Cambria"/>
        </w:rPr>
        <w:t>Tesla</w:t>
      </w:r>
      <w:r w:rsidRPr="00412742">
        <w:rPr>
          <w:rFonts w:ascii="Cambria" w:hAnsi="Cambria"/>
        </w:rPr>
        <w:t xml:space="preserve"> holds a leading advantage in electric vehicle and energy storage technologies. The primary objective of establishing the Nevada Gigafactory is to enhance production efficiency and reduce costs. To achieve this goal, the Nevada Gigafactory adopts cutting-edge production technologies and automation equipment, while seeking top-notch partners globally. Panasonic Energy from Japan holds a leading position in the research and production of lithium batteries. As </w:t>
      </w:r>
      <w:r w:rsidR="00171BF0">
        <w:rPr>
          <w:rFonts w:ascii="Cambria" w:hAnsi="Cambria"/>
        </w:rPr>
        <w:t>Tesla</w:t>
      </w:r>
      <w:r w:rsidRPr="00412742">
        <w:rPr>
          <w:rFonts w:ascii="Cambria" w:hAnsi="Cambria"/>
        </w:rPr>
        <w:t xml:space="preserve">'s primary battery supplier, Panasonic Energy invested in the early construction phases of the Nevada Gigafactory and leads its battery production. Both parties have signed a long-term cooperation agreement focused on achieving the highest energy density and optimal performance for next-generation electric vehicle batteries, thereby extending the lifespan of electric vehicles (Panasonic, 2013). Additionally, research and production efforts for recycling and reusing old batteries are conducted at the Nevada </w:t>
      </w:r>
      <w:r w:rsidR="00171BF0" w:rsidRPr="00412742">
        <w:rPr>
          <w:rFonts w:ascii="Cambria" w:hAnsi="Cambria"/>
        </w:rPr>
        <w:t>Gigafactory</w:t>
      </w:r>
      <w:r w:rsidR="00171BF0" w:rsidRPr="00507FDB">
        <w:rPr>
          <w:rFonts w:ascii="Cambria" w:hAnsi="Cambria"/>
        </w:rPr>
        <w:t xml:space="preserve"> (</w:t>
      </w:r>
      <w:r w:rsidR="00171BF0">
        <w:rPr>
          <w:rFonts w:ascii="Cambria" w:hAnsi="Cambria"/>
        </w:rPr>
        <w:t>Tesla</w:t>
      </w:r>
      <w:r w:rsidR="00D8031B" w:rsidRPr="00507FDB">
        <w:rPr>
          <w:rFonts w:ascii="Cambria" w:hAnsi="Cambria"/>
        </w:rPr>
        <w:t>, 2014)</w:t>
      </w:r>
      <w:r w:rsidRPr="00412742">
        <w:rPr>
          <w:rFonts w:ascii="Cambria" w:hAnsi="Cambria"/>
        </w:rPr>
        <w:t>.</w:t>
      </w:r>
    </w:p>
    <w:p w:rsidR="00290476" w:rsidRDefault="00412742" w:rsidP="00DA54B7">
      <w:pPr>
        <w:rPr>
          <w:rFonts w:ascii="Cambria" w:hAnsi="Cambria"/>
        </w:rPr>
      </w:pPr>
      <w:r w:rsidRPr="00412742">
        <w:rPr>
          <w:rFonts w:ascii="Cambria" w:hAnsi="Cambria"/>
        </w:rPr>
        <w:t xml:space="preserve">Financial Feasibility: The construction investment for the Nevada Gigafactory is substantial, with </w:t>
      </w:r>
      <w:r w:rsidR="00171BF0">
        <w:rPr>
          <w:rFonts w:ascii="Cambria" w:hAnsi="Cambria"/>
        </w:rPr>
        <w:t>Tesla</w:t>
      </w:r>
      <w:r w:rsidRPr="00412742">
        <w:rPr>
          <w:rFonts w:ascii="Cambria" w:hAnsi="Cambria"/>
        </w:rPr>
        <w:t xml:space="preserve"> having invested nearly $10 billion in building and expanding two factories. This significant capital requirement has imposed unprecedented pressure on </w:t>
      </w:r>
      <w:r w:rsidR="00171BF0">
        <w:rPr>
          <w:rFonts w:ascii="Cambria" w:hAnsi="Cambria"/>
        </w:rPr>
        <w:t>Tesla</w:t>
      </w:r>
      <w:r w:rsidRPr="00412742">
        <w:rPr>
          <w:rFonts w:ascii="Cambria" w:hAnsi="Cambria"/>
        </w:rPr>
        <w:t xml:space="preserve">. Therefore, in terms of financing, </w:t>
      </w:r>
      <w:r w:rsidR="00171BF0">
        <w:rPr>
          <w:rFonts w:ascii="Cambria" w:hAnsi="Cambria"/>
        </w:rPr>
        <w:t>Tesla</w:t>
      </w:r>
      <w:r w:rsidRPr="00412742">
        <w:rPr>
          <w:rFonts w:ascii="Cambria" w:hAnsi="Cambria"/>
        </w:rPr>
        <w:t xml:space="preserve"> first sought support from the local government, receiving over $1.63 billion in direct subsidies from the Nevada state government and a package of tax incentives (WESOFF, 2014). </w:t>
      </w:r>
      <w:r w:rsidR="00171BF0">
        <w:rPr>
          <w:rFonts w:ascii="Cambria" w:hAnsi="Cambria"/>
        </w:rPr>
        <w:t>Tesla</w:t>
      </w:r>
      <w:r w:rsidRPr="00412742">
        <w:rPr>
          <w:rFonts w:ascii="Cambria" w:hAnsi="Cambria"/>
        </w:rPr>
        <w:t xml:space="preserve"> also obtained the right to use approximately 1,000 acres of land free of charge, significantly alleviating the investment pressure during the initial construction phase. </w:t>
      </w:r>
      <w:r w:rsidR="00171BF0">
        <w:rPr>
          <w:rFonts w:ascii="Cambria" w:hAnsi="Cambria"/>
        </w:rPr>
        <w:t>Tesla</w:t>
      </w:r>
      <w:r w:rsidRPr="00412742">
        <w:rPr>
          <w:rFonts w:ascii="Cambria" w:hAnsi="Cambria"/>
        </w:rPr>
        <w:t xml:space="preserve">'s partner, Panasonic Energy from Japan, contributed approximately $3 billion to the construction of the Nevada Gigafactory through bond </w:t>
      </w:r>
      <w:r w:rsidR="005842A3" w:rsidRPr="00412742">
        <w:rPr>
          <w:rFonts w:ascii="Cambria" w:hAnsi="Cambria"/>
        </w:rPr>
        <w:t>issuance</w:t>
      </w:r>
      <w:r w:rsidR="005842A3" w:rsidRPr="0032753F">
        <w:rPr>
          <w:rFonts w:ascii="Cambria" w:hAnsi="Cambria"/>
        </w:rPr>
        <w:t xml:space="preserve"> (</w:t>
      </w:r>
      <w:r w:rsidR="00D8031B" w:rsidRPr="0032753F">
        <w:rPr>
          <w:rFonts w:ascii="Cambria" w:hAnsi="Cambria"/>
        </w:rPr>
        <w:t>Trudell and Horie, 2015)</w:t>
      </w:r>
      <w:r w:rsidRPr="00412742">
        <w:rPr>
          <w:rFonts w:ascii="Cambria" w:hAnsi="Cambria"/>
        </w:rPr>
        <w:t xml:space="preserve">. Ultimately, </w:t>
      </w:r>
      <w:r w:rsidR="00171BF0">
        <w:rPr>
          <w:rFonts w:ascii="Cambria" w:hAnsi="Cambria"/>
        </w:rPr>
        <w:t>Tesla</w:t>
      </w:r>
      <w:r w:rsidRPr="00412742">
        <w:rPr>
          <w:rFonts w:ascii="Cambria" w:hAnsi="Cambria"/>
        </w:rPr>
        <w:t xml:space="preserve"> raised the primary funds for building the Gigafactory by extensively issuing bonds in the public market.</w:t>
      </w:r>
    </w:p>
    <w:p w:rsidR="009B6916" w:rsidRDefault="00D8031B" w:rsidP="00DA54B7">
      <w:pPr>
        <w:rPr>
          <w:rFonts w:ascii="Cambria" w:hAnsi="Cambria"/>
        </w:rPr>
      </w:pPr>
      <w:r w:rsidRPr="00D8031B">
        <w:rPr>
          <w:rFonts w:ascii="Cambria" w:hAnsi="Cambria"/>
        </w:rPr>
        <w:t xml:space="preserve">Market Feasibility: Since </w:t>
      </w:r>
      <w:r w:rsidR="00171BF0">
        <w:rPr>
          <w:rFonts w:ascii="Cambria" w:hAnsi="Cambria"/>
        </w:rPr>
        <w:t>Tesla</w:t>
      </w:r>
      <w:r w:rsidRPr="00D8031B">
        <w:rPr>
          <w:rFonts w:ascii="Cambria" w:hAnsi="Cambria"/>
        </w:rPr>
        <w:t xml:space="preserve"> introduced its first commercial model, the Roadster, in 2006 and achieved </w:t>
      </w:r>
      <w:r w:rsidRPr="00D8031B">
        <w:rPr>
          <w:rFonts w:ascii="Cambria" w:hAnsi="Cambria"/>
        </w:rPr>
        <w:lastRenderedPageBreak/>
        <w:t xml:space="preserve">significant success, the electric vehicle market has experienced explosive growth. As a leader in the electric vehicle industry, </w:t>
      </w:r>
      <w:r w:rsidR="00171BF0">
        <w:rPr>
          <w:rFonts w:ascii="Cambria" w:hAnsi="Cambria"/>
        </w:rPr>
        <w:t>Tesla</w:t>
      </w:r>
      <w:r w:rsidRPr="00D8031B">
        <w:rPr>
          <w:rFonts w:ascii="Cambria" w:hAnsi="Cambria"/>
        </w:rPr>
        <w:t xml:space="preserve"> has consistently held the top position in electric vehicle production and sales (Patel, 2023). Considering the increasing global demand for sustainable transportation energy and government subsidies for electric vehicles, the market for electric vehicles and high-performance batteries is expected to continue growing. However, competition in the electric vehicle and battery industries is intensifying, requiring </w:t>
      </w:r>
      <w:r w:rsidR="00171BF0">
        <w:rPr>
          <w:rFonts w:ascii="Cambria" w:hAnsi="Cambria"/>
        </w:rPr>
        <w:t>Tesla</w:t>
      </w:r>
      <w:r w:rsidRPr="00D8031B">
        <w:rPr>
          <w:rFonts w:ascii="Cambria" w:hAnsi="Cambria"/>
        </w:rPr>
        <w:t xml:space="preserve"> to maintain a competitive advantage through its technological innovation and brand influence. Additionally, the United States remains </w:t>
      </w:r>
      <w:r w:rsidR="00171BF0">
        <w:rPr>
          <w:rFonts w:ascii="Cambria" w:hAnsi="Cambria"/>
        </w:rPr>
        <w:t>Tesla</w:t>
      </w:r>
      <w:r w:rsidRPr="00D8031B">
        <w:rPr>
          <w:rFonts w:ascii="Cambria" w:hAnsi="Cambria"/>
        </w:rPr>
        <w:t xml:space="preserve">'s largest single market, and building Gigafactories in Nevada helps </w:t>
      </w:r>
      <w:r w:rsidR="00171BF0">
        <w:rPr>
          <w:rFonts w:ascii="Cambria" w:hAnsi="Cambria"/>
        </w:rPr>
        <w:t>Tesla</w:t>
      </w:r>
      <w:r w:rsidRPr="00D8031B">
        <w:rPr>
          <w:rFonts w:ascii="Cambria" w:hAnsi="Cambria"/>
        </w:rPr>
        <w:t xml:space="preserve"> solidify and expand its market position in the U.S., while reducing transportation and sales costs.</w:t>
      </w:r>
    </w:p>
    <w:p w:rsidR="00D8031B" w:rsidRPr="00D8031B" w:rsidRDefault="001028E8" w:rsidP="00D8031B">
      <w:pPr>
        <w:rPr>
          <w:rFonts w:ascii="Cambria" w:hAnsi="Cambria"/>
        </w:rPr>
      </w:pPr>
      <w:r w:rsidRPr="001028E8">
        <w:rPr>
          <w:noProof/>
        </w:rPr>
        <w:pict>
          <v:shape id="_x0000_s1029" type="#_x0000_t75" style="position:absolute;left:0;text-align:left;margin-left:352.05pt;margin-top:28.6pt;width:142.65pt;height:201.35pt;z-index:251663360">
            <v:imagedata r:id="rId13" o:title="Untitled445"/>
            <w10:wrap type="square"/>
          </v:shape>
        </w:pict>
      </w:r>
      <w:r w:rsidR="00D8031B" w:rsidRPr="00D8031B">
        <w:rPr>
          <w:rFonts w:ascii="Cambria" w:hAnsi="Cambria"/>
        </w:rPr>
        <w:t xml:space="preserve">Operational Feasibility: Gigafactories are fundamental to </w:t>
      </w:r>
      <w:r w:rsidR="00171BF0">
        <w:rPr>
          <w:rFonts w:ascii="Cambria" w:hAnsi="Cambria"/>
        </w:rPr>
        <w:t>Tesla</w:t>
      </w:r>
      <w:r w:rsidR="00D8031B" w:rsidRPr="00D8031B">
        <w:rPr>
          <w:rFonts w:ascii="Cambria" w:hAnsi="Cambria"/>
        </w:rPr>
        <w:t xml:space="preserve">'s development strategy. The </w:t>
      </w:r>
      <w:r w:rsidR="00171BF0">
        <w:rPr>
          <w:rFonts w:ascii="Cambria" w:hAnsi="Cambria"/>
        </w:rPr>
        <w:t>Tesla</w:t>
      </w:r>
      <w:r w:rsidR="00D8031B" w:rsidRPr="00D8031B">
        <w:rPr>
          <w:rFonts w:ascii="Cambria" w:hAnsi="Cambria"/>
        </w:rPr>
        <w:t xml:space="preserve"> Gigafactory model offers significant advantages due to economies of scale. Additionally, Gigafactories feature streamlined production processes and cutting-edge automation technology, allowing for rapid and efficient production of large quantities of batteries. Moreover, the design of Gigafactories is scalable, enabling easy adjustment of production volumes to meet changing market demands. To achieve this, </w:t>
      </w:r>
      <w:r w:rsidR="00171BF0">
        <w:rPr>
          <w:rFonts w:ascii="Cambria" w:hAnsi="Cambria"/>
        </w:rPr>
        <w:t>Tesla</w:t>
      </w:r>
      <w:r w:rsidR="00D8031B" w:rsidRPr="00D8031B">
        <w:rPr>
          <w:rFonts w:ascii="Cambria" w:hAnsi="Cambria"/>
        </w:rPr>
        <w:t xml:space="preserve"> has assembled an experienced management team to oversee Gigafactory construction projects.</w:t>
      </w:r>
    </w:p>
    <w:p w:rsidR="00D8031B" w:rsidRPr="00D8031B" w:rsidRDefault="00D8031B" w:rsidP="00D8031B">
      <w:pPr>
        <w:rPr>
          <w:rFonts w:ascii="Cambria" w:hAnsi="Cambria"/>
        </w:rPr>
      </w:pPr>
    </w:p>
    <w:p w:rsidR="00412742" w:rsidRDefault="00D8031B" w:rsidP="00D8031B">
      <w:pPr>
        <w:rPr>
          <w:rFonts w:ascii="Cambria" w:hAnsi="Cambria"/>
        </w:rPr>
      </w:pPr>
      <w:r w:rsidRPr="00D8031B">
        <w:rPr>
          <w:rFonts w:ascii="Cambria" w:hAnsi="Cambria"/>
        </w:rPr>
        <w:t xml:space="preserve">As a renewable energy company, </w:t>
      </w:r>
      <w:r w:rsidR="00171BF0">
        <w:rPr>
          <w:rFonts w:ascii="Cambria" w:hAnsi="Cambria"/>
        </w:rPr>
        <w:t>Tesla</w:t>
      </w:r>
      <w:r w:rsidRPr="00D8031B">
        <w:rPr>
          <w:rFonts w:ascii="Cambria" w:hAnsi="Cambria"/>
        </w:rPr>
        <w:t xml:space="preserve"> emphasizes minimizing environmental impact during construction and operation. The design goal of Gigafactories is to achieve energy self-sufficiency by harnessing solar, wind, and geothermal energy to power the entire factory. This forward-thinking design approach, while increasing initial investment costs, significantly reduces energy consumption and expenditure during production (Roger Andrews, 2018).</w:t>
      </w:r>
    </w:p>
    <w:p w:rsidR="00657EDD" w:rsidRPr="00657EDD" w:rsidRDefault="00657EDD" w:rsidP="00657EDD">
      <w:pPr>
        <w:rPr>
          <w:rFonts w:ascii="Cambria" w:hAnsi="Cambria"/>
        </w:rPr>
      </w:pPr>
    </w:p>
    <w:p w:rsidR="006A78E8" w:rsidRPr="006A78E8" w:rsidRDefault="00D8031B" w:rsidP="00DA54B7">
      <w:pPr>
        <w:rPr>
          <w:rFonts w:ascii="Cambria" w:hAnsi="Cambria"/>
        </w:rPr>
      </w:pPr>
      <w:r w:rsidRPr="00D8031B">
        <w:rPr>
          <w:rFonts w:ascii="Cambria" w:hAnsi="Cambria"/>
        </w:rPr>
        <w:t xml:space="preserve">The </w:t>
      </w:r>
      <w:r w:rsidR="00171BF0">
        <w:rPr>
          <w:rFonts w:ascii="Cambria" w:hAnsi="Cambria"/>
        </w:rPr>
        <w:t>Tesla</w:t>
      </w:r>
      <w:r w:rsidRPr="00D8031B">
        <w:rPr>
          <w:rFonts w:ascii="Cambria" w:hAnsi="Cambria"/>
        </w:rPr>
        <w:t xml:space="preserve"> Gigafactory plan also carries some risks. Firstly, </w:t>
      </w:r>
      <w:r w:rsidR="00171BF0">
        <w:rPr>
          <w:rFonts w:ascii="Cambria" w:hAnsi="Cambria"/>
        </w:rPr>
        <w:t>Tesla</w:t>
      </w:r>
      <w:r w:rsidRPr="00D8031B">
        <w:rPr>
          <w:rFonts w:ascii="Cambria" w:hAnsi="Cambria"/>
        </w:rPr>
        <w:t xml:space="preserve"> faces financial pressures due to the massive construction expenses of Gigafactories, leading to significant debt accumulation. From 2014 to 2018, </w:t>
      </w:r>
      <w:r w:rsidR="00171BF0">
        <w:rPr>
          <w:rFonts w:ascii="Cambria" w:hAnsi="Cambria"/>
        </w:rPr>
        <w:t>Tesla</w:t>
      </w:r>
      <w:r w:rsidRPr="00D8031B">
        <w:rPr>
          <w:rFonts w:ascii="Cambria" w:hAnsi="Cambria"/>
        </w:rPr>
        <w:t xml:space="preserve">'s debt increased more than fourfold, with the company's cash reserves totaling less than $2 billion. Due to cash shortages, the expansion project of the Nevada Gigafactory was delayed by 3 years before being implemented (Lambert, 2024). Furthermore, </w:t>
      </w:r>
      <w:r w:rsidR="00171BF0">
        <w:rPr>
          <w:rFonts w:ascii="Cambria" w:hAnsi="Cambria"/>
        </w:rPr>
        <w:t>Tesla</w:t>
      </w:r>
      <w:r w:rsidRPr="00D8031B">
        <w:rPr>
          <w:rFonts w:ascii="Cambria" w:hAnsi="Cambria"/>
        </w:rPr>
        <w:t xml:space="preserve">'s global investment in constructing six Gigafactories has posed significant challenges to its balance sheet, highlighting the importance of carefully considering </w:t>
      </w:r>
      <w:r w:rsidR="00171BF0">
        <w:rPr>
          <w:rFonts w:ascii="Cambria" w:hAnsi="Cambria"/>
        </w:rPr>
        <w:t>Tesla</w:t>
      </w:r>
      <w:r w:rsidRPr="00D8031B">
        <w:rPr>
          <w:rFonts w:ascii="Cambria" w:hAnsi="Cambria"/>
        </w:rPr>
        <w:t xml:space="preserve">'s financial risks. Secondly, </w:t>
      </w:r>
      <w:r w:rsidR="00171BF0">
        <w:rPr>
          <w:rFonts w:ascii="Cambria" w:hAnsi="Cambria"/>
        </w:rPr>
        <w:t>Tesla</w:t>
      </w:r>
      <w:r w:rsidRPr="00D8031B">
        <w:rPr>
          <w:rFonts w:ascii="Cambria" w:hAnsi="Cambria"/>
        </w:rPr>
        <w:t xml:space="preserve">'s electric vehicle market faces increasingly fierce competition, with numerous emerging electric vehicle brands and powerful traditional automakers shifting towards electric vehicles, posing serious challenges to </w:t>
      </w:r>
      <w:r w:rsidR="00171BF0">
        <w:rPr>
          <w:rFonts w:ascii="Cambria" w:hAnsi="Cambria"/>
        </w:rPr>
        <w:t>Tesla</w:t>
      </w:r>
      <w:r w:rsidRPr="00D8031B">
        <w:rPr>
          <w:rFonts w:ascii="Cambria" w:hAnsi="Cambria"/>
        </w:rPr>
        <w:t>'s market share.</w:t>
      </w:r>
      <w:r w:rsidRPr="00D8031B">
        <w:t xml:space="preserve"> </w:t>
      </w:r>
      <w:r w:rsidRPr="00D8031B">
        <w:rPr>
          <w:rFonts w:ascii="Cambria" w:hAnsi="Cambria"/>
        </w:rPr>
        <w:t xml:space="preserve">If demand for </w:t>
      </w:r>
      <w:r w:rsidR="00171BF0">
        <w:rPr>
          <w:rFonts w:ascii="Cambria" w:hAnsi="Cambria"/>
        </w:rPr>
        <w:t>Tesla</w:t>
      </w:r>
      <w:r w:rsidRPr="00D8031B">
        <w:rPr>
          <w:rFonts w:ascii="Cambria" w:hAnsi="Cambria"/>
        </w:rPr>
        <w:t xml:space="preserve">'s electric vehicles and batteries were to decline, or if the market shifted towards small-scale production, it would become challenging to sustain such large-scale factories. Additionally, Nevada is currently the primary production site for </w:t>
      </w:r>
      <w:r w:rsidR="00171BF0">
        <w:rPr>
          <w:rFonts w:ascii="Cambria" w:hAnsi="Cambria"/>
        </w:rPr>
        <w:t>Tesla</w:t>
      </w:r>
      <w:r w:rsidRPr="00D8031B">
        <w:rPr>
          <w:rFonts w:ascii="Cambria" w:hAnsi="Cambria"/>
        </w:rPr>
        <w:t xml:space="preserve">'s batteries and a recycling facility for used batteries. The technology for lithium battery recycling and reuse is still immature, with lingering safety concerns. No one can guarantee flawless handling of used batteries, posing a potential challenge </w:t>
      </w:r>
      <w:r w:rsidR="00171BF0" w:rsidRPr="00D8031B">
        <w:rPr>
          <w:rFonts w:ascii="Cambria" w:hAnsi="Cambria"/>
        </w:rPr>
        <w:t>that operation</w:t>
      </w:r>
      <w:r w:rsidRPr="00D8031B">
        <w:rPr>
          <w:rFonts w:ascii="Cambria" w:hAnsi="Cambria"/>
        </w:rPr>
        <w:t xml:space="preserve"> managers of Gigafactories should be prepared to address at any time (</w:t>
      </w:r>
      <w:r w:rsidR="00171BF0">
        <w:rPr>
          <w:rFonts w:ascii="Cambria" w:hAnsi="Cambria"/>
        </w:rPr>
        <w:t>Tesla</w:t>
      </w:r>
      <w:r w:rsidRPr="00D8031B">
        <w:rPr>
          <w:rFonts w:ascii="Cambria" w:hAnsi="Cambria"/>
        </w:rPr>
        <w:t xml:space="preserve">, 2022). Certainly, during the construction and operation of Gigafactories, </w:t>
      </w:r>
      <w:r w:rsidR="00171BF0">
        <w:rPr>
          <w:rFonts w:ascii="Cambria" w:hAnsi="Cambria"/>
        </w:rPr>
        <w:t>Tesla</w:t>
      </w:r>
      <w:r w:rsidRPr="00D8031B">
        <w:rPr>
          <w:rFonts w:ascii="Cambria" w:hAnsi="Cambria"/>
        </w:rPr>
        <w:t xml:space="preserve"> also faces various legal, environmental, and other challenges that add complexity to its operations.</w:t>
      </w:r>
    </w:p>
    <w:p w:rsidR="00657EDD" w:rsidRPr="00657EDD" w:rsidRDefault="00657EDD" w:rsidP="00657EDD">
      <w:pPr>
        <w:rPr>
          <w:rFonts w:ascii="Cambria" w:hAnsi="Cambria"/>
        </w:rPr>
      </w:pPr>
      <w:r w:rsidRPr="00657EDD">
        <w:rPr>
          <w:rFonts w:ascii="Cambria" w:hAnsi="Cambria"/>
        </w:rPr>
        <w:t xml:space="preserve">In summary, the construction of </w:t>
      </w:r>
      <w:r w:rsidR="00171BF0">
        <w:rPr>
          <w:rFonts w:ascii="Cambria" w:hAnsi="Cambria"/>
        </w:rPr>
        <w:t>Tesla</w:t>
      </w:r>
      <w:r w:rsidRPr="00657EDD">
        <w:rPr>
          <w:rFonts w:ascii="Cambria" w:hAnsi="Cambria"/>
        </w:rPr>
        <w:t xml:space="preserve">'s Gigafactory in Nevada faces challenges in terms of funding, technology, and market dynamics. However, in the long run, the investment feasibility is positive. Through </w:t>
      </w:r>
      <w:r w:rsidRPr="00657EDD">
        <w:rPr>
          <w:rFonts w:ascii="Cambria" w:hAnsi="Cambria"/>
        </w:rPr>
        <w:lastRenderedPageBreak/>
        <w:t xml:space="preserve">this project, </w:t>
      </w:r>
      <w:r w:rsidR="00171BF0">
        <w:rPr>
          <w:rFonts w:ascii="Cambria" w:hAnsi="Cambria"/>
        </w:rPr>
        <w:t>Tesla</w:t>
      </w:r>
      <w:r w:rsidRPr="00657EDD">
        <w:rPr>
          <w:rFonts w:ascii="Cambria" w:hAnsi="Cambria"/>
        </w:rPr>
        <w:t xml:space="preserve"> can not only strengthen and enhance its market competitiveness but also contribute to the development of sustainable transportation solutions.</w:t>
      </w:r>
    </w:p>
    <w:p w:rsidR="00657EDD" w:rsidRDefault="00657EDD">
      <w:pPr>
        <w:rPr>
          <w:rFonts w:ascii="Cambria" w:hAnsi="Cambria"/>
          <w:b/>
        </w:rPr>
      </w:pPr>
    </w:p>
    <w:p w:rsidR="00874DB1" w:rsidRPr="000112A4" w:rsidRDefault="00C64D5C" w:rsidP="000112A4">
      <w:pPr>
        <w:pStyle w:val="ab"/>
        <w:numPr>
          <w:ilvl w:val="0"/>
          <w:numId w:val="6"/>
        </w:numPr>
        <w:ind w:firstLineChars="0"/>
        <w:rPr>
          <w:rFonts w:ascii="Cambria" w:hAnsi="Cambria"/>
          <w:b/>
          <w:sz w:val="24"/>
          <w:szCs w:val="24"/>
        </w:rPr>
      </w:pPr>
      <w:r w:rsidRPr="001476F7">
        <w:rPr>
          <w:rFonts w:ascii="Cambria" w:hAnsi="Cambria"/>
          <w:b/>
          <w:sz w:val="24"/>
          <w:szCs w:val="24"/>
        </w:rPr>
        <w:t xml:space="preserve">Current </w:t>
      </w:r>
      <w:r w:rsidR="00F41370" w:rsidRPr="001476F7">
        <w:rPr>
          <w:rFonts w:ascii="Cambria" w:hAnsi="Cambria"/>
          <w:b/>
          <w:sz w:val="24"/>
          <w:szCs w:val="24"/>
        </w:rPr>
        <w:t>outcome</w:t>
      </w:r>
      <w:r w:rsidRPr="001476F7">
        <w:rPr>
          <w:rFonts w:ascii="Cambria" w:hAnsi="Cambria"/>
          <w:b/>
          <w:sz w:val="24"/>
          <w:szCs w:val="24"/>
        </w:rPr>
        <w:t xml:space="preserve"> of investments</w:t>
      </w:r>
    </w:p>
    <w:p w:rsidR="00874DB1" w:rsidRDefault="00171BF0">
      <w:pPr>
        <w:rPr>
          <w:rFonts w:ascii="Cambria" w:hAnsi="Cambria"/>
        </w:rPr>
      </w:pPr>
      <w:r>
        <w:rPr>
          <w:rFonts w:ascii="Cambria" w:hAnsi="Cambria"/>
        </w:rPr>
        <w:t>Tesla</w:t>
      </w:r>
      <w:r w:rsidR="00D8031B" w:rsidRPr="00D8031B">
        <w:rPr>
          <w:rFonts w:ascii="Cambria" w:hAnsi="Cambria"/>
        </w:rPr>
        <w:t xml:space="preserve"> is committed to transforming the Gigafactory in Nevada into one of the world's largest production facilities for electric motors, energy storage products, automotive </w:t>
      </w:r>
      <w:r w:rsidRPr="00D8031B">
        <w:rPr>
          <w:rFonts w:ascii="Cambria" w:hAnsi="Cambria"/>
        </w:rPr>
        <w:t>power trains</w:t>
      </w:r>
      <w:r w:rsidR="00D8031B" w:rsidRPr="00D8031B">
        <w:rPr>
          <w:rFonts w:ascii="Cambria" w:hAnsi="Cambria"/>
        </w:rPr>
        <w:t>, and batteries, with plans to produce billions of batteries and half a million electric vehicles annually (</w:t>
      </w:r>
      <w:r>
        <w:rPr>
          <w:rFonts w:ascii="Cambria" w:hAnsi="Cambria"/>
        </w:rPr>
        <w:t>Tesla</w:t>
      </w:r>
      <w:r w:rsidR="00D8031B" w:rsidRPr="00D8031B">
        <w:rPr>
          <w:rFonts w:ascii="Cambria" w:hAnsi="Cambria"/>
        </w:rPr>
        <w:t>, 2023b). Their goal is to build a factory capable of producing 35 GWh of batteries per year, a forecasted output that was groundbreaking at the time, exceeding the total global battery production of 2013 (</w:t>
      </w:r>
      <w:r>
        <w:rPr>
          <w:rFonts w:ascii="Cambria" w:hAnsi="Cambria"/>
        </w:rPr>
        <w:t>Tesla</w:t>
      </w:r>
      <w:r w:rsidR="00D8031B" w:rsidRPr="00D8031B">
        <w:rPr>
          <w:rFonts w:ascii="Cambria" w:hAnsi="Cambria"/>
        </w:rPr>
        <w:t>, 2023a). By 2023, the Gigafactory in Nevada had achieved an annual battery production capacity of 37 GWh, directly creating 14,000 operational jobs and 17,000 construction jobs (</w:t>
      </w:r>
      <w:r>
        <w:rPr>
          <w:rFonts w:ascii="Cambria" w:hAnsi="Cambria"/>
        </w:rPr>
        <w:t>Tesla</w:t>
      </w:r>
      <w:r w:rsidR="00D8031B" w:rsidRPr="00D8031B">
        <w:rPr>
          <w:rFonts w:ascii="Cambria" w:hAnsi="Cambria"/>
        </w:rPr>
        <w:t xml:space="preserve">, 2023a), improving local public services and infrastructure, and providing broader possibilities for </w:t>
      </w:r>
      <w:r>
        <w:rPr>
          <w:rFonts w:ascii="Cambria" w:hAnsi="Cambria"/>
        </w:rPr>
        <w:t>Tesla</w:t>
      </w:r>
      <w:r w:rsidR="00D8031B" w:rsidRPr="00D8031B">
        <w:rPr>
          <w:rFonts w:ascii="Cambria" w:hAnsi="Cambria"/>
        </w:rPr>
        <w:t>'s future development. This success demonstrates the foresight of the Gigafactory's initial planning and design.</w:t>
      </w:r>
    </w:p>
    <w:p w:rsidR="00D8031B" w:rsidRDefault="00D8031B">
      <w:pPr>
        <w:rPr>
          <w:rFonts w:ascii="Cambria" w:hAnsi="Cambria" w:hint="eastAsia"/>
        </w:rPr>
      </w:pPr>
      <w:r w:rsidRPr="00D8031B">
        <w:rPr>
          <w:rFonts w:ascii="Cambria" w:hAnsi="Cambria"/>
        </w:rPr>
        <w:t xml:space="preserve">However, due to the continuous investment phase and the impact of the COVID-19 pandemic, the Gigafactory did not achieve profitability until 2020. Encouraged by the performance growth of the Gigafactory, </w:t>
      </w:r>
      <w:r w:rsidR="00171BF0">
        <w:rPr>
          <w:rFonts w:ascii="Cambria" w:hAnsi="Cambria"/>
        </w:rPr>
        <w:t>Tesla</w:t>
      </w:r>
      <w:r w:rsidRPr="00D8031B">
        <w:rPr>
          <w:rFonts w:ascii="Cambria" w:hAnsi="Cambria"/>
        </w:rPr>
        <w:t xml:space="preserve"> announced in 2023 an investment of $3.6 billion for significant expansion based on the existing Gigafactory, including the construction of a production line capable of assembling approximately 50,000 </w:t>
      </w:r>
      <w:r w:rsidR="00171BF0">
        <w:rPr>
          <w:rFonts w:ascii="Cambria" w:hAnsi="Cambria"/>
        </w:rPr>
        <w:t>Tesla</w:t>
      </w:r>
      <w:r w:rsidRPr="00D8031B">
        <w:rPr>
          <w:rFonts w:ascii="Cambria" w:hAnsi="Cambria"/>
        </w:rPr>
        <w:t xml:space="preserve"> Semi electric trucks annually (Kane, 2023), and a battery factory with an annual capacity of 100 GWh, providing power for 2 million light electric vehicles (Kolodny, 2023). </w:t>
      </w:r>
      <w:r w:rsidR="00171BF0">
        <w:rPr>
          <w:rFonts w:ascii="Cambria" w:hAnsi="Cambria"/>
        </w:rPr>
        <w:t>Tesla</w:t>
      </w:r>
      <w:r w:rsidRPr="00D8031B">
        <w:rPr>
          <w:rFonts w:ascii="Cambria" w:hAnsi="Cambria"/>
        </w:rPr>
        <w:t xml:space="preserve"> plans to achieve an annual production capacity of 200 GWh at the Nevada Gigafactory by 2031 to solidify its competitive advantage and address the rapid growth in demand for electric vehicles (Kelly, 2023).</w:t>
      </w:r>
    </w:p>
    <w:p w:rsidR="001476F7" w:rsidRDefault="001476F7">
      <w:pPr>
        <w:rPr>
          <w:rFonts w:ascii="Cambria" w:hAnsi="Cambria" w:hint="eastAsia"/>
        </w:rPr>
      </w:pPr>
    </w:p>
    <w:p w:rsidR="001476F7" w:rsidRPr="001476F7" w:rsidRDefault="001476F7" w:rsidP="001476F7">
      <w:pPr>
        <w:rPr>
          <w:rFonts w:ascii="Cambria" w:hAnsi="Cambria" w:hint="eastAsia"/>
          <w:b/>
          <w:sz w:val="24"/>
          <w:szCs w:val="24"/>
        </w:rPr>
      </w:pPr>
      <w:r w:rsidRPr="001476F7">
        <w:rPr>
          <w:rFonts w:ascii="Cambria" w:hAnsi="Cambria"/>
          <w:b/>
          <w:sz w:val="24"/>
          <w:szCs w:val="24"/>
        </w:rPr>
        <w:t>Conclusion</w:t>
      </w:r>
    </w:p>
    <w:p w:rsidR="001476F7" w:rsidRPr="00F82F8F" w:rsidRDefault="001476F7" w:rsidP="001476F7">
      <w:pPr>
        <w:rPr>
          <w:rFonts w:ascii="Cambria" w:hAnsi="Cambria"/>
        </w:rPr>
      </w:pPr>
      <w:r w:rsidRPr="008E6702">
        <w:rPr>
          <w:rFonts w:ascii="Cambria" w:hAnsi="Cambria"/>
        </w:rPr>
        <w:t xml:space="preserve">As a leader in the global electric vehicle industry, Tesla has faced intense competition and challenges in recent years. The author analyzed Tesla's liquidity and leverage ratios based on its financial statements over the past five years, assessing its financial performance. Despite production and sales breakthroughs in recent years, Tesla has experienced significant declines in market share and profit margins. Similarly, Tesla's average annual stock price and return rate have shown negative growth since 2022, indicating market concerns about its future prospects. Tesla's </w:t>
      </w:r>
      <w:r w:rsidR="000112A4">
        <w:rPr>
          <w:rFonts w:ascii="Cambria" w:hAnsi="Cambria" w:hint="eastAsia"/>
        </w:rPr>
        <w:t>giga</w:t>
      </w:r>
      <w:r w:rsidRPr="008E6702">
        <w:rPr>
          <w:rFonts w:ascii="Cambria" w:hAnsi="Cambria"/>
        </w:rPr>
        <w:t>factory strategy has played a crucial role in its diversification, but it has also imposed significant financial pressure due to Tesla's substantial debt and declining profit margins. Considering Tesla's high debt levels and reduced profit margins, the company should cautiously manage its leverage ratio to mitigate financial risks.</w:t>
      </w:r>
    </w:p>
    <w:p w:rsidR="001476F7" w:rsidRPr="001476F7" w:rsidRDefault="001476F7">
      <w:pPr>
        <w:rPr>
          <w:rFonts w:ascii="Cambria" w:hAnsi="Cambria"/>
        </w:rPr>
      </w:pPr>
    </w:p>
    <w:p w:rsidR="002420FE" w:rsidRDefault="002420FE">
      <w:pPr>
        <w:widowControl/>
        <w:jc w:val="left"/>
        <w:rPr>
          <w:rFonts w:ascii="Cambria" w:hAnsi="Cambria"/>
        </w:rPr>
      </w:pPr>
      <w:r>
        <w:rPr>
          <w:rFonts w:ascii="Cambria" w:hAnsi="Cambria"/>
        </w:rPr>
        <w:br w:type="page"/>
      </w:r>
    </w:p>
    <w:p w:rsidR="0062093D" w:rsidRPr="0062093D" w:rsidRDefault="0062093D" w:rsidP="0062093D">
      <w:pPr>
        <w:widowControl/>
        <w:spacing w:after="240" w:line="360" w:lineRule="auto"/>
        <w:jc w:val="left"/>
        <w:outlineLvl w:val="0"/>
        <w:rPr>
          <w:rFonts w:ascii="Times New Roman" w:eastAsia="宋体" w:hAnsi="Times New Roman" w:cs="Times New Roman"/>
          <w:b/>
          <w:bCs/>
          <w:kern w:val="36"/>
          <w:sz w:val="24"/>
          <w:szCs w:val="24"/>
        </w:rPr>
      </w:pPr>
      <w:r w:rsidRPr="0062093D">
        <w:rPr>
          <w:rFonts w:ascii="Times New Roman" w:eastAsia="宋体" w:hAnsi="Times New Roman" w:cs="Times New Roman"/>
          <w:b/>
          <w:bCs/>
          <w:kern w:val="36"/>
          <w:sz w:val="24"/>
          <w:szCs w:val="24"/>
        </w:rPr>
        <w:lastRenderedPageBreak/>
        <w:t>Reference list</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Ali, I. (2024a).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 xml:space="preserve"> (TSLA) sold 1.2 million Model Y EVs in 2023, 15 GWh of energy storage, Musk predicts slower growth in 2024, more</w:t>
      </w:r>
      <w:r w:rsidRPr="0062093D">
        <w:rPr>
          <w:rFonts w:ascii="Times New Roman" w:eastAsia="宋体" w:hAnsi="Times New Roman" w:cs="Times New Roman"/>
          <w:kern w:val="0"/>
          <w:szCs w:val="21"/>
        </w:rPr>
        <w:t xml:space="preserve">. [online] </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 xml:space="preserve"> Oracle. Available at: https://www.</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oracle.com/2024/01/25/</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-tsla-sold-1-2-million-model-y-evs-in-2023-15-gwh-of-energy-storage-musk-predicts-slower-growth-in-2024/#google_vignette [Accessed 18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Ali, I. (2024b).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 xml:space="preserve"> Financials Deep Dive — Massive Growth</w:t>
      </w:r>
      <w:r w:rsidRPr="0062093D">
        <w:rPr>
          <w:rFonts w:ascii="Times New Roman" w:eastAsia="宋体" w:hAnsi="Times New Roman" w:cs="Times New Roman"/>
          <w:kern w:val="0"/>
          <w:szCs w:val="21"/>
        </w:rPr>
        <w:t>. [online] CleanTechnica. Available at: https://cleantechnica.com/2024/01/29/</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-financials-deep-dive-massive-growth/ [Accessed 18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Atrill, P. and Mclaney, E. (2018a). </w:t>
      </w:r>
      <w:r w:rsidRPr="0062093D">
        <w:rPr>
          <w:rFonts w:ascii="Times New Roman" w:eastAsia="宋体" w:hAnsi="Times New Roman" w:cs="Times New Roman"/>
          <w:i/>
          <w:iCs/>
          <w:kern w:val="0"/>
          <w:szCs w:val="21"/>
        </w:rPr>
        <w:t>Accounting and Finance for Non-Specialists</w:t>
      </w:r>
      <w:r w:rsidRPr="0062093D">
        <w:rPr>
          <w:rFonts w:ascii="Times New Roman" w:eastAsia="宋体" w:hAnsi="Times New Roman" w:cs="Times New Roman"/>
          <w:kern w:val="0"/>
          <w:szCs w:val="21"/>
        </w:rPr>
        <w:t>. 11th ed. Harlow: Pearson, pp.216–217.</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Atrill, P. and Mclaney, E.J. (2018b). </w:t>
      </w:r>
      <w:r w:rsidRPr="0062093D">
        <w:rPr>
          <w:rFonts w:ascii="Times New Roman" w:eastAsia="宋体" w:hAnsi="Times New Roman" w:cs="Times New Roman"/>
          <w:i/>
          <w:iCs/>
          <w:kern w:val="0"/>
          <w:szCs w:val="21"/>
        </w:rPr>
        <w:t>Financial accounting for decision makers</w:t>
      </w:r>
      <w:r w:rsidRPr="0062093D">
        <w:rPr>
          <w:rFonts w:ascii="Times New Roman" w:eastAsia="宋体" w:hAnsi="Times New Roman" w:cs="Times New Roman"/>
          <w:kern w:val="0"/>
          <w:szCs w:val="21"/>
        </w:rPr>
        <w:t>. New York: Prentice Hall/Financial Times, p.264.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BBC News (2020). </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 xml:space="preserve"> overtakes Toyota to become world’s most valuable carmaker. </w:t>
      </w:r>
      <w:r w:rsidRPr="0062093D">
        <w:rPr>
          <w:rFonts w:ascii="Times New Roman" w:eastAsia="宋体" w:hAnsi="Times New Roman" w:cs="Times New Roman"/>
          <w:i/>
          <w:iCs/>
          <w:kern w:val="0"/>
          <w:szCs w:val="21"/>
        </w:rPr>
        <w:t>BBC News</w:t>
      </w:r>
      <w:r w:rsidRPr="0062093D">
        <w:rPr>
          <w:rFonts w:ascii="Times New Roman" w:eastAsia="宋体" w:hAnsi="Times New Roman" w:cs="Times New Roman"/>
          <w:kern w:val="0"/>
          <w:szCs w:val="21"/>
        </w:rPr>
        <w:t>. [online] 1 Jul. Available at: https://www.bbc.co.uk/news/business-53257933 [Accessed 7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BYD Global (n.d.). </w:t>
      </w:r>
      <w:r w:rsidRPr="0062093D">
        <w:rPr>
          <w:rFonts w:ascii="Times New Roman" w:eastAsia="宋体" w:hAnsi="Times New Roman" w:cs="Times New Roman"/>
          <w:i/>
          <w:iCs/>
          <w:kern w:val="0"/>
          <w:szCs w:val="21"/>
        </w:rPr>
        <w:t>About BYD-BYD</w:t>
      </w:r>
      <w:r w:rsidRPr="0062093D">
        <w:rPr>
          <w:rFonts w:ascii="Times New Roman" w:eastAsia="宋体" w:hAnsi="Times New Roman" w:cs="Times New Roman"/>
          <w:kern w:val="0"/>
          <w:szCs w:val="21"/>
        </w:rPr>
        <w:t>. [online] www.bydglobal.com. Available at: https://www.bydglobal.com/en/CompanyIntro.html [Accessed 8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Carlier, M. (2024).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’s Revenue 2008-2022 | Statistic</w:t>
      </w:r>
      <w:r w:rsidRPr="0062093D">
        <w:rPr>
          <w:rFonts w:ascii="Times New Roman" w:eastAsia="宋体" w:hAnsi="Times New Roman" w:cs="Times New Roman"/>
          <w:kern w:val="0"/>
          <w:szCs w:val="21"/>
        </w:rPr>
        <w:t>. [online] Statista. Available at: https://www.statista.com/statistics/272120/revenue-of-</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 [Accessed 8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CARSON, E. (2024).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 xml:space="preserve"> Near Buy Points But China Rival Is The New BEV King</w:t>
      </w:r>
      <w:r w:rsidRPr="0062093D">
        <w:rPr>
          <w:rFonts w:ascii="Times New Roman" w:eastAsia="宋体" w:hAnsi="Times New Roman" w:cs="Times New Roman"/>
          <w:kern w:val="0"/>
          <w:szCs w:val="21"/>
        </w:rPr>
        <w:t>. [online] Investor’s Business Daily. Available at: https://www.investors.com/news/</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-vs-byd-2024-tsla-stock-ev-rivals/ [Accessed 8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CFI (2020). </w:t>
      </w:r>
      <w:r w:rsidRPr="0062093D">
        <w:rPr>
          <w:rFonts w:ascii="Times New Roman" w:eastAsia="宋体" w:hAnsi="Times New Roman" w:cs="Times New Roman"/>
          <w:i/>
          <w:iCs/>
          <w:kern w:val="0"/>
          <w:szCs w:val="21"/>
        </w:rPr>
        <w:t>Cash Ratio</w:t>
      </w:r>
      <w:r w:rsidRPr="0062093D">
        <w:rPr>
          <w:rFonts w:ascii="Times New Roman" w:eastAsia="宋体" w:hAnsi="Times New Roman" w:cs="Times New Roman"/>
          <w:kern w:val="0"/>
          <w:szCs w:val="21"/>
        </w:rPr>
        <w:t>. [online] Corporate Finance Institute. Available at: https://corporatefinanceinstitute.com/resources/accounting/cash-ratio-formula/ [Accessed 8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lastRenderedPageBreak/>
        <w:t xml:space="preserve">Chan, C. and Burns, D. (2018). </w:t>
      </w:r>
      <w:r w:rsidRPr="0062093D">
        <w:rPr>
          <w:rFonts w:ascii="Times New Roman" w:eastAsia="宋体" w:hAnsi="Times New Roman" w:cs="Times New Roman"/>
          <w:i/>
          <w:iCs/>
          <w:kern w:val="0"/>
          <w:szCs w:val="21"/>
        </w:rPr>
        <w:t xml:space="preserve">Breaking down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’s balance sheet</w:t>
      </w:r>
      <w:r w:rsidRPr="0062093D">
        <w:rPr>
          <w:rFonts w:ascii="Times New Roman" w:eastAsia="宋体" w:hAnsi="Times New Roman" w:cs="Times New Roman"/>
          <w:kern w:val="0"/>
          <w:szCs w:val="21"/>
        </w:rPr>
        <w:t>. [online] Reuters. Available at: https://fingfx.thomsonreuters.com/gfx/rngs/</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-PROFITABILITY/010080Y81S7/index.html [Accessed 7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Fields, E. (2016). </w:t>
      </w:r>
      <w:r w:rsidRPr="0062093D">
        <w:rPr>
          <w:rFonts w:ascii="Times New Roman" w:eastAsia="宋体" w:hAnsi="Times New Roman" w:cs="Times New Roman"/>
          <w:i/>
          <w:iCs/>
          <w:kern w:val="0"/>
          <w:szCs w:val="21"/>
        </w:rPr>
        <w:t>The Essentials of Finance and Accounting for Nonfinancial Managers</w:t>
      </w:r>
      <w:r w:rsidRPr="0062093D">
        <w:rPr>
          <w:rFonts w:ascii="Times New Roman" w:eastAsia="宋体" w:hAnsi="Times New Roman" w:cs="Times New Roman"/>
          <w:kern w:val="0"/>
          <w:szCs w:val="21"/>
        </w:rPr>
        <w:t>. 3rd ed. New York: American Management Association, p.136.</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Gordon, J. (2022). </w:t>
      </w:r>
      <w:r w:rsidRPr="0062093D">
        <w:rPr>
          <w:rFonts w:ascii="Times New Roman" w:eastAsia="宋体" w:hAnsi="Times New Roman" w:cs="Times New Roman"/>
          <w:i/>
          <w:iCs/>
          <w:kern w:val="0"/>
          <w:szCs w:val="21"/>
        </w:rPr>
        <w:t>Traditional Theory of Capital Structure - Explained</w:t>
      </w:r>
      <w:r w:rsidRPr="0062093D">
        <w:rPr>
          <w:rFonts w:ascii="Times New Roman" w:eastAsia="宋体" w:hAnsi="Times New Roman" w:cs="Times New Roman"/>
          <w:kern w:val="0"/>
          <w:szCs w:val="21"/>
        </w:rPr>
        <w:t>. [online] The Business Professor, LLC. Available at: https://thebusinessprofessor.com/en_US/business-personal-finance-valuation/traditional-theory-of-capital-structure-definition [Accessed 8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Hidalgo, J. (2014). </w:t>
      </w:r>
      <w:r w:rsidRPr="0062093D">
        <w:rPr>
          <w:rFonts w:ascii="Times New Roman" w:eastAsia="宋体" w:hAnsi="Times New Roman" w:cs="Times New Roman"/>
          <w:i/>
          <w:iCs/>
          <w:kern w:val="0"/>
          <w:szCs w:val="21"/>
        </w:rPr>
        <w:t xml:space="preserve">Art of the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 xml:space="preserve"> deal: How Nevada won a gigafactory</w:t>
      </w:r>
      <w:r w:rsidRPr="0062093D">
        <w:rPr>
          <w:rFonts w:ascii="Times New Roman" w:eastAsia="宋体" w:hAnsi="Times New Roman" w:cs="Times New Roman"/>
          <w:kern w:val="0"/>
          <w:szCs w:val="21"/>
        </w:rPr>
        <w:t>. [online] Reno Gazette Journal. Available at: https://eu.rgj.com/story/news/2014/09/13/art-</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-deal-nv-won-gigafactory/15593371/ [Accessed 6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Hirsch, L. (2022). Elon Musk sells nearly $7 billion in </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 xml:space="preserve"> shares to finance his Twitter deal. </w:t>
      </w:r>
      <w:r w:rsidRPr="0062093D">
        <w:rPr>
          <w:rFonts w:ascii="Times New Roman" w:eastAsia="宋体" w:hAnsi="Times New Roman" w:cs="Times New Roman"/>
          <w:i/>
          <w:iCs/>
          <w:kern w:val="0"/>
          <w:szCs w:val="21"/>
        </w:rPr>
        <w:t>The New York Times</w:t>
      </w:r>
      <w:r w:rsidRPr="0062093D">
        <w:rPr>
          <w:rFonts w:ascii="Times New Roman" w:eastAsia="宋体" w:hAnsi="Times New Roman" w:cs="Times New Roman"/>
          <w:kern w:val="0"/>
          <w:szCs w:val="21"/>
        </w:rPr>
        <w:t>. [online] 10 Aug. Available at: https://www.nytimes.com/2022/08/10/business/dealbook/elon-musk-</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-twitter.html [Accessed 7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Hooker, L. (2023). </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 xml:space="preserve"> Cuts Prices by up to a Fifth to Boost Demand. </w:t>
      </w:r>
      <w:r w:rsidRPr="0062093D">
        <w:rPr>
          <w:rFonts w:ascii="Times New Roman" w:eastAsia="宋体" w:hAnsi="Times New Roman" w:cs="Times New Roman"/>
          <w:i/>
          <w:iCs/>
          <w:kern w:val="0"/>
          <w:szCs w:val="21"/>
        </w:rPr>
        <w:t>BBC News</w:t>
      </w:r>
      <w:r w:rsidRPr="0062093D">
        <w:rPr>
          <w:rFonts w:ascii="Times New Roman" w:eastAsia="宋体" w:hAnsi="Times New Roman" w:cs="Times New Roman"/>
          <w:kern w:val="0"/>
          <w:szCs w:val="21"/>
        </w:rPr>
        <w:t>. [online] 13 Jan. Available at: https://www.bbc.co.uk/news/business-64266471 [Accessed 7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Hoskins, P. and Sherman, N. (2024). China’s BYD overtakes </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 xml:space="preserve">’s electric car sales in last quarter of 2023. </w:t>
      </w:r>
      <w:r w:rsidRPr="0062093D">
        <w:rPr>
          <w:rFonts w:ascii="Times New Roman" w:eastAsia="宋体" w:hAnsi="Times New Roman" w:cs="Times New Roman"/>
          <w:i/>
          <w:iCs/>
          <w:kern w:val="0"/>
          <w:szCs w:val="21"/>
        </w:rPr>
        <w:t>BBC News</w:t>
      </w:r>
      <w:r w:rsidRPr="0062093D">
        <w:rPr>
          <w:rFonts w:ascii="Times New Roman" w:eastAsia="宋体" w:hAnsi="Times New Roman" w:cs="Times New Roman"/>
          <w:kern w:val="0"/>
          <w:szCs w:val="21"/>
        </w:rPr>
        <w:t>. [online] 2 Jan. Available at: https://www.bbc.co.uk/news/business-67860232 [Accessed 7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Kane, M. (2023).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’s Annual Vehicle Capacity Increased To Over 2.3 Million</w:t>
      </w:r>
      <w:r w:rsidRPr="0062093D">
        <w:rPr>
          <w:rFonts w:ascii="Times New Roman" w:eastAsia="宋体" w:hAnsi="Times New Roman" w:cs="Times New Roman"/>
          <w:kern w:val="0"/>
          <w:szCs w:val="21"/>
        </w:rPr>
        <w:t>. [online] InsideEVs. Available at: https://insideevs.com/news/692819/</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-production-sites-model-assignment-october2023/ [Accessed 7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lastRenderedPageBreak/>
        <w:t xml:space="preserve">Kelly, M. (2023). </w:t>
      </w:r>
      <w:r w:rsidRPr="0062093D">
        <w:rPr>
          <w:rFonts w:ascii="Times New Roman" w:eastAsia="宋体" w:hAnsi="Times New Roman" w:cs="Times New Roman"/>
          <w:i/>
          <w:iCs/>
          <w:kern w:val="0"/>
          <w:szCs w:val="21"/>
        </w:rPr>
        <w:t xml:space="preserve">Panasonic to grow battery production by 10% at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 xml:space="preserve"> Nevada gigafactory</w:t>
      </w:r>
      <w:r w:rsidRPr="0062093D">
        <w:rPr>
          <w:rFonts w:ascii="Times New Roman" w:eastAsia="宋体" w:hAnsi="Times New Roman" w:cs="Times New Roman"/>
          <w:kern w:val="0"/>
          <w:szCs w:val="21"/>
        </w:rPr>
        <w:t>. [online] Automotive Manufacturing Solutions. Available at: https://www.automotivemanufacturingsolutions.com/ev-battery-production/panasonic-to-grow-battery-production-by-10-at-</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-nevada-gigafactory/44303.article [Accessed 7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Lambert, F. (2024).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 xml:space="preserve"> finally moves forward with Gigafactory Nevada expansion for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 xml:space="preserve"> Semi and 4680 cells</w:t>
      </w:r>
      <w:r w:rsidRPr="0062093D">
        <w:rPr>
          <w:rFonts w:ascii="Times New Roman" w:eastAsia="宋体" w:hAnsi="Times New Roman" w:cs="Times New Roman"/>
          <w:kern w:val="0"/>
          <w:szCs w:val="21"/>
        </w:rPr>
        <w:t>. [online] Electrek. Available at: https://electrek.co/2024/01/19/</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-finally-moves-forward-gigafactory-nevada-expansion-</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-semi-4680-cells/ [Accessed 18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Lenglet, R. (2023). </w:t>
      </w:r>
      <w:r w:rsidRPr="0062093D">
        <w:rPr>
          <w:rFonts w:ascii="Times New Roman" w:eastAsia="宋体" w:hAnsi="Times New Roman" w:cs="Times New Roman"/>
          <w:i/>
          <w:iCs/>
          <w:kern w:val="0"/>
          <w:szCs w:val="21"/>
        </w:rPr>
        <w:t>What is the Definition of Financial Performance?</w:t>
      </w:r>
      <w:r w:rsidRPr="0062093D">
        <w:rPr>
          <w:rFonts w:ascii="Times New Roman" w:eastAsia="宋体" w:hAnsi="Times New Roman" w:cs="Times New Roman"/>
          <w:kern w:val="0"/>
          <w:szCs w:val="21"/>
        </w:rPr>
        <w:t xml:space="preserve"> [online] agicap.com. Available at: https://agicap.com/en/glossary/financial-performance-definition/ [Accessed 18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Lindner, J. (2023). </w:t>
      </w:r>
      <w:r w:rsidRPr="0062093D">
        <w:rPr>
          <w:rFonts w:ascii="Times New Roman" w:eastAsia="宋体" w:hAnsi="Times New Roman" w:cs="Times New Roman"/>
          <w:i/>
          <w:iCs/>
          <w:kern w:val="0"/>
          <w:szCs w:val="21"/>
        </w:rPr>
        <w:t xml:space="preserve">Must-Know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 xml:space="preserve"> Sales Statistics [Recent Analysis] • Gitnux</w:t>
      </w:r>
      <w:r w:rsidRPr="0062093D">
        <w:rPr>
          <w:rFonts w:ascii="Times New Roman" w:eastAsia="宋体" w:hAnsi="Times New Roman" w:cs="Times New Roman"/>
          <w:kern w:val="0"/>
          <w:szCs w:val="21"/>
        </w:rPr>
        <w:t>. [online] gitnux.org. Available at: https://gitnux.org/</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-sales-statistics/ [Accessed 15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Lu, M. (2024). </w:t>
      </w:r>
      <w:r w:rsidRPr="0062093D">
        <w:rPr>
          <w:rFonts w:ascii="Times New Roman" w:eastAsia="宋体" w:hAnsi="Times New Roman" w:cs="Times New Roman"/>
          <w:i/>
          <w:iCs/>
          <w:kern w:val="0"/>
          <w:szCs w:val="21"/>
        </w:rPr>
        <w:t>Visualizing Global Electric Vehicle Sales in 2023, by Market Share</w:t>
      </w:r>
      <w:r w:rsidRPr="0062093D">
        <w:rPr>
          <w:rFonts w:ascii="Times New Roman" w:eastAsia="宋体" w:hAnsi="Times New Roman" w:cs="Times New Roman"/>
          <w:kern w:val="0"/>
          <w:szCs w:val="21"/>
        </w:rPr>
        <w:t>. [online] AUTOMOTIVE. Available at: https://www.visualcapitalist.com/visualizing-global-electric-vehicle-sales-in-2023-by-market-share/ [Accessed 7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Macrotrends (2022).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 xml:space="preserve"> Net Income 2009-2019 | TSLA</w:t>
      </w:r>
      <w:r w:rsidRPr="0062093D">
        <w:rPr>
          <w:rFonts w:ascii="Times New Roman" w:eastAsia="宋体" w:hAnsi="Times New Roman" w:cs="Times New Roman"/>
          <w:kern w:val="0"/>
          <w:szCs w:val="21"/>
        </w:rPr>
        <w:t>. [online] Macrotrends.net. Available at: https://www.macrotrends.net/stocks/charts/TSLA/</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/net-income [Accessed 18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Martins, J. (2023). </w:t>
      </w:r>
      <w:r w:rsidRPr="0062093D">
        <w:rPr>
          <w:rFonts w:ascii="Times New Roman" w:eastAsia="宋体" w:hAnsi="Times New Roman" w:cs="Times New Roman"/>
          <w:i/>
          <w:iCs/>
          <w:kern w:val="0"/>
          <w:szCs w:val="21"/>
        </w:rPr>
        <w:t>How to Use a Feasibility Study in Project Management • Asana</w:t>
      </w:r>
      <w:r w:rsidRPr="0062093D">
        <w:rPr>
          <w:rFonts w:ascii="Times New Roman" w:eastAsia="宋体" w:hAnsi="Times New Roman" w:cs="Times New Roman"/>
          <w:kern w:val="0"/>
          <w:szCs w:val="21"/>
        </w:rPr>
        <w:t>. [online] Asana. Available at: https://asana.com/resources/feasibility-study [Accessed 7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McCall, J. (2021). </w:t>
      </w:r>
      <w:r w:rsidRPr="0062093D">
        <w:rPr>
          <w:rFonts w:ascii="Times New Roman" w:eastAsia="宋体" w:hAnsi="Times New Roman" w:cs="Times New Roman"/>
          <w:i/>
          <w:iCs/>
          <w:kern w:val="0"/>
          <w:szCs w:val="21"/>
        </w:rPr>
        <w:t>What is a trade-off model of capital structure?</w:t>
      </w:r>
      <w:r w:rsidRPr="0062093D">
        <w:rPr>
          <w:rFonts w:ascii="Times New Roman" w:eastAsia="宋体" w:hAnsi="Times New Roman" w:cs="Times New Roman"/>
          <w:kern w:val="0"/>
          <w:szCs w:val="21"/>
        </w:rPr>
        <w:t xml:space="preserve"> [online] Capital.com. Available at: https://capital.com/trade-off-model-of-capital-structure-definition [Accessed 11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Mullen, D. (2022).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 xml:space="preserve"> will begin charging for basic connectivity services after eight years</w:t>
      </w:r>
      <w:r w:rsidRPr="0062093D">
        <w:rPr>
          <w:rFonts w:ascii="Times New Roman" w:eastAsia="宋体" w:hAnsi="Times New Roman" w:cs="Times New Roman"/>
          <w:kern w:val="0"/>
          <w:szCs w:val="21"/>
        </w:rPr>
        <w:t xml:space="preserve">. [online] Driving.co.uk from The Sunday Times. Available at: </w:t>
      </w:r>
      <w:r w:rsidRPr="0062093D">
        <w:rPr>
          <w:rFonts w:ascii="Times New Roman" w:eastAsia="宋体" w:hAnsi="Times New Roman" w:cs="Times New Roman"/>
          <w:kern w:val="0"/>
          <w:szCs w:val="21"/>
        </w:rPr>
        <w:lastRenderedPageBreak/>
        <w:t>https://www.driving.co.uk/news/</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-is-to-begin-charging-for-its-standard-connectivity-service/ [Accessed 7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Panasonic (2013). </w:t>
      </w:r>
      <w:r w:rsidRPr="0062093D">
        <w:rPr>
          <w:rFonts w:ascii="Times New Roman" w:eastAsia="宋体" w:hAnsi="Times New Roman" w:cs="Times New Roman"/>
          <w:i/>
          <w:iCs/>
          <w:kern w:val="0"/>
          <w:szCs w:val="21"/>
        </w:rPr>
        <w:t xml:space="preserve">Panasonic and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 xml:space="preserve"> Reach Agreement to Expand Supply of Automotive-grade Battery Cells | Business Solutions | Products &amp; Solutions | Blog Posts</w:t>
      </w:r>
      <w:r w:rsidRPr="0062093D">
        <w:rPr>
          <w:rFonts w:ascii="Times New Roman" w:eastAsia="宋体" w:hAnsi="Times New Roman" w:cs="Times New Roman"/>
          <w:kern w:val="0"/>
          <w:szCs w:val="21"/>
        </w:rPr>
        <w:t>. [online] Panasonic Newsroom Global. Available at: https://news.panasonic.com/global/topics/4727 [Accessed 7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Patel, N. (2023). </w:t>
      </w:r>
      <w:r w:rsidRPr="0062093D">
        <w:rPr>
          <w:rFonts w:ascii="Times New Roman" w:eastAsia="宋体" w:hAnsi="Times New Roman" w:cs="Times New Roman"/>
          <w:i/>
          <w:iCs/>
          <w:kern w:val="0"/>
          <w:szCs w:val="21"/>
        </w:rPr>
        <w:t xml:space="preserve">Expecting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 xml:space="preserve"> to 2X by 2029? Here’s What Has to Happen.</w:t>
      </w:r>
      <w:r w:rsidRPr="0062093D">
        <w:rPr>
          <w:rFonts w:ascii="Times New Roman" w:eastAsia="宋体" w:hAnsi="Times New Roman" w:cs="Times New Roman"/>
          <w:kern w:val="0"/>
          <w:szCs w:val="21"/>
        </w:rPr>
        <w:t xml:space="preserve"> [online] The Motley Fool. Available at: https://www.fool.com/investing/2023/12/18/expect-</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-to-double-by-2029-what-has-to-happen/ [Accessed 7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Patrick, B., Hezkeal Khela Nan, T., Obeng, A., Ofori, A., Ishmael, A., Sammuel, K., Benedict, A. and Grace, T. (2021). </w:t>
      </w:r>
      <w:r w:rsidRPr="0062093D">
        <w:rPr>
          <w:rFonts w:ascii="Times New Roman" w:eastAsia="宋体" w:hAnsi="Times New Roman" w:cs="Times New Roman"/>
          <w:i/>
          <w:iCs/>
          <w:kern w:val="0"/>
          <w:szCs w:val="21"/>
        </w:rPr>
        <w:t>Traditional versus Modern Perspectives of Capital Structure Theories: A Comprehensive Review</w:t>
      </w:r>
      <w:r w:rsidRPr="0062093D">
        <w:rPr>
          <w:rFonts w:ascii="Times New Roman" w:eastAsia="宋体" w:hAnsi="Times New Roman" w:cs="Times New Roman"/>
          <w:kern w:val="0"/>
          <w:szCs w:val="21"/>
        </w:rPr>
        <w:t>. [online] Available at: https://www.hilarispublisher.com/open-access/traditional-versus-modern-perspectives-of-capital-structure-theories-a-comprehensive-review.pdf [Accessed 8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Peterdy, K. (2020). </w:t>
      </w:r>
      <w:r w:rsidRPr="0062093D">
        <w:rPr>
          <w:rFonts w:ascii="Times New Roman" w:eastAsia="宋体" w:hAnsi="Times New Roman" w:cs="Times New Roman"/>
          <w:i/>
          <w:iCs/>
          <w:kern w:val="0"/>
          <w:szCs w:val="21"/>
        </w:rPr>
        <w:t>Debt to Asset Ratio</w:t>
      </w:r>
      <w:r w:rsidRPr="0062093D">
        <w:rPr>
          <w:rFonts w:ascii="Times New Roman" w:eastAsia="宋体" w:hAnsi="Times New Roman" w:cs="Times New Roman"/>
          <w:kern w:val="0"/>
          <w:szCs w:val="21"/>
        </w:rPr>
        <w:t>. [online] Corporate Finance Institute. Available at: https://corporatefinanceinstitute.com/resources/commercial-lending/debt-to-asset-ratio/ [Accessed 12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Peters, J. (2023).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’s new $3.6 billion Nevada investment includes a ‘high-volume’ Semi factory</w:t>
      </w:r>
      <w:r w:rsidRPr="0062093D">
        <w:rPr>
          <w:rFonts w:ascii="Times New Roman" w:eastAsia="宋体" w:hAnsi="Times New Roman" w:cs="Times New Roman"/>
          <w:kern w:val="0"/>
          <w:szCs w:val="21"/>
        </w:rPr>
        <w:t>. [online] The Verge. Available at: https://www.theverge.com/2023/1/24/23570240/</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-3-6-billion-nevada-gigafactory-investment-high-volume-semi-factory [Accessed 6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Reed, E. (2020). </w:t>
      </w:r>
      <w:r w:rsidRPr="0062093D">
        <w:rPr>
          <w:rFonts w:ascii="Times New Roman" w:eastAsia="宋体" w:hAnsi="Times New Roman" w:cs="Times New Roman"/>
          <w:i/>
          <w:iCs/>
          <w:kern w:val="0"/>
          <w:szCs w:val="21"/>
        </w:rPr>
        <w:t xml:space="preserve">History of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 Timeline and Facts</w:t>
      </w:r>
      <w:r w:rsidRPr="0062093D">
        <w:rPr>
          <w:rFonts w:ascii="Times New Roman" w:eastAsia="宋体" w:hAnsi="Times New Roman" w:cs="Times New Roman"/>
          <w:kern w:val="0"/>
          <w:szCs w:val="21"/>
        </w:rPr>
        <w:t>. [online] TheStreet. Available at: https://www.thestreet.com/technology/history-of-</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-15088992 [Accessed 7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RITTER, K. (2023).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 xml:space="preserve"> gets $330M tax deal for Nevada expansion, truck plant</w:t>
      </w:r>
      <w:r w:rsidRPr="0062093D">
        <w:rPr>
          <w:rFonts w:ascii="Times New Roman" w:eastAsia="宋体" w:hAnsi="Times New Roman" w:cs="Times New Roman"/>
          <w:kern w:val="0"/>
          <w:szCs w:val="21"/>
        </w:rPr>
        <w:t>. [online] uk.movies.yahoo.com. Available at: https://uk.movies.yahoo.com/</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-gets-330m-tax-deal-234459473.html [Accessed 6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lastRenderedPageBreak/>
        <w:t xml:space="preserve">Roger Andrews (2018). </w:t>
      </w:r>
      <w:r w:rsidRPr="0062093D">
        <w:rPr>
          <w:rFonts w:ascii="Times New Roman" w:eastAsia="宋体" w:hAnsi="Times New Roman" w:cs="Times New Roman"/>
          <w:i/>
          <w:iCs/>
          <w:kern w:val="0"/>
          <w:szCs w:val="21"/>
        </w:rPr>
        <w:t xml:space="preserve">Powering the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 xml:space="preserve"> Gigafactory</w:t>
      </w:r>
      <w:r w:rsidRPr="0062093D">
        <w:rPr>
          <w:rFonts w:ascii="Times New Roman" w:eastAsia="宋体" w:hAnsi="Times New Roman" w:cs="Times New Roman"/>
          <w:kern w:val="0"/>
          <w:szCs w:val="21"/>
        </w:rPr>
        <w:t>. [online] Energy Matters. Available at: https://euanmearns.com/powering-the-</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-gigafactory/ [Accessed 18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Schwartz, E. (1959). Theory of the Capital Structure of the Firm. </w:t>
      </w:r>
      <w:r w:rsidRPr="0062093D">
        <w:rPr>
          <w:rFonts w:ascii="Times New Roman" w:eastAsia="宋体" w:hAnsi="Times New Roman" w:cs="Times New Roman"/>
          <w:i/>
          <w:iCs/>
          <w:kern w:val="0"/>
          <w:szCs w:val="21"/>
        </w:rPr>
        <w:t>The Journal of Finance</w:t>
      </w:r>
      <w:r w:rsidRPr="0062093D">
        <w:rPr>
          <w:rFonts w:ascii="Times New Roman" w:eastAsia="宋体" w:hAnsi="Times New Roman" w:cs="Times New Roman"/>
          <w:kern w:val="0"/>
          <w:szCs w:val="21"/>
        </w:rPr>
        <w:t>, 14(1), p.19. doi:https://doi.org/10.2307/2976096.</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SEC (2018). </w:t>
      </w:r>
      <w:r w:rsidRPr="0062093D">
        <w:rPr>
          <w:rFonts w:ascii="Times New Roman" w:eastAsia="宋体" w:hAnsi="Times New Roman" w:cs="Times New Roman"/>
          <w:i/>
          <w:iCs/>
          <w:kern w:val="0"/>
          <w:szCs w:val="21"/>
        </w:rPr>
        <w:t>tsla-10k_20181231.htm</w:t>
      </w:r>
      <w:r w:rsidRPr="0062093D">
        <w:rPr>
          <w:rFonts w:ascii="Times New Roman" w:eastAsia="宋体" w:hAnsi="Times New Roman" w:cs="Times New Roman"/>
          <w:kern w:val="0"/>
          <w:szCs w:val="21"/>
        </w:rPr>
        <w:t>. [online] Sec.gov. Available at: https://www.sec.gov/Archives/edgar/data/1318605/000156459019003165/tsla-10k_20181231.htm [Accessed 8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Sky News. (2021). </w:t>
      </w:r>
      <w:r w:rsidRPr="0062093D">
        <w:rPr>
          <w:rFonts w:ascii="Times New Roman" w:eastAsia="宋体" w:hAnsi="Times New Roman" w:cs="Times New Roman"/>
          <w:i/>
          <w:iCs/>
          <w:kern w:val="0"/>
          <w:szCs w:val="21"/>
        </w:rPr>
        <w:t xml:space="preserve">Uber strikes deal with </w:t>
      </w:r>
      <w:r w:rsidR="00171BF0">
        <w:rPr>
          <w:rFonts w:ascii="Times New Roman" w:eastAsia="宋体" w:hAnsi="Times New Roman" w:cs="Times New Roman"/>
          <w:i/>
          <w:iCs/>
          <w:kern w:val="0"/>
          <w:szCs w:val="21"/>
        </w:rPr>
        <w:t>Tesla</w:t>
      </w:r>
      <w:r w:rsidRPr="0062093D">
        <w:rPr>
          <w:rFonts w:ascii="Times New Roman" w:eastAsia="宋体" w:hAnsi="Times New Roman" w:cs="Times New Roman"/>
          <w:i/>
          <w:iCs/>
          <w:kern w:val="0"/>
          <w:szCs w:val="21"/>
        </w:rPr>
        <w:t xml:space="preserve"> to boost electric car uptake in London</w:t>
      </w:r>
      <w:r w:rsidRPr="0062093D">
        <w:rPr>
          <w:rFonts w:ascii="Times New Roman" w:eastAsia="宋体" w:hAnsi="Times New Roman" w:cs="Times New Roman"/>
          <w:kern w:val="0"/>
          <w:szCs w:val="21"/>
        </w:rPr>
        <w:t>. [online] Available at: https://news.sky.com/story/uber-strikes-deal-with-</w:t>
      </w:r>
      <w:r w:rsidR="00171BF0">
        <w:rPr>
          <w:rFonts w:ascii="Times New Roman" w:eastAsia="宋体" w:hAnsi="Times New Roman" w:cs="Times New Roman"/>
          <w:kern w:val="0"/>
          <w:szCs w:val="21"/>
        </w:rPr>
        <w:t>Tesla</w:t>
      </w:r>
      <w:r w:rsidRPr="0062093D">
        <w:rPr>
          <w:rFonts w:ascii="Times New Roman" w:eastAsia="宋体" w:hAnsi="Times New Roman" w:cs="Times New Roman"/>
          <w:kern w:val="0"/>
          <w:szCs w:val="21"/>
        </w:rPr>
        <w:t>-to-boost-electric-car-uptake-in-london-12458715.</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Suthar, J. (2024). </w:t>
      </w:r>
      <w:r w:rsidRPr="0062093D">
        <w:rPr>
          <w:rFonts w:ascii="Times New Roman" w:eastAsia="宋体" w:hAnsi="Times New Roman" w:cs="Times New Roman"/>
          <w:i/>
          <w:iCs/>
          <w:kern w:val="0"/>
          <w:szCs w:val="21"/>
        </w:rPr>
        <w:t>What Is The Modigliani Miller (M&amp;M) Theorem?</w:t>
      </w:r>
      <w:r w:rsidRPr="0062093D">
        <w:rPr>
          <w:rFonts w:ascii="Times New Roman" w:eastAsia="宋体" w:hAnsi="Times New Roman" w:cs="Times New Roman"/>
          <w:kern w:val="0"/>
          <w:szCs w:val="21"/>
        </w:rPr>
        <w:t xml:space="preserve"> [online] wellstreetmojo. Available at: https://www.wallstreetmojo.com/modigliani-miller-theorem/ [Accessed 7 Apr. 2024].</w:t>
      </w:r>
    </w:p>
    <w:p w:rsidR="0062093D" w:rsidRPr="0062093D" w:rsidRDefault="0062093D"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2093D">
        <w:rPr>
          <w:rFonts w:ascii="Times New Roman" w:eastAsia="宋体" w:hAnsi="Times New Roman" w:cs="Times New Roman"/>
          <w:kern w:val="0"/>
          <w:szCs w:val="21"/>
        </w:rPr>
        <w:t xml:space="preserve">Tamplin, T. (2023). </w:t>
      </w:r>
      <w:r w:rsidRPr="0062093D">
        <w:rPr>
          <w:rFonts w:ascii="Times New Roman" w:eastAsia="宋体" w:hAnsi="Times New Roman" w:cs="Times New Roman"/>
          <w:i/>
          <w:iCs/>
          <w:kern w:val="0"/>
          <w:szCs w:val="21"/>
        </w:rPr>
        <w:t>Debt-To-Capital Ratio | Definition, Use, Formula, Example, &amp; Limitations</w:t>
      </w:r>
      <w:r w:rsidRPr="0062093D">
        <w:rPr>
          <w:rFonts w:ascii="Times New Roman" w:eastAsia="宋体" w:hAnsi="Times New Roman" w:cs="Times New Roman"/>
          <w:kern w:val="0"/>
          <w:szCs w:val="21"/>
        </w:rPr>
        <w:t>. [online] Finance Strategists Helping People with Their Finances. Available at: https://www.financestrategists.com/wealth-management/accounting-ratios/debt-to-capital-ratio/ [Accessed 12 Apr. 2024].</w:t>
      </w:r>
    </w:p>
    <w:p w:rsidR="0062093D" w:rsidRPr="0062093D" w:rsidRDefault="00171BF0"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Pr>
          <w:rFonts w:ascii="Times New Roman" w:eastAsia="宋体" w:hAnsi="Times New Roman" w:cs="Times New Roman"/>
          <w:kern w:val="0"/>
          <w:szCs w:val="21"/>
        </w:rPr>
        <w:t>Tesla</w:t>
      </w:r>
      <w:r w:rsidR="0062093D" w:rsidRPr="0062093D">
        <w:rPr>
          <w:rFonts w:ascii="Times New Roman" w:eastAsia="宋体" w:hAnsi="Times New Roman" w:cs="Times New Roman"/>
          <w:kern w:val="0"/>
          <w:szCs w:val="21"/>
        </w:rPr>
        <w:t xml:space="preserve"> (2022a). </w:t>
      </w:r>
      <w:r w:rsidR="0062093D" w:rsidRPr="0062093D">
        <w:rPr>
          <w:rFonts w:ascii="Times New Roman" w:eastAsia="宋体" w:hAnsi="Times New Roman" w:cs="Times New Roman"/>
          <w:i/>
          <w:iCs/>
          <w:kern w:val="0"/>
          <w:szCs w:val="21"/>
        </w:rPr>
        <w:t>10-K</w:t>
      </w:r>
      <w:r w:rsidR="0062093D" w:rsidRPr="0062093D">
        <w:rPr>
          <w:rFonts w:ascii="Times New Roman" w:eastAsia="宋体" w:hAnsi="Times New Roman" w:cs="Times New Roman"/>
          <w:kern w:val="0"/>
          <w:szCs w:val="21"/>
        </w:rPr>
        <w:t>. [online] www.sec.gov. Available at: https://www.sec.gov/Archives/edgar/data/1318605/000095017022000796/tsla-20211231.htm [Accessed 7 Apr. 2024].</w:t>
      </w:r>
    </w:p>
    <w:p w:rsidR="0062093D" w:rsidRPr="0062093D" w:rsidRDefault="00171BF0"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Pr>
          <w:rFonts w:ascii="Times New Roman" w:eastAsia="宋体" w:hAnsi="Times New Roman" w:cs="Times New Roman"/>
          <w:kern w:val="0"/>
          <w:szCs w:val="21"/>
        </w:rPr>
        <w:t>Tesla</w:t>
      </w:r>
      <w:r w:rsidR="0062093D" w:rsidRPr="0062093D">
        <w:rPr>
          <w:rFonts w:ascii="Times New Roman" w:eastAsia="宋体" w:hAnsi="Times New Roman" w:cs="Times New Roman"/>
          <w:kern w:val="0"/>
          <w:szCs w:val="21"/>
        </w:rPr>
        <w:t xml:space="preserve"> (2022b). </w:t>
      </w:r>
      <w:r w:rsidR="0062093D" w:rsidRPr="0062093D">
        <w:rPr>
          <w:rFonts w:ascii="Times New Roman" w:eastAsia="宋体" w:hAnsi="Times New Roman" w:cs="Times New Roman"/>
          <w:i/>
          <w:iCs/>
          <w:kern w:val="0"/>
          <w:szCs w:val="21"/>
        </w:rPr>
        <w:t xml:space="preserve">Impact | Product | </w:t>
      </w:r>
      <w:r>
        <w:rPr>
          <w:rFonts w:ascii="Times New Roman" w:eastAsia="宋体" w:hAnsi="Times New Roman" w:cs="Times New Roman"/>
          <w:i/>
          <w:iCs/>
          <w:kern w:val="0"/>
          <w:szCs w:val="21"/>
        </w:rPr>
        <w:t>Tesla</w:t>
      </w:r>
      <w:r w:rsidR="0062093D" w:rsidRPr="0062093D">
        <w:rPr>
          <w:rFonts w:ascii="Times New Roman" w:eastAsia="宋体" w:hAnsi="Times New Roman" w:cs="Times New Roman"/>
          <w:i/>
          <w:iCs/>
          <w:kern w:val="0"/>
          <w:szCs w:val="21"/>
        </w:rPr>
        <w:t xml:space="preserve"> United Kingdom</w:t>
      </w:r>
      <w:r w:rsidR="0062093D" w:rsidRPr="0062093D">
        <w:rPr>
          <w:rFonts w:ascii="Times New Roman" w:eastAsia="宋体" w:hAnsi="Times New Roman" w:cs="Times New Roman"/>
          <w:kern w:val="0"/>
          <w:szCs w:val="21"/>
        </w:rPr>
        <w:t xml:space="preserve">. [online] </w:t>
      </w:r>
      <w:r>
        <w:rPr>
          <w:rFonts w:ascii="Times New Roman" w:eastAsia="宋体" w:hAnsi="Times New Roman" w:cs="Times New Roman"/>
          <w:kern w:val="0"/>
          <w:szCs w:val="21"/>
        </w:rPr>
        <w:t>Tesla</w:t>
      </w:r>
      <w:r w:rsidR="0062093D" w:rsidRPr="0062093D">
        <w:rPr>
          <w:rFonts w:ascii="Times New Roman" w:eastAsia="宋体" w:hAnsi="Times New Roman" w:cs="Times New Roman"/>
          <w:kern w:val="0"/>
          <w:szCs w:val="21"/>
        </w:rPr>
        <w:t>. Available at: https://www.</w:t>
      </w:r>
      <w:r>
        <w:rPr>
          <w:rFonts w:ascii="Times New Roman" w:eastAsia="宋体" w:hAnsi="Times New Roman" w:cs="Times New Roman"/>
          <w:kern w:val="0"/>
          <w:szCs w:val="21"/>
        </w:rPr>
        <w:t>Tesla</w:t>
      </w:r>
      <w:r w:rsidR="0062093D" w:rsidRPr="0062093D">
        <w:rPr>
          <w:rFonts w:ascii="Times New Roman" w:eastAsia="宋体" w:hAnsi="Times New Roman" w:cs="Times New Roman"/>
          <w:kern w:val="0"/>
          <w:szCs w:val="21"/>
        </w:rPr>
        <w:t>.com/en_gb/impact/product [Accessed 8 Apr. 2024].</w:t>
      </w:r>
    </w:p>
    <w:p w:rsidR="0062093D" w:rsidRPr="0062093D" w:rsidRDefault="00171BF0"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Pr>
          <w:rFonts w:ascii="Times New Roman" w:eastAsia="宋体" w:hAnsi="Times New Roman" w:cs="Times New Roman"/>
          <w:kern w:val="0"/>
          <w:szCs w:val="21"/>
        </w:rPr>
        <w:t>Tesla</w:t>
      </w:r>
      <w:r w:rsidR="0062093D" w:rsidRPr="0062093D">
        <w:rPr>
          <w:rFonts w:ascii="Times New Roman" w:eastAsia="宋体" w:hAnsi="Times New Roman" w:cs="Times New Roman"/>
          <w:kern w:val="0"/>
          <w:szCs w:val="21"/>
        </w:rPr>
        <w:t xml:space="preserve"> (2022c). </w:t>
      </w:r>
      <w:r w:rsidR="0062093D" w:rsidRPr="0062093D">
        <w:rPr>
          <w:rFonts w:ascii="Times New Roman" w:eastAsia="宋体" w:hAnsi="Times New Roman" w:cs="Times New Roman"/>
          <w:i/>
          <w:iCs/>
          <w:kern w:val="0"/>
          <w:szCs w:val="21"/>
        </w:rPr>
        <w:t xml:space="preserve">Impact | </w:t>
      </w:r>
      <w:r>
        <w:rPr>
          <w:rFonts w:ascii="Times New Roman" w:eastAsia="宋体" w:hAnsi="Times New Roman" w:cs="Times New Roman"/>
          <w:i/>
          <w:iCs/>
          <w:kern w:val="0"/>
          <w:szCs w:val="21"/>
        </w:rPr>
        <w:t>Tesla</w:t>
      </w:r>
      <w:r w:rsidR="0062093D" w:rsidRPr="0062093D">
        <w:rPr>
          <w:rFonts w:ascii="Times New Roman" w:eastAsia="宋体" w:hAnsi="Times New Roman" w:cs="Times New Roman"/>
          <w:i/>
          <w:iCs/>
          <w:kern w:val="0"/>
          <w:szCs w:val="21"/>
        </w:rPr>
        <w:t xml:space="preserve"> United Kingdom</w:t>
      </w:r>
      <w:r w:rsidR="0062093D" w:rsidRPr="0062093D">
        <w:rPr>
          <w:rFonts w:ascii="Times New Roman" w:eastAsia="宋体" w:hAnsi="Times New Roman" w:cs="Times New Roman"/>
          <w:kern w:val="0"/>
          <w:szCs w:val="21"/>
        </w:rPr>
        <w:t xml:space="preserve">. [online] </w:t>
      </w:r>
      <w:r>
        <w:rPr>
          <w:rFonts w:ascii="Times New Roman" w:eastAsia="宋体" w:hAnsi="Times New Roman" w:cs="Times New Roman"/>
          <w:kern w:val="0"/>
          <w:szCs w:val="21"/>
        </w:rPr>
        <w:t>Tesla</w:t>
      </w:r>
      <w:r w:rsidR="0062093D" w:rsidRPr="0062093D">
        <w:rPr>
          <w:rFonts w:ascii="Times New Roman" w:eastAsia="宋体" w:hAnsi="Times New Roman" w:cs="Times New Roman"/>
          <w:kern w:val="0"/>
          <w:szCs w:val="21"/>
        </w:rPr>
        <w:t>. Available at: https://www.</w:t>
      </w:r>
      <w:r>
        <w:rPr>
          <w:rFonts w:ascii="Times New Roman" w:eastAsia="宋体" w:hAnsi="Times New Roman" w:cs="Times New Roman"/>
          <w:kern w:val="0"/>
          <w:szCs w:val="21"/>
        </w:rPr>
        <w:t>Tesla</w:t>
      </w:r>
      <w:r w:rsidR="0062093D" w:rsidRPr="0062093D">
        <w:rPr>
          <w:rFonts w:ascii="Times New Roman" w:eastAsia="宋体" w:hAnsi="Times New Roman" w:cs="Times New Roman"/>
          <w:kern w:val="0"/>
          <w:szCs w:val="21"/>
        </w:rPr>
        <w:t>.com/en_gb/impact [Accessed 8 Apr. 2024].</w:t>
      </w:r>
    </w:p>
    <w:p w:rsidR="0062093D" w:rsidRPr="0062093D" w:rsidRDefault="00171BF0" w:rsidP="0062093D">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Pr>
          <w:rFonts w:ascii="Times New Roman" w:eastAsia="宋体" w:hAnsi="Times New Roman" w:cs="Times New Roman"/>
          <w:kern w:val="0"/>
          <w:szCs w:val="21"/>
        </w:rPr>
        <w:t>Tesla</w:t>
      </w:r>
      <w:r w:rsidR="0062093D" w:rsidRPr="0062093D">
        <w:rPr>
          <w:rFonts w:ascii="Times New Roman" w:eastAsia="宋体" w:hAnsi="Times New Roman" w:cs="Times New Roman"/>
          <w:kern w:val="0"/>
          <w:szCs w:val="21"/>
        </w:rPr>
        <w:t xml:space="preserve"> (2023a). </w:t>
      </w:r>
      <w:r w:rsidR="0062093D" w:rsidRPr="0062093D">
        <w:rPr>
          <w:rFonts w:ascii="Times New Roman" w:eastAsia="宋体" w:hAnsi="Times New Roman" w:cs="Times New Roman"/>
          <w:i/>
          <w:iCs/>
          <w:kern w:val="0"/>
          <w:szCs w:val="21"/>
        </w:rPr>
        <w:t xml:space="preserve">Continuing Our Investment in Nevada | </w:t>
      </w:r>
      <w:r>
        <w:rPr>
          <w:rFonts w:ascii="Times New Roman" w:eastAsia="宋体" w:hAnsi="Times New Roman" w:cs="Times New Roman"/>
          <w:i/>
          <w:iCs/>
          <w:kern w:val="0"/>
          <w:szCs w:val="21"/>
        </w:rPr>
        <w:t>Tesla</w:t>
      </w:r>
      <w:r w:rsidR="0062093D" w:rsidRPr="0062093D">
        <w:rPr>
          <w:rFonts w:ascii="Times New Roman" w:eastAsia="宋体" w:hAnsi="Times New Roman" w:cs="Times New Roman"/>
          <w:i/>
          <w:iCs/>
          <w:kern w:val="0"/>
          <w:szCs w:val="21"/>
        </w:rPr>
        <w:t xml:space="preserve"> United Kingdom</w:t>
      </w:r>
      <w:r w:rsidR="0062093D" w:rsidRPr="0062093D">
        <w:rPr>
          <w:rFonts w:ascii="Times New Roman" w:eastAsia="宋体" w:hAnsi="Times New Roman" w:cs="Times New Roman"/>
          <w:kern w:val="0"/>
          <w:szCs w:val="21"/>
        </w:rPr>
        <w:t xml:space="preserve">. [online] </w:t>
      </w:r>
      <w:r>
        <w:rPr>
          <w:rFonts w:ascii="Times New Roman" w:eastAsia="宋体" w:hAnsi="Times New Roman" w:cs="Times New Roman"/>
          <w:kern w:val="0"/>
          <w:szCs w:val="21"/>
        </w:rPr>
        <w:t>Tesla</w:t>
      </w:r>
      <w:r w:rsidR="0062093D" w:rsidRPr="0062093D">
        <w:rPr>
          <w:rFonts w:ascii="Times New Roman" w:eastAsia="宋体" w:hAnsi="Times New Roman" w:cs="Times New Roman"/>
          <w:kern w:val="0"/>
          <w:szCs w:val="21"/>
        </w:rPr>
        <w:t>. Available at: https://www.</w:t>
      </w:r>
      <w:r>
        <w:rPr>
          <w:rFonts w:ascii="Times New Roman" w:eastAsia="宋体" w:hAnsi="Times New Roman" w:cs="Times New Roman"/>
          <w:kern w:val="0"/>
          <w:szCs w:val="21"/>
        </w:rPr>
        <w:t>Tesla</w:t>
      </w:r>
      <w:r w:rsidR="0062093D" w:rsidRPr="0062093D">
        <w:rPr>
          <w:rFonts w:ascii="Times New Roman" w:eastAsia="宋体" w:hAnsi="Times New Roman" w:cs="Times New Roman"/>
          <w:kern w:val="0"/>
          <w:szCs w:val="21"/>
        </w:rPr>
        <w:t>.com/en_gb/blog/continuing-our-investment-nevada [Accessed 6 Apr. 2024].</w:t>
      </w:r>
    </w:p>
    <w:p w:rsidR="0062093D" w:rsidRPr="006C7041" w:rsidRDefault="00171BF0" w:rsidP="006C7041">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Pr>
          <w:rFonts w:ascii="Times New Roman" w:eastAsia="宋体" w:hAnsi="Times New Roman" w:cs="Times New Roman"/>
          <w:kern w:val="0"/>
          <w:szCs w:val="21"/>
        </w:rPr>
        <w:lastRenderedPageBreak/>
        <w:t>Tesla</w:t>
      </w:r>
      <w:r w:rsidR="0062093D" w:rsidRPr="006C7041">
        <w:rPr>
          <w:rFonts w:ascii="Times New Roman" w:eastAsia="宋体" w:hAnsi="Times New Roman" w:cs="Times New Roman"/>
          <w:kern w:val="0"/>
          <w:szCs w:val="21"/>
        </w:rPr>
        <w:t xml:space="preserve"> (2023b). </w:t>
      </w:r>
      <w:r w:rsidR="0062093D" w:rsidRPr="006C7041">
        <w:rPr>
          <w:rFonts w:ascii="Times New Roman" w:eastAsia="宋体" w:hAnsi="Times New Roman" w:cs="Times New Roman"/>
          <w:i/>
          <w:iCs/>
          <w:kern w:val="0"/>
          <w:szCs w:val="21"/>
        </w:rPr>
        <w:t>Gigafactory Nevada</w:t>
      </w:r>
      <w:r w:rsidR="0062093D" w:rsidRPr="006C7041">
        <w:rPr>
          <w:rFonts w:ascii="Times New Roman" w:eastAsia="宋体" w:hAnsi="Times New Roman" w:cs="Times New Roman"/>
          <w:kern w:val="0"/>
          <w:szCs w:val="21"/>
        </w:rPr>
        <w:t xml:space="preserve">. [online] </w:t>
      </w:r>
      <w:r>
        <w:rPr>
          <w:rFonts w:ascii="Times New Roman" w:eastAsia="宋体" w:hAnsi="Times New Roman" w:cs="Times New Roman"/>
          <w:kern w:val="0"/>
          <w:szCs w:val="21"/>
        </w:rPr>
        <w:t>Tesla</w:t>
      </w:r>
      <w:r w:rsidR="0062093D" w:rsidRPr="006C7041">
        <w:rPr>
          <w:rFonts w:ascii="Times New Roman" w:eastAsia="宋体" w:hAnsi="Times New Roman" w:cs="Times New Roman"/>
          <w:kern w:val="0"/>
          <w:szCs w:val="21"/>
        </w:rPr>
        <w:t>. Available at: https://www.</w:t>
      </w:r>
      <w:r>
        <w:rPr>
          <w:rFonts w:ascii="Times New Roman" w:eastAsia="宋体" w:hAnsi="Times New Roman" w:cs="Times New Roman"/>
          <w:kern w:val="0"/>
          <w:szCs w:val="21"/>
        </w:rPr>
        <w:t>Tesla</w:t>
      </w:r>
      <w:r w:rsidR="0062093D" w:rsidRPr="006C7041">
        <w:rPr>
          <w:rFonts w:ascii="Times New Roman" w:eastAsia="宋体" w:hAnsi="Times New Roman" w:cs="Times New Roman"/>
          <w:kern w:val="0"/>
          <w:szCs w:val="21"/>
        </w:rPr>
        <w:t>.com/giga-nevada [Accessed 7 Apr. 2024].</w:t>
      </w:r>
    </w:p>
    <w:p w:rsidR="0062093D" w:rsidRPr="006C7041" w:rsidRDefault="00171BF0" w:rsidP="006C7041">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Pr>
          <w:rFonts w:ascii="Times New Roman" w:eastAsia="宋体" w:hAnsi="Times New Roman" w:cs="Times New Roman"/>
          <w:kern w:val="0"/>
          <w:szCs w:val="21"/>
        </w:rPr>
        <w:t>Tesla</w:t>
      </w:r>
      <w:r w:rsidR="0062093D" w:rsidRPr="006C7041">
        <w:rPr>
          <w:rFonts w:ascii="Times New Roman" w:eastAsia="宋体" w:hAnsi="Times New Roman" w:cs="Times New Roman"/>
          <w:kern w:val="0"/>
          <w:szCs w:val="21"/>
        </w:rPr>
        <w:t xml:space="preserve"> (2024). </w:t>
      </w:r>
      <w:r>
        <w:rPr>
          <w:rFonts w:ascii="Times New Roman" w:eastAsia="宋体" w:hAnsi="Times New Roman" w:cs="Times New Roman"/>
          <w:i/>
          <w:iCs/>
          <w:kern w:val="0"/>
          <w:szCs w:val="21"/>
        </w:rPr>
        <w:t>Tesla</w:t>
      </w:r>
      <w:r w:rsidR="0062093D" w:rsidRPr="006C7041">
        <w:rPr>
          <w:rFonts w:ascii="Times New Roman" w:eastAsia="宋体" w:hAnsi="Times New Roman" w:cs="Times New Roman"/>
          <w:i/>
          <w:iCs/>
          <w:kern w:val="0"/>
          <w:szCs w:val="21"/>
        </w:rPr>
        <w:t xml:space="preserve"> Vehicle Production &amp; Deliveries and Date for Financial Results &amp; Webcast for Fourth Quarter 2023 | </w:t>
      </w:r>
      <w:r>
        <w:rPr>
          <w:rFonts w:ascii="Times New Roman" w:eastAsia="宋体" w:hAnsi="Times New Roman" w:cs="Times New Roman"/>
          <w:i/>
          <w:iCs/>
          <w:kern w:val="0"/>
          <w:szCs w:val="21"/>
        </w:rPr>
        <w:t>Tesla</w:t>
      </w:r>
      <w:r w:rsidR="0062093D" w:rsidRPr="006C7041">
        <w:rPr>
          <w:rFonts w:ascii="Times New Roman" w:eastAsia="宋体" w:hAnsi="Times New Roman" w:cs="Times New Roman"/>
          <w:i/>
          <w:iCs/>
          <w:kern w:val="0"/>
          <w:szCs w:val="21"/>
        </w:rPr>
        <w:t xml:space="preserve"> Investor Relations</w:t>
      </w:r>
      <w:r w:rsidR="0062093D" w:rsidRPr="006C7041">
        <w:rPr>
          <w:rFonts w:ascii="Times New Roman" w:eastAsia="宋体" w:hAnsi="Times New Roman" w:cs="Times New Roman"/>
          <w:kern w:val="0"/>
          <w:szCs w:val="21"/>
        </w:rPr>
        <w:t>. [online] ir.</w:t>
      </w:r>
      <w:r>
        <w:rPr>
          <w:rFonts w:ascii="Times New Roman" w:eastAsia="宋体" w:hAnsi="Times New Roman" w:cs="Times New Roman"/>
          <w:kern w:val="0"/>
          <w:szCs w:val="21"/>
        </w:rPr>
        <w:t>Tesla</w:t>
      </w:r>
      <w:r w:rsidR="0062093D" w:rsidRPr="006C7041">
        <w:rPr>
          <w:rFonts w:ascii="Times New Roman" w:eastAsia="宋体" w:hAnsi="Times New Roman" w:cs="Times New Roman"/>
          <w:kern w:val="0"/>
          <w:szCs w:val="21"/>
        </w:rPr>
        <w:t>.com. Available at: https://ir.</w:t>
      </w:r>
      <w:r>
        <w:rPr>
          <w:rFonts w:ascii="Times New Roman" w:eastAsia="宋体" w:hAnsi="Times New Roman" w:cs="Times New Roman"/>
          <w:kern w:val="0"/>
          <w:szCs w:val="21"/>
        </w:rPr>
        <w:t>Tesla</w:t>
      </w:r>
      <w:r w:rsidR="0062093D" w:rsidRPr="006C7041">
        <w:rPr>
          <w:rFonts w:ascii="Times New Roman" w:eastAsia="宋体" w:hAnsi="Times New Roman" w:cs="Times New Roman"/>
          <w:kern w:val="0"/>
          <w:szCs w:val="21"/>
        </w:rPr>
        <w:t>.com/press-release/</w:t>
      </w:r>
      <w:r>
        <w:rPr>
          <w:rFonts w:ascii="Times New Roman" w:eastAsia="宋体" w:hAnsi="Times New Roman" w:cs="Times New Roman"/>
          <w:kern w:val="0"/>
          <w:szCs w:val="21"/>
        </w:rPr>
        <w:t>Tesla</w:t>
      </w:r>
      <w:r w:rsidR="0062093D" w:rsidRPr="006C7041">
        <w:rPr>
          <w:rFonts w:ascii="Times New Roman" w:eastAsia="宋体" w:hAnsi="Times New Roman" w:cs="Times New Roman"/>
          <w:kern w:val="0"/>
          <w:szCs w:val="21"/>
        </w:rPr>
        <w:t>-vehicle-production-deliveries-and-date-financial-results-webcast-fourth-quarter-2023 [Accessed 7 Apr. 2024].</w:t>
      </w:r>
    </w:p>
    <w:p w:rsidR="0062093D" w:rsidRPr="006C7041" w:rsidRDefault="00171BF0" w:rsidP="006C7041">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Pr>
          <w:rFonts w:ascii="Times New Roman" w:eastAsia="宋体" w:hAnsi="Times New Roman" w:cs="Times New Roman"/>
          <w:kern w:val="0"/>
          <w:szCs w:val="21"/>
        </w:rPr>
        <w:t>Tesla</w:t>
      </w:r>
      <w:r w:rsidR="0062093D" w:rsidRPr="006C7041">
        <w:rPr>
          <w:rFonts w:ascii="Times New Roman" w:eastAsia="宋体" w:hAnsi="Times New Roman" w:cs="Times New Roman"/>
          <w:kern w:val="0"/>
          <w:szCs w:val="21"/>
        </w:rPr>
        <w:t xml:space="preserve">. (2014). </w:t>
      </w:r>
      <w:r w:rsidR="0062093D" w:rsidRPr="006C7041">
        <w:rPr>
          <w:rFonts w:ascii="Times New Roman" w:eastAsia="宋体" w:hAnsi="Times New Roman" w:cs="Times New Roman"/>
          <w:i/>
          <w:iCs/>
          <w:kern w:val="0"/>
          <w:szCs w:val="21"/>
        </w:rPr>
        <w:t xml:space="preserve">Panasonic and </w:t>
      </w:r>
      <w:r>
        <w:rPr>
          <w:rFonts w:ascii="Times New Roman" w:eastAsia="宋体" w:hAnsi="Times New Roman" w:cs="Times New Roman"/>
          <w:i/>
          <w:iCs/>
          <w:kern w:val="0"/>
          <w:szCs w:val="21"/>
        </w:rPr>
        <w:t>Tesla</w:t>
      </w:r>
      <w:r w:rsidR="0062093D" w:rsidRPr="006C7041">
        <w:rPr>
          <w:rFonts w:ascii="Times New Roman" w:eastAsia="宋体" w:hAnsi="Times New Roman" w:cs="Times New Roman"/>
          <w:i/>
          <w:iCs/>
          <w:kern w:val="0"/>
          <w:szCs w:val="21"/>
        </w:rPr>
        <w:t xml:space="preserve"> Reach Agreement to Expand Supply of Automotive-Grade Battery Cells | </w:t>
      </w:r>
      <w:r>
        <w:rPr>
          <w:rFonts w:ascii="Times New Roman" w:eastAsia="宋体" w:hAnsi="Times New Roman" w:cs="Times New Roman"/>
          <w:i/>
          <w:iCs/>
          <w:kern w:val="0"/>
          <w:szCs w:val="21"/>
        </w:rPr>
        <w:t>Tesla</w:t>
      </w:r>
      <w:r w:rsidR="0062093D" w:rsidRPr="006C7041">
        <w:rPr>
          <w:rFonts w:ascii="Times New Roman" w:eastAsia="宋体" w:hAnsi="Times New Roman" w:cs="Times New Roman"/>
          <w:i/>
          <w:iCs/>
          <w:kern w:val="0"/>
          <w:szCs w:val="21"/>
        </w:rPr>
        <w:t xml:space="preserve"> United Kingdom</w:t>
      </w:r>
      <w:r w:rsidR="0062093D" w:rsidRPr="006C7041">
        <w:rPr>
          <w:rFonts w:ascii="Times New Roman" w:eastAsia="宋体" w:hAnsi="Times New Roman" w:cs="Times New Roman"/>
          <w:kern w:val="0"/>
          <w:szCs w:val="21"/>
        </w:rPr>
        <w:t>. [online] Available at: https://www.</w:t>
      </w:r>
      <w:r>
        <w:rPr>
          <w:rFonts w:ascii="Times New Roman" w:eastAsia="宋体" w:hAnsi="Times New Roman" w:cs="Times New Roman"/>
          <w:kern w:val="0"/>
          <w:szCs w:val="21"/>
        </w:rPr>
        <w:t>Tesla</w:t>
      </w:r>
      <w:r w:rsidR="0062093D" w:rsidRPr="006C7041">
        <w:rPr>
          <w:rFonts w:ascii="Times New Roman" w:eastAsia="宋体" w:hAnsi="Times New Roman" w:cs="Times New Roman"/>
          <w:kern w:val="0"/>
          <w:szCs w:val="21"/>
        </w:rPr>
        <w:t>.com/en_gb/blog/panasonic-and-</w:t>
      </w:r>
      <w:r>
        <w:rPr>
          <w:rFonts w:ascii="Times New Roman" w:eastAsia="宋体" w:hAnsi="Times New Roman" w:cs="Times New Roman"/>
          <w:kern w:val="0"/>
          <w:szCs w:val="21"/>
        </w:rPr>
        <w:t>Tesla</w:t>
      </w:r>
      <w:r w:rsidR="0062093D" w:rsidRPr="006C7041">
        <w:rPr>
          <w:rFonts w:ascii="Times New Roman" w:eastAsia="宋体" w:hAnsi="Times New Roman" w:cs="Times New Roman"/>
          <w:kern w:val="0"/>
          <w:szCs w:val="21"/>
        </w:rPr>
        <w:t>-reach-agreement-expand-supply-automotivegrade-battery-cells [Accessed 18 Apr. 2024].</w:t>
      </w:r>
    </w:p>
    <w:p w:rsidR="0062093D" w:rsidRPr="006C7041" w:rsidRDefault="0062093D" w:rsidP="006C7041">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C7041">
        <w:rPr>
          <w:rFonts w:ascii="Times New Roman" w:eastAsia="宋体" w:hAnsi="Times New Roman" w:cs="Times New Roman"/>
          <w:kern w:val="0"/>
          <w:szCs w:val="21"/>
        </w:rPr>
        <w:t xml:space="preserve">Thomas, D. (2021). </w:t>
      </w:r>
      <w:r w:rsidR="00171BF0">
        <w:rPr>
          <w:rFonts w:ascii="Times New Roman" w:eastAsia="宋体" w:hAnsi="Times New Roman" w:cs="Times New Roman"/>
          <w:kern w:val="0"/>
          <w:szCs w:val="21"/>
        </w:rPr>
        <w:t>Tesla</w:t>
      </w:r>
      <w:r w:rsidRPr="006C7041">
        <w:rPr>
          <w:rFonts w:ascii="Times New Roman" w:eastAsia="宋体" w:hAnsi="Times New Roman" w:cs="Times New Roman"/>
          <w:kern w:val="0"/>
          <w:szCs w:val="21"/>
        </w:rPr>
        <w:t xml:space="preserve"> surpasses $1 trillion valuation after Hertz order. </w:t>
      </w:r>
      <w:r w:rsidRPr="006C7041">
        <w:rPr>
          <w:rFonts w:ascii="Times New Roman" w:eastAsia="宋体" w:hAnsi="Times New Roman" w:cs="Times New Roman"/>
          <w:i/>
          <w:iCs/>
          <w:kern w:val="0"/>
          <w:szCs w:val="21"/>
        </w:rPr>
        <w:t>BBC News</w:t>
      </w:r>
      <w:r w:rsidRPr="006C7041">
        <w:rPr>
          <w:rFonts w:ascii="Times New Roman" w:eastAsia="宋体" w:hAnsi="Times New Roman" w:cs="Times New Roman"/>
          <w:kern w:val="0"/>
          <w:szCs w:val="21"/>
        </w:rPr>
        <w:t>. [online] 25 Oct. Available at: https://www.bbc.co.uk/news/business-59045100 [Accessed 7 Apr. 2024].</w:t>
      </w:r>
    </w:p>
    <w:p w:rsidR="0062093D" w:rsidRPr="006C7041" w:rsidRDefault="0062093D" w:rsidP="006C7041">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C7041">
        <w:rPr>
          <w:rFonts w:ascii="Times New Roman" w:eastAsia="宋体" w:hAnsi="Times New Roman" w:cs="Times New Roman"/>
          <w:kern w:val="0"/>
          <w:szCs w:val="21"/>
        </w:rPr>
        <w:t xml:space="preserve">Trudell, C. and Horie, M. (2015). </w:t>
      </w:r>
      <w:r w:rsidR="00171BF0">
        <w:rPr>
          <w:rFonts w:ascii="Times New Roman" w:eastAsia="宋体" w:hAnsi="Times New Roman" w:cs="Times New Roman"/>
          <w:kern w:val="0"/>
          <w:szCs w:val="21"/>
        </w:rPr>
        <w:t>Tesla</w:t>
      </w:r>
      <w:r w:rsidRPr="006C7041">
        <w:rPr>
          <w:rFonts w:ascii="Times New Roman" w:eastAsia="宋体" w:hAnsi="Times New Roman" w:cs="Times New Roman"/>
          <w:kern w:val="0"/>
          <w:szCs w:val="21"/>
        </w:rPr>
        <w:t xml:space="preserve"> Pushes Japanese Suppliers as It Seeks Battery Partners. </w:t>
      </w:r>
      <w:r w:rsidRPr="006C7041">
        <w:rPr>
          <w:rFonts w:ascii="Times New Roman" w:eastAsia="宋体" w:hAnsi="Times New Roman" w:cs="Times New Roman"/>
          <w:i/>
          <w:iCs/>
          <w:kern w:val="0"/>
          <w:szCs w:val="21"/>
        </w:rPr>
        <w:t>Bloomberg.com</w:t>
      </w:r>
      <w:r w:rsidRPr="006C7041">
        <w:rPr>
          <w:rFonts w:ascii="Times New Roman" w:eastAsia="宋体" w:hAnsi="Times New Roman" w:cs="Times New Roman"/>
          <w:kern w:val="0"/>
          <w:szCs w:val="21"/>
        </w:rPr>
        <w:t>. [online] 27 Mar. Available at: https://www.bloomberg.com/news/articles/2015-03-27/</w:t>
      </w:r>
      <w:r w:rsidR="00171BF0">
        <w:rPr>
          <w:rFonts w:ascii="Times New Roman" w:eastAsia="宋体" w:hAnsi="Times New Roman" w:cs="Times New Roman"/>
          <w:kern w:val="0"/>
          <w:szCs w:val="21"/>
        </w:rPr>
        <w:t>Tesla</w:t>
      </w:r>
      <w:r w:rsidRPr="006C7041">
        <w:rPr>
          <w:rFonts w:ascii="Times New Roman" w:eastAsia="宋体" w:hAnsi="Times New Roman" w:cs="Times New Roman"/>
          <w:kern w:val="0"/>
          <w:szCs w:val="21"/>
        </w:rPr>
        <w:t>-pushes-japanese-suppliers-as-it-seeks-battery-partners?embedded-checkout=true [Accessed 6 Apr. 2024].</w:t>
      </w:r>
    </w:p>
    <w:p w:rsidR="0062093D" w:rsidRPr="006C7041" w:rsidRDefault="0062093D" w:rsidP="006C7041">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C7041">
        <w:rPr>
          <w:rFonts w:ascii="Times New Roman" w:eastAsia="宋体" w:hAnsi="Times New Roman" w:cs="Times New Roman"/>
          <w:kern w:val="0"/>
          <w:szCs w:val="21"/>
        </w:rPr>
        <w:t xml:space="preserve">uk.finance.yahoo.com. (2024). </w:t>
      </w:r>
      <w:r w:rsidR="00171BF0">
        <w:rPr>
          <w:rFonts w:ascii="Times New Roman" w:eastAsia="宋体" w:hAnsi="Times New Roman" w:cs="Times New Roman"/>
          <w:i/>
          <w:iCs/>
          <w:kern w:val="0"/>
          <w:szCs w:val="21"/>
        </w:rPr>
        <w:t>Tesla</w:t>
      </w:r>
      <w:r w:rsidRPr="006C7041">
        <w:rPr>
          <w:rFonts w:ascii="Times New Roman" w:eastAsia="宋体" w:hAnsi="Times New Roman" w:cs="Times New Roman"/>
          <w:i/>
          <w:iCs/>
          <w:kern w:val="0"/>
          <w:szCs w:val="21"/>
        </w:rPr>
        <w:t>, Inc. (TSLA) stock historical prices &amp; data – Yahoo Finance</w:t>
      </w:r>
      <w:r w:rsidRPr="006C7041">
        <w:rPr>
          <w:rFonts w:ascii="Times New Roman" w:eastAsia="宋体" w:hAnsi="Times New Roman" w:cs="Times New Roman"/>
          <w:kern w:val="0"/>
          <w:szCs w:val="21"/>
        </w:rPr>
        <w:t>. [online] Available at: https://uk.finance.yahoo.com/quote/TSLA/history.</w:t>
      </w:r>
    </w:p>
    <w:p w:rsidR="0062093D" w:rsidRPr="006C7041" w:rsidRDefault="0062093D" w:rsidP="006C7041">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C7041">
        <w:rPr>
          <w:rFonts w:ascii="Times New Roman" w:eastAsia="宋体" w:hAnsi="Times New Roman" w:cs="Times New Roman"/>
          <w:kern w:val="0"/>
          <w:szCs w:val="21"/>
        </w:rPr>
        <w:t xml:space="preserve">Weetman, P. (2013). </w:t>
      </w:r>
      <w:r w:rsidRPr="006C7041">
        <w:rPr>
          <w:rFonts w:ascii="Times New Roman" w:eastAsia="宋体" w:hAnsi="Times New Roman" w:cs="Times New Roman"/>
          <w:i/>
          <w:iCs/>
          <w:kern w:val="0"/>
          <w:szCs w:val="21"/>
        </w:rPr>
        <w:t>Financial and management accounting : an introduction.</w:t>
      </w:r>
      <w:r w:rsidRPr="006C7041">
        <w:rPr>
          <w:rFonts w:ascii="Times New Roman" w:eastAsia="宋体" w:hAnsi="Times New Roman" w:cs="Times New Roman"/>
          <w:kern w:val="0"/>
          <w:szCs w:val="21"/>
        </w:rPr>
        <w:t xml:space="preserve"> 6th ed. Harlow: Prentice Hall Financial Times, p.351.</w:t>
      </w:r>
    </w:p>
    <w:p w:rsidR="0062093D" w:rsidRPr="006C7041" w:rsidRDefault="0062093D" w:rsidP="006C7041">
      <w:pPr>
        <w:pStyle w:val="ab"/>
        <w:widowControl/>
        <w:numPr>
          <w:ilvl w:val="0"/>
          <w:numId w:val="7"/>
        </w:numPr>
        <w:spacing w:after="240" w:line="360" w:lineRule="auto"/>
        <w:ind w:firstLineChars="0"/>
        <w:jc w:val="left"/>
        <w:rPr>
          <w:rFonts w:ascii="Times New Roman" w:eastAsia="宋体" w:hAnsi="Times New Roman" w:cs="Times New Roman"/>
          <w:kern w:val="0"/>
          <w:szCs w:val="21"/>
        </w:rPr>
      </w:pPr>
      <w:r w:rsidRPr="006C7041">
        <w:rPr>
          <w:rFonts w:ascii="Times New Roman" w:eastAsia="宋体" w:hAnsi="Times New Roman" w:cs="Times New Roman"/>
          <w:kern w:val="0"/>
          <w:szCs w:val="21"/>
        </w:rPr>
        <w:t xml:space="preserve">WESOFF , E. (2014). </w:t>
      </w:r>
      <w:r w:rsidR="00171BF0">
        <w:rPr>
          <w:rFonts w:ascii="Times New Roman" w:eastAsia="宋体" w:hAnsi="Times New Roman" w:cs="Times New Roman"/>
          <w:i/>
          <w:iCs/>
          <w:kern w:val="0"/>
          <w:szCs w:val="21"/>
        </w:rPr>
        <w:t>Tesla</w:t>
      </w:r>
      <w:r w:rsidRPr="006C7041">
        <w:rPr>
          <w:rFonts w:ascii="Times New Roman" w:eastAsia="宋体" w:hAnsi="Times New Roman" w:cs="Times New Roman"/>
          <w:i/>
          <w:iCs/>
          <w:kern w:val="0"/>
          <w:szCs w:val="21"/>
        </w:rPr>
        <w:t>’s $5B Giga Battery Factory and Deep Politics in AZ, TX, NV and NM</w:t>
      </w:r>
      <w:r w:rsidRPr="006C7041">
        <w:rPr>
          <w:rFonts w:ascii="Times New Roman" w:eastAsia="宋体" w:hAnsi="Times New Roman" w:cs="Times New Roman"/>
          <w:kern w:val="0"/>
          <w:szCs w:val="21"/>
        </w:rPr>
        <w:t>. [online] www.greentechmedia.com. Available at: https://www.greentechmedia.com/articles/read/</w:t>
      </w:r>
      <w:r w:rsidR="00171BF0">
        <w:rPr>
          <w:rFonts w:ascii="Times New Roman" w:eastAsia="宋体" w:hAnsi="Times New Roman" w:cs="Times New Roman"/>
          <w:kern w:val="0"/>
          <w:szCs w:val="21"/>
        </w:rPr>
        <w:t>Tesla</w:t>
      </w:r>
      <w:r w:rsidRPr="006C7041">
        <w:rPr>
          <w:rFonts w:ascii="Times New Roman" w:eastAsia="宋体" w:hAnsi="Times New Roman" w:cs="Times New Roman"/>
          <w:kern w:val="0"/>
          <w:szCs w:val="21"/>
        </w:rPr>
        <w:t>s-5b-giga-battery-factory-and-deep-politics-in-az-tx-nv-and-nm [Accessed 6 Apr. 2024].</w:t>
      </w:r>
    </w:p>
    <w:p w:rsidR="002420FE" w:rsidRPr="0062093D" w:rsidRDefault="002420FE">
      <w:pPr>
        <w:widowControl/>
        <w:jc w:val="left"/>
        <w:rPr>
          <w:rFonts w:ascii="Cambria" w:hAnsi="Cambria"/>
          <w:szCs w:val="21"/>
        </w:rPr>
      </w:pPr>
      <w:r w:rsidRPr="0062093D">
        <w:rPr>
          <w:rFonts w:ascii="Cambria" w:hAnsi="Cambria"/>
          <w:szCs w:val="21"/>
        </w:rPr>
        <w:br w:type="page"/>
      </w:r>
    </w:p>
    <w:p w:rsidR="00874DB1" w:rsidRPr="001476F7" w:rsidRDefault="002420FE" w:rsidP="00874DB1">
      <w:pPr>
        <w:rPr>
          <w:rFonts w:ascii="Cambria" w:hAnsi="Cambria"/>
          <w:b/>
          <w:sz w:val="24"/>
          <w:szCs w:val="24"/>
        </w:rPr>
      </w:pPr>
      <w:r w:rsidRPr="001476F7">
        <w:rPr>
          <w:rFonts w:hint="eastAsia"/>
          <w:b/>
          <w:kern w:val="0"/>
          <w:sz w:val="24"/>
          <w:szCs w:val="24"/>
        </w:rPr>
        <w:lastRenderedPageBreak/>
        <w:t>Appendix A</w:t>
      </w:r>
      <w:r w:rsidR="00BD4D14" w:rsidRPr="001476F7">
        <w:rPr>
          <w:rFonts w:hint="eastAsia"/>
          <w:b/>
          <w:kern w:val="0"/>
          <w:sz w:val="24"/>
          <w:szCs w:val="24"/>
        </w:rPr>
        <w:t xml:space="preserve">. </w:t>
      </w:r>
      <w:r w:rsidR="002B6870" w:rsidRPr="001476F7">
        <w:rPr>
          <w:rFonts w:ascii="Cambria" w:hAnsi="Cambria" w:hint="eastAsia"/>
          <w:b/>
          <w:sz w:val="24"/>
          <w:szCs w:val="24"/>
        </w:rPr>
        <w:t>Tesla</w:t>
      </w:r>
      <w:r w:rsidR="002B6870" w:rsidRPr="001476F7">
        <w:rPr>
          <w:rFonts w:ascii="Cambria" w:hAnsi="Cambria"/>
          <w:b/>
          <w:sz w:val="24"/>
          <w:szCs w:val="24"/>
        </w:rPr>
        <w:t>’</w:t>
      </w:r>
      <w:r w:rsidR="002B6870" w:rsidRPr="001476F7">
        <w:rPr>
          <w:rFonts w:ascii="Cambria" w:hAnsi="Cambria" w:hint="eastAsia"/>
          <w:b/>
          <w:sz w:val="24"/>
          <w:szCs w:val="24"/>
        </w:rPr>
        <w:t>s financial results for the last five years</w:t>
      </w:r>
      <w:r w:rsidR="00BD4D14" w:rsidRPr="001476F7">
        <w:rPr>
          <w:rFonts w:hint="eastAsia"/>
          <w:b/>
          <w:kern w:val="0"/>
          <w:sz w:val="24"/>
          <w:szCs w:val="24"/>
        </w:rPr>
        <w:t xml:space="preserve"> </w:t>
      </w:r>
      <w:r w:rsidR="00BD4D14" w:rsidRPr="001476F7">
        <w:rPr>
          <w:b/>
          <w:kern w:val="0"/>
          <w:sz w:val="24"/>
          <w:szCs w:val="24"/>
        </w:rPr>
        <w:t>(Wall Street Journal, 2023)</w:t>
      </w:r>
    </w:p>
    <w:tbl>
      <w:tblPr>
        <w:tblW w:w="9867" w:type="dxa"/>
        <w:tblInd w:w="108" w:type="dxa"/>
        <w:tblLook w:val="04A0"/>
      </w:tblPr>
      <w:tblGrid>
        <w:gridCol w:w="3544"/>
        <w:gridCol w:w="1238"/>
        <w:gridCol w:w="1305"/>
        <w:gridCol w:w="1300"/>
        <w:gridCol w:w="1300"/>
        <w:gridCol w:w="1180"/>
      </w:tblGrid>
      <w:tr w:rsidR="00AB4FF7" w:rsidRPr="000B1114" w:rsidTr="00203755">
        <w:trPr>
          <w:trHeight w:val="270"/>
        </w:trPr>
        <w:tc>
          <w:tcPr>
            <w:tcW w:w="3544" w:type="dxa"/>
            <w:tcBorders>
              <w:top w:val="single" w:sz="4" w:space="0" w:color="auto"/>
              <w:left w:val="single" w:sz="4" w:space="0" w:color="auto"/>
              <w:bottom w:val="single" w:sz="4" w:space="0" w:color="auto"/>
              <w:right w:val="single" w:sz="4" w:space="0" w:color="auto"/>
            </w:tcBorders>
            <w:shd w:val="clear" w:color="000000" w:fill="3E5174"/>
            <w:vAlign w:val="center"/>
            <w:hideMark/>
          </w:tcPr>
          <w:p w:rsidR="00AB4FF7" w:rsidRPr="000B1114" w:rsidRDefault="00AB4FF7" w:rsidP="00AB4FF7">
            <w:pPr>
              <w:widowControl/>
              <w:jc w:val="center"/>
              <w:rPr>
                <w:rFonts w:ascii="Arial" w:eastAsia="宋体" w:hAnsi="Arial" w:cs="Arial"/>
                <w:color w:val="FFFFFF"/>
                <w:kern w:val="0"/>
                <w:sz w:val="18"/>
                <w:szCs w:val="18"/>
              </w:rPr>
            </w:pPr>
            <w:r w:rsidRPr="000B1114">
              <w:rPr>
                <w:rFonts w:ascii="Arial" w:eastAsia="宋体" w:hAnsi="Arial" w:cs="Arial"/>
                <w:color w:val="FFFFFF"/>
                <w:kern w:val="0"/>
                <w:sz w:val="18"/>
                <w:szCs w:val="18"/>
              </w:rPr>
              <w:t>Income Statement:</w:t>
            </w:r>
          </w:p>
        </w:tc>
        <w:tc>
          <w:tcPr>
            <w:tcW w:w="1238" w:type="dxa"/>
            <w:tcBorders>
              <w:top w:val="single" w:sz="4" w:space="0" w:color="auto"/>
              <w:left w:val="nil"/>
              <w:bottom w:val="single" w:sz="4" w:space="0" w:color="auto"/>
              <w:right w:val="single" w:sz="4" w:space="0" w:color="auto"/>
            </w:tcBorders>
            <w:shd w:val="clear" w:color="000000" w:fill="3E5174"/>
            <w:noWrap/>
            <w:vAlign w:val="center"/>
            <w:hideMark/>
          </w:tcPr>
          <w:p w:rsidR="00AB4FF7" w:rsidRPr="000B1114" w:rsidRDefault="00AB4FF7" w:rsidP="00AB4FF7">
            <w:pPr>
              <w:widowControl/>
              <w:jc w:val="center"/>
              <w:rPr>
                <w:rFonts w:ascii="Arial" w:eastAsia="宋体" w:hAnsi="Arial" w:cs="Arial"/>
                <w:color w:val="FFFFFF"/>
                <w:kern w:val="0"/>
                <w:sz w:val="18"/>
                <w:szCs w:val="18"/>
              </w:rPr>
            </w:pPr>
            <w:r w:rsidRPr="000B1114">
              <w:rPr>
                <w:rFonts w:ascii="Arial" w:eastAsia="宋体" w:hAnsi="Arial" w:cs="Arial"/>
                <w:color w:val="FFFFFF"/>
                <w:kern w:val="0"/>
                <w:sz w:val="18"/>
                <w:szCs w:val="18"/>
              </w:rPr>
              <w:t>31/12/2023</w:t>
            </w:r>
          </w:p>
        </w:tc>
        <w:tc>
          <w:tcPr>
            <w:tcW w:w="1305" w:type="dxa"/>
            <w:tcBorders>
              <w:top w:val="single" w:sz="4" w:space="0" w:color="auto"/>
              <w:left w:val="nil"/>
              <w:bottom w:val="single" w:sz="4" w:space="0" w:color="auto"/>
              <w:right w:val="single" w:sz="4" w:space="0" w:color="auto"/>
            </w:tcBorders>
            <w:shd w:val="clear" w:color="000000" w:fill="3E5174"/>
            <w:noWrap/>
            <w:vAlign w:val="center"/>
            <w:hideMark/>
          </w:tcPr>
          <w:p w:rsidR="00AB4FF7" w:rsidRPr="000B1114" w:rsidRDefault="00AB4FF7" w:rsidP="00AB4FF7">
            <w:pPr>
              <w:widowControl/>
              <w:jc w:val="center"/>
              <w:rPr>
                <w:rFonts w:ascii="Arial" w:eastAsia="宋体" w:hAnsi="Arial" w:cs="Arial"/>
                <w:color w:val="FFFFFF"/>
                <w:kern w:val="0"/>
                <w:sz w:val="18"/>
                <w:szCs w:val="18"/>
              </w:rPr>
            </w:pPr>
            <w:r w:rsidRPr="000B1114">
              <w:rPr>
                <w:rFonts w:ascii="Arial" w:eastAsia="宋体" w:hAnsi="Arial" w:cs="Arial"/>
                <w:color w:val="FFFFFF"/>
                <w:kern w:val="0"/>
                <w:sz w:val="18"/>
                <w:szCs w:val="18"/>
              </w:rPr>
              <w:t>31/12/2022</w:t>
            </w:r>
          </w:p>
        </w:tc>
        <w:tc>
          <w:tcPr>
            <w:tcW w:w="1300" w:type="dxa"/>
            <w:tcBorders>
              <w:top w:val="single" w:sz="4" w:space="0" w:color="auto"/>
              <w:left w:val="nil"/>
              <w:bottom w:val="single" w:sz="4" w:space="0" w:color="auto"/>
              <w:right w:val="single" w:sz="4" w:space="0" w:color="auto"/>
            </w:tcBorders>
            <w:shd w:val="clear" w:color="000000" w:fill="3E5174"/>
            <w:noWrap/>
            <w:vAlign w:val="center"/>
            <w:hideMark/>
          </w:tcPr>
          <w:p w:rsidR="00AB4FF7" w:rsidRPr="000B1114" w:rsidRDefault="00AB4FF7" w:rsidP="00AB4FF7">
            <w:pPr>
              <w:widowControl/>
              <w:jc w:val="center"/>
              <w:rPr>
                <w:rFonts w:ascii="Arial" w:eastAsia="宋体" w:hAnsi="Arial" w:cs="Arial"/>
                <w:color w:val="FFFFFF"/>
                <w:kern w:val="0"/>
                <w:sz w:val="18"/>
                <w:szCs w:val="18"/>
              </w:rPr>
            </w:pPr>
            <w:r w:rsidRPr="000B1114">
              <w:rPr>
                <w:rFonts w:ascii="Arial" w:eastAsia="宋体" w:hAnsi="Arial" w:cs="Arial"/>
                <w:color w:val="FFFFFF"/>
                <w:kern w:val="0"/>
                <w:sz w:val="18"/>
                <w:szCs w:val="18"/>
              </w:rPr>
              <w:t>31/12/2021</w:t>
            </w:r>
          </w:p>
        </w:tc>
        <w:tc>
          <w:tcPr>
            <w:tcW w:w="1300" w:type="dxa"/>
            <w:tcBorders>
              <w:top w:val="single" w:sz="4" w:space="0" w:color="auto"/>
              <w:left w:val="nil"/>
              <w:bottom w:val="single" w:sz="4" w:space="0" w:color="auto"/>
              <w:right w:val="single" w:sz="4" w:space="0" w:color="auto"/>
            </w:tcBorders>
            <w:shd w:val="clear" w:color="000000" w:fill="3E5174"/>
            <w:noWrap/>
            <w:vAlign w:val="center"/>
            <w:hideMark/>
          </w:tcPr>
          <w:p w:rsidR="00AB4FF7" w:rsidRPr="000B1114" w:rsidRDefault="00AB4FF7" w:rsidP="00AB4FF7">
            <w:pPr>
              <w:widowControl/>
              <w:jc w:val="center"/>
              <w:rPr>
                <w:rFonts w:ascii="Arial" w:eastAsia="宋体" w:hAnsi="Arial" w:cs="Arial"/>
                <w:color w:val="FFFFFF"/>
                <w:kern w:val="0"/>
                <w:sz w:val="18"/>
                <w:szCs w:val="18"/>
              </w:rPr>
            </w:pPr>
            <w:r w:rsidRPr="000B1114">
              <w:rPr>
                <w:rFonts w:ascii="Arial" w:eastAsia="宋体" w:hAnsi="Arial" w:cs="Arial"/>
                <w:color w:val="FFFFFF"/>
                <w:kern w:val="0"/>
                <w:sz w:val="18"/>
                <w:szCs w:val="18"/>
              </w:rPr>
              <w:t>31/12/2020</w:t>
            </w:r>
          </w:p>
        </w:tc>
        <w:tc>
          <w:tcPr>
            <w:tcW w:w="1180" w:type="dxa"/>
            <w:tcBorders>
              <w:top w:val="single" w:sz="4" w:space="0" w:color="auto"/>
              <w:left w:val="nil"/>
              <w:bottom w:val="single" w:sz="4" w:space="0" w:color="auto"/>
              <w:right w:val="single" w:sz="4" w:space="0" w:color="auto"/>
            </w:tcBorders>
            <w:shd w:val="clear" w:color="000000" w:fill="3E5174"/>
            <w:noWrap/>
            <w:vAlign w:val="center"/>
            <w:hideMark/>
          </w:tcPr>
          <w:p w:rsidR="00AB4FF7" w:rsidRPr="000B1114" w:rsidRDefault="00AB4FF7" w:rsidP="00AB4FF7">
            <w:pPr>
              <w:widowControl/>
              <w:jc w:val="center"/>
              <w:rPr>
                <w:rFonts w:ascii="Arial" w:eastAsia="宋体" w:hAnsi="Arial" w:cs="Arial"/>
                <w:color w:val="FFFFFF"/>
                <w:kern w:val="0"/>
                <w:sz w:val="18"/>
                <w:szCs w:val="18"/>
              </w:rPr>
            </w:pPr>
            <w:r w:rsidRPr="000B1114">
              <w:rPr>
                <w:rFonts w:ascii="Arial" w:eastAsia="宋体" w:hAnsi="Arial" w:cs="Arial"/>
                <w:color w:val="FFFFFF"/>
                <w:kern w:val="0"/>
                <w:sz w:val="18"/>
                <w:szCs w:val="18"/>
              </w:rPr>
              <w:t>31/12/2019</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D1DBE4"/>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 xml:space="preserve">　</w:t>
            </w:r>
          </w:p>
        </w:tc>
        <w:tc>
          <w:tcPr>
            <w:tcW w:w="1238" w:type="dxa"/>
            <w:tcBorders>
              <w:top w:val="nil"/>
              <w:left w:val="nil"/>
              <w:bottom w:val="single" w:sz="4" w:space="0" w:color="auto"/>
              <w:right w:val="single" w:sz="4" w:space="0" w:color="auto"/>
            </w:tcBorders>
            <w:shd w:val="clear" w:color="000000" w:fill="D1DBE4"/>
            <w:noWrap/>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 (Millions)</w:t>
            </w:r>
          </w:p>
        </w:tc>
        <w:tc>
          <w:tcPr>
            <w:tcW w:w="1305" w:type="dxa"/>
            <w:tcBorders>
              <w:top w:val="nil"/>
              <w:left w:val="nil"/>
              <w:bottom w:val="single" w:sz="4" w:space="0" w:color="auto"/>
              <w:right w:val="single" w:sz="4" w:space="0" w:color="auto"/>
            </w:tcBorders>
            <w:shd w:val="clear" w:color="000000" w:fill="D1DBE4"/>
            <w:noWrap/>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 (Millions)</w:t>
            </w:r>
          </w:p>
        </w:tc>
        <w:tc>
          <w:tcPr>
            <w:tcW w:w="1300" w:type="dxa"/>
            <w:tcBorders>
              <w:top w:val="nil"/>
              <w:left w:val="nil"/>
              <w:bottom w:val="single" w:sz="4" w:space="0" w:color="auto"/>
              <w:right w:val="single" w:sz="4" w:space="0" w:color="auto"/>
            </w:tcBorders>
            <w:shd w:val="clear" w:color="000000" w:fill="D1DBE4"/>
            <w:noWrap/>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 (Millions)</w:t>
            </w:r>
          </w:p>
        </w:tc>
        <w:tc>
          <w:tcPr>
            <w:tcW w:w="1300" w:type="dxa"/>
            <w:tcBorders>
              <w:top w:val="nil"/>
              <w:left w:val="nil"/>
              <w:bottom w:val="single" w:sz="4" w:space="0" w:color="auto"/>
              <w:right w:val="single" w:sz="4" w:space="0" w:color="auto"/>
            </w:tcBorders>
            <w:shd w:val="clear" w:color="000000" w:fill="D1DBE4"/>
            <w:noWrap/>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 (Millions)</w:t>
            </w:r>
          </w:p>
        </w:tc>
        <w:tc>
          <w:tcPr>
            <w:tcW w:w="1180" w:type="dxa"/>
            <w:tcBorders>
              <w:top w:val="nil"/>
              <w:left w:val="nil"/>
              <w:bottom w:val="single" w:sz="4" w:space="0" w:color="auto"/>
              <w:right w:val="single" w:sz="4" w:space="0" w:color="auto"/>
            </w:tcBorders>
            <w:shd w:val="clear" w:color="000000" w:fill="D1DBE4"/>
            <w:noWrap/>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 (Millions)</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Revenue:</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96,773.00</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81,462.00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53,823.00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31,536.00</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24,578.00</w:t>
            </w:r>
          </w:p>
        </w:tc>
      </w:tr>
      <w:tr w:rsidR="00AB4FF7" w:rsidRPr="000B1114" w:rsidTr="00203755">
        <w:trPr>
          <w:trHeight w:val="289"/>
        </w:trPr>
        <w:tc>
          <w:tcPr>
            <w:tcW w:w="3544" w:type="dxa"/>
            <w:tcBorders>
              <w:top w:val="nil"/>
              <w:left w:val="single" w:sz="4" w:space="0" w:color="auto"/>
              <w:bottom w:val="single" w:sz="4" w:space="0" w:color="auto"/>
              <w:right w:val="single" w:sz="4" w:space="0" w:color="auto"/>
            </w:tcBorders>
            <w:shd w:val="clear" w:color="000000" w:fill="ECF1F5"/>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Operating Profit / (Loss):</w:t>
            </w:r>
          </w:p>
        </w:tc>
        <w:tc>
          <w:tcPr>
            <w:tcW w:w="1238"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8,891.00</w:t>
            </w:r>
          </w:p>
        </w:tc>
        <w:tc>
          <w:tcPr>
            <w:tcW w:w="1305"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13,656.00</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6,523.00</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1,994.00</w:t>
            </w:r>
          </w:p>
        </w:tc>
        <w:tc>
          <w:tcPr>
            <w:tcW w:w="118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-69</w:t>
            </w:r>
          </w:p>
        </w:tc>
      </w:tr>
      <w:tr w:rsidR="00AB4FF7" w:rsidRPr="000B1114" w:rsidTr="00203755">
        <w:trPr>
          <w:trHeight w:val="289"/>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Net Income</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14999</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12583</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5524</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690</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-862</w:t>
            </w:r>
          </w:p>
        </w:tc>
      </w:tr>
      <w:tr w:rsidR="00AB4FF7" w:rsidRPr="000B1114" w:rsidTr="00203755">
        <w:trPr>
          <w:trHeight w:val="289"/>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Gross Profit</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17660</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20853</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13606</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6630</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4069</w:t>
            </w:r>
          </w:p>
        </w:tc>
      </w:tr>
      <w:tr w:rsidR="00AB4FF7" w:rsidRPr="000B1114" w:rsidTr="00203755">
        <w:trPr>
          <w:trHeight w:val="330"/>
        </w:trPr>
        <w:tc>
          <w:tcPr>
            <w:tcW w:w="3544" w:type="dxa"/>
            <w:tcBorders>
              <w:top w:val="nil"/>
              <w:left w:val="single" w:sz="4" w:space="0" w:color="auto"/>
              <w:bottom w:val="single" w:sz="4" w:space="0" w:color="auto"/>
              <w:right w:val="single" w:sz="4" w:space="0" w:color="auto"/>
            </w:tcBorders>
            <w:shd w:val="clear" w:color="000000" w:fill="ECF1F5"/>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Profit Before Tax:</w:t>
            </w:r>
          </w:p>
        </w:tc>
        <w:tc>
          <w:tcPr>
            <w:tcW w:w="1238"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9,973.00</w:t>
            </w:r>
          </w:p>
        </w:tc>
        <w:tc>
          <w:tcPr>
            <w:tcW w:w="1305"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13,719.00</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6,343.00</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1,154.00</w:t>
            </w:r>
          </w:p>
        </w:tc>
        <w:tc>
          <w:tcPr>
            <w:tcW w:w="118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-665</w:t>
            </w:r>
          </w:p>
        </w:tc>
      </w:tr>
      <w:tr w:rsidR="00AB4FF7" w:rsidRPr="000B1114" w:rsidTr="00203755">
        <w:trPr>
          <w:trHeight w:val="246"/>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P</w:t>
            </w:r>
            <w:r w:rsidR="00203755">
              <w:rPr>
                <w:rFonts w:ascii="Arial" w:eastAsia="宋体" w:hAnsi="Arial" w:cs="Arial"/>
                <w:color w:val="000000"/>
                <w:kern w:val="0"/>
                <w:sz w:val="18"/>
                <w:szCs w:val="18"/>
              </w:rPr>
              <w:t>rofit after tax from continuing</w:t>
            </w:r>
            <w:r w:rsidR="00203755">
              <w:rPr>
                <w:rFonts w:ascii="Arial" w:eastAsia="宋体" w:hAnsi="Arial" w:cs="Arial" w:hint="eastAsia"/>
                <w:color w:val="000000"/>
                <w:kern w:val="0"/>
                <w:sz w:val="18"/>
                <w:szCs w:val="18"/>
              </w:rPr>
              <w:t xml:space="preserve"> </w:t>
            </w:r>
            <w:r w:rsidRPr="000B1114">
              <w:rPr>
                <w:rFonts w:ascii="Arial" w:eastAsia="宋体" w:hAnsi="Arial" w:cs="Arial"/>
                <w:color w:val="000000"/>
                <w:kern w:val="0"/>
                <w:sz w:val="18"/>
                <w:szCs w:val="18"/>
              </w:rPr>
              <w:t>operations:</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14,974.00</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12,587.00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5,644.00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862</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-775</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Basic:</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473.00¢</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402.00¢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187.02¢</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24.67¢</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-32.67¢</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ECF1F5"/>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Diluted:</w:t>
            </w:r>
          </w:p>
        </w:tc>
        <w:tc>
          <w:tcPr>
            <w:tcW w:w="1238"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n/a</w:t>
            </w:r>
          </w:p>
        </w:tc>
        <w:tc>
          <w:tcPr>
            <w:tcW w:w="1305"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n/a</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n/a</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n/a</w:t>
            </w:r>
          </w:p>
        </w:tc>
        <w:tc>
          <w:tcPr>
            <w:tcW w:w="118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n/a</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Adjusted:</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473.00¢</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402.00¢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187.02¢</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24.67¢</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-32.67¢</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ECF1F5"/>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Dividend per Share:</w:t>
            </w:r>
          </w:p>
        </w:tc>
        <w:tc>
          <w:tcPr>
            <w:tcW w:w="1238"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 xml:space="preserve">$0.00 </w:t>
            </w:r>
          </w:p>
        </w:tc>
        <w:tc>
          <w:tcPr>
            <w:tcW w:w="1305"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 xml:space="preserve">$0.00 </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 xml:space="preserve">$0.00 </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 xml:space="preserve">$0.00 </w:t>
            </w:r>
          </w:p>
        </w:tc>
        <w:tc>
          <w:tcPr>
            <w:tcW w:w="118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 xml:space="preserve">$0.00 </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3E5174"/>
            <w:vAlign w:val="center"/>
            <w:hideMark/>
          </w:tcPr>
          <w:p w:rsidR="00AB4FF7" w:rsidRPr="000B1114" w:rsidRDefault="00AB4FF7" w:rsidP="00AB4FF7">
            <w:pPr>
              <w:widowControl/>
              <w:jc w:val="center"/>
              <w:rPr>
                <w:rFonts w:ascii="Arial" w:eastAsia="宋体" w:hAnsi="Arial" w:cs="Arial"/>
                <w:color w:val="FFFFFF"/>
                <w:kern w:val="0"/>
                <w:sz w:val="18"/>
                <w:szCs w:val="18"/>
              </w:rPr>
            </w:pPr>
            <w:r w:rsidRPr="000B1114">
              <w:rPr>
                <w:rFonts w:ascii="Arial" w:eastAsia="宋体" w:hAnsi="Arial" w:cs="Arial"/>
                <w:color w:val="FFFFFF"/>
                <w:kern w:val="0"/>
                <w:sz w:val="18"/>
                <w:szCs w:val="18"/>
              </w:rPr>
              <w:t>Balance Sheet:</w:t>
            </w:r>
          </w:p>
        </w:tc>
        <w:tc>
          <w:tcPr>
            <w:tcW w:w="1238" w:type="dxa"/>
            <w:tcBorders>
              <w:top w:val="nil"/>
              <w:left w:val="nil"/>
              <w:bottom w:val="single" w:sz="4" w:space="0" w:color="auto"/>
              <w:right w:val="single" w:sz="4" w:space="0" w:color="auto"/>
            </w:tcBorders>
            <w:shd w:val="clear" w:color="000000" w:fill="3E5174"/>
            <w:noWrap/>
            <w:vAlign w:val="center"/>
            <w:hideMark/>
          </w:tcPr>
          <w:p w:rsidR="00AB4FF7" w:rsidRPr="000B1114" w:rsidRDefault="00AB4FF7" w:rsidP="00AB4FF7">
            <w:pPr>
              <w:widowControl/>
              <w:jc w:val="center"/>
              <w:rPr>
                <w:rFonts w:ascii="Arial" w:eastAsia="宋体" w:hAnsi="Arial" w:cs="Arial"/>
                <w:color w:val="FFFFFF"/>
                <w:kern w:val="0"/>
                <w:sz w:val="18"/>
                <w:szCs w:val="18"/>
              </w:rPr>
            </w:pPr>
            <w:r w:rsidRPr="000B1114">
              <w:rPr>
                <w:rFonts w:ascii="Arial" w:eastAsia="宋体" w:hAnsi="Arial" w:cs="Arial"/>
                <w:color w:val="FFFFFF"/>
                <w:kern w:val="0"/>
                <w:sz w:val="18"/>
                <w:szCs w:val="18"/>
              </w:rPr>
              <w:t>31/12/2023</w:t>
            </w:r>
          </w:p>
        </w:tc>
        <w:tc>
          <w:tcPr>
            <w:tcW w:w="1305" w:type="dxa"/>
            <w:tcBorders>
              <w:top w:val="nil"/>
              <w:left w:val="nil"/>
              <w:bottom w:val="single" w:sz="4" w:space="0" w:color="auto"/>
              <w:right w:val="single" w:sz="4" w:space="0" w:color="auto"/>
            </w:tcBorders>
            <w:shd w:val="clear" w:color="000000" w:fill="3E5174"/>
            <w:noWrap/>
            <w:vAlign w:val="center"/>
            <w:hideMark/>
          </w:tcPr>
          <w:p w:rsidR="00AB4FF7" w:rsidRPr="000B1114" w:rsidRDefault="00AB4FF7" w:rsidP="00AB4FF7">
            <w:pPr>
              <w:widowControl/>
              <w:jc w:val="center"/>
              <w:rPr>
                <w:rFonts w:ascii="Arial" w:eastAsia="宋体" w:hAnsi="Arial" w:cs="Arial"/>
                <w:color w:val="FFFFFF"/>
                <w:kern w:val="0"/>
                <w:sz w:val="18"/>
                <w:szCs w:val="18"/>
              </w:rPr>
            </w:pPr>
            <w:r w:rsidRPr="000B1114">
              <w:rPr>
                <w:rFonts w:ascii="Arial" w:eastAsia="宋体" w:hAnsi="Arial" w:cs="Arial"/>
                <w:color w:val="FFFFFF"/>
                <w:kern w:val="0"/>
                <w:sz w:val="18"/>
                <w:szCs w:val="18"/>
              </w:rPr>
              <w:t>31/12/2022</w:t>
            </w:r>
          </w:p>
        </w:tc>
        <w:tc>
          <w:tcPr>
            <w:tcW w:w="1300" w:type="dxa"/>
            <w:tcBorders>
              <w:top w:val="nil"/>
              <w:left w:val="nil"/>
              <w:bottom w:val="single" w:sz="4" w:space="0" w:color="auto"/>
              <w:right w:val="single" w:sz="4" w:space="0" w:color="auto"/>
            </w:tcBorders>
            <w:shd w:val="clear" w:color="000000" w:fill="3E5174"/>
            <w:noWrap/>
            <w:vAlign w:val="center"/>
            <w:hideMark/>
          </w:tcPr>
          <w:p w:rsidR="00AB4FF7" w:rsidRPr="000B1114" w:rsidRDefault="00AB4FF7" w:rsidP="00AB4FF7">
            <w:pPr>
              <w:widowControl/>
              <w:jc w:val="center"/>
              <w:rPr>
                <w:rFonts w:ascii="Arial" w:eastAsia="宋体" w:hAnsi="Arial" w:cs="Arial"/>
                <w:color w:val="FFFFFF"/>
                <w:kern w:val="0"/>
                <w:sz w:val="18"/>
                <w:szCs w:val="18"/>
              </w:rPr>
            </w:pPr>
            <w:r w:rsidRPr="000B1114">
              <w:rPr>
                <w:rFonts w:ascii="Arial" w:eastAsia="宋体" w:hAnsi="Arial" w:cs="Arial"/>
                <w:color w:val="FFFFFF"/>
                <w:kern w:val="0"/>
                <w:sz w:val="18"/>
                <w:szCs w:val="18"/>
              </w:rPr>
              <w:t>31/12/2021</w:t>
            </w:r>
          </w:p>
        </w:tc>
        <w:tc>
          <w:tcPr>
            <w:tcW w:w="1300" w:type="dxa"/>
            <w:tcBorders>
              <w:top w:val="nil"/>
              <w:left w:val="nil"/>
              <w:bottom w:val="single" w:sz="4" w:space="0" w:color="auto"/>
              <w:right w:val="single" w:sz="4" w:space="0" w:color="auto"/>
            </w:tcBorders>
            <w:shd w:val="clear" w:color="000000" w:fill="3E5174"/>
            <w:noWrap/>
            <w:vAlign w:val="center"/>
            <w:hideMark/>
          </w:tcPr>
          <w:p w:rsidR="00AB4FF7" w:rsidRPr="000B1114" w:rsidRDefault="00AB4FF7" w:rsidP="00AB4FF7">
            <w:pPr>
              <w:widowControl/>
              <w:jc w:val="center"/>
              <w:rPr>
                <w:rFonts w:ascii="Arial" w:eastAsia="宋体" w:hAnsi="Arial" w:cs="Arial"/>
                <w:color w:val="FFFFFF"/>
                <w:kern w:val="0"/>
                <w:sz w:val="18"/>
                <w:szCs w:val="18"/>
              </w:rPr>
            </w:pPr>
            <w:r w:rsidRPr="000B1114">
              <w:rPr>
                <w:rFonts w:ascii="Arial" w:eastAsia="宋体" w:hAnsi="Arial" w:cs="Arial"/>
                <w:color w:val="FFFFFF"/>
                <w:kern w:val="0"/>
                <w:sz w:val="18"/>
                <w:szCs w:val="18"/>
              </w:rPr>
              <w:t>31/12/2020</w:t>
            </w:r>
          </w:p>
        </w:tc>
        <w:tc>
          <w:tcPr>
            <w:tcW w:w="1180" w:type="dxa"/>
            <w:tcBorders>
              <w:top w:val="nil"/>
              <w:left w:val="nil"/>
              <w:bottom w:val="single" w:sz="4" w:space="0" w:color="auto"/>
              <w:right w:val="single" w:sz="4" w:space="0" w:color="auto"/>
            </w:tcBorders>
            <w:shd w:val="clear" w:color="000000" w:fill="3E5174"/>
            <w:noWrap/>
            <w:vAlign w:val="center"/>
            <w:hideMark/>
          </w:tcPr>
          <w:p w:rsidR="00AB4FF7" w:rsidRPr="000B1114" w:rsidRDefault="00AB4FF7" w:rsidP="00AB4FF7">
            <w:pPr>
              <w:widowControl/>
              <w:jc w:val="center"/>
              <w:rPr>
                <w:rFonts w:ascii="Arial" w:eastAsia="宋体" w:hAnsi="Arial" w:cs="Arial"/>
                <w:color w:val="FFFFFF"/>
                <w:kern w:val="0"/>
                <w:sz w:val="18"/>
                <w:szCs w:val="18"/>
              </w:rPr>
            </w:pPr>
            <w:r w:rsidRPr="000B1114">
              <w:rPr>
                <w:rFonts w:ascii="Arial" w:eastAsia="宋体" w:hAnsi="Arial" w:cs="Arial"/>
                <w:color w:val="FFFFFF"/>
                <w:kern w:val="0"/>
                <w:sz w:val="18"/>
                <w:szCs w:val="18"/>
              </w:rPr>
              <w:t>31/12/2019</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D1DBE4"/>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 xml:space="preserve">　</w:t>
            </w:r>
            <w:r w:rsidR="000B1114" w:rsidRPr="000B1114">
              <w:rPr>
                <w:rFonts w:ascii="Arial" w:eastAsia="宋体" w:hAnsi="Arial" w:cs="Arial"/>
                <w:b/>
                <w:bCs/>
                <w:color w:val="000000"/>
                <w:kern w:val="0"/>
                <w:sz w:val="18"/>
                <w:szCs w:val="18"/>
              </w:rPr>
              <w:t>Assets:</w:t>
            </w:r>
          </w:p>
        </w:tc>
        <w:tc>
          <w:tcPr>
            <w:tcW w:w="1238" w:type="dxa"/>
            <w:tcBorders>
              <w:top w:val="nil"/>
              <w:left w:val="nil"/>
              <w:bottom w:val="single" w:sz="4" w:space="0" w:color="auto"/>
              <w:right w:val="single" w:sz="4" w:space="0" w:color="auto"/>
            </w:tcBorders>
            <w:shd w:val="clear" w:color="000000" w:fill="D1DBE4"/>
            <w:noWrap/>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 (Millions)</w:t>
            </w:r>
          </w:p>
        </w:tc>
        <w:tc>
          <w:tcPr>
            <w:tcW w:w="1305" w:type="dxa"/>
            <w:tcBorders>
              <w:top w:val="nil"/>
              <w:left w:val="nil"/>
              <w:bottom w:val="single" w:sz="4" w:space="0" w:color="auto"/>
              <w:right w:val="single" w:sz="4" w:space="0" w:color="auto"/>
            </w:tcBorders>
            <w:shd w:val="clear" w:color="000000" w:fill="D1DBE4"/>
            <w:noWrap/>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 (Millions)</w:t>
            </w:r>
          </w:p>
        </w:tc>
        <w:tc>
          <w:tcPr>
            <w:tcW w:w="1300" w:type="dxa"/>
            <w:tcBorders>
              <w:top w:val="nil"/>
              <w:left w:val="nil"/>
              <w:bottom w:val="single" w:sz="4" w:space="0" w:color="auto"/>
              <w:right w:val="single" w:sz="4" w:space="0" w:color="auto"/>
            </w:tcBorders>
            <w:shd w:val="clear" w:color="000000" w:fill="D1DBE4"/>
            <w:noWrap/>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 (Millions)</w:t>
            </w:r>
          </w:p>
        </w:tc>
        <w:tc>
          <w:tcPr>
            <w:tcW w:w="1300" w:type="dxa"/>
            <w:tcBorders>
              <w:top w:val="nil"/>
              <w:left w:val="nil"/>
              <w:bottom w:val="single" w:sz="4" w:space="0" w:color="auto"/>
              <w:right w:val="single" w:sz="4" w:space="0" w:color="auto"/>
            </w:tcBorders>
            <w:shd w:val="clear" w:color="000000" w:fill="D1DBE4"/>
            <w:noWrap/>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 (Millions)</w:t>
            </w:r>
          </w:p>
        </w:tc>
        <w:tc>
          <w:tcPr>
            <w:tcW w:w="1180" w:type="dxa"/>
            <w:tcBorders>
              <w:top w:val="nil"/>
              <w:left w:val="nil"/>
              <w:bottom w:val="single" w:sz="4" w:space="0" w:color="auto"/>
              <w:right w:val="single" w:sz="4" w:space="0" w:color="auto"/>
            </w:tcBorders>
            <w:shd w:val="clear" w:color="000000" w:fill="D1DBE4"/>
            <w:noWrap/>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 (Millions)</w:t>
            </w:r>
          </w:p>
        </w:tc>
      </w:tr>
      <w:tr w:rsidR="001476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D1DBE4"/>
            <w:vAlign w:val="center"/>
            <w:hideMark/>
          </w:tcPr>
          <w:p w:rsidR="001476F7" w:rsidRPr="000B1114" w:rsidRDefault="001476F7" w:rsidP="00AB4FF7">
            <w:pPr>
              <w:widowControl/>
              <w:jc w:val="left"/>
              <w:rPr>
                <w:rFonts w:ascii="Arial" w:eastAsia="宋体" w:hAnsi="Arial" w:cs="Arial"/>
                <w:color w:val="000000"/>
                <w:kern w:val="0"/>
                <w:sz w:val="18"/>
                <w:szCs w:val="18"/>
              </w:rPr>
            </w:pPr>
            <w:r w:rsidRPr="000B1114">
              <w:rPr>
                <w:rFonts w:ascii="Arial" w:eastAsia="宋体" w:hAnsi="Arial" w:cs="Arial"/>
                <w:b/>
                <w:bCs/>
                <w:color w:val="000000"/>
                <w:kern w:val="0"/>
                <w:sz w:val="18"/>
                <w:szCs w:val="18"/>
              </w:rPr>
              <w:t>Non-Current Assets: </w:t>
            </w:r>
          </w:p>
        </w:tc>
        <w:tc>
          <w:tcPr>
            <w:tcW w:w="1238" w:type="dxa"/>
            <w:tcBorders>
              <w:top w:val="nil"/>
              <w:left w:val="nil"/>
              <w:bottom w:val="single" w:sz="4" w:space="0" w:color="auto"/>
              <w:right w:val="single" w:sz="4" w:space="0" w:color="auto"/>
            </w:tcBorders>
            <w:shd w:val="clear" w:color="000000" w:fill="D1DBE4"/>
            <w:noWrap/>
            <w:vAlign w:val="center"/>
            <w:hideMark/>
          </w:tcPr>
          <w:p w:rsidR="001476F7" w:rsidRPr="000B1114" w:rsidRDefault="001476F7" w:rsidP="005842A3">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45,784.00</w:t>
            </w:r>
          </w:p>
        </w:tc>
        <w:tc>
          <w:tcPr>
            <w:tcW w:w="1305" w:type="dxa"/>
            <w:tcBorders>
              <w:top w:val="nil"/>
              <w:left w:val="nil"/>
              <w:bottom w:val="single" w:sz="4" w:space="0" w:color="auto"/>
              <w:right w:val="single" w:sz="4" w:space="0" w:color="auto"/>
            </w:tcBorders>
            <w:shd w:val="clear" w:color="000000" w:fill="D1DBE4"/>
            <w:noWrap/>
            <w:vAlign w:val="center"/>
            <w:hideMark/>
          </w:tcPr>
          <w:p w:rsidR="001476F7" w:rsidRPr="000B1114" w:rsidRDefault="001476F7" w:rsidP="005842A3">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30,897.00</w:t>
            </w:r>
          </w:p>
        </w:tc>
        <w:tc>
          <w:tcPr>
            <w:tcW w:w="1300" w:type="dxa"/>
            <w:tcBorders>
              <w:top w:val="nil"/>
              <w:left w:val="nil"/>
              <w:bottom w:val="single" w:sz="4" w:space="0" w:color="auto"/>
              <w:right w:val="single" w:sz="4" w:space="0" w:color="auto"/>
            </w:tcBorders>
            <w:shd w:val="clear" w:color="000000" w:fill="D1DBE4"/>
            <w:noWrap/>
            <w:vAlign w:val="center"/>
            <w:hideMark/>
          </w:tcPr>
          <w:p w:rsidR="001476F7" w:rsidRPr="000B1114" w:rsidRDefault="001476F7" w:rsidP="005842A3">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35,031.00</w:t>
            </w:r>
          </w:p>
        </w:tc>
        <w:tc>
          <w:tcPr>
            <w:tcW w:w="1300" w:type="dxa"/>
            <w:tcBorders>
              <w:top w:val="nil"/>
              <w:left w:val="nil"/>
              <w:bottom w:val="single" w:sz="4" w:space="0" w:color="auto"/>
              <w:right w:val="single" w:sz="4" w:space="0" w:color="auto"/>
            </w:tcBorders>
            <w:shd w:val="clear" w:color="000000" w:fill="D1DBE4"/>
            <w:noWrap/>
            <w:vAlign w:val="center"/>
            <w:hideMark/>
          </w:tcPr>
          <w:p w:rsidR="001476F7" w:rsidRPr="000B1114" w:rsidRDefault="001476F7" w:rsidP="005842A3">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25,431.00</w:t>
            </w:r>
          </w:p>
        </w:tc>
        <w:tc>
          <w:tcPr>
            <w:tcW w:w="1180" w:type="dxa"/>
            <w:tcBorders>
              <w:top w:val="nil"/>
              <w:left w:val="nil"/>
              <w:bottom w:val="single" w:sz="4" w:space="0" w:color="auto"/>
              <w:right w:val="single" w:sz="4" w:space="0" w:color="auto"/>
            </w:tcBorders>
            <w:shd w:val="clear" w:color="000000" w:fill="D1DBE4"/>
            <w:noWrap/>
            <w:vAlign w:val="center"/>
            <w:hideMark/>
          </w:tcPr>
          <w:p w:rsidR="001476F7" w:rsidRPr="000B1114" w:rsidRDefault="001476F7" w:rsidP="005842A3">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22,206.00</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Property, Plant &amp; Equipment:</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33,905.00</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26,111.00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20,900.00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14,305.00</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20,199.00</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ECF1F5"/>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Intangible Assets:</w:t>
            </w:r>
          </w:p>
        </w:tc>
        <w:tc>
          <w:tcPr>
            <w:tcW w:w="1238"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615</w:t>
            </w:r>
          </w:p>
        </w:tc>
        <w:tc>
          <w:tcPr>
            <w:tcW w:w="1305"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593</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1,717.00</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520</w:t>
            </w:r>
          </w:p>
        </w:tc>
        <w:tc>
          <w:tcPr>
            <w:tcW w:w="118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537</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Cash &amp; Short Term Investments</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29,637.00</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22,479.00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18,052.00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19,622.00</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6,514.00</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ECF1F5"/>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Cash Only</w:t>
            </w:r>
          </w:p>
        </w:tc>
        <w:tc>
          <w:tcPr>
            <w:tcW w:w="1238"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16941</w:t>
            </w:r>
          </w:p>
        </w:tc>
        <w:tc>
          <w:tcPr>
            <w:tcW w:w="1305"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16547</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17921</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19622</w:t>
            </w:r>
          </w:p>
        </w:tc>
        <w:tc>
          <w:tcPr>
            <w:tcW w:w="118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6514</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ECF1F5"/>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Other Non-Current Assets:</w:t>
            </w:r>
          </w:p>
        </w:tc>
        <w:tc>
          <w:tcPr>
            <w:tcW w:w="1238"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11,264.00</w:t>
            </w:r>
          </w:p>
        </w:tc>
        <w:tc>
          <w:tcPr>
            <w:tcW w:w="1305"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4,193.00</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12,414.00</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10,606.00</w:t>
            </w:r>
          </w:p>
        </w:tc>
        <w:tc>
          <w:tcPr>
            <w:tcW w:w="118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1,470.00</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D1DBE4"/>
            <w:vAlign w:val="center"/>
            <w:hideMark/>
          </w:tcPr>
          <w:p w:rsidR="00AB4FF7" w:rsidRPr="000B1114" w:rsidRDefault="00AB4FF7" w:rsidP="00AB4FF7">
            <w:pPr>
              <w:widowControl/>
              <w:jc w:val="left"/>
              <w:rPr>
                <w:rFonts w:ascii="Arial" w:eastAsia="宋体" w:hAnsi="Arial" w:cs="Arial"/>
                <w:b/>
                <w:bCs/>
                <w:color w:val="000000"/>
                <w:kern w:val="0"/>
                <w:sz w:val="18"/>
                <w:szCs w:val="18"/>
              </w:rPr>
            </w:pPr>
            <w:r w:rsidRPr="000B1114">
              <w:rPr>
                <w:rFonts w:ascii="Arial" w:eastAsia="宋体" w:hAnsi="Arial" w:cs="Arial"/>
                <w:b/>
                <w:bCs/>
                <w:color w:val="000000"/>
                <w:kern w:val="0"/>
                <w:sz w:val="18"/>
                <w:szCs w:val="18"/>
              </w:rPr>
              <w:t>Total Current Assets: </w:t>
            </w:r>
          </w:p>
        </w:tc>
        <w:tc>
          <w:tcPr>
            <w:tcW w:w="1238" w:type="dxa"/>
            <w:tcBorders>
              <w:top w:val="nil"/>
              <w:left w:val="nil"/>
              <w:bottom w:val="single" w:sz="4" w:space="0" w:color="auto"/>
              <w:right w:val="single" w:sz="4" w:space="0" w:color="auto"/>
            </w:tcBorders>
            <w:shd w:val="clear" w:color="000000" w:fill="D1DBE4"/>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49616</w:t>
            </w:r>
          </w:p>
        </w:tc>
        <w:tc>
          <w:tcPr>
            <w:tcW w:w="1305" w:type="dxa"/>
            <w:tcBorders>
              <w:top w:val="nil"/>
              <w:left w:val="nil"/>
              <w:bottom w:val="single" w:sz="4" w:space="0" w:color="auto"/>
              <w:right w:val="single" w:sz="4" w:space="0" w:color="auto"/>
            </w:tcBorders>
            <w:shd w:val="clear" w:color="000000" w:fill="D1DBE4"/>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40917</w:t>
            </w:r>
          </w:p>
        </w:tc>
        <w:tc>
          <w:tcPr>
            <w:tcW w:w="1300" w:type="dxa"/>
            <w:tcBorders>
              <w:top w:val="nil"/>
              <w:left w:val="nil"/>
              <w:bottom w:val="single" w:sz="4" w:space="0" w:color="auto"/>
              <w:right w:val="single" w:sz="4" w:space="0" w:color="auto"/>
            </w:tcBorders>
            <w:shd w:val="clear" w:color="000000" w:fill="D1DBE4"/>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27100</w:t>
            </w:r>
          </w:p>
        </w:tc>
        <w:tc>
          <w:tcPr>
            <w:tcW w:w="1300" w:type="dxa"/>
            <w:tcBorders>
              <w:top w:val="nil"/>
              <w:left w:val="nil"/>
              <w:bottom w:val="single" w:sz="4" w:space="0" w:color="auto"/>
              <w:right w:val="single" w:sz="4" w:space="0" w:color="auto"/>
            </w:tcBorders>
            <w:shd w:val="clear" w:color="000000" w:fill="D1DBE4"/>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26717</w:t>
            </w:r>
          </w:p>
        </w:tc>
        <w:tc>
          <w:tcPr>
            <w:tcW w:w="1180" w:type="dxa"/>
            <w:tcBorders>
              <w:top w:val="nil"/>
              <w:left w:val="nil"/>
              <w:bottom w:val="single" w:sz="4" w:space="0" w:color="auto"/>
              <w:right w:val="single" w:sz="4" w:space="0" w:color="auto"/>
            </w:tcBorders>
            <w:shd w:val="clear" w:color="000000" w:fill="D1DBE4"/>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12103</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Inventories:</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13,626.00</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12,839.00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5,757.00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4,101.00</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3,552.00</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Cash at Bank &amp; In Hand:</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16,398.00</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16,253.00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17,576.00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19,384.00</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6,268.00</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Other Current Assets:</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2,845.00</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2,647.00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1,378.00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1,108.00</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713.00</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AB4FF7" w:rsidP="00AB4FF7">
            <w:pPr>
              <w:widowControl/>
              <w:jc w:val="left"/>
              <w:rPr>
                <w:rFonts w:ascii="Arial" w:eastAsia="宋体" w:hAnsi="Arial" w:cs="Arial"/>
                <w:b/>
                <w:bCs/>
                <w:color w:val="000000"/>
                <w:kern w:val="0"/>
                <w:sz w:val="18"/>
                <w:szCs w:val="18"/>
              </w:rPr>
            </w:pPr>
            <w:r w:rsidRPr="000B1114">
              <w:rPr>
                <w:rFonts w:ascii="Arial" w:eastAsia="宋体" w:hAnsi="Arial" w:cs="Arial"/>
                <w:b/>
                <w:bCs/>
                <w:color w:val="000000"/>
                <w:kern w:val="0"/>
                <w:sz w:val="18"/>
                <w:szCs w:val="18"/>
              </w:rPr>
              <w:t>Total Assets:</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106,618.00</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82,338.00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62,131.00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52,148.00</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34,309.00</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D1DBE4"/>
            <w:vAlign w:val="center"/>
            <w:hideMark/>
          </w:tcPr>
          <w:p w:rsidR="00AB4FF7" w:rsidRPr="000B1114" w:rsidRDefault="00AB4FF7" w:rsidP="00AB4FF7">
            <w:pPr>
              <w:widowControl/>
              <w:jc w:val="left"/>
              <w:rPr>
                <w:rFonts w:ascii="Arial" w:eastAsia="宋体" w:hAnsi="Arial" w:cs="Arial"/>
                <w:b/>
                <w:bCs/>
                <w:color w:val="000000"/>
                <w:kern w:val="0"/>
                <w:sz w:val="18"/>
                <w:szCs w:val="18"/>
              </w:rPr>
            </w:pPr>
            <w:r w:rsidRPr="000B1114">
              <w:rPr>
                <w:rFonts w:ascii="Arial" w:eastAsia="宋体" w:hAnsi="Arial" w:cs="Arial"/>
                <w:b/>
                <w:bCs/>
                <w:color w:val="000000"/>
                <w:kern w:val="0"/>
                <w:sz w:val="18"/>
                <w:szCs w:val="18"/>
              </w:rPr>
              <w:t>Liabilities: </w:t>
            </w:r>
          </w:p>
        </w:tc>
        <w:tc>
          <w:tcPr>
            <w:tcW w:w="6323" w:type="dxa"/>
            <w:gridSpan w:val="5"/>
            <w:tcBorders>
              <w:top w:val="single" w:sz="4" w:space="0" w:color="auto"/>
              <w:left w:val="nil"/>
              <w:bottom w:val="single" w:sz="4" w:space="0" w:color="auto"/>
              <w:right w:val="single" w:sz="4" w:space="0" w:color="auto"/>
            </w:tcBorders>
            <w:shd w:val="clear" w:color="000000" w:fill="D1DBE4"/>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 xml:space="preserve">　</w:t>
            </w:r>
          </w:p>
        </w:tc>
      </w:tr>
      <w:tr w:rsidR="000B1114"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ECF1F5"/>
            <w:vAlign w:val="center"/>
            <w:hideMark/>
          </w:tcPr>
          <w:p w:rsidR="000B1114" w:rsidRPr="000B1114" w:rsidRDefault="000B1114" w:rsidP="00382FF1">
            <w:pPr>
              <w:widowControl/>
              <w:jc w:val="left"/>
              <w:rPr>
                <w:rFonts w:ascii="Arial" w:eastAsia="宋体" w:hAnsi="Arial" w:cs="Arial"/>
                <w:color w:val="000000"/>
                <w:kern w:val="0"/>
                <w:sz w:val="18"/>
                <w:szCs w:val="18"/>
              </w:rPr>
            </w:pPr>
            <w:r w:rsidRPr="000B1114">
              <w:rPr>
                <w:rFonts w:ascii="Arial" w:eastAsia="宋体" w:hAnsi="Arial" w:cs="Arial"/>
                <w:b/>
                <w:bCs/>
                <w:color w:val="000000"/>
                <w:kern w:val="0"/>
                <w:sz w:val="18"/>
                <w:szCs w:val="18"/>
              </w:rPr>
              <w:t>Current Liabilities:</w:t>
            </w:r>
          </w:p>
        </w:tc>
        <w:tc>
          <w:tcPr>
            <w:tcW w:w="1238" w:type="dxa"/>
            <w:tcBorders>
              <w:top w:val="nil"/>
              <w:left w:val="nil"/>
              <w:bottom w:val="single" w:sz="4" w:space="0" w:color="auto"/>
              <w:right w:val="single" w:sz="4" w:space="0" w:color="auto"/>
            </w:tcBorders>
            <w:shd w:val="clear" w:color="000000" w:fill="ECF1F5"/>
            <w:vAlign w:val="center"/>
            <w:hideMark/>
          </w:tcPr>
          <w:p w:rsidR="000B1114" w:rsidRPr="000B1114" w:rsidRDefault="000B1114" w:rsidP="00382FF1">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28,748.00</w:t>
            </w:r>
          </w:p>
        </w:tc>
        <w:tc>
          <w:tcPr>
            <w:tcW w:w="1305" w:type="dxa"/>
            <w:tcBorders>
              <w:top w:val="nil"/>
              <w:left w:val="nil"/>
              <w:bottom w:val="single" w:sz="4" w:space="0" w:color="auto"/>
              <w:right w:val="single" w:sz="4" w:space="0" w:color="auto"/>
            </w:tcBorders>
            <w:shd w:val="clear" w:color="000000" w:fill="ECF1F5"/>
            <w:vAlign w:val="center"/>
            <w:hideMark/>
          </w:tcPr>
          <w:p w:rsidR="000B1114" w:rsidRPr="000B1114" w:rsidRDefault="000B1114" w:rsidP="00382FF1">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26,709.00</w:t>
            </w:r>
          </w:p>
        </w:tc>
        <w:tc>
          <w:tcPr>
            <w:tcW w:w="1300" w:type="dxa"/>
            <w:tcBorders>
              <w:top w:val="nil"/>
              <w:left w:val="nil"/>
              <w:bottom w:val="single" w:sz="4" w:space="0" w:color="auto"/>
              <w:right w:val="single" w:sz="4" w:space="0" w:color="auto"/>
            </w:tcBorders>
            <w:shd w:val="clear" w:color="000000" w:fill="ECF1F5"/>
            <w:vAlign w:val="center"/>
            <w:hideMark/>
          </w:tcPr>
          <w:p w:rsidR="000B1114" w:rsidRPr="000B1114" w:rsidRDefault="000B1114" w:rsidP="00382FF1">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19,705.00</w:t>
            </w:r>
          </w:p>
        </w:tc>
        <w:tc>
          <w:tcPr>
            <w:tcW w:w="1300" w:type="dxa"/>
            <w:tcBorders>
              <w:top w:val="nil"/>
              <w:left w:val="nil"/>
              <w:bottom w:val="single" w:sz="4" w:space="0" w:color="auto"/>
              <w:right w:val="single" w:sz="4" w:space="0" w:color="auto"/>
            </w:tcBorders>
            <w:shd w:val="clear" w:color="000000" w:fill="ECF1F5"/>
            <w:vAlign w:val="center"/>
            <w:hideMark/>
          </w:tcPr>
          <w:p w:rsidR="000B1114" w:rsidRPr="000B1114" w:rsidRDefault="000B1114" w:rsidP="00382FF1">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14,248.00</w:t>
            </w:r>
          </w:p>
        </w:tc>
        <w:tc>
          <w:tcPr>
            <w:tcW w:w="1180" w:type="dxa"/>
            <w:tcBorders>
              <w:top w:val="nil"/>
              <w:left w:val="nil"/>
              <w:bottom w:val="single" w:sz="4" w:space="0" w:color="auto"/>
              <w:right w:val="single" w:sz="4" w:space="0" w:color="auto"/>
            </w:tcBorders>
            <w:shd w:val="clear" w:color="000000" w:fill="ECF1F5"/>
            <w:vAlign w:val="center"/>
            <w:hideMark/>
          </w:tcPr>
          <w:p w:rsidR="000B1114" w:rsidRPr="000B1114" w:rsidRDefault="000B1114" w:rsidP="00382FF1">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10,667.00</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Borrowings:</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2,373.00</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1,502.00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1,589.00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2,132.00</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1,785.00</w:t>
            </w:r>
          </w:p>
        </w:tc>
      </w:tr>
      <w:tr w:rsidR="000B1114"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ECF1F5"/>
            <w:vAlign w:val="center"/>
            <w:hideMark/>
          </w:tcPr>
          <w:p w:rsidR="000B1114" w:rsidRPr="000B1114" w:rsidRDefault="000B1114"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Other Current Liabilities:</w:t>
            </w:r>
          </w:p>
        </w:tc>
        <w:tc>
          <w:tcPr>
            <w:tcW w:w="1238" w:type="dxa"/>
            <w:tcBorders>
              <w:top w:val="nil"/>
              <w:left w:val="nil"/>
              <w:bottom w:val="single" w:sz="4" w:space="0" w:color="auto"/>
              <w:right w:val="single" w:sz="4" w:space="0" w:color="auto"/>
            </w:tcBorders>
            <w:shd w:val="clear" w:color="000000" w:fill="ECF1F5"/>
            <w:vAlign w:val="center"/>
            <w:hideMark/>
          </w:tcPr>
          <w:p w:rsidR="000B1114" w:rsidRPr="000B1114" w:rsidRDefault="000B1114" w:rsidP="00382FF1">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28,748.00</w:t>
            </w:r>
          </w:p>
        </w:tc>
        <w:tc>
          <w:tcPr>
            <w:tcW w:w="1305" w:type="dxa"/>
            <w:tcBorders>
              <w:top w:val="nil"/>
              <w:left w:val="nil"/>
              <w:bottom w:val="single" w:sz="4" w:space="0" w:color="auto"/>
              <w:right w:val="single" w:sz="4" w:space="0" w:color="auto"/>
            </w:tcBorders>
            <w:shd w:val="clear" w:color="000000" w:fill="ECF1F5"/>
            <w:vAlign w:val="center"/>
            <w:hideMark/>
          </w:tcPr>
          <w:p w:rsidR="000B1114" w:rsidRPr="000B1114" w:rsidRDefault="000B1114" w:rsidP="00382FF1">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26,709.00</w:t>
            </w:r>
          </w:p>
        </w:tc>
        <w:tc>
          <w:tcPr>
            <w:tcW w:w="1300" w:type="dxa"/>
            <w:tcBorders>
              <w:top w:val="nil"/>
              <w:left w:val="nil"/>
              <w:bottom w:val="single" w:sz="4" w:space="0" w:color="auto"/>
              <w:right w:val="single" w:sz="4" w:space="0" w:color="auto"/>
            </w:tcBorders>
            <w:shd w:val="clear" w:color="000000" w:fill="ECF1F5"/>
            <w:vAlign w:val="center"/>
            <w:hideMark/>
          </w:tcPr>
          <w:p w:rsidR="000B1114" w:rsidRPr="000B1114" w:rsidRDefault="000B1114" w:rsidP="00382FF1">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19,705.00</w:t>
            </w:r>
          </w:p>
        </w:tc>
        <w:tc>
          <w:tcPr>
            <w:tcW w:w="1300" w:type="dxa"/>
            <w:tcBorders>
              <w:top w:val="nil"/>
              <w:left w:val="nil"/>
              <w:bottom w:val="single" w:sz="4" w:space="0" w:color="auto"/>
              <w:right w:val="single" w:sz="4" w:space="0" w:color="auto"/>
            </w:tcBorders>
            <w:shd w:val="clear" w:color="000000" w:fill="ECF1F5"/>
            <w:vAlign w:val="center"/>
            <w:hideMark/>
          </w:tcPr>
          <w:p w:rsidR="000B1114" w:rsidRPr="000B1114" w:rsidRDefault="000B1114" w:rsidP="00382FF1">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14,248.00</w:t>
            </w:r>
          </w:p>
        </w:tc>
        <w:tc>
          <w:tcPr>
            <w:tcW w:w="1180" w:type="dxa"/>
            <w:tcBorders>
              <w:top w:val="nil"/>
              <w:left w:val="nil"/>
              <w:bottom w:val="single" w:sz="4" w:space="0" w:color="auto"/>
              <w:right w:val="single" w:sz="4" w:space="0" w:color="auto"/>
            </w:tcBorders>
            <w:shd w:val="clear" w:color="000000" w:fill="ECF1F5"/>
            <w:vAlign w:val="center"/>
            <w:hideMark/>
          </w:tcPr>
          <w:p w:rsidR="000B1114" w:rsidRPr="000B1114" w:rsidRDefault="000B1114" w:rsidP="00382FF1">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10,667.00</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ECF1F5"/>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Net Current Assets:</w:t>
            </w:r>
          </w:p>
        </w:tc>
        <w:tc>
          <w:tcPr>
            <w:tcW w:w="1238"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49,616.00</w:t>
            </w:r>
          </w:p>
        </w:tc>
        <w:tc>
          <w:tcPr>
            <w:tcW w:w="1305"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40,917.00</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27,100.00</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26,717.00</w:t>
            </w:r>
          </w:p>
        </w:tc>
        <w:tc>
          <w:tcPr>
            <w:tcW w:w="118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12,103.00</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auto" w:fill="auto"/>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Long-Term Debt</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6,528.00</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3,761.00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6,916.00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10,888.00</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12,627.00</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D1DBE4"/>
            <w:vAlign w:val="center"/>
            <w:hideMark/>
          </w:tcPr>
          <w:p w:rsidR="00AB4FF7" w:rsidRPr="000B1114" w:rsidRDefault="00AB4FF7" w:rsidP="00AB4FF7">
            <w:pPr>
              <w:widowControl/>
              <w:jc w:val="left"/>
              <w:rPr>
                <w:rFonts w:ascii="Arial" w:eastAsia="宋体" w:hAnsi="Arial" w:cs="Arial"/>
                <w:b/>
                <w:bCs/>
                <w:color w:val="000000"/>
                <w:kern w:val="0"/>
                <w:sz w:val="18"/>
                <w:szCs w:val="18"/>
              </w:rPr>
            </w:pPr>
            <w:r w:rsidRPr="000B1114">
              <w:rPr>
                <w:rFonts w:ascii="Arial" w:eastAsia="宋体" w:hAnsi="Arial" w:cs="Arial"/>
                <w:b/>
                <w:bCs/>
                <w:color w:val="000000"/>
                <w:kern w:val="0"/>
                <w:sz w:val="18"/>
                <w:szCs w:val="18"/>
              </w:rPr>
              <w:t>Non-Current Liabilities: </w:t>
            </w:r>
          </w:p>
        </w:tc>
        <w:tc>
          <w:tcPr>
            <w:tcW w:w="6323" w:type="dxa"/>
            <w:gridSpan w:val="5"/>
            <w:tcBorders>
              <w:top w:val="single" w:sz="4" w:space="0" w:color="auto"/>
              <w:left w:val="nil"/>
              <w:bottom w:val="single" w:sz="4" w:space="0" w:color="auto"/>
              <w:right w:val="single" w:sz="4" w:space="0" w:color="auto"/>
            </w:tcBorders>
            <w:shd w:val="clear" w:color="000000" w:fill="D1DBE4"/>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 xml:space="preserve">　</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Borrowings:</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2,857.00</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1,597.00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5,245.00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9,556.00</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11,634.00</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Other Non-Current Liabilities:</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11,404.00</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8,134.00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5,598.00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4,614.00</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3,898.00</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Other Liabilities:</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242</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409</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568</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655</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643</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ECF1F5"/>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Total Liabilities:</w:t>
            </w:r>
          </w:p>
        </w:tc>
        <w:tc>
          <w:tcPr>
            <w:tcW w:w="1238"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43,251.00</w:t>
            </w:r>
          </w:p>
        </w:tc>
        <w:tc>
          <w:tcPr>
            <w:tcW w:w="1305"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36,849.00</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31,116.00</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29,073.00</w:t>
            </w:r>
          </w:p>
        </w:tc>
        <w:tc>
          <w:tcPr>
            <w:tcW w:w="118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26,842.00</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Net Assets:</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63,367.00</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45,489.00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31,015.00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23,075.00</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7,467.00</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D1DBE4"/>
            <w:vAlign w:val="center"/>
            <w:hideMark/>
          </w:tcPr>
          <w:p w:rsidR="00AB4FF7" w:rsidRPr="000B1114" w:rsidRDefault="00AB4FF7" w:rsidP="00AB4FF7">
            <w:pPr>
              <w:widowControl/>
              <w:jc w:val="left"/>
              <w:rPr>
                <w:rFonts w:ascii="Arial" w:eastAsia="宋体" w:hAnsi="Arial" w:cs="Arial"/>
                <w:b/>
                <w:bCs/>
                <w:color w:val="000000"/>
                <w:kern w:val="0"/>
                <w:sz w:val="18"/>
                <w:szCs w:val="18"/>
              </w:rPr>
            </w:pPr>
            <w:r w:rsidRPr="000B1114">
              <w:rPr>
                <w:rFonts w:ascii="Arial" w:eastAsia="宋体" w:hAnsi="Arial" w:cs="Arial"/>
                <w:b/>
                <w:bCs/>
                <w:color w:val="000000"/>
                <w:kern w:val="0"/>
                <w:sz w:val="18"/>
                <w:szCs w:val="18"/>
              </w:rPr>
              <w:t>Capital &amp; reserves: </w:t>
            </w:r>
          </w:p>
        </w:tc>
        <w:tc>
          <w:tcPr>
            <w:tcW w:w="6323" w:type="dxa"/>
            <w:gridSpan w:val="5"/>
            <w:tcBorders>
              <w:top w:val="single" w:sz="4" w:space="0" w:color="auto"/>
              <w:left w:val="nil"/>
              <w:bottom w:val="single" w:sz="4" w:space="0" w:color="auto"/>
              <w:right w:val="single" w:sz="4" w:space="0" w:color="auto"/>
            </w:tcBorders>
            <w:shd w:val="clear" w:color="000000" w:fill="D1DBE4"/>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 xml:space="preserve">　</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FFFFFF"/>
            <w:vAlign w:val="center"/>
            <w:hideMark/>
          </w:tcPr>
          <w:p w:rsidR="00AB4FF7" w:rsidRPr="000B1114" w:rsidRDefault="000B1114"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Shareholders’</w:t>
            </w:r>
            <w:r w:rsidR="00AB4FF7" w:rsidRPr="000B1114">
              <w:rPr>
                <w:rFonts w:ascii="Arial" w:eastAsia="宋体" w:hAnsi="Arial" w:cs="Arial"/>
                <w:color w:val="000000"/>
                <w:kern w:val="0"/>
                <w:sz w:val="18"/>
                <w:szCs w:val="18"/>
              </w:rPr>
              <w:t xml:space="preserve"> Funds:</w:t>
            </w:r>
          </w:p>
        </w:tc>
        <w:tc>
          <w:tcPr>
            <w:tcW w:w="1238"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62,634.00</w:t>
            </w:r>
          </w:p>
        </w:tc>
        <w:tc>
          <w:tcPr>
            <w:tcW w:w="1305"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44,704.00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30,189.00</w:t>
            </w:r>
          </w:p>
        </w:tc>
        <w:tc>
          <w:tcPr>
            <w:tcW w:w="130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22,225.00</w:t>
            </w:r>
          </w:p>
        </w:tc>
        <w:tc>
          <w:tcPr>
            <w:tcW w:w="1180" w:type="dxa"/>
            <w:tcBorders>
              <w:top w:val="nil"/>
              <w:left w:val="nil"/>
              <w:bottom w:val="single" w:sz="4" w:space="0" w:color="auto"/>
              <w:right w:val="single" w:sz="4" w:space="0" w:color="auto"/>
            </w:tcBorders>
            <w:shd w:val="clear" w:color="000000" w:fill="FFFFFF"/>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6,618.00</w:t>
            </w:r>
          </w:p>
        </w:tc>
      </w:tr>
      <w:tr w:rsidR="00AB4FF7"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ECF1F5"/>
            <w:vAlign w:val="center"/>
            <w:hideMark/>
          </w:tcPr>
          <w:p w:rsidR="00AB4FF7" w:rsidRPr="000B1114" w:rsidRDefault="00AB4FF7" w:rsidP="00AB4FF7">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Minority Interests / Other Equity:</w:t>
            </w:r>
          </w:p>
        </w:tc>
        <w:tc>
          <w:tcPr>
            <w:tcW w:w="1238"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733</w:t>
            </w:r>
          </w:p>
        </w:tc>
        <w:tc>
          <w:tcPr>
            <w:tcW w:w="1305"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785</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826</w:t>
            </w:r>
          </w:p>
        </w:tc>
        <w:tc>
          <w:tcPr>
            <w:tcW w:w="130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850</w:t>
            </w:r>
          </w:p>
        </w:tc>
        <w:tc>
          <w:tcPr>
            <w:tcW w:w="1180" w:type="dxa"/>
            <w:tcBorders>
              <w:top w:val="nil"/>
              <w:left w:val="nil"/>
              <w:bottom w:val="single" w:sz="4" w:space="0" w:color="auto"/>
              <w:right w:val="single" w:sz="4" w:space="0" w:color="auto"/>
            </w:tcBorders>
            <w:shd w:val="clear" w:color="000000" w:fill="ECF1F5"/>
            <w:vAlign w:val="center"/>
            <w:hideMark/>
          </w:tcPr>
          <w:p w:rsidR="00AB4FF7" w:rsidRPr="000B1114" w:rsidRDefault="00AB4FF7" w:rsidP="00AB4FF7">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849</w:t>
            </w:r>
          </w:p>
        </w:tc>
      </w:tr>
      <w:tr w:rsidR="00203755" w:rsidRPr="000B1114" w:rsidTr="00203755">
        <w:trPr>
          <w:trHeight w:val="270"/>
        </w:trPr>
        <w:tc>
          <w:tcPr>
            <w:tcW w:w="3544" w:type="dxa"/>
            <w:tcBorders>
              <w:top w:val="nil"/>
              <w:left w:val="single" w:sz="4" w:space="0" w:color="auto"/>
              <w:bottom w:val="single" w:sz="4" w:space="0" w:color="auto"/>
              <w:right w:val="single" w:sz="4" w:space="0" w:color="auto"/>
            </w:tcBorders>
            <w:shd w:val="clear" w:color="000000" w:fill="ECF1F5"/>
            <w:vAlign w:val="center"/>
            <w:hideMark/>
          </w:tcPr>
          <w:p w:rsidR="00203755" w:rsidRPr="000B1114" w:rsidRDefault="00203755" w:rsidP="0088636C">
            <w:pPr>
              <w:widowControl/>
              <w:jc w:val="left"/>
              <w:rPr>
                <w:rFonts w:ascii="Arial" w:eastAsia="宋体" w:hAnsi="Arial" w:cs="Arial"/>
                <w:color w:val="000000"/>
                <w:kern w:val="0"/>
                <w:sz w:val="18"/>
                <w:szCs w:val="18"/>
              </w:rPr>
            </w:pPr>
            <w:r w:rsidRPr="000B1114">
              <w:rPr>
                <w:rFonts w:ascii="Arial" w:eastAsia="宋体" w:hAnsi="Arial" w:cs="Arial"/>
                <w:color w:val="000000"/>
                <w:kern w:val="0"/>
                <w:sz w:val="18"/>
                <w:szCs w:val="18"/>
              </w:rPr>
              <w:t>Total Equity:</w:t>
            </w:r>
          </w:p>
        </w:tc>
        <w:tc>
          <w:tcPr>
            <w:tcW w:w="1238" w:type="dxa"/>
            <w:tcBorders>
              <w:top w:val="nil"/>
              <w:left w:val="nil"/>
              <w:bottom w:val="single" w:sz="4" w:space="0" w:color="auto"/>
              <w:right w:val="single" w:sz="4" w:space="0" w:color="auto"/>
            </w:tcBorders>
            <w:shd w:val="clear" w:color="000000" w:fill="ECF1F5"/>
            <w:vAlign w:val="center"/>
            <w:hideMark/>
          </w:tcPr>
          <w:p w:rsidR="00203755" w:rsidRPr="000B1114" w:rsidRDefault="00203755" w:rsidP="0088636C">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63,367.00</w:t>
            </w:r>
          </w:p>
        </w:tc>
        <w:tc>
          <w:tcPr>
            <w:tcW w:w="1305" w:type="dxa"/>
            <w:tcBorders>
              <w:top w:val="nil"/>
              <w:left w:val="nil"/>
              <w:bottom w:val="single" w:sz="4" w:space="0" w:color="auto"/>
              <w:right w:val="single" w:sz="4" w:space="0" w:color="auto"/>
            </w:tcBorders>
            <w:shd w:val="clear" w:color="000000" w:fill="ECF1F5"/>
            <w:vAlign w:val="center"/>
            <w:hideMark/>
          </w:tcPr>
          <w:p w:rsidR="00203755" w:rsidRPr="000B1114" w:rsidRDefault="00203755" w:rsidP="0088636C">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45,489.00</w:t>
            </w:r>
          </w:p>
        </w:tc>
        <w:tc>
          <w:tcPr>
            <w:tcW w:w="1300" w:type="dxa"/>
            <w:tcBorders>
              <w:top w:val="nil"/>
              <w:left w:val="nil"/>
              <w:bottom w:val="single" w:sz="4" w:space="0" w:color="auto"/>
              <w:right w:val="single" w:sz="4" w:space="0" w:color="auto"/>
            </w:tcBorders>
            <w:shd w:val="clear" w:color="000000" w:fill="ECF1F5"/>
            <w:vAlign w:val="center"/>
            <w:hideMark/>
          </w:tcPr>
          <w:p w:rsidR="00203755" w:rsidRPr="000B1114" w:rsidRDefault="00203755" w:rsidP="0088636C">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31,015.00</w:t>
            </w:r>
          </w:p>
        </w:tc>
        <w:tc>
          <w:tcPr>
            <w:tcW w:w="1300" w:type="dxa"/>
            <w:tcBorders>
              <w:top w:val="nil"/>
              <w:left w:val="nil"/>
              <w:bottom w:val="single" w:sz="4" w:space="0" w:color="auto"/>
              <w:right w:val="single" w:sz="4" w:space="0" w:color="auto"/>
            </w:tcBorders>
            <w:shd w:val="clear" w:color="000000" w:fill="ECF1F5"/>
            <w:vAlign w:val="center"/>
            <w:hideMark/>
          </w:tcPr>
          <w:p w:rsidR="00203755" w:rsidRPr="000B1114" w:rsidRDefault="00203755" w:rsidP="0088636C">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23,075.00</w:t>
            </w:r>
          </w:p>
        </w:tc>
        <w:tc>
          <w:tcPr>
            <w:tcW w:w="1180" w:type="dxa"/>
            <w:tcBorders>
              <w:top w:val="nil"/>
              <w:left w:val="nil"/>
              <w:bottom w:val="single" w:sz="4" w:space="0" w:color="auto"/>
              <w:right w:val="single" w:sz="4" w:space="0" w:color="auto"/>
            </w:tcBorders>
            <w:shd w:val="clear" w:color="000000" w:fill="ECF1F5"/>
            <w:vAlign w:val="center"/>
            <w:hideMark/>
          </w:tcPr>
          <w:p w:rsidR="00203755" w:rsidRPr="000B1114" w:rsidRDefault="00203755" w:rsidP="0088636C">
            <w:pPr>
              <w:widowControl/>
              <w:jc w:val="right"/>
              <w:rPr>
                <w:rFonts w:ascii="Arial" w:eastAsia="宋体" w:hAnsi="Arial" w:cs="Arial"/>
                <w:color w:val="000000"/>
                <w:kern w:val="0"/>
                <w:sz w:val="18"/>
                <w:szCs w:val="18"/>
              </w:rPr>
            </w:pPr>
            <w:r w:rsidRPr="000B1114">
              <w:rPr>
                <w:rFonts w:ascii="Arial" w:eastAsia="宋体" w:hAnsi="Arial" w:cs="Arial"/>
                <w:color w:val="000000"/>
                <w:kern w:val="0"/>
                <w:sz w:val="18"/>
                <w:szCs w:val="18"/>
              </w:rPr>
              <w:t>7,467.00</w:t>
            </w:r>
          </w:p>
        </w:tc>
      </w:tr>
    </w:tbl>
    <w:p w:rsidR="002420FE" w:rsidRPr="001476F7" w:rsidRDefault="002420FE" w:rsidP="00BD4D14">
      <w:pPr>
        <w:widowControl/>
        <w:jc w:val="left"/>
        <w:rPr>
          <w:b/>
          <w:kern w:val="0"/>
          <w:sz w:val="24"/>
          <w:szCs w:val="24"/>
        </w:rPr>
      </w:pPr>
      <w:r>
        <w:rPr>
          <w:kern w:val="0"/>
          <w:szCs w:val="21"/>
        </w:rPr>
        <w:br w:type="page"/>
      </w:r>
      <w:r w:rsidRPr="001476F7">
        <w:rPr>
          <w:rFonts w:hint="eastAsia"/>
          <w:b/>
          <w:kern w:val="0"/>
          <w:sz w:val="24"/>
          <w:szCs w:val="24"/>
        </w:rPr>
        <w:lastRenderedPageBreak/>
        <w:t>Appendix B</w:t>
      </w:r>
      <w:r w:rsidR="00BD4D14" w:rsidRPr="001476F7">
        <w:rPr>
          <w:rFonts w:hint="eastAsia"/>
          <w:b/>
          <w:kern w:val="0"/>
          <w:sz w:val="24"/>
          <w:szCs w:val="24"/>
        </w:rPr>
        <w:t>.</w:t>
      </w:r>
      <w:r w:rsidR="0086165D" w:rsidRPr="001476F7">
        <w:rPr>
          <w:rFonts w:hint="eastAsia"/>
          <w:b/>
          <w:kern w:val="0"/>
          <w:sz w:val="24"/>
          <w:szCs w:val="24"/>
        </w:rPr>
        <w:t xml:space="preserve"> </w:t>
      </w:r>
      <w:r w:rsidR="00BD4D14" w:rsidRPr="001476F7">
        <w:rPr>
          <w:rFonts w:hint="eastAsia"/>
          <w:b/>
          <w:kern w:val="0"/>
          <w:sz w:val="24"/>
          <w:szCs w:val="24"/>
        </w:rPr>
        <w:t xml:space="preserve"> </w:t>
      </w:r>
      <w:r w:rsidR="001476F7" w:rsidRPr="001476F7">
        <w:rPr>
          <w:rFonts w:ascii="Cambria" w:hAnsi="Cambria" w:hint="eastAsia"/>
          <w:b/>
          <w:sz w:val="24"/>
          <w:szCs w:val="24"/>
        </w:rPr>
        <w:t>BYD</w:t>
      </w:r>
      <w:r w:rsidR="001476F7" w:rsidRPr="001476F7">
        <w:rPr>
          <w:rFonts w:ascii="Cambria" w:hAnsi="Cambria"/>
          <w:b/>
          <w:sz w:val="24"/>
          <w:szCs w:val="24"/>
        </w:rPr>
        <w:t>’</w:t>
      </w:r>
      <w:r w:rsidR="001476F7" w:rsidRPr="001476F7">
        <w:rPr>
          <w:rFonts w:ascii="Cambria" w:hAnsi="Cambria" w:hint="eastAsia"/>
          <w:b/>
          <w:sz w:val="24"/>
          <w:szCs w:val="24"/>
        </w:rPr>
        <w:t xml:space="preserve">s financial results for the last five </w:t>
      </w:r>
      <w:r w:rsidR="001476F7" w:rsidRPr="001476F7">
        <w:rPr>
          <w:rFonts w:ascii="Cambria" w:hAnsi="Cambria"/>
          <w:b/>
          <w:sz w:val="24"/>
          <w:szCs w:val="24"/>
        </w:rPr>
        <w:t xml:space="preserve">years </w:t>
      </w:r>
      <w:r w:rsidR="001476F7" w:rsidRPr="001476F7">
        <w:rPr>
          <w:b/>
          <w:kern w:val="0"/>
          <w:sz w:val="24"/>
          <w:szCs w:val="24"/>
        </w:rPr>
        <w:t>(</w:t>
      </w:r>
      <w:r w:rsidR="00BD4D14" w:rsidRPr="001476F7">
        <w:rPr>
          <w:b/>
          <w:kern w:val="0"/>
          <w:sz w:val="24"/>
          <w:szCs w:val="24"/>
        </w:rPr>
        <w:t>WSJ, n.d.)</w:t>
      </w:r>
    </w:p>
    <w:tbl>
      <w:tblPr>
        <w:tblW w:w="9923" w:type="dxa"/>
        <w:tblInd w:w="108" w:type="dxa"/>
        <w:tblLook w:val="04A0"/>
      </w:tblPr>
      <w:tblGrid>
        <w:gridCol w:w="3338"/>
        <w:gridCol w:w="1317"/>
        <w:gridCol w:w="1317"/>
        <w:gridCol w:w="1317"/>
        <w:gridCol w:w="1317"/>
        <w:gridCol w:w="1317"/>
      </w:tblGrid>
      <w:tr w:rsidR="00BD4D14" w:rsidRPr="00BD4D14" w:rsidTr="006826DC">
        <w:trPr>
          <w:trHeight w:val="270"/>
        </w:trPr>
        <w:tc>
          <w:tcPr>
            <w:tcW w:w="3338" w:type="dxa"/>
            <w:tcBorders>
              <w:top w:val="single" w:sz="4" w:space="0" w:color="auto"/>
              <w:left w:val="single" w:sz="4" w:space="0" w:color="auto"/>
              <w:bottom w:val="single" w:sz="4" w:space="0" w:color="auto"/>
              <w:right w:val="single" w:sz="4" w:space="0" w:color="auto"/>
            </w:tcBorders>
            <w:shd w:val="clear" w:color="000000" w:fill="3E5174"/>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Income Statement:</w:t>
            </w:r>
          </w:p>
        </w:tc>
        <w:tc>
          <w:tcPr>
            <w:tcW w:w="1317" w:type="dxa"/>
            <w:tcBorders>
              <w:top w:val="single" w:sz="4" w:space="0" w:color="auto"/>
              <w:left w:val="nil"/>
              <w:bottom w:val="single" w:sz="4" w:space="0" w:color="auto"/>
              <w:right w:val="single" w:sz="4" w:space="0" w:color="auto"/>
            </w:tcBorders>
            <w:shd w:val="clear" w:color="000000" w:fill="3E5174"/>
            <w:noWrap/>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31/12/2023</w:t>
            </w:r>
          </w:p>
        </w:tc>
        <w:tc>
          <w:tcPr>
            <w:tcW w:w="1317" w:type="dxa"/>
            <w:tcBorders>
              <w:top w:val="single" w:sz="4" w:space="0" w:color="auto"/>
              <w:left w:val="nil"/>
              <w:bottom w:val="single" w:sz="4" w:space="0" w:color="auto"/>
              <w:right w:val="single" w:sz="4" w:space="0" w:color="auto"/>
            </w:tcBorders>
            <w:shd w:val="clear" w:color="000000" w:fill="3E5174"/>
            <w:noWrap/>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31/12/2022</w:t>
            </w:r>
          </w:p>
        </w:tc>
        <w:tc>
          <w:tcPr>
            <w:tcW w:w="1317" w:type="dxa"/>
            <w:tcBorders>
              <w:top w:val="single" w:sz="4" w:space="0" w:color="auto"/>
              <w:left w:val="nil"/>
              <w:bottom w:val="single" w:sz="4" w:space="0" w:color="auto"/>
              <w:right w:val="single" w:sz="4" w:space="0" w:color="auto"/>
            </w:tcBorders>
            <w:shd w:val="clear" w:color="000000" w:fill="3E5174"/>
            <w:noWrap/>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31/12/2021</w:t>
            </w:r>
          </w:p>
        </w:tc>
        <w:tc>
          <w:tcPr>
            <w:tcW w:w="1317" w:type="dxa"/>
            <w:tcBorders>
              <w:top w:val="single" w:sz="4" w:space="0" w:color="auto"/>
              <w:left w:val="nil"/>
              <w:bottom w:val="single" w:sz="4" w:space="0" w:color="auto"/>
              <w:right w:val="single" w:sz="4" w:space="0" w:color="auto"/>
            </w:tcBorders>
            <w:shd w:val="clear" w:color="000000" w:fill="3E5174"/>
            <w:noWrap/>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31/12/2020</w:t>
            </w:r>
          </w:p>
        </w:tc>
        <w:tc>
          <w:tcPr>
            <w:tcW w:w="1317" w:type="dxa"/>
            <w:tcBorders>
              <w:top w:val="single" w:sz="4" w:space="0" w:color="auto"/>
              <w:left w:val="nil"/>
              <w:bottom w:val="single" w:sz="4" w:space="0" w:color="auto"/>
              <w:right w:val="single" w:sz="4" w:space="0" w:color="auto"/>
            </w:tcBorders>
            <w:shd w:val="clear" w:color="000000" w:fill="3E5174"/>
            <w:noWrap/>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31/12/2019</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D1DBE4"/>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 xml:space="preserve">　</w:t>
            </w:r>
          </w:p>
        </w:tc>
        <w:tc>
          <w:tcPr>
            <w:tcW w:w="1317" w:type="dxa"/>
            <w:tcBorders>
              <w:top w:val="nil"/>
              <w:left w:val="nil"/>
              <w:bottom w:val="single" w:sz="4" w:space="0" w:color="auto"/>
              <w:right w:val="single" w:sz="4" w:space="0" w:color="auto"/>
            </w:tcBorders>
            <w:shd w:val="clear" w:color="000000" w:fill="D1DBE4"/>
            <w:noWrap/>
            <w:vAlign w:val="center"/>
            <w:hideMark/>
          </w:tcPr>
          <w:p w:rsidR="00BD4D14" w:rsidRPr="00BD4D14" w:rsidRDefault="00BD4D14" w:rsidP="00BD4D14">
            <w:pPr>
              <w:widowControl/>
              <w:jc w:val="right"/>
              <w:rPr>
                <w:rFonts w:ascii="Arial" w:eastAsia="宋体" w:hAnsi="Arial" w:cs="Arial"/>
                <w:color w:val="000000"/>
                <w:kern w:val="0"/>
                <w:sz w:val="18"/>
                <w:szCs w:val="18"/>
              </w:rPr>
            </w:pPr>
            <w:r>
              <w:rPr>
                <w:rFonts w:ascii="Arial" w:eastAsia="宋体" w:hAnsi="Arial" w:cs="Arial"/>
                <w:color w:val="000000"/>
                <w:kern w:val="0"/>
                <w:sz w:val="18"/>
                <w:szCs w:val="18"/>
              </w:rPr>
              <w:t>HKD</w:t>
            </w:r>
            <w:r w:rsidRPr="00BD4D14">
              <w:rPr>
                <w:rFonts w:ascii="Arial" w:eastAsia="宋体" w:hAnsi="Arial" w:cs="Arial"/>
                <w:color w:val="000000"/>
                <w:kern w:val="0"/>
                <w:sz w:val="18"/>
                <w:szCs w:val="18"/>
              </w:rPr>
              <w:t>(Millions)</w:t>
            </w:r>
          </w:p>
        </w:tc>
        <w:tc>
          <w:tcPr>
            <w:tcW w:w="1317" w:type="dxa"/>
            <w:tcBorders>
              <w:top w:val="nil"/>
              <w:left w:val="nil"/>
              <w:bottom w:val="single" w:sz="4" w:space="0" w:color="auto"/>
              <w:right w:val="single" w:sz="4" w:space="0" w:color="auto"/>
            </w:tcBorders>
            <w:shd w:val="clear" w:color="000000" w:fill="D1DBE4"/>
            <w:noWrap/>
            <w:vAlign w:val="center"/>
            <w:hideMark/>
          </w:tcPr>
          <w:p w:rsidR="00BD4D14" w:rsidRPr="00BD4D14" w:rsidRDefault="00BD4D14" w:rsidP="00BD4D14">
            <w:pPr>
              <w:widowControl/>
              <w:jc w:val="right"/>
              <w:rPr>
                <w:rFonts w:ascii="Arial" w:eastAsia="宋体" w:hAnsi="Arial" w:cs="Arial"/>
                <w:color w:val="000000"/>
                <w:kern w:val="0"/>
                <w:sz w:val="18"/>
                <w:szCs w:val="18"/>
              </w:rPr>
            </w:pPr>
            <w:r>
              <w:rPr>
                <w:rFonts w:ascii="Arial" w:eastAsia="宋体" w:hAnsi="Arial" w:cs="Arial"/>
                <w:color w:val="000000"/>
                <w:kern w:val="0"/>
                <w:sz w:val="18"/>
                <w:szCs w:val="18"/>
              </w:rPr>
              <w:t>HKD</w:t>
            </w:r>
            <w:r w:rsidRPr="00BD4D14">
              <w:rPr>
                <w:rFonts w:ascii="Arial" w:eastAsia="宋体" w:hAnsi="Arial" w:cs="Arial"/>
                <w:color w:val="000000"/>
                <w:kern w:val="0"/>
                <w:sz w:val="18"/>
                <w:szCs w:val="18"/>
              </w:rPr>
              <w:t>(Millions)</w:t>
            </w:r>
          </w:p>
        </w:tc>
        <w:tc>
          <w:tcPr>
            <w:tcW w:w="1317" w:type="dxa"/>
            <w:tcBorders>
              <w:top w:val="nil"/>
              <w:left w:val="nil"/>
              <w:bottom w:val="single" w:sz="4" w:space="0" w:color="auto"/>
              <w:right w:val="single" w:sz="4" w:space="0" w:color="auto"/>
            </w:tcBorders>
            <w:shd w:val="clear" w:color="000000" w:fill="D1DBE4"/>
            <w:noWrap/>
            <w:vAlign w:val="center"/>
            <w:hideMark/>
          </w:tcPr>
          <w:p w:rsidR="00BD4D14" w:rsidRPr="00BD4D14" w:rsidRDefault="00BD4D14" w:rsidP="00BD4D14">
            <w:pPr>
              <w:widowControl/>
              <w:jc w:val="right"/>
              <w:rPr>
                <w:rFonts w:ascii="Arial" w:eastAsia="宋体" w:hAnsi="Arial" w:cs="Arial"/>
                <w:color w:val="000000"/>
                <w:kern w:val="0"/>
                <w:sz w:val="18"/>
                <w:szCs w:val="18"/>
              </w:rPr>
            </w:pPr>
            <w:r>
              <w:rPr>
                <w:rFonts w:ascii="Arial" w:eastAsia="宋体" w:hAnsi="Arial" w:cs="Arial"/>
                <w:color w:val="000000"/>
                <w:kern w:val="0"/>
                <w:sz w:val="18"/>
                <w:szCs w:val="18"/>
              </w:rPr>
              <w:t>HKD</w:t>
            </w:r>
            <w:r w:rsidRPr="00BD4D14">
              <w:rPr>
                <w:rFonts w:ascii="Arial" w:eastAsia="宋体" w:hAnsi="Arial" w:cs="Arial"/>
                <w:color w:val="000000"/>
                <w:kern w:val="0"/>
                <w:sz w:val="18"/>
                <w:szCs w:val="18"/>
              </w:rPr>
              <w:t>(Millions)</w:t>
            </w:r>
          </w:p>
        </w:tc>
        <w:tc>
          <w:tcPr>
            <w:tcW w:w="1317" w:type="dxa"/>
            <w:tcBorders>
              <w:top w:val="nil"/>
              <w:left w:val="nil"/>
              <w:bottom w:val="single" w:sz="4" w:space="0" w:color="auto"/>
              <w:right w:val="single" w:sz="4" w:space="0" w:color="auto"/>
            </w:tcBorders>
            <w:shd w:val="clear" w:color="000000" w:fill="D1DBE4"/>
            <w:noWrap/>
            <w:vAlign w:val="center"/>
            <w:hideMark/>
          </w:tcPr>
          <w:p w:rsidR="00BD4D14" w:rsidRPr="00BD4D14" w:rsidRDefault="00BD4D14" w:rsidP="00BD4D14">
            <w:pPr>
              <w:widowControl/>
              <w:jc w:val="right"/>
              <w:rPr>
                <w:rFonts w:ascii="Arial" w:eastAsia="宋体" w:hAnsi="Arial" w:cs="Arial"/>
                <w:color w:val="000000"/>
                <w:kern w:val="0"/>
                <w:sz w:val="18"/>
                <w:szCs w:val="18"/>
              </w:rPr>
            </w:pPr>
            <w:r>
              <w:rPr>
                <w:rFonts w:ascii="Arial" w:eastAsia="宋体" w:hAnsi="Arial" w:cs="Arial"/>
                <w:color w:val="000000"/>
                <w:kern w:val="0"/>
                <w:sz w:val="18"/>
                <w:szCs w:val="18"/>
              </w:rPr>
              <w:t>HKD</w:t>
            </w:r>
            <w:r w:rsidRPr="00BD4D14">
              <w:rPr>
                <w:rFonts w:ascii="Arial" w:eastAsia="宋体" w:hAnsi="Arial" w:cs="Arial"/>
                <w:color w:val="000000"/>
                <w:kern w:val="0"/>
                <w:sz w:val="18"/>
                <w:szCs w:val="18"/>
              </w:rPr>
              <w:t>(Millions)</w:t>
            </w:r>
          </w:p>
        </w:tc>
        <w:tc>
          <w:tcPr>
            <w:tcW w:w="1317" w:type="dxa"/>
            <w:tcBorders>
              <w:top w:val="nil"/>
              <w:left w:val="nil"/>
              <w:bottom w:val="single" w:sz="4" w:space="0" w:color="auto"/>
              <w:right w:val="single" w:sz="4" w:space="0" w:color="auto"/>
            </w:tcBorders>
            <w:shd w:val="clear" w:color="000000" w:fill="D1DBE4"/>
            <w:noWrap/>
            <w:vAlign w:val="center"/>
            <w:hideMark/>
          </w:tcPr>
          <w:p w:rsidR="00BD4D14" w:rsidRPr="00BD4D14" w:rsidRDefault="00BD4D14" w:rsidP="00BD4D14">
            <w:pPr>
              <w:widowControl/>
              <w:jc w:val="right"/>
              <w:rPr>
                <w:rFonts w:ascii="Arial" w:eastAsia="宋体" w:hAnsi="Arial" w:cs="Arial"/>
                <w:color w:val="000000"/>
                <w:kern w:val="0"/>
                <w:sz w:val="18"/>
                <w:szCs w:val="18"/>
              </w:rPr>
            </w:pPr>
            <w:r>
              <w:rPr>
                <w:rFonts w:ascii="Arial" w:eastAsia="宋体" w:hAnsi="Arial" w:cs="Arial"/>
                <w:color w:val="000000"/>
                <w:kern w:val="0"/>
                <w:sz w:val="18"/>
                <w:szCs w:val="18"/>
              </w:rPr>
              <w:t>HKD</w:t>
            </w:r>
            <w:r w:rsidRPr="00BD4D14">
              <w:rPr>
                <w:rFonts w:ascii="Arial" w:eastAsia="宋体" w:hAnsi="Arial" w:cs="Arial"/>
                <w:color w:val="000000"/>
                <w:kern w:val="0"/>
                <w:sz w:val="18"/>
                <w:szCs w:val="18"/>
              </w:rPr>
              <w:t>(Millions)</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ECF1F5"/>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Revenue:</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479,772.00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256,840.00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173,547.00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143,075.00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151,502.00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Non Operating Income/Expense</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1,755.00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1,778.00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440.00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334.00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3,735.00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ECF1F5"/>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Pretax Income</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25,311.00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5,620.00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7,944.00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3,236.00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5,461.00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Gross Income</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66,779.00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27,443.00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29,162.00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19,611.00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20,880.00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Cost of Goods Sold (COGS) incl.D&amp;A</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412,993.00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229,396.00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144,385.00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123,464.00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130,622.00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3E5174"/>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Balance Sheet:</w:t>
            </w:r>
          </w:p>
        </w:tc>
        <w:tc>
          <w:tcPr>
            <w:tcW w:w="1317" w:type="dxa"/>
            <w:tcBorders>
              <w:top w:val="nil"/>
              <w:left w:val="nil"/>
              <w:bottom w:val="single" w:sz="4" w:space="0" w:color="auto"/>
              <w:right w:val="single" w:sz="4" w:space="0" w:color="auto"/>
            </w:tcBorders>
            <w:shd w:val="clear" w:color="000000" w:fill="3E5174"/>
            <w:noWrap/>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31/12/2023</w:t>
            </w:r>
          </w:p>
        </w:tc>
        <w:tc>
          <w:tcPr>
            <w:tcW w:w="1317" w:type="dxa"/>
            <w:tcBorders>
              <w:top w:val="nil"/>
              <w:left w:val="nil"/>
              <w:bottom w:val="single" w:sz="4" w:space="0" w:color="auto"/>
              <w:right w:val="single" w:sz="4" w:space="0" w:color="auto"/>
            </w:tcBorders>
            <w:shd w:val="clear" w:color="000000" w:fill="3E5174"/>
            <w:noWrap/>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31/12/2022</w:t>
            </w:r>
          </w:p>
        </w:tc>
        <w:tc>
          <w:tcPr>
            <w:tcW w:w="1317" w:type="dxa"/>
            <w:tcBorders>
              <w:top w:val="nil"/>
              <w:left w:val="nil"/>
              <w:bottom w:val="single" w:sz="4" w:space="0" w:color="auto"/>
              <w:right w:val="single" w:sz="4" w:space="0" w:color="auto"/>
            </w:tcBorders>
            <w:shd w:val="clear" w:color="000000" w:fill="3E5174"/>
            <w:noWrap/>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31/12/2021</w:t>
            </w:r>
          </w:p>
        </w:tc>
        <w:tc>
          <w:tcPr>
            <w:tcW w:w="1317" w:type="dxa"/>
            <w:tcBorders>
              <w:top w:val="nil"/>
              <w:left w:val="nil"/>
              <w:bottom w:val="single" w:sz="4" w:space="0" w:color="auto"/>
              <w:right w:val="single" w:sz="4" w:space="0" w:color="auto"/>
            </w:tcBorders>
            <w:shd w:val="clear" w:color="000000" w:fill="3E5174"/>
            <w:noWrap/>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31/12/2020</w:t>
            </w:r>
          </w:p>
        </w:tc>
        <w:tc>
          <w:tcPr>
            <w:tcW w:w="1317" w:type="dxa"/>
            <w:tcBorders>
              <w:top w:val="nil"/>
              <w:left w:val="nil"/>
              <w:bottom w:val="single" w:sz="4" w:space="0" w:color="auto"/>
              <w:right w:val="single" w:sz="4" w:space="0" w:color="auto"/>
            </w:tcBorders>
            <w:shd w:val="clear" w:color="000000" w:fill="3E5174"/>
            <w:noWrap/>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31/12/2019</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D1DBE4"/>
            <w:vAlign w:val="center"/>
            <w:hideMark/>
          </w:tcPr>
          <w:p w:rsidR="00BD4D14" w:rsidRPr="00BD4D14" w:rsidRDefault="00BD4D14" w:rsidP="00382FF1">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 xml:space="preserve">　</w:t>
            </w:r>
          </w:p>
        </w:tc>
        <w:tc>
          <w:tcPr>
            <w:tcW w:w="1317" w:type="dxa"/>
            <w:tcBorders>
              <w:top w:val="nil"/>
              <w:left w:val="nil"/>
              <w:bottom w:val="single" w:sz="4" w:space="0" w:color="auto"/>
              <w:right w:val="single" w:sz="4" w:space="0" w:color="auto"/>
            </w:tcBorders>
            <w:shd w:val="clear" w:color="000000" w:fill="D1DBE4"/>
            <w:noWrap/>
            <w:vAlign w:val="center"/>
            <w:hideMark/>
          </w:tcPr>
          <w:p w:rsidR="00BD4D14" w:rsidRPr="00BD4D14" w:rsidRDefault="00BD4D14" w:rsidP="00382FF1">
            <w:pPr>
              <w:widowControl/>
              <w:jc w:val="right"/>
              <w:rPr>
                <w:rFonts w:ascii="Arial" w:eastAsia="宋体" w:hAnsi="Arial" w:cs="Arial"/>
                <w:color w:val="000000"/>
                <w:kern w:val="0"/>
                <w:sz w:val="18"/>
                <w:szCs w:val="18"/>
              </w:rPr>
            </w:pPr>
            <w:r>
              <w:rPr>
                <w:rFonts w:ascii="Arial" w:eastAsia="宋体" w:hAnsi="Arial" w:cs="Arial"/>
                <w:color w:val="000000"/>
                <w:kern w:val="0"/>
                <w:sz w:val="18"/>
                <w:szCs w:val="18"/>
              </w:rPr>
              <w:t>HKD</w:t>
            </w:r>
            <w:r w:rsidRPr="00BD4D14">
              <w:rPr>
                <w:rFonts w:ascii="Arial" w:eastAsia="宋体" w:hAnsi="Arial" w:cs="Arial"/>
                <w:color w:val="000000"/>
                <w:kern w:val="0"/>
                <w:sz w:val="18"/>
                <w:szCs w:val="18"/>
              </w:rPr>
              <w:t>(Millions)</w:t>
            </w:r>
          </w:p>
        </w:tc>
        <w:tc>
          <w:tcPr>
            <w:tcW w:w="1317" w:type="dxa"/>
            <w:tcBorders>
              <w:top w:val="nil"/>
              <w:left w:val="nil"/>
              <w:bottom w:val="single" w:sz="4" w:space="0" w:color="auto"/>
              <w:right w:val="single" w:sz="4" w:space="0" w:color="auto"/>
            </w:tcBorders>
            <w:shd w:val="clear" w:color="000000" w:fill="D1DBE4"/>
            <w:noWrap/>
            <w:vAlign w:val="center"/>
            <w:hideMark/>
          </w:tcPr>
          <w:p w:rsidR="00BD4D14" w:rsidRPr="00BD4D14" w:rsidRDefault="00BD4D14" w:rsidP="00382FF1">
            <w:pPr>
              <w:widowControl/>
              <w:jc w:val="right"/>
              <w:rPr>
                <w:rFonts w:ascii="Arial" w:eastAsia="宋体" w:hAnsi="Arial" w:cs="Arial"/>
                <w:color w:val="000000"/>
                <w:kern w:val="0"/>
                <w:sz w:val="18"/>
                <w:szCs w:val="18"/>
              </w:rPr>
            </w:pPr>
            <w:r>
              <w:rPr>
                <w:rFonts w:ascii="Arial" w:eastAsia="宋体" w:hAnsi="Arial" w:cs="Arial"/>
                <w:color w:val="000000"/>
                <w:kern w:val="0"/>
                <w:sz w:val="18"/>
                <w:szCs w:val="18"/>
              </w:rPr>
              <w:t>HKD</w:t>
            </w:r>
            <w:r w:rsidRPr="00BD4D14">
              <w:rPr>
                <w:rFonts w:ascii="Arial" w:eastAsia="宋体" w:hAnsi="Arial" w:cs="Arial"/>
                <w:color w:val="000000"/>
                <w:kern w:val="0"/>
                <w:sz w:val="18"/>
                <w:szCs w:val="18"/>
              </w:rPr>
              <w:t>(Millions)</w:t>
            </w:r>
          </w:p>
        </w:tc>
        <w:tc>
          <w:tcPr>
            <w:tcW w:w="1317" w:type="dxa"/>
            <w:tcBorders>
              <w:top w:val="nil"/>
              <w:left w:val="nil"/>
              <w:bottom w:val="single" w:sz="4" w:space="0" w:color="auto"/>
              <w:right w:val="single" w:sz="4" w:space="0" w:color="auto"/>
            </w:tcBorders>
            <w:shd w:val="clear" w:color="000000" w:fill="D1DBE4"/>
            <w:noWrap/>
            <w:vAlign w:val="center"/>
            <w:hideMark/>
          </w:tcPr>
          <w:p w:rsidR="00BD4D14" w:rsidRPr="00BD4D14" w:rsidRDefault="00BD4D14" w:rsidP="00382FF1">
            <w:pPr>
              <w:widowControl/>
              <w:jc w:val="right"/>
              <w:rPr>
                <w:rFonts w:ascii="Arial" w:eastAsia="宋体" w:hAnsi="Arial" w:cs="Arial"/>
                <w:color w:val="000000"/>
                <w:kern w:val="0"/>
                <w:sz w:val="18"/>
                <w:szCs w:val="18"/>
              </w:rPr>
            </w:pPr>
            <w:r>
              <w:rPr>
                <w:rFonts w:ascii="Arial" w:eastAsia="宋体" w:hAnsi="Arial" w:cs="Arial"/>
                <w:color w:val="000000"/>
                <w:kern w:val="0"/>
                <w:sz w:val="18"/>
                <w:szCs w:val="18"/>
              </w:rPr>
              <w:t>HKD</w:t>
            </w:r>
            <w:r w:rsidRPr="00BD4D14">
              <w:rPr>
                <w:rFonts w:ascii="Arial" w:eastAsia="宋体" w:hAnsi="Arial" w:cs="Arial"/>
                <w:color w:val="000000"/>
                <w:kern w:val="0"/>
                <w:sz w:val="18"/>
                <w:szCs w:val="18"/>
              </w:rPr>
              <w:t>(Millions)</w:t>
            </w:r>
          </w:p>
        </w:tc>
        <w:tc>
          <w:tcPr>
            <w:tcW w:w="1317" w:type="dxa"/>
            <w:tcBorders>
              <w:top w:val="nil"/>
              <w:left w:val="nil"/>
              <w:bottom w:val="single" w:sz="4" w:space="0" w:color="auto"/>
              <w:right w:val="single" w:sz="4" w:space="0" w:color="auto"/>
            </w:tcBorders>
            <w:shd w:val="clear" w:color="000000" w:fill="D1DBE4"/>
            <w:noWrap/>
            <w:vAlign w:val="center"/>
            <w:hideMark/>
          </w:tcPr>
          <w:p w:rsidR="00BD4D14" w:rsidRPr="00BD4D14" w:rsidRDefault="00BD4D14" w:rsidP="00382FF1">
            <w:pPr>
              <w:widowControl/>
              <w:jc w:val="right"/>
              <w:rPr>
                <w:rFonts w:ascii="Arial" w:eastAsia="宋体" w:hAnsi="Arial" w:cs="Arial"/>
                <w:color w:val="000000"/>
                <w:kern w:val="0"/>
                <w:sz w:val="18"/>
                <w:szCs w:val="18"/>
              </w:rPr>
            </w:pPr>
            <w:r>
              <w:rPr>
                <w:rFonts w:ascii="Arial" w:eastAsia="宋体" w:hAnsi="Arial" w:cs="Arial"/>
                <w:color w:val="000000"/>
                <w:kern w:val="0"/>
                <w:sz w:val="18"/>
                <w:szCs w:val="18"/>
              </w:rPr>
              <w:t>HKD</w:t>
            </w:r>
            <w:r w:rsidRPr="00BD4D14">
              <w:rPr>
                <w:rFonts w:ascii="Arial" w:eastAsia="宋体" w:hAnsi="Arial" w:cs="Arial"/>
                <w:color w:val="000000"/>
                <w:kern w:val="0"/>
                <w:sz w:val="18"/>
                <w:szCs w:val="18"/>
              </w:rPr>
              <w:t>(Millions)</w:t>
            </w:r>
          </w:p>
        </w:tc>
        <w:tc>
          <w:tcPr>
            <w:tcW w:w="1317" w:type="dxa"/>
            <w:tcBorders>
              <w:top w:val="nil"/>
              <w:left w:val="nil"/>
              <w:bottom w:val="single" w:sz="4" w:space="0" w:color="auto"/>
              <w:right w:val="single" w:sz="4" w:space="0" w:color="auto"/>
            </w:tcBorders>
            <w:shd w:val="clear" w:color="000000" w:fill="D1DBE4"/>
            <w:noWrap/>
            <w:vAlign w:val="center"/>
            <w:hideMark/>
          </w:tcPr>
          <w:p w:rsidR="00BD4D14" w:rsidRPr="00BD4D14" w:rsidRDefault="00BD4D14" w:rsidP="00382FF1">
            <w:pPr>
              <w:widowControl/>
              <w:jc w:val="right"/>
              <w:rPr>
                <w:rFonts w:ascii="Arial" w:eastAsia="宋体" w:hAnsi="Arial" w:cs="Arial"/>
                <w:color w:val="000000"/>
                <w:kern w:val="0"/>
                <w:sz w:val="18"/>
                <w:szCs w:val="18"/>
              </w:rPr>
            </w:pPr>
            <w:r>
              <w:rPr>
                <w:rFonts w:ascii="Arial" w:eastAsia="宋体" w:hAnsi="Arial" w:cs="Arial"/>
                <w:color w:val="000000"/>
                <w:kern w:val="0"/>
                <w:sz w:val="18"/>
                <w:szCs w:val="18"/>
              </w:rPr>
              <w:t>HKD</w:t>
            </w:r>
            <w:r w:rsidRPr="00BD4D14">
              <w:rPr>
                <w:rFonts w:ascii="Arial" w:eastAsia="宋体" w:hAnsi="Arial" w:cs="Arial"/>
                <w:color w:val="000000"/>
                <w:kern w:val="0"/>
                <w:sz w:val="18"/>
                <w:szCs w:val="18"/>
              </w:rPr>
              <w:t>(Millions)</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D1DBE4"/>
            <w:vAlign w:val="center"/>
            <w:hideMark/>
          </w:tcPr>
          <w:p w:rsidR="00BD4D14" w:rsidRPr="00BD4D14" w:rsidRDefault="00BD4D14" w:rsidP="00BD4D14">
            <w:pPr>
              <w:widowControl/>
              <w:jc w:val="left"/>
              <w:rPr>
                <w:rFonts w:ascii="Arial" w:eastAsia="宋体" w:hAnsi="Arial" w:cs="Arial"/>
                <w:b/>
                <w:bCs/>
                <w:color w:val="000000"/>
                <w:kern w:val="0"/>
                <w:sz w:val="18"/>
                <w:szCs w:val="18"/>
              </w:rPr>
            </w:pPr>
            <w:r w:rsidRPr="00BD4D14">
              <w:rPr>
                <w:rFonts w:ascii="Arial" w:eastAsia="宋体" w:hAnsi="Arial" w:cs="Arial"/>
                <w:b/>
                <w:bCs/>
                <w:color w:val="000000"/>
                <w:kern w:val="0"/>
                <w:sz w:val="18"/>
                <w:szCs w:val="18"/>
              </w:rPr>
              <w:t>Assets: </w:t>
            </w:r>
          </w:p>
        </w:tc>
        <w:tc>
          <w:tcPr>
            <w:tcW w:w="6585" w:type="dxa"/>
            <w:gridSpan w:val="5"/>
            <w:tcBorders>
              <w:top w:val="single" w:sz="4" w:space="0" w:color="auto"/>
              <w:left w:val="nil"/>
              <w:bottom w:val="single" w:sz="4" w:space="0" w:color="auto"/>
              <w:right w:val="single" w:sz="4" w:space="0" w:color="auto"/>
            </w:tcBorders>
            <w:shd w:val="clear" w:color="000000" w:fill="D1DBE4"/>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 xml:space="preserve">　</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ECF1F5"/>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Net Property, Plant &amp; Equipment</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222,385.00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115,830.00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73,085.00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68,065.00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61,543.00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Total Investments and Advances</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24,853.00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13,628.00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8,613.00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6,853.00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6,107.00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ECF1F5"/>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Cash &amp; Short Term Investments</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80,948.00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68,702.00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17,957.00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14,189.00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14,885.00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Cash Only</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57,789.00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61,722.00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17,127.00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14,150.00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14,884.00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ECF1F5"/>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Inventories</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88,817.00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53,034.00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37,225.00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28,604.00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30,026.00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Other Non-Current Assets:</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3,047.00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1,104.00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129.00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464.00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315.00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D1DBE4"/>
            <w:vAlign w:val="center"/>
            <w:hideMark/>
          </w:tcPr>
          <w:p w:rsidR="00BD4D14" w:rsidRPr="00BD4D14" w:rsidRDefault="00BD4D14" w:rsidP="00BD4D14">
            <w:pPr>
              <w:widowControl/>
              <w:jc w:val="left"/>
              <w:rPr>
                <w:rFonts w:ascii="Arial" w:eastAsia="宋体" w:hAnsi="Arial" w:cs="Arial"/>
                <w:b/>
                <w:bCs/>
                <w:color w:val="000000"/>
                <w:kern w:val="0"/>
                <w:sz w:val="18"/>
                <w:szCs w:val="18"/>
              </w:rPr>
            </w:pPr>
            <w:r w:rsidRPr="00BD4D14">
              <w:rPr>
                <w:rFonts w:ascii="Arial" w:eastAsia="宋体" w:hAnsi="Arial" w:cs="Arial"/>
                <w:b/>
                <w:bCs/>
                <w:color w:val="000000"/>
                <w:kern w:val="0"/>
                <w:sz w:val="18"/>
                <w:szCs w:val="18"/>
              </w:rPr>
              <w:t>Total Current Assets: </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270,360.00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203,197.00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132,324.00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119,652.00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131,339.00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Other Current Assets</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11,342.00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7,129.00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5,187.00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4,175.00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4,888.00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Long-Term Note Receivable</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1,655.00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1,528.00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2,220.00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1,461.00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2,525.00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Total Investments and Advances</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24,853.00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13,628.00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8,613.00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6,853.00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6,107.00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Other Current Assets:</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3,047.00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1,104.00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129.00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464.00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315.00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b/>
                <w:bCs/>
                <w:color w:val="000000"/>
                <w:kern w:val="0"/>
                <w:sz w:val="18"/>
                <w:szCs w:val="18"/>
              </w:rPr>
            </w:pPr>
            <w:r w:rsidRPr="00BD4D14">
              <w:rPr>
                <w:rFonts w:ascii="Arial" w:eastAsia="宋体" w:hAnsi="Arial" w:cs="Arial"/>
                <w:b/>
                <w:bCs/>
                <w:color w:val="000000"/>
                <w:kern w:val="0"/>
                <w:sz w:val="18"/>
                <w:szCs w:val="18"/>
              </w:rPr>
              <w:t>Total Assets:</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557,196.00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362,922.00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239,130.00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219,439.00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222,896.00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D1DBE4"/>
            <w:vAlign w:val="center"/>
            <w:hideMark/>
          </w:tcPr>
          <w:p w:rsidR="00BD4D14" w:rsidRPr="00BD4D14" w:rsidRDefault="00BD4D14" w:rsidP="00BD4D14">
            <w:pPr>
              <w:widowControl/>
              <w:jc w:val="left"/>
              <w:rPr>
                <w:rFonts w:ascii="Arial" w:eastAsia="宋体" w:hAnsi="Arial" w:cs="Arial"/>
                <w:b/>
                <w:bCs/>
                <w:color w:val="000000"/>
                <w:kern w:val="0"/>
                <w:sz w:val="18"/>
                <w:szCs w:val="18"/>
              </w:rPr>
            </w:pPr>
            <w:r w:rsidRPr="00BD4D14">
              <w:rPr>
                <w:rFonts w:ascii="Arial" w:eastAsia="宋体" w:hAnsi="Arial" w:cs="Arial"/>
                <w:b/>
                <w:bCs/>
                <w:color w:val="000000"/>
                <w:kern w:val="0"/>
                <w:sz w:val="18"/>
                <w:szCs w:val="18"/>
              </w:rPr>
              <w:t>Liabilities: </w:t>
            </w:r>
          </w:p>
        </w:tc>
        <w:tc>
          <w:tcPr>
            <w:tcW w:w="6585" w:type="dxa"/>
            <w:gridSpan w:val="5"/>
            <w:tcBorders>
              <w:top w:val="single" w:sz="4" w:space="0" w:color="auto"/>
              <w:left w:val="nil"/>
              <w:bottom w:val="single" w:sz="4" w:space="0" w:color="auto"/>
              <w:right w:val="single" w:sz="4" w:space="0" w:color="auto"/>
            </w:tcBorders>
            <w:shd w:val="clear" w:color="000000" w:fill="D1DBE4"/>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 xml:space="preserve">　</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ECF1F5"/>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Total Liabilities: </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420,907.00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229,922.00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161,318.00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151,833.00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155,934.00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Current Liabilities: </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374,259.00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209,550.00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126,189.00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120,841.00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133,163.00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ECF1F5"/>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Common Equity (Total)</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124,657.00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116,295.00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66,135.00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58,578.00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58,503.00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Total Shareholders' Equity</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124,657.00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116,295.00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66,135.00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58,578.00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58,503.00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ECF1F5"/>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Total Equity</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136,289.00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127,518.00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75,121.00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65,110.00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64,770.00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Long-Term Debt</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14,922.00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18,505.00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33,597.00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30,045.00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20,737.00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D1DBE4"/>
            <w:vAlign w:val="center"/>
            <w:hideMark/>
          </w:tcPr>
          <w:p w:rsidR="00BD4D14" w:rsidRPr="00BD4D14" w:rsidRDefault="00BD4D14" w:rsidP="00BD4D14">
            <w:pPr>
              <w:widowControl/>
              <w:jc w:val="left"/>
              <w:rPr>
                <w:rFonts w:ascii="Arial" w:eastAsia="宋体" w:hAnsi="Arial" w:cs="Arial"/>
                <w:b/>
                <w:bCs/>
                <w:color w:val="000000"/>
                <w:kern w:val="0"/>
                <w:sz w:val="18"/>
                <w:szCs w:val="18"/>
              </w:rPr>
            </w:pPr>
            <w:r w:rsidRPr="00BD4D14">
              <w:rPr>
                <w:rFonts w:ascii="Arial" w:eastAsia="宋体" w:hAnsi="Arial" w:cs="Arial"/>
                <w:b/>
                <w:bCs/>
                <w:color w:val="000000"/>
                <w:kern w:val="0"/>
                <w:sz w:val="18"/>
                <w:szCs w:val="18"/>
              </w:rPr>
              <w:t>Non-Current Liabilities: </w:t>
            </w:r>
          </w:p>
        </w:tc>
        <w:tc>
          <w:tcPr>
            <w:tcW w:w="6585" w:type="dxa"/>
            <w:gridSpan w:val="5"/>
            <w:tcBorders>
              <w:top w:val="single" w:sz="4" w:space="0" w:color="auto"/>
              <w:left w:val="nil"/>
              <w:bottom w:val="single" w:sz="4" w:space="0" w:color="auto"/>
              <w:right w:val="single" w:sz="4" w:space="0" w:color="auto"/>
            </w:tcBorders>
            <w:shd w:val="clear" w:color="000000" w:fill="D1DBE4"/>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 xml:space="preserve">　</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ECF1F5"/>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Common Equity (Total)</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124,657.00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116,295.00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66,135.00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58,578.00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58,503.00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Retained Earnings</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45,969.00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32,363.00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28,997.00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23,553.00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23,375.00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ECF1F5"/>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Other Current Liabilities</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197,450.00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81,668.00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30,998.00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19,602.00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21,997.00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Total Liabilities:</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420,907.00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229,922.00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161,318.00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151,833.00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155,934.00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3E5174"/>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Cash Flow:</w:t>
            </w:r>
          </w:p>
        </w:tc>
        <w:tc>
          <w:tcPr>
            <w:tcW w:w="1317" w:type="dxa"/>
            <w:tcBorders>
              <w:top w:val="nil"/>
              <w:left w:val="nil"/>
              <w:bottom w:val="single" w:sz="4" w:space="0" w:color="auto"/>
              <w:right w:val="single" w:sz="4" w:space="0" w:color="auto"/>
            </w:tcBorders>
            <w:shd w:val="clear" w:color="000000" w:fill="3E5174"/>
            <w:noWrap/>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31/12/2023</w:t>
            </w:r>
          </w:p>
        </w:tc>
        <w:tc>
          <w:tcPr>
            <w:tcW w:w="1317" w:type="dxa"/>
            <w:tcBorders>
              <w:top w:val="nil"/>
              <w:left w:val="nil"/>
              <w:bottom w:val="single" w:sz="4" w:space="0" w:color="auto"/>
              <w:right w:val="single" w:sz="4" w:space="0" w:color="auto"/>
            </w:tcBorders>
            <w:shd w:val="clear" w:color="000000" w:fill="3E5174"/>
            <w:noWrap/>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31/12/2022</w:t>
            </w:r>
          </w:p>
        </w:tc>
        <w:tc>
          <w:tcPr>
            <w:tcW w:w="1317" w:type="dxa"/>
            <w:tcBorders>
              <w:top w:val="nil"/>
              <w:left w:val="nil"/>
              <w:bottom w:val="single" w:sz="4" w:space="0" w:color="auto"/>
              <w:right w:val="single" w:sz="4" w:space="0" w:color="auto"/>
            </w:tcBorders>
            <w:shd w:val="clear" w:color="000000" w:fill="3E5174"/>
            <w:noWrap/>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31/12/2021</w:t>
            </w:r>
          </w:p>
        </w:tc>
        <w:tc>
          <w:tcPr>
            <w:tcW w:w="1317" w:type="dxa"/>
            <w:tcBorders>
              <w:top w:val="nil"/>
              <w:left w:val="nil"/>
              <w:bottom w:val="single" w:sz="4" w:space="0" w:color="auto"/>
              <w:right w:val="single" w:sz="4" w:space="0" w:color="auto"/>
            </w:tcBorders>
            <w:shd w:val="clear" w:color="000000" w:fill="3E5174"/>
            <w:noWrap/>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31/12/2020</w:t>
            </w:r>
          </w:p>
        </w:tc>
        <w:tc>
          <w:tcPr>
            <w:tcW w:w="1317" w:type="dxa"/>
            <w:tcBorders>
              <w:top w:val="nil"/>
              <w:left w:val="nil"/>
              <w:bottom w:val="single" w:sz="4" w:space="0" w:color="auto"/>
              <w:right w:val="single" w:sz="4" w:space="0" w:color="auto"/>
            </w:tcBorders>
            <w:shd w:val="clear" w:color="000000" w:fill="3E5174"/>
            <w:noWrap/>
            <w:vAlign w:val="center"/>
            <w:hideMark/>
          </w:tcPr>
          <w:p w:rsidR="00BD4D14" w:rsidRPr="00BD4D14" w:rsidRDefault="00BD4D14" w:rsidP="00BD4D14">
            <w:pPr>
              <w:widowControl/>
              <w:jc w:val="center"/>
              <w:rPr>
                <w:rFonts w:ascii="Arial" w:eastAsia="宋体" w:hAnsi="Arial" w:cs="Arial"/>
                <w:color w:val="FFFFFF"/>
                <w:kern w:val="0"/>
                <w:sz w:val="18"/>
                <w:szCs w:val="18"/>
              </w:rPr>
            </w:pPr>
            <w:r w:rsidRPr="00BD4D14">
              <w:rPr>
                <w:rFonts w:ascii="Arial" w:eastAsia="宋体" w:hAnsi="Arial" w:cs="Arial"/>
                <w:color w:val="FFFFFF"/>
                <w:kern w:val="0"/>
                <w:sz w:val="18"/>
                <w:szCs w:val="18"/>
              </w:rPr>
              <w:t>31/12/2019</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D1DBE4"/>
            <w:vAlign w:val="center"/>
            <w:hideMark/>
          </w:tcPr>
          <w:p w:rsidR="00BD4D14" w:rsidRPr="00BD4D14" w:rsidRDefault="00BD4D14" w:rsidP="00382FF1">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 xml:space="preserve">　</w:t>
            </w:r>
          </w:p>
        </w:tc>
        <w:tc>
          <w:tcPr>
            <w:tcW w:w="1317" w:type="dxa"/>
            <w:tcBorders>
              <w:top w:val="nil"/>
              <w:left w:val="nil"/>
              <w:bottom w:val="single" w:sz="4" w:space="0" w:color="auto"/>
              <w:right w:val="single" w:sz="4" w:space="0" w:color="auto"/>
            </w:tcBorders>
            <w:shd w:val="clear" w:color="000000" w:fill="D1DBE4"/>
            <w:noWrap/>
            <w:vAlign w:val="center"/>
            <w:hideMark/>
          </w:tcPr>
          <w:p w:rsidR="00BD4D14" w:rsidRPr="00BD4D14" w:rsidRDefault="00BD4D14" w:rsidP="00382FF1">
            <w:pPr>
              <w:widowControl/>
              <w:jc w:val="right"/>
              <w:rPr>
                <w:rFonts w:ascii="Arial" w:eastAsia="宋体" w:hAnsi="Arial" w:cs="Arial"/>
                <w:color w:val="000000"/>
                <w:kern w:val="0"/>
                <w:sz w:val="18"/>
                <w:szCs w:val="18"/>
              </w:rPr>
            </w:pPr>
            <w:r>
              <w:rPr>
                <w:rFonts w:ascii="Arial" w:eastAsia="宋体" w:hAnsi="Arial" w:cs="Arial"/>
                <w:color w:val="000000"/>
                <w:kern w:val="0"/>
                <w:sz w:val="18"/>
                <w:szCs w:val="18"/>
              </w:rPr>
              <w:t>HKD</w:t>
            </w:r>
            <w:r w:rsidRPr="00BD4D14">
              <w:rPr>
                <w:rFonts w:ascii="Arial" w:eastAsia="宋体" w:hAnsi="Arial" w:cs="Arial"/>
                <w:color w:val="000000"/>
                <w:kern w:val="0"/>
                <w:sz w:val="18"/>
                <w:szCs w:val="18"/>
              </w:rPr>
              <w:t>(Millions)</w:t>
            </w:r>
          </w:p>
        </w:tc>
        <w:tc>
          <w:tcPr>
            <w:tcW w:w="1317" w:type="dxa"/>
            <w:tcBorders>
              <w:top w:val="nil"/>
              <w:left w:val="nil"/>
              <w:bottom w:val="single" w:sz="4" w:space="0" w:color="auto"/>
              <w:right w:val="single" w:sz="4" w:space="0" w:color="auto"/>
            </w:tcBorders>
            <w:shd w:val="clear" w:color="000000" w:fill="D1DBE4"/>
            <w:noWrap/>
            <w:vAlign w:val="center"/>
            <w:hideMark/>
          </w:tcPr>
          <w:p w:rsidR="00BD4D14" w:rsidRPr="00BD4D14" w:rsidRDefault="00BD4D14" w:rsidP="00382FF1">
            <w:pPr>
              <w:widowControl/>
              <w:jc w:val="right"/>
              <w:rPr>
                <w:rFonts w:ascii="Arial" w:eastAsia="宋体" w:hAnsi="Arial" w:cs="Arial"/>
                <w:color w:val="000000"/>
                <w:kern w:val="0"/>
                <w:sz w:val="18"/>
                <w:szCs w:val="18"/>
              </w:rPr>
            </w:pPr>
            <w:r>
              <w:rPr>
                <w:rFonts w:ascii="Arial" w:eastAsia="宋体" w:hAnsi="Arial" w:cs="Arial"/>
                <w:color w:val="000000"/>
                <w:kern w:val="0"/>
                <w:sz w:val="18"/>
                <w:szCs w:val="18"/>
              </w:rPr>
              <w:t>HKD</w:t>
            </w:r>
            <w:r w:rsidRPr="00BD4D14">
              <w:rPr>
                <w:rFonts w:ascii="Arial" w:eastAsia="宋体" w:hAnsi="Arial" w:cs="Arial"/>
                <w:color w:val="000000"/>
                <w:kern w:val="0"/>
                <w:sz w:val="18"/>
                <w:szCs w:val="18"/>
              </w:rPr>
              <w:t>(Millions)</w:t>
            </w:r>
          </w:p>
        </w:tc>
        <w:tc>
          <w:tcPr>
            <w:tcW w:w="1317" w:type="dxa"/>
            <w:tcBorders>
              <w:top w:val="nil"/>
              <w:left w:val="nil"/>
              <w:bottom w:val="single" w:sz="4" w:space="0" w:color="auto"/>
              <w:right w:val="single" w:sz="4" w:space="0" w:color="auto"/>
            </w:tcBorders>
            <w:shd w:val="clear" w:color="000000" w:fill="D1DBE4"/>
            <w:noWrap/>
            <w:vAlign w:val="center"/>
            <w:hideMark/>
          </w:tcPr>
          <w:p w:rsidR="00BD4D14" w:rsidRPr="00BD4D14" w:rsidRDefault="00BD4D14" w:rsidP="00382FF1">
            <w:pPr>
              <w:widowControl/>
              <w:jc w:val="right"/>
              <w:rPr>
                <w:rFonts w:ascii="Arial" w:eastAsia="宋体" w:hAnsi="Arial" w:cs="Arial"/>
                <w:color w:val="000000"/>
                <w:kern w:val="0"/>
                <w:sz w:val="18"/>
                <w:szCs w:val="18"/>
              </w:rPr>
            </w:pPr>
            <w:r>
              <w:rPr>
                <w:rFonts w:ascii="Arial" w:eastAsia="宋体" w:hAnsi="Arial" w:cs="Arial"/>
                <w:color w:val="000000"/>
                <w:kern w:val="0"/>
                <w:sz w:val="18"/>
                <w:szCs w:val="18"/>
              </w:rPr>
              <w:t>HKD</w:t>
            </w:r>
            <w:r w:rsidRPr="00BD4D14">
              <w:rPr>
                <w:rFonts w:ascii="Arial" w:eastAsia="宋体" w:hAnsi="Arial" w:cs="Arial"/>
                <w:color w:val="000000"/>
                <w:kern w:val="0"/>
                <w:sz w:val="18"/>
                <w:szCs w:val="18"/>
              </w:rPr>
              <w:t>(Millions)</w:t>
            </w:r>
          </w:p>
        </w:tc>
        <w:tc>
          <w:tcPr>
            <w:tcW w:w="1317" w:type="dxa"/>
            <w:tcBorders>
              <w:top w:val="nil"/>
              <w:left w:val="nil"/>
              <w:bottom w:val="single" w:sz="4" w:space="0" w:color="auto"/>
              <w:right w:val="single" w:sz="4" w:space="0" w:color="auto"/>
            </w:tcBorders>
            <w:shd w:val="clear" w:color="000000" w:fill="D1DBE4"/>
            <w:noWrap/>
            <w:vAlign w:val="center"/>
            <w:hideMark/>
          </w:tcPr>
          <w:p w:rsidR="00BD4D14" w:rsidRPr="00BD4D14" w:rsidRDefault="00BD4D14" w:rsidP="00382FF1">
            <w:pPr>
              <w:widowControl/>
              <w:jc w:val="right"/>
              <w:rPr>
                <w:rFonts w:ascii="Arial" w:eastAsia="宋体" w:hAnsi="Arial" w:cs="Arial"/>
                <w:color w:val="000000"/>
                <w:kern w:val="0"/>
                <w:sz w:val="18"/>
                <w:szCs w:val="18"/>
              </w:rPr>
            </w:pPr>
            <w:r>
              <w:rPr>
                <w:rFonts w:ascii="Arial" w:eastAsia="宋体" w:hAnsi="Arial" w:cs="Arial"/>
                <w:color w:val="000000"/>
                <w:kern w:val="0"/>
                <w:sz w:val="18"/>
                <w:szCs w:val="18"/>
              </w:rPr>
              <w:t>HKD</w:t>
            </w:r>
            <w:r w:rsidRPr="00BD4D14">
              <w:rPr>
                <w:rFonts w:ascii="Arial" w:eastAsia="宋体" w:hAnsi="Arial" w:cs="Arial"/>
                <w:color w:val="000000"/>
                <w:kern w:val="0"/>
                <w:sz w:val="18"/>
                <w:szCs w:val="18"/>
              </w:rPr>
              <w:t>(Millions)</w:t>
            </w:r>
          </w:p>
        </w:tc>
        <w:tc>
          <w:tcPr>
            <w:tcW w:w="1317" w:type="dxa"/>
            <w:tcBorders>
              <w:top w:val="nil"/>
              <w:left w:val="nil"/>
              <w:bottom w:val="single" w:sz="4" w:space="0" w:color="auto"/>
              <w:right w:val="single" w:sz="4" w:space="0" w:color="auto"/>
            </w:tcBorders>
            <w:shd w:val="clear" w:color="000000" w:fill="D1DBE4"/>
            <w:noWrap/>
            <w:vAlign w:val="center"/>
            <w:hideMark/>
          </w:tcPr>
          <w:p w:rsidR="00BD4D14" w:rsidRPr="00BD4D14" w:rsidRDefault="00BD4D14" w:rsidP="00382FF1">
            <w:pPr>
              <w:widowControl/>
              <w:jc w:val="right"/>
              <w:rPr>
                <w:rFonts w:ascii="Arial" w:eastAsia="宋体" w:hAnsi="Arial" w:cs="Arial"/>
                <w:color w:val="000000"/>
                <w:kern w:val="0"/>
                <w:sz w:val="18"/>
                <w:szCs w:val="18"/>
              </w:rPr>
            </w:pPr>
            <w:r>
              <w:rPr>
                <w:rFonts w:ascii="Arial" w:eastAsia="宋体" w:hAnsi="Arial" w:cs="Arial"/>
                <w:color w:val="000000"/>
                <w:kern w:val="0"/>
                <w:sz w:val="18"/>
                <w:szCs w:val="18"/>
              </w:rPr>
              <w:t>HKD</w:t>
            </w:r>
            <w:r w:rsidRPr="00BD4D14">
              <w:rPr>
                <w:rFonts w:ascii="Arial" w:eastAsia="宋体" w:hAnsi="Arial" w:cs="Arial"/>
                <w:color w:val="000000"/>
                <w:kern w:val="0"/>
                <w:sz w:val="18"/>
                <w:szCs w:val="18"/>
              </w:rPr>
              <w:t>(Millions)</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ECF1F5"/>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 xml:space="preserve">Net Income before </w:t>
            </w:r>
            <w:r w:rsidR="0082024F" w:rsidRPr="00BD4D14">
              <w:rPr>
                <w:rFonts w:ascii="Arial" w:eastAsia="宋体" w:hAnsi="Arial" w:cs="Arial"/>
                <w:color w:val="000000"/>
                <w:kern w:val="0"/>
                <w:sz w:val="18"/>
                <w:szCs w:val="18"/>
              </w:rPr>
              <w:t>Extraordinariness</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20,598.00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4,781.00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6,758.00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2,403.00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4,212.00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Net Operating Cash Flow</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163,927.00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79,073.00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51,032.00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16,519.00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14,638.00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ECF1F5"/>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Net Investing Cash Flow</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-140,389.00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-54,967.00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-16,507.00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-23,755.00</w:t>
            </w:r>
          </w:p>
        </w:tc>
        <w:tc>
          <w:tcPr>
            <w:tcW w:w="1317" w:type="dxa"/>
            <w:tcBorders>
              <w:top w:val="nil"/>
              <w:left w:val="nil"/>
              <w:bottom w:val="single" w:sz="4" w:space="0" w:color="auto"/>
              <w:right w:val="single" w:sz="4" w:space="0" w:color="auto"/>
            </w:tcBorders>
            <w:shd w:val="clear" w:color="000000" w:fill="ECF1F5"/>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-16,944.00</w:t>
            </w:r>
          </w:p>
        </w:tc>
      </w:tr>
      <w:tr w:rsidR="00BD4D14" w:rsidRPr="00BD4D14" w:rsidTr="006826DC">
        <w:trPr>
          <w:trHeight w:val="270"/>
        </w:trPr>
        <w:tc>
          <w:tcPr>
            <w:tcW w:w="3338" w:type="dxa"/>
            <w:tcBorders>
              <w:top w:val="nil"/>
              <w:left w:val="single" w:sz="4" w:space="0" w:color="auto"/>
              <w:bottom w:val="single" w:sz="4" w:space="0" w:color="auto"/>
              <w:right w:val="single" w:sz="4" w:space="0" w:color="auto"/>
            </w:tcBorders>
            <w:shd w:val="clear" w:color="000000" w:fill="FFFFFF"/>
            <w:vAlign w:val="center"/>
            <w:hideMark/>
          </w:tcPr>
          <w:p w:rsidR="00BD4D14" w:rsidRPr="00BD4D14" w:rsidRDefault="00BD4D14" w:rsidP="00BD4D14">
            <w:pPr>
              <w:widowControl/>
              <w:jc w:val="left"/>
              <w:rPr>
                <w:rFonts w:ascii="Arial" w:eastAsia="宋体" w:hAnsi="Arial" w:cs="Arial"/>
                <w:color w:val="000000"/>
                <w:kern w:val="0"/>
                <w:sz w:val="18"/>
                <w:szCs w:val="18"/>
              </w:rPr>
            </w:pPr>
            <w:r w:rsidRPr="00BD4D14">
              <w:rPr>
                <w:rFonts w:ascii="Arial" w:eastAsia="宋体" w:hAnsi="Arial" w:cs="Arial"/>
                <w:color w:val="000000"/>
                <w:kern w:val="0"/>
                <w:sz w:val="18"/>
                <w:szCs w:val="18"/>
              </w:rPr>
              <w:t>Cash Dividends Paid - Total</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-355.00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-510.00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-184.00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-631.00</w:t>
            </w:r>
          </w:p>
        </w:tc>
        <w:tc>
          <w:tcPr>
            <w:tcW w:w="1317" w:type="dxa"/>
            <w:tcBorders>
              <w:top w:val="nil"/>
              <w:left w:val="nil"/>
              <w:bottom w:val="single" w:sz="4" w:space="0" w:color="auto"/>
              <w:right w:val="single" w:sz="4" w:space="0" w:color="auto"/>
            </w:tcBorders>
            <w:shd w:val="clear" w:color="000000" w:fill="FFFFFF"/>
            <w:vAlign w:val="center"/>
            <w:hideMark/>
          </w:tcPr>
          <w:p w:rsidR="00BD4D14" w:rsidRPr="00BD4D14" w:rsidRDefault="00BD4D14" w:rsidP="00BD4D14">
            <w:pPr>
              <w:widowControl/>
              <w:jc w:val="right"/>
              <w:rPr>
                <w:rFonts w:ascii="Arial" w:eastAsia="宋体" w:hAnsi="Arial" w:cs="Arial"/>
                <w:color w:val="000000"/>
                <w:kern w:val="0"/>
                <w:sz w:val="18"/>
                <w:szCs w:val="18"/>
              </w:rPr>
            </w:pPr>
            <w:r w:rsidRPr="00BD4D14">
              <w:rPr>
                <w:rFonts w:ascii="Arial" w:eastAsia="宋体" w:hAnsi="Arial" w:cs="Arial"/>
                <w:color w:val="000000"/>
                <w:kern w:val="0"/>
                <w:sz w:val="18"/>
                <w:szCs w:val="18"/>
              </w:rPr>
              <w:t>-456.00</w:t>
            </w:r>
          </w:p>
        </w:tc>
      </w:tr>
    </w:tbl>
    <w:p w:rsidR="00BD4D14" w:rsidRDefault="00BD4D14" w:rsidP="002420FE">
      <w:pPr>
        <w:rPr>
          <w:kern w:val="0"/>
          <w:szCs w:val="21"/>
        </w:rPr>
      </w:pPr>
    </w:p>
    <w:p w:rsidR="002420FE" w:rsidRDefault="002420FE" w:rsidP="00203755">
      <w:pPr>
        <w:widowControl/>
        <w:jc w:val="left"/>
        <w:rPr>
          <w:rFonts w:hint="eastAsia"/>
          <w:b/>
          <w:kern w:val="0"/>
          <w:sz w:val="24"/>
          <w:szCs w:val="24"/>
        </w:rPr>
      </w:pPr>
      <w:r>
        <w:rPr>
          <w:kern w:val="0"/>
          <w:szCs w:val="21"/>
        </w:rPr>
        <w:br w:type="page"/>
      </w:r>
      <w:r w:rsidRPr="001476F7">
        <w:rPr>
          <w:rFonts w:hint="eastAsia"/>
          <w:b/>
          <w:kern w:val="0"/>
          <w:sz w:val="24"/>
          <w:szCs w:val="24"/>
        </w:rPr>
        <w:lastRenderedPageBreak/>
        <w:t>Appendix C</w:t>
      </w:r>
      <w:r w:rsidR="00203755" w:rsidRPr="001476F7">
        <w:rPr>
          <w:rFonts w:hint="eastAsia"/>
          <w:b/>
          <w:kern w:val="0"/>
          <w:sz w:val="24"/>
          <w:szCs w:val="24"/>
        </w:rPr>
        <w:t>.</w:t>
      </w:r>
      <w:r w:rsidRPr="001476F7">
        <w:rPr>
          <w:rFonts w:hint="eastAsia"/>
          <w:b/>
          <w:kern w:val="0"/>
          <w:sz w:val="24"/>
          <w:szCs w:val="24"/>
        </w:rPr>
        <w:t xml:space="preserve"> Equations</w:t>
      </w:r>
      <w:r w:rsidR="0082024F" w:rsidRPr="001476F7">
        <w:rPr>
          <w:rFonts w:hint="eastAsia"/>
          <w:b/>
          <w:kern w:val="0"/>
          <w:sz w:val="24"/>
          <w:szCs w:val="24"/>
        </w:rPr>
        <w:t xml:space="preserve"> </w:t>
      </w:r>
      <w:r w:rsidR="0086165D" w:rsidRPr="001476F7">
        <w:rPr>
          <w:b/>
          <w:kern w:val="0"/>
          <w:sz w:val="24"/>
          <w:szCs w:val="24"/>
        </w:rPr>
        <w:t>(LCMB7002</w:t>
      </w:r>
      <w:r w:rsidR="006C7041" w:rsidRPr="001476F7">
        <w:rPr>
          <w:rFonts w:hint="eastAsia"/>
          <w:b/>
          <w:kern w:val="0"/>
          <w:sz w:val="24"/>
          <w:szCs w:val="24"/>
        </w:rPr>
        <w:t xml:space="preserve"> Financial Management</w:t>
      </w:r>
      <w:r w:rsidR="006826DC" w:rsidRPr="001476F7">
        <w:rPr>
          <w:b/>
          <w:kern w:val="0"/>
          <w:sz w:val="24"/>
          <w:szCs w:val="24"/>
        </w:rPr>
        <w:t>, 2023</w:t>
      </w:r>
      <w:r w:rsidR="006C7041" w:rsidRPr="001476F7">
        <w:rPr>
          <w:rFonts w:hint="eastAsia"/>
          <w:b/>
          <w:kern w:val="0"/>
          <w:sz w:val="24"/>
          <w:szCs w:val="24"/>
        </w:rPr>
        <w:t>)</w:t>
      </w:r>
    </w:p>
    <w:p w:rsidR="001476F7" w:rsidRPr="001476F7" w:rsidRDefault="001476F7" w:rsidP="00203755">
      <w:pPr>
        <w:widowControl/>
        <w:jc w:val="left"/>
        <w:rPr>
          <w:b/>
          <w:kern w:val="0"/>
          <w:sz w:val="24"/>
          <w:szCs w:val="24"/>
        </w:rPr>
      </w:pPr>
    </w:p>
    <w:tbl>
      <w:tblPr>
        <w:tblStyle w:val="a9"/>
        <w:tblW w:w="8522" w:type="dxa"/>
        <w:tblInd w:w="108" w:type="dxa"/>
        <w:tblLook w:val="04A0"/>
      </w:tblPr>
      <w:tblGrid>
        <w:gridCol w:w="817"/>
        <w:gridCol w:w="2593"/>
        <w:gridCol w:w="5112"/>
      </w:tblGrid>
      <w:tr w:rsidR="002420FE" w:rsidTr="00AB4FF7">
        <w:trPr>
          <w:trHeight w:val="433"/>
        </w:trPr>
        <w:tc>
          <w:tcPr>
            <w:tcW w:w="8522" w:type="dxa"/>
            <w:gridSpan w:val="3"/>
            <w:vAlign w:val="center"/>
          </w:tcPr>
          <w:p w:rsidR="002420FE" w:rsidRPr="009A2874" w:rsidRDefault="002420FE" w:rsidP="00AB4FF7">
            <w:pPr>
              <w:rPr>
                <w:rFonts w:cs="Times New Roman"/>
                <w:b/>
              </w:rPr>
            </w:pPr>
            <w:r w:rsidRPr="00221993">
              <w:rPr>
                <w:rFonts w:cs="Times New Roman"/>
                <w:b/>
              </w:rPr>
              <w:t>Liquidity ratios</w:t>
            </w:r>
          </w:p>
        </w:tc>
      </w:tr>
      <w:tr w:rsidR="002420FE" w:rsidTr="00AB4FF7">
        <w:trPr>
          <w:trHeight w:val="509"/>
        </w:trPr>
        <w:tc>
          <w:tcPr>
            <w:tcW w:w="817" w:type="dxa"/>
            <w:vAlign w:val="center"/>
          </w:tcPr>
          <w:p w:rsidR="002420FE" w:rsidRPr="00221993" w:rsidRDefault="002420FE" w:rsidP="00AB4FF7">
            <w:pPr>
              <w:jc w:val="center"/>
              <w:rPr>
                <w:rFonts w:cs="Times New Roman"/>
                <w:sz w:val="18"/>
                <w:szCs w:val="18"/>
              </w:rPr>
            </w:pPr>
            <w:r w:rsidRPr="00221993">
              <w:rPr>
                <w:rFonts w:cs="Times New Roman" w:hint="eastAsia"/>
                <w:sz w:val="18"/>
                <w:szCs w:val="18"/>
              </w:rPr>
              <w:t>7</w:t>
            </w:r>
          </w:p>
        </w:tc>
        <w:tc>
          <w:tcPr>
            <w:tcW w:w="2593" w:type="dxa"/>
            <w:vAlign w:val="center"/>
          </w:tcPr>
          <w:p w:rsidR="002420FE" w:rsidRPr="00221993" w:rsidRDefault="002420FE" w:rsidP="00AB4FF7">
            <w:pPr>
              <w:rPr>
                <w:rFonts w:cs="Times New Roman"/>
                <w:sz w:val="18"/>
                <w:szCs w:val="18"/>
              </w:rPr>
            </w:pPr>
            <w:r w:rsidRPr="00221993">
              <w:rPr>
                <w:rFonts w:cs="Times New Roman"/>
                <w:sz w:val="18"/>
                <w:szCs w:val="18"/>
              </w:rPr>
              <w:t>Quick Ration</w:t>
            </w:r>
          </w:p>
        </w:tc>
        <w:tc>
          <w:tcPr>
            <w:tcW w:w="5112" w:type="dxa"/>
          </w:tcPr>
          <w:p w:rsidR="002420FE" w:rsidRPr="00085071" w:rsidRDefault="001028E8" w:rsidP="00AB4FF7">
            <w:pPr>
              <w:jc w:val="left"/>
              <w:rPr>
                <w:rFonts w:ascii="Cambria Math" w:cs="Times New Roman"/>
                <w:sz w:val="18"/>
                <w:szCs w:val="18"/>
              </w:rPr>
            </w:pPr>
            <m:oMathPara>
              <m:oMathParaPr>
                <m:jc m:val="left"/>
              </m:oMathParaPr>
              <m:oMath>
                <m:f>
                  <m:fPr>
                    <m:ctrlPr>
                      <w:rPr>
                        <w:rFonts w:ascii="Cambria Math" w:hAnsi="Cambria Math" w:cs="Times New Roman"/>
                        <w:sz w:val="18"/>
                        <w:szCs w:val="18"/>
                      </w:rPr>
                    </m:ctrlPr>
                  </m:fPr>
                  <m:num>
                    <m:r>
                      <m:rPr>
                        <m:sty m:val="p"/>
                      </m:rPr>
                      <w:rPr>
                        <w:rFonts w:ascii="Cambria Math" w:cs="Times New Roman"/>
                        <w:sz w:val="18"/>
                        <w:szCs w:val="18"/>
                      </w:rPr>
                      <m:t>Current Assets</m:t>
                    </m:r>
                    <m:r>
                      <m:rPr>
                        <m:sty m:val="p"/>
                      </m:rPr>
                      <w:rPr>
                        <w:rFonts w:ascii="Cambria Math" w:cs="Times New Roman"/>
                        <w:sz w:val="18"/>
                        <w:szCs w:val="18"/>
                      </w:rPr>
                      <m:t>-</m:t>
                    </m:r>
                    <m:r>
                      <m:rPr>
                        <m:sty m:val="p"/>
                      </m:rPr>
                      <w:rPr>
                        <w:rFonts w:ascii="Cambria Math" w:cs="Times New Roman"/>
                        <w:sz w:val="18"/>
                        <w:szCs w:val="18"/>
                      </w:rPr>
                      <m:t>Inventory</m:t>
                    </m:r>
                  </m:num>
                  <m:den>
                    <m:r>
                      <m:rPr>
                        <m:sty m:val="p"/>
                      </m:rPr>
                      <w:rPr>
                        <w:rFonts w:ascii="Cambria Math" w:cs="Times New Roman"/>
                        <w:sz w:val="18"/>
                        <w:szCs w:val="18"/>
                      </w:rPr>
                      <m:t>Current Liabilities</m:t>
                    </m:r>
                  </m:den>
                </m:f>
              </m:oMath>
            </m:oMathPara>
          </w:p>
        </w:tc>
      </w:tr>
      <w:tr w:rsidR="002420FE" w:rsidTr="00AB4FF7">
        <w:trPr>
          <w:trHeight w:val="433"/>
        </w:trPr>
        <w:tc>
          <w:tcPr>
            <w:tcW w:w="817" w:type="dxa"/>
            <w:vAlign w:val="center"/>
          </w:tcPr>
          <w:p w:rsidR="002420FE" w:rsidRPr="00221993" w:rsidRDefault="002420FE" w:rsidP="00AB4FF7">
            <w:pPr>
              <w:jc w:val="center"/>
              <w:rPr>
                <w:rFonts w:cs="Times New Roman"/>
                <w:sz w:val="18"/>
                <w:szCs w:val="18"/>
              </w:rPr>
            </w:pPr>
            <w:r w:rsidRPr="00221993">
              <w:rPr>
                <w:rFonts w:cs="Times New Roman" w:hint="eastAsia"/>
                <w:sz w:val="18"/>
                <w:szCs w:val="18"/>
              </w:rPr>
              <w:t>8</w:t>
            </w:r>
          </w:p>
        </w:tc>
        <w:tc>
          <w:tcPr>
            <w:tcW w:w="2593" w:type="dxa"/>
            <w:vAlign w:val="center"/>
          </w:tcPr>
          <w:p w:rsidR="002420FE" w:rsidRPr="00221993" w:rsidRDefault="002420FE" w:rsidP="00AB4FF7">
            <w:pPr>
              <w:rPr>
                <w:rFonts w:cs="Times New Roman"/>
                <w:sz w:val="18"/>
                <w:szCs w:val="18"/>
              </w:rPr>
            </w:pPr>
            <w:r w:rsidRPr="00221993">
              <w:rPr>
                <w:rFonts w:cs="Times New Roman"/>
                <w:sz w:val="18"/>
                <w:szCs w:val="18"/>
              </w:rPr>
              <w:t>Cash Ration</w:t>
            </w:r>
          </w:p>
        </w:tc>
        <w:tc>
          <w:tcPr>
            <w:tcW w:w="5112" w:type="dxa"/>
          </w:tcPr>
          <w:p w:rsidR="002420FE" w:rsidRPr="00085071" w:rsidRDefault="001028E8" w:rsidP="00AB4FF7">
            <w:pPr>
              <w:jc w:val="left"/>
              <w:rPr>
                <w:rFonts w:ascii="Cambria Math" w:cs="Times New Roman"/>
                <w:sz w:val="18"/>
                <w:szCs w:val="18"/>
              </w:rPr>
            </w:pPr>
            <m:oMathPara>
              <m:oMathParaPr>
                <m:jc m:val="left"/>
              </m:oMathParaPr>
              <m:oMath>
                <m:f>
                  <m:fPr>
                    <m:ctrlPr>
                      <w:rPr>
                        <w:rFonts w:ascii="Cambria Math" w:hAnsi="Cambria Math" w:cs="Times New Roman"/>
                        <w:sz w:val="18"/>
                        <w:szCs w:val="18"/>
                      </w:rPr>
                    </m:ctrlPr>
                  </m:fPr>
                  <m:num>
                    <m:r>
                      <m:rPr>
                        <m:sty m:val="p"/>
                      </m:rPr>
                      <w:rPr>
                        <w:rFonts w:ascii="Cambria Math" w:cs="Times New Roman"/>
                        <w:sz w:val="18"/>
                        <w:szCs w:val="18"/>
                      </w:rPr>
                      <m:t>Cash</m:t>
                    </m:r>
                  </m:num>
                  <m:den>
                    <m:r>
                      <m:rPr>
                        <m:sty m:val="p"/>
                      </m:rPr>
                      <w:rPr>
                        <w:rFonts w:ascii="Cambria Math" w:cs="Times New Roman"/>
                        <w:sz w:val="18"/>
                        <w:szCs w:val="18"/>
                      </w:rPr>
                      <m:t>Current Liabilities</m:t>
                    </m:r>
                  </m:den>
                </m:f>
              </m:oMath>
            </m:oMathPara>
          </w:p>
        </w:tc>
      </w:tr>
      <w:tr w:rsidR="002420FE" w:rsidTr="00AB4FF7">
        <w:tc>
          <w:tcPr>
            <w:tcW w:w="817" w:type="dxa"/>
            <w:vAlign w:val="center"/>
          </w:tcPr>
          <w:p w:rsidR="002420FE" w:rsidRPr="00221993" w:rsidRDefault="002420FE" w:rsidP="00AB4FF7">
            <w:pPr>
              <w:jc w:val="center"/>
              <w:rPr>
                <w:rFonts w:cs="Times New Roman"/>
                <w:sz w:val="18"/>
                <w:szCs w:val="18"/>
              </w:rPr>
            </w:pPr>
            <w:r w:rsidRPr="00221993">
              <w:rPr>
                <w:rFonts w:cs="Times New Roman" w:hint="eastAsia"/>
                <w:sz w:val="18"/>
                <w:szCs w:val="18"/>
              </w:rPr>
              <w:t>9</w:t>
            </w:r>
          </w:p>
        </w:tc>
        <w:tc>
          <w:tcPr>
            <w:tcW w:w="2593" w:type="dxa"/>
            <w:vAlign w:val="center"/>
          </w:tcPr>
          <w:p w:rsidR="002420FE" w:rsidRPr="00221993" w:rsidRDefault="002420FE" w:rsidP="00AB4FF7">
            <w:pPr>
              <w:rPr>
                <w:rFonts w:cs="Times New Roman"/>
                <w:sz w:val="18"/>
                <w:szCs w:val="18"/>
              </w:rPr>
            </w:pPr>
            <w:r w:rsidRPr="00221993">
              <w:rPr>
                <w:rFonts w:cs="Times New Roman"/>
                <w:sz w:val="18"/>
                <w:szCs w:val="18"/>
              </w:rPr>
              <w:t>Current Ration</w:t>
            </w:r>
          </w:p>
        </w:tc>
        <w:tc>
          <w:tcPr>
            <w:tcW w:w="5112" w:type="dxa"/>
          </w:tcPr>
          <w:p w:rsidR="002420FE" w:rsidRPr="00085071" w:rsidRDefault="001028E8" w:rsidP="00AB4FF7">
            <w:pPr>
              <w:jc w:val="left"/>
              <w:rPr>
                <w:rFonts w:ascii="Cambria Math" w:cs="Times New Roman"/>
                <w:sz w:val="18"/>
                <w:szCs w:val="18"/>
              </w:rPr>
            </w:pPr>
            <m:oMathPara>
              <m:oMathParaPr>
                <m:jc m:val="left"/>
              </m:oMathParaPr>
              <m:oMath>
                <m:f>
                  <m:fPr>
                    <m:ctrlPr>
                      <w:rPr>
                        <w:rFonts w:ascii="Cambria Math" w:hAnsi="Cambria Math" w:cs="Times New Roman"/>
                        <w:sz w:val="18"/>
                        <w:szCs w:val="18"/>
                      </w:rPr>
                    </m:ctrlPr>
                  </m:fPr>
                  <m:num>
                    <m:r>
                      <m:rPr>
                        <m:sty m:val="p"/>
                      </m:rPr>
                      <w:rPr>
                        <w:rFonts w:ascii="Cambria Math" w:cs="Times New Roman"/>
                        <w:sz w:val="18"/>
                        <w:szCs w:val="18"/>
                      </w:rPr>
                      <m:t>Current Assets</m:t>
                    </m:r>
                  </m:num>
                  <m:den>
                    <m:r>
                      <m:rPr>
                        <m:sty m:val="p"/>
                      </m:rPr>
                      <w:rPr>
                        <w:rFonts w:ascii="Cambria Math" w:cs="Times New Roman"/>
                        <w:sz w:val="18"/>
                        <w:szCs w:val="18"/>
                      </w:rPr>
                      <m:t>Current Liabilities</m:t>
                    </m:r>
                  </m:den>
                </m:f>
              </m:oMath>
            </m:oMathPara>
          </w:p>
        </w:tc>
      </w:tr>
      <w:tr w:rsidR="002420FE" w:rsidTr="006C7041">
        <w:trPr>
          <w:trHeight w:val="460"/>
        </w:trPr>
        <w:tc>
          <w:tcPr>
            <w:tcW w:w="8522" w:type="dxa"/>
            <w:gridSpan w:val="3"/>
            <w:vAlign w:val="center"/>
          </w:tcPr>
          <w:p w:rsidR="002420FE" w:rsidRDefault="002420FE" w:rsidP="0086165D">
            <w:pPr>
              <w:rPr>
                <w:rFonts w:ascii="Times New Roman" w:eastAsia="宋体" w:hAnsi="Times New Roman" w:cs="Times New Roman"/>
                <w:kern w:val="0"/>
                <w:sz w:val="24"/>
                <w:szCs w:val="24"/>
              </w:rPr>
            </w:pPr>
            <w:r w:rsidRPr="00221993">
              <w:rPr>
                <w:rFonts w:cs="Times New Roman" w:hint="eastAsia"/>
                <w:b/>
              </w:rPr>
              <w:t xml:space="preserve">Leverage(Gearing) </w:t>
            </w:r>
            <w:r w:rsidR="0086165D">
              <w:rPr>
                <w:rFonts w:cs="Times New Roman" w:hint="eastAsia"/>
                <w:b/>
              </w:rPr>
              <w:t>r</w:t>
            </w:r>
            <w:r w:rsidRPr="00221993">
              <w:rPr>
                <w:rFonts w:cs="Times New Roman" w:hint="eastAsia"/>
                <w:b/>
              </w:rPr>
              <w:t>atios</w:t>
            </w:r>
          </w:p>
        </w:tc>
      </w:tr>
      <w:tr w:rsidR="002420FE" w:rsidTr="00AB4FF7">
        <w:trPr>
          <w:trHeight w:val="559"/>
        </w:trPr>
        <w:tc>
          <w:tcPr>
            <w:tcW w:w="817" w:type="dxa"/>
            <w:vAlign w:val="center"/>
          </w:tcPr>
          <w:p w:rsidR="002420FE" w:rsidRPr="00D12F52" w:rsidRDefault="002420FE" w:rsidP="00AB4FF7">
            <w:pPr>
              <w:jc w:val="center"/>
              <w:rPr>
                <w:rFonts w:cs="Times New Roman"/>
                <w:sz w:val="18"/>
                <w:szCs w:val="18"/>
              </w:rPr>
            </w:pPr>
            <w:r w:rsidRPr="00D12F52">
              <w:rPr>
                <w:rFonts w:cs="Times New Roman" w:hint="eastAsia"/>
                <w:sz w:val="18"/>
                <w:szCs w:val="18"/>
              </w:rPr>
              <w:t>10</w:t>
            </w:r>
          </w:p>
        </w:tc>
        <w:tc>
          <w:tcPr>
            <w:tcW w:w="2593" w:type="dxa"/>
            <w:vAlign w:val="center"/>
          </w:tcPr>
          <w:p w:rsidR="002420FE" w:rsidRPr="00221993" w:rsidRDefault="002420FE" w:rsidP="00AB4FF7">
            <w:pPr>
              <w:rPr>
                <w:rFonts w:cs="Times New Roman"/>
                <w:sz w:val="18"/>
                <w:szCs w:val="18"/>
              </w:rPr>
            </w:pPr>
            <w:r w:rsidRPr="00221993">
              <w:rPr>
                <w:rFonts w:cs="Times New Roman" w:hint="eastAsia"/>
                <w:sz w:val="18"/>
                <w:szCs w:val="18"/>
              </w:rPr>
              <w:t xml:space="preserve">Debt-Equity </w:t>
            </w:r>
            <w:r>
              <w:rPr>
                <w:rFonts w:cs="Times New Roman" w:hint="eastAsia"/>
                <w:sz w:val="18"/>
                <w:szCs w:val="18"/>
              </w:rPr>
              <w:t>Ratio</w:t>
            </w:r>
          </w:p>
        </w:tc>
        <w:tc>
          <w:tcPr>
            <w:tcW w:w="5112" w:type="dxa"/>
            <w:vAlign w:val="center"/>
          </w:tcPr>
          <w:p w:rsidR="002420FE" w:rsidRPr="009A2874" w:rsidRDefault="001028E8" w:rsidP="00AB4FF7">
            <w:pPr>
              <w:rPr>
                <w:rFonts w:ascii="Times New Roman" w:eastAsia="宋体" w:hAnsi="Times New Roman"/>
                <w:kern w:val="0"/>
                <w:sz w:val="18"/>
                <w:szCs w:val="18"/>
              </w:rPr>
            </w:pPr>
            <m:oMathPara>
              <m:oMathParaPr>
                <m:jc m:val="left"/>
              </m:oMathParaPr>
              <m:oMath>
                <m:f>
                  <m:fPr>
                    <m:ctrlPr>
                      <w:rPr>
                        <w:rFonts w:ascii="Cambria Math" w:hAnsi="Cambria Math"/>
                        <w:sz w:val="18"/>
                        <w:szCs w:val="18"/>
                      </w:rPr>
                    </m:ctrlPr>
                  </m:fPr>
                  <m:num>
                    <m:r>
                      <m:rPr>
                        <m:sty m:val="p"/>
                      </m:rPr>
                      <w:rPr>
                        <w:rFonts w:ascii="Cambria Math" w:hAnsi="Cambria Math"/>
                        <w:sz w:val="18"/>
                        <w:szCs w:val="18"/>
                      </w:rPr>
                      <m:t>Total Debt</m:t>
                    </m:r>
                  </m:num>
                  <m:den>
                    <m:r>
                      <m:rPr>
                        <m:sty m:val="p"/>
                      </m:rPr>
                      <w:rPr>
                        <w:rFonts w:ascii="Cambria Math" w:hAnsi="Cambria Math"/>
                        <w:sz w:val="18"/>
                        <w:szCs w:val="18"/>
                      </w:rPr>
                      <m:t>Total Equity</m:t>
                    </m:r>
                  </m:den>
                </m:f>
              </m:oMath>
            </m:oMathPara>
          </w:p>
        </w:tc>
      </w:tr>
      <w:tr w:rsidR="002420FE" w:rsidTr="00AB4FF7">
        <w:tc>
          <w:tcPr>
            <w:tcW w:w="817" w:type="dxa"/>
            <w:vAlign w:val="center"/>
          </w:tcPr>
          <w:p w:rsidR="002420FE" w:rsidRPr="00D12F52" w:rsidRDefault="002420FE" w:rsidP="00AB4FF7">
            <w:pPr>
              <w:jc w:val="center"/>
              <w:rPr>
                <w:rFonts w:cs="Times New Roman"/>
                <w:sz w:val="18"/>
                <w:szCs w:val="18"/>
              </w:rPr>
            </w:pPr>
            <w:r w:rsidRPr="00D12F52">
              <w:rPr>
                <w:rFonts w:cs="Times New Roman" w:hint="eastAsia"/>
                <w:sz w:val="18"/>
                <w:szCs w:val="18"/>
              </w:rPr>
              <w:t>11</w:t>
            </w:r>
          </w:p>
        </w:tc>
        <w:tc>
          <w:tcPr>
            <w:tcW w:w="2593" w:type="dxa"/>
            <w:vAlign w:val="center"/>
          </w:tcPr>
          <w:p w:rsidR="002420FE" w:rsidRPr="00221993" w:rsidRDefault="002420FE" w:rsidP="00AB4FF7">
            <w:pPr>
              <w:rPr>
                <w:rFonts w:cs="Times New Roman"/>
                <w:sz w:val="18"/>
                <w:szCs w:val="18"/>
              </w:rPr>
            </w:pPr>
            <w:r>
              <w:rPr>
                <w:rFonts w:cs="Times New Roman" w:hint="eastAsia"/>
                <w:sz w:val="18"/>
                <w:szCs w:val="18"/>
              </w:rPr>
              <w:t>Debt to Capital</w:t>
            </w:r>
            <w:r w:rsidRPr="00221993">
              <w:rPr>
                <w:rFonts w:cs="Times New Roman" w:hint="eastAsia"/>
                <w:sz w:val="18"/>
                <w:szCs w:val="18"/>
              </w:rPr>
              <w:t xml:space="preserve"> Ratio</w:t>
            </w:r>
          </w:p>
        </w:tc>
        <w:tc>
          <w:tcPr>
            <w:tcW w:w="5112" w:type="dxa"/>
            <w:vAlign w:val="center"/>
          </w:tcPr>
          <w:p w:rsidR="002420FE" w:rsidRPr="009A2874" w:rsidRDefault="001028E8" w:rsidP="00AB4FF7">
            <w:pPr>
              <w:rPr>
                <w:rFonts w:ascii="Cambria Math" w:hAnsi="Cambria Math"/>
                <w:sz w:val="18"/>
                <w:szCs w:val="18"/>
              </w:rPr>
            </w:pPr>
            <m:oMathPara>
              <m:oMathParaPr>
                <m:jc m:val="left"/>
              </m:oMathParaPr>
              <m:oMath>
                <m:f>
                  <m:fPr>
                    <m:ctrlPr>
                      <w:rPr>
                        <w:rFonts w:ascii="Cambria Math" w:hAnsi="Cambria Math"/>
                        <w:sz w:val="18"/>
                        <w:szCs w:val="18"/>
                      </w:rPr>
                    </m:ctrlPr>
                  </m:fPr>
                  <m:num>
                    <m:r>
                      <m:rPr>
                        <m:sty m:val="p"/>
                      </m:rPr>
                      <w:rPr>
                        <w:rFonts w:ascii="Cambria Math" w:hAnsi="Cambria Math"/>
                        <w:sz w:val="18"/>
                        <w:szCs w:val="18"/>
                      </w:rPr>
                      <m:t>Total Debt</m:t>
                    </m:r>
                  </m:num>
                  <m:den>
                    <m:r>
                      <m:rPr>
                        <m:sty m:val="p"/>
                      </m:rPr>
                      <w:rPr>
                        <w:rFonts w:ascii="Cambria Math" w:hAnsi="Cambria Math"/>
                        <w:sz w:val="18"/>
                        <w:szCs w:val="18"/>
                      </w:rPr>
                      <m:t>Total Equity+Total Debt</m:t>
                    </m:r>
                  </m:den>
                </m:f>
              </m:oMath>
            </m:oMathPara>
          </w:p>
        </w:tc>
      </w:tr>
      <w:tr w:rsidR="002420FE" w:rsidTr="00AB4FF7">
        <w:tc>
          <w:tcPr>
            <w:tcW w:w="817" w:type="dxa"/>
            <w:vAlign w:val="center"/>
          </w:tcPr>
          <w:p w:rsidR="002420FE" w:rsidRPr="00D12F52" w:rsidRDefault="002420FE" w:rsidP="00AB4FF7">
            <w:pPr>
              <w:jc w:val="center"/>
              <w:rPr>
                <w:rFonts w:cs="Times New Roman"/>
                <w:sz w:val="18"/>
                <w:szCs w:val="18"/>
              </w:rPr>
            </w:pPr>
            <w:r>
              <w:rPr>
                <w:rFonts w:cs="Times New Roman" w:hint="eastAsia"/>
                <w:sz w:val="18"/>
                <w:szCs w:val="18"/>
              </w:rPr>
              <w:t>12</w:t>
            </w:r>
          </w:p>
        </w:tc>
        <w:tc>
          <w:tcPr>
            <w:tcW w:w="2593" w:type="dxa"/>
            <w:vAlign w:val="center"/>
          </w:tcPr>
          <w:p w:rsidR="002420FE" w:rsidRPr="00221993" w:rsidRDefault="002420FE" w:rsidP="00AB4FF7">
            <w:pPr>
              <w:rPr>
                <w:rFonts w:cs="Times New Roman"/>
                <w:sz w:val="18"/>
                <w:szCs w:val="18"/>
              </w:rPr>
            </w:pPr>
            <w:r>
              <w:rPr>
                <w:rFonts w:cs="Times New Roman" w:hint="eastAsia"/>
                <w:sz w:val="18"/>
                <w:szCs w:val="18"/>
              </w:rPr>
              <w:t>Debt to Assets Ratio</w:t>
            </w:r>
          </w:p>
        </w:tc>
        <w:tc>
          <w:tcPr>
            <w:tcW w:w="5112" w:type="dxa"/>
            <w:vAlign w:val="center"/>
          </w:tcPr>
          <w:p w:rsidR="002420FE" w:rsidRPr="009A2874" w:rsidRDefault="001028E8" w:rsidP="00AB4FF7">
            <w:pPr>
              <w:rPr>
                <w:rFonts w:ascii="Calibri" w:eastAsia="宋体" w:hAnsi="Calibri" w:cs="Times New Roman"/>
                <w:sz w:val="18"/>
                <w:szCs w:val="18"/>
              </w:rPr>
            </w:pPr>
            <m:oMathPara>
              <m:oMathParaPr>
                <m:jc m:val="left"/>
              </m:oMathParaPr>
              <m:oMath>
                <m:f>
                  <m:fPr>
                    <m:ctrlPr>
                      <w:rPr>
                        <w:rFonts w:ascii="Cambria Math" w:hAnsi="Cambria Math"/>
                        <w:sz w:val="18"/>
                        <w:szCs w:val="18"/>
                      </w:rPr>
                    </m:ctrlPr>
                  </m:fPr>
                  <m:num>
                    <m:r>
                      <m:rPr>
                        <m:sty m:val="p"/>
                      </m:rPr>
                      <w:rPr>
                        <w:rFonts w:ascii="Cambria Math" w:hAnsi="Cambria Math"/>
                        <w:sz w:val="18"/>
                        <w:szCs w:val="18"/>
                      </w:rPr>
                      <m:t>Total Debt</m:t>
                    </m:r>
                  </m:num>
                  <m:den>
                    <m:r>
                      <m:rPr>
                        <m:sty m:val="p"/>
                      </m:rPr>
                      <w:rPr>
                        <w:rFonts w:ascii="Cambria Math" w:hAnsi="Cambria Math"/>
                        <w:sz w:val="18"/>
                        <w:szCs w:val="18"/>
                      </w:rPr>
                      <m:t>Total Assets</m:t>
                    </m:r>
                  </m:den>
                </m:f>
              </m:oMath>
            </m:oMathPara>
          </w:p>
        </w:tc>
      </w:tr>
    </w:tbl>
    <w:p w:rsidR="002420FE" w:rsidRDefault="002420FE" w:rsidP="002420FE">
      <w:pPr>
        <w:rPr>
          <w:rFonts w:ascii="Cambria" w:hAnsi="Cambria"/>
        </w:rPr>
      </w:pPr>
    </w:p>
    <w:sectPr w:rsidR="002420FE" w:rsidSect="001476F7">
      <w:footerReference w:type="default" r:id="rId14"/>
      <w:pgSz w:w="11906" w:h="16838"/>
      <w:pgMar w:top="1440" w:right="1080" w:bottom="1440" w:left="108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66D1D" w:rsidRDefault="00E66D1D" w:rsidP="00280ACD">
      <w:r>
        <w:separator/>
      </w:r>
    </w:p>
  </w:endnote>
  <w:endnote w:type="continuationSeparator" w:id="1">
    <w:p w:rsidR="00E66D1D" w:rsidRDefault="00E66D1D" w:rsidP="00280ACD">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6906766"/>
      <w:docPartObj>
        <w:docPartGallery w:val="Page Numbers (Bottom of Page)"/>
        <w:docPartUnique/>
      </w:docPartObj>
    </w:sdtPr>
    <w:sdtContent>
      <w:sdt>
        <w:sdtPr>
          <w:id w:val="171357217"/>
          <w:docPartObj>
            <w:docPartGallery w:val="Page Numbers (Top of Page)"/>
            <w:docPartUnique/>
          </w:docPartObj>
        </w:sdtPr>
        <w:sdtContent>
          <w:p w:rsidR="005842A3" w:rsidRDefault="005842A3">
            <w:pPr>
              <w:pStyle w:val="a4"/>
              <w:jc w:val="center"/>
            </w:pPr>
            <w:r>
              <w:rPr>
                <w:lang w:val="zh-CN"/>
              </w:rPr>
              <w:t xml:space="preserve"> </w:t>
            </w:r>
            <w:r>
              <w:rPr>
                <w:b/>
                <w:sz w:val="24"/>
                <w:szCs w:val="24"/>
              </w:rPr>
              <w:fldChar w:fldCharType="begin"/>
            </w:r>
            <w:r>
              <w:rPr>
                <w:b/>
              </w:rPr>
              <w:instrText>PAGE</w:instrText>
            </w:r>
            <w:r>
              <w:rPr>
                <w:b/>
                <w:sz w:val="24"/>
                <w:szCs w:val="24"/>
              </w:rPr>
              <w:fldChar w:fldCharType="separate"/>
            </w:r>
            <w:r w:rsidR="008D7B7F">
              <w:rPr>
                <w:b/>
                <w:noProof/>
              </w:rPr>
              <w:t>23</w:t>
            </w:r>
            <w:r>
              <w:rPr>
                <w:b/>
                <w:sz w:val="24"/>
                <w:szCs w:val="24"/>
              </w:rPr>
              <w:fldChar w:fldCharType="end"/>
            </w:r>
            <w:r>
              <w:rPr>
                <w:lang w:val="zh-CN"/>
              </w:rPr>
              <w:t xml:space="preserve"> / </w:t>
            </w:r>
            <w:r>
              <w:rPr>
                <w:b/>
                <w:sz w:val="24"/>
                <w:szCs w:val="24"/>
              </w:rPr>
              <w:fldChar w:fldCharType="begin"/>
            </w:r>
            <w:r>
              <w:rPr>
                <w:b/>
              </w:rPr>
              <w:instrText>NUMPAGES</w:instrText>
            </w:r>
            <w:r>
              <w:rPr>
                <w:b/>
                <w:sz w:val="24"/>
                <w:szCs w:val="24"/>
              </w:rPr>
              <w:fldChar w:fldCharType="separate"/>
            </w:r>
            <w:r w:rsidR="008D7B7F">
              <w:rPr>
                <w:b/>
                <w:noProof/>
              </w:rPr>
              <w:t>23</w:t>
            </w:r>
            <w:r>
              <w:rPr>
                <w:b/>
                <w:sz w:val="24"/>
                <w:szCs w:val="24"/>
              </w:rPr>
              <w:fldChar w:fldCharType="end"/>
            </w:r>
          </w:p>
        </w:sdtContent>
      </w:sdt>
    </w:sdtContent>
  </w:sdt>
  <w:p w:rsidR="005842A3" w:rsidRDefault="005842A3">
    <w:pPr>
      <w:pStyle w:val="a4"/>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66D1D" w:rsidRDefault="00E66D1D" w:rsidP="00280ACD">
      <w:r>
        <w:separator/>
      </w:r>
    </w:p>
  </w:footnote>
  <w:footnote w:type="continuationSeparator" w:id="1">
    <w:p w:rsidR="00E66D1D" w:rsidRDefault="00E66D1D" w:rsidP="00280ACD">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115629"/>
    <w:multiLevelType w:val="multilevel"/>
    <w:tmpl w:val="67025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932046E"/>
    <w:multiLevelType w:val="hybridMultilevel"/>
    <w:tmpl w:val="16C043D2"/>
    <w:lvl w:ilvl="0" w:tplc="61C428A2">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2E30117D"/>
    <w:multiLevelType w:val="multilevel"/>
    <w:tmpl w:val="2C064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D11754E"/>
    <w:multiLevelType w:val="hybridMultilevel"/>
    <w:tmpl w:val="2CFC3798"/>
    <w:lvl w:ilvl="0" w:tplc="D4567822">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nsid w:val="57DE2A78"/>
    <w:multiLevelType w:val="hybridMultilevel"/>
    <w:tmpl w:val="4E20A544"/>
    <w:lvl w:ilvl="0" w:tplc="FD24E8C4">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nsid w:val="71715CFE"/>
    <w:multiLevelType w:val="hybridMultilevel"/>
    <w:tmpl w:val="CD584806"/>
    <w:lvl w:ilvl="0" w:tplc="634A985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nsid w:val="7ABE2CC2"/>
    <w:multiLevelType w:val="multilevel"/>
    <w:tmpl w:val="DB1C7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0"/>
  </w:num>
  <w:num w:numId="3">
    <w:abstractNumId w:val="2"/>
  </w:num>
  <w:num w:numId="4">
    <w:abstractNumId w:val="4"/>
  </w:num>
  <w:num w:numId="5">
    <w:abstractNumId w:val="3"/>
  </w:num>
  <w:num w:numId="6">
    <w:abstractNumId w:val="1"/>
  </w:num>
  <w:num w:numId="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2"/>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59394"/>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EB4751"/>
    <w:rsid w:val="000065E4"/>
    <w:rsid w:val="000112A4"/>
    <w:rsid w:val="00026EA2"/>
    <w:rsid w:val="000376D8"/>
    <w:rsid w:val="0005402E"/>
    <w:rsid w:val="0006737C"/>
    <w:rsid w:val="000B1114"/>
    <w:rsid w:val="000C1838"/>
    <w:rsid w:val="000C4F60"/>
    <w:rsid w:val="001028E8"/>
    <w:rsid w:val="0010649F"/>
    <w:rsid w:val="00120409"/>
    <w:rsid w:val="0012528D"/>
    <w:rsid w:val="00132E0B"/>
    <w:rsid w:val="0013799B"/>
    <w:rsid w:val="00145831"/>
    <w:rsid w:val="001476F7"/>
    <w:rsid w:val="00171BF0"/>
    <w:rsid w:val="00175CC8"/>
    <w:rsid w:val="001A2A1D"/>
    <w:rsid w:val="001B3968"/>
    <w:rsid w:val="001C234C"/>
    <w:rsid w:val="001C337C"/>
    <w:rsid w:val="001D4181"/>
    <w:rsid w:val="001E1038"/>
    <w:rsid w:val="001E6C3B"/>
    <w:rsid w:val="001F5227"/>
    <w:rsid w:val="001F7D23"/>
    <w:rsid w:val="002031D3"/>
    <w:rsid w:val="00203755"/>
    <w:rsid w:val="00203A83"/>
    <w:rsid w:val="00205FE6"/>
    <w:rsid w:val="00207850"/>
    <w:rsid w:val="00214C31"/>
    <w:rsid w:val="0022383E"/>
    <w:rsid w:val="002340BE"/>
    <w:rsid w:val="002420FE"/>
    <w:rsid w:val="0024381A"/>
    <w:rsid w:val="00244F9D"/>
    <w:rsid w:val="00246C35"/>
    <w:rsid w:val="002569B6"/>
    <w:rsid w:val="00264B25"/>
    <w:rsid w:val="00265B40"/>
    <w:rsid w:val="002741C2"/>
    <w:rsid w:val="00280ACD"/>
    <w:rsid w:val="00290476"/>
    <w:rsid w:val="002A081C"/>
    <w:rsid w:val="002B6870"/>
    <w:rsid w:val="002D5655"/>
    <w:rsid w:val="002F3633"/>
    <w:rsid w:val="00302772"/>
    <w:rsid w:val="00304718"/>
    <w:rsid w:val="003108A8"/>
    <w:rsid w:val="00315FF6"/>
    <w:rsid w:val="00322C42"/>
    <w:rsid w:val="00322D02"/>
    <w:rsid w:val="00323EB2"/>
    <w:rsid w:val="0032753F"/>
    <w:rsid w:val="003365DD"/>
    <w:rsid w:val="00337D90"/>
    <w:rsid w:val="0036114B"/>
    <w:rsid w:val="00382FF1"/>
    <w:rsid w:val="003C40CB"/>
    <w:rsid w:val="003D6F9B"/>
    <w:rsid w:val="00401D1F"/>
    <w:rsid w:val="00406A05"/>
    <w:rsid w:val="00410164"/>
    <w:rsid w:val="00412742"/>
    <w:rsid w:val="0041325B"/>
    <w:rsid w:val="00457461"/>
    <w:rsid w:val="00473861"/>
    <w:rsid w:val="00494053"/>
    <w:rsid w:val="004C2435"/>
    <w:rsid w:val="004F23C6"/>
    <w:rsid w:val="00507FDB"/>
    <w:rsid w:val="00511CBB"/>
    <w:rsid w:val="00520912"/>
    <w:rsid w:val="00533579"/>
    <w:rsid w:val="005343DA"/>
    <w:rsid w:val="00545684"/>
    <w:rsid w:val="00547850"/>
    <w:rsid w:val="00560048"/>
    <w:rsid w:val="005842A3"/>
    <w:rsid w:val="00597014"/>
    <w:rsid w:val="005A072D"/>
    <w:rsid w:val="005C74F2"/>
    <w:rsid w:val="005C7F15"/>
    <w:rsid w:val="005E3086"/>
    <w:rsid w:val="005F0FE1"/>
    <w:rsid w:val="005F1CF6"/>
    <w:rsid w:val="00611DDB"/>
    <w:rsid w:val="00615E29"/>
    <w:rsid w:val="0062093D"/>
    <w:rsid w:val="00621D33"/>
    <w:rsid w:val="00640410"/>
    <w:rsid w:val="00657EDD"/>
    <w:rsid w:val="00670FD3"/>
    <w:rsid w:val="00681152"/>
    <w:rsid w:val="006826DC"/>
    <w:rsid w:val="00696F23"/>
    <w:rsid w:val="006A78E8"/>
    <w:rsid w:val="006C4BEE"/>
    <w:rsid w:val="006C7041"/>
    <w:rsid w:val="006D38EA"/>
    <w:rsid w:val="006F431A"/>
    <w:rsid w:val="006F505F"/>
    <w:rsid w:val="00704026"/>
    <w:rsid w:val="00747A95"/>
    <w:rsid w:val="00763543"/>
    <w:rsid w:val="007636EE"/>
    <w:rsid w:val="00770605"/>
    <w:rsid w:val="00773911"/>
    <w:rsid w:val="00776164"/>
    <w:rsid w:val="00790FBC"/>
    <w:rsid w:val="007966C4"/>
    <w:rsid w:val="007B53C0"/>
    <w:rsid w:val="007D14BA"/>
    <w:rsid w:val="007E3667"/>
    <w:rsid w:val="007F46F0"/>
    <w:rsid w:val="00807857"/>
    <w:rsid w:val="00810D22"/>
    <w:rsid w:val="00815B01"/>
    <w:rsid w:val="0081605B"/>
    <w:rsid w:val="0082024F"/>
    <w:rsid w:val="00836AC0"/>
    <w:rsid w:val="0085635E"/>
    <w:rsid w:val="0086165D"/>
    <w:rsid w:val="00865281"/>
    <w:rsid w:val="00874DB1"/>
    <w:rsid w:val="008758E5"/>
    <w:rsid w:val="00877259"/>
    <w:rsid w:val="0088636C"/>
    <w:rsid w:val="00887ED9"/>
    <w:rsid w:val="00894935"/>
    <w:rsid w:val="008D451A"/>
    <w:rsid w:val="008D7B7F"/>
    <w:rsid w:val="008E1EAA"/>
    <w:rsid w:val="00911F8E"/>
    <w:rsid w:val="0091698E"/>
    <w:rsid w:val="009204FE"/>
    <w:rsid w:val="00926F8A"/>
    <w:rsid w:val="00931C65"/>
    <w:rsid w:val="00933095"/>
    <w:rsid w:val="0093447C"/>
    <w:rsid w:val="009720E7"/>
    <w:rsid w:val="0099179C"/>
    <w:rsid w:val="00996AF2"/>
    <w:rsid w:val="009A2A0D"/>
    <w:rsid w:val="009B6916"/>
    <w:rsid w:val="009F24C8"/>
    <w:rsid w:val="00A00C84"/>
    <w:rsid w:val="00A10165"/>
    <w:rsid w:val="00A104F7"/>
    <w:rsid w:val="00A33BE8"/>
    <w:rsid w:val="00A3797D"/>
    <w:rsid w:val="00A46E97"/>
    <w:rsid w:val="00A5038F"/>
    <w:rsid w:val="00A51C0D"/>
    <w:rsid w:val="00A52BDC"/>
    <w:rsid w:val="00A5474B"/>
    <w:rsid w:val="00A7190A"/>
    <w:rsid w:val="00A76198"/>
    <w:rsid w:val="00AB4FF7"/>
    <w:rsid w:val="00AC435A"/>
    <w:rsid w:val="00AD1317"/>
    <w:rsid w:val="00AD4B97"/>
    <w:rsid w:val="00AD54C0"/>
    <w:rsid w:val="00AE71CB"/>
    <w:rsid w:val="00AF0C0A"/>
    <w:rsid w:val="00B048D1"/>
    <w:rsid w:val="00B15575"/>
    <w:rsid w:val="00B175F5"/>
    <w:rsid w:val="00B341DB"/>
    <w:rsid w:val="00B67F84"/>
    <w:rsid w:val="00B81178"/>
    <w:rsid w:val="00B83069"/>
    <w:rsid w:val="00B91A0B"/>
    <w:rsid w:val="00BA165E"/>
    <w:rsid w:val="00BA7D00"/>
    <w:rsid w:val="00BB14C8"/>
    <w:rsid w:val="00BB490A"/>
    <w:rsid w:val="00BC3E95"/>
    <w:rsid w:val="00BD4BFB"/>
    <w:rsid w:val="00BD4D14"/>
    <w:rsid w:val="00BE295F"/>
    <w:rsid w:val="00BF2146"/>
    <w:rsid w:val="00BF35BE"/>
    <w:rsid w:val="00C029A3"/>
    <w:rsid w:val="00C02B54"/>
    <w:rsid w:val="00C10A7E"/>
    <w:rsid w:val="00C306AE"/>
    <w:rsid w:val="00C37C40"/>
    <w:rsid w:val="00C52A10"/>
    <w:rsid w:val="00C52F30"/>
    <w:rsid w:val="00C5651B"/>
    <w:rsid w:val="00C64D5C"/>
    <w:rsid w:val="00C65F36"/>
    <w:rsid w:val="00C70A11"/>
    <w:rsid w:val="00C82C3C"/>
    <w:rsid w:val="00C92406"/>
    <w:rsid w:val="00CA4D84"/>
    <w:rsid w:val="00CB5DDB"/>
    <w:rsid w:val="00CB6C4B"/>
    <w:rsid w:val="00CD1C76"/>
    <w:rsid w:val="00CD3ACF"/>
    <w:rsid w:val="00CE735E"/>
    <w:rsid w:val="00CF1345"/>
    <w:rsid w:val="00CF6C6B"/>
    <w:rsid w:val="00CF6CA1"/>
    <w:rsid w:val="00D622CA"/>
    <w:rsid w:val="00D62F96"/>
    <w:rsid w:val="00D63AB1"/>
    <w:rsid w:val="00D71348"/>
    <w:rsid w:val="00D73C3B"/>
    <w:rsid w:val="00D76180"/>
    <w:rsid w:val="00D8031B"/>
    <w:rsid w:val="00D918DA"/>
    <w:rsid w:val="00DA54B7"/>
    <w:rsid w:val="00DB4765"/>
    <w:rsid w:val="00DB502D"/>
    <w:rsid w:val="00DD1B67"/>
    <w:rsid w:val="00DD1C63"/>
    <w:rsid w:val="00DD2991"/>
    <w:rsid w:val="00DE422D"/>
    <w:rsid w:val="00E25954"/>
    <w:rsid w:val="00E36EEE"/>
    <w:rsid w:val="00E40C9F"/>
    <w:rsid w:val="00E4263C"/>
    <w:rsid w:val="00E66D1D"/>
    <w:rsid w:val="00E847D5"/>
    <w:rsid w:val="00EB1C55"/>
    <w:rsid w:val="00EB2978"/>
    <w:rsid w:val="00EB4751"/>
    <w:rsid w:val="00EC02F7"/>
    <w:rsid w:val="00F2725F"/>
    <w:rsid w:val="00F41370"/>
    <w:rsid w:val="00F47889"/>
    <w:rsid w:val="00F521DA"/>
    <w:rsid w:val="00F6200F"/>
    <w:rsid w:val="00F651BE"/>
    <w:rsid w:val="00F66FEA"/>
    <w:rsid w:val="00F73BDF"/>
    <w:rsid w:val="00F81094"/>
    <w:rsid w:val="00FA18BD"/>
    <w:rsid w:val="00FB40F5"/>
    <w:rsid w:val="00FD33B8"/>
    <w:rsid w:val="00FE2F1D"/>
    <w:rsid w:val="00FE7EE7"/>
    <w:rsid w:val="00FF0072"/>
    <w:rsid w:val="00FF1369"/>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593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36EEE"/>
    <w:pPr>
      <w:widowControl w:val="0"/>
      <w:jc w:val="both"/>
    </w:pPr>
  </w:style>
  <w:style w:type="paragraph" w:styleId="1">
    <w:name w:val="heading 1"/>
    <w:basedOn w:val="a"/>
    <w:link w:val="1Char"/>
    <w:uiPriority w:val="9"/>
    <w:qFormat/>
    <w:rsid w:val="001A2A1D"/>
    <w:pPr>
      <w:widowControl/>
      <w:spacing w:before="100" w:beforeAutospacing="1" w:after="100" w:afterAutospacing="1"/>
      <w:jc w:val="left"/>
      <w:outlineLvl w:val="0"/>
    </w:pPr>
    <w:rPr>
      <w:rFonts w:ascii="宋体" w:eastAsia="宋体" w:hAnsi="宋体" w:cs="宋体"/>
      <w:b/>
      <w:bCs/>
      <w:kern w:val="36"/>
      <w:sz w:val="48"/>
      <w:szCs w:val="48"/>
    </w:rPr>
  </w:style>
  <w:style w:type="paragraph" w:styleId="3">
    <w:name w:val="heading 3"/>
    <w:basedOn w:val="a"/>
    <w:next w:val="a"/>
    <w:link w:val="3Char"/>
    <w:uiPriority w:val="9"/>
    <w:semiHidden/>
    <w:unhideWhenUsed/>
    <w:qFormat/>
    <w:rsid w:val="00776164"/>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280ACD"/>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280ACD"/>
    <w:rPr>
      <w:sz w:val="18"/>
      <w:szCs w:val="18"/>
    </w:rPr>
  </w:style>
  <w:style w:type="paragraph" w:styleId="a4">
    <w:name w:val="footer"/>
    <w:basedOn w:val="a"/>
    <w:link w:val="Char0"/>
    <w:uiPriority w:val="99"/>
    <w:unhideWhenUsed/>
    <w:rsid w:val="00280ACD"/>
    <w:pPr>
      <w:tabs>
        <w:tab w:val="center" w:pos="4153"/>
        <w:tab w:val="right" w:pos="8306"/>
      </w:tabs>
      <w:snapToGrid w:val="0"/>
      <w:jc w:val="left"/>
    </w:pPr>
    <w:rPr>
      <w:sz w:val="18"/>
      <w:szCs w:val="18"/>
    </w:rPr>
  </w:style>
  <w:style w:type="character" w:customStyle="1" w:styleId="Char0">
    <w:name w:val="页脚 Char"/>
    <w:basedOn w:val="a0"/>
    <w:link w:val="a4"/>
    <w:uiPriority w:val="99"/>
    <w:rsid w:val="00280ACD"/>
    <w:rPr>
      <w:sz w:val="18"/>
      <w:szCs w:val="18"/>
    </w:rPr>
  </w:style>
  <w:style w:type="character" w:customStyle="1" w:styleId="ssrcss-1if1g9v-metadatatext">
    <w:name w:val="ssrcss-1if1g9v-metadatatext"/>
    <w:basedOn w:val="a0"/>
    <w:rsid w:val="001A2A1D"/>
  </w:style>
  <w:style w:type="character" w:customStyle="1" w:styleId="1Char">
    <w:name w:val="标题 1 Char"/>
    <w:basedOn w:val="a0"/>
    <w:link w:val="1"/>
    <w:uiPriority w:val="9"/>
    <w:rsid w:val="001A2A1D"/>
    <w:rPr>
      <w:rFonts w:ascii="宋体" w:eastAsia="宋体" w:hAnsi="宋体" w:cs="宋体"/>
      <w:b/>
      <w:bCs/>
      <w:kern w:val="36"/>
      <w:sz w:val="48"/>
      <w:szCs w:val="48"/>
    </w:rPr>
  </w:style>
  <w:style w:type="paragraph" w:customStyle="1" w:styleId="ssrcss-1q0x1qg-paragraph">
    <w:name w:val="ssrcss-1q0x1qg-paragraph"/>
    <w:basedOn w:val="a"/>
    <w:rsid w:val="001A2A1D"/>
    <w:pPr>
      <w:widowControl/>
      <w:spacing w:before="100" w:beforeAutospacing="1" w:after="100" w:afterAutospacing="1"/>
      <w:jc w:val="left"/>
    </w:pPr>
    <w:rPr>
      <w:rFonts w:ascii="宋体" w:eastAsia="宋体" w:hAnsi="宋体" w:cs="宋体"/>
      <w:kern w:val="0"/>
      <w:sz w:val="24"/>
      <w:szCs w:val="24"/>
    </w:rPr>
  </w:style>
  <w:style w:type="paragraph" w:styleId="a5">
    <w:name w:val="Normal (Web)"/>
    <w:basedOn w:val="a"/>
    <w:uiPriority w:val="99"/>
    <w:unhideWhenUsed/>
    <w:rsid w:val="005A072D"/>
    <w:pPr>
      <w:widowControl/>
      <w:spacing w:before="100" w:beforeAutospacing="1" w:after="100" w:afterAutospacing="1"/>
      <w:jc w:val="left"/>
    </w:pPr>
    <w:rPr>
      <w:rFonts w:ascii="宋体" w:eastAsia="宋体" w:hAnsi="宋体" w:cs="宋体"/>
      <w:kern w:val="0"/>
      <w:sz w:val="24"/>
      <w:szCs w:val="24"/>
    </w:rPr>
  </w:style>
  <w:style w:type="character" w:styleId="a6">
    <w:name w:val="Hyperlink"/>
    <w:basedOn w:val="a0"/>
    <w:uiPriority w:val="99"/>
    <w:unhideWhenUsed/>
    <w:rsid w:val="005A072D"/>
    <w:rPr>
      <w:color w:val="0000FF"/>
      <w:u w:val="single"/>
    </w:rPr>
  </w:style>
  <w:style w:type="paragraph" w:customStyle="1" w:styleId="has-drop-cap">
    <w:name w:val="has-drop-cap"/>
    <w:basedOn w:val="a"/>
    <w:rsid w:val="005A072D"/>
    <w:pPr>
      <w:widowControl/>
      <w:spacing w:before="100" w:beforeAutospacing="1" w:after="100" w:afterAutospacing="1"/>
      <w:jc w:val="left"/>
    </w:pPr>
    <w:rPr>
      <w:rFonts w:ascii="宋体" w:eastAsia="宋体" w:hAnsi="宋体" w:cs="宋体"/>
      <w:kern w:val="0"/>
      <w:sz w:val="24"/>
      <w:szCs w:val="24"/>
    </w:rPr>
  </w:style>
  <w:style w:type="paragraph" w:customStyle="1" w:styleId="css-at9mc1">
    <w:name w:val="css-at9mc1"/>
    <w:basedOn w:val="a"/>
    <w:rsid w:val="00D918DA"/>
    <w:pPr>
      <w:widowControl/>
      <w:spacing w:before="100" w:beforeAutospacing="1" w:after="100" w:afterAutospacing="1"/>
      <w:jc w:val="left"/>
    </w:pPr>
    <w:rPr>
      <w:rFonts w:ascii="宋体" w:eastAsia="宋体" w:hAnsi="宋体" w:cs="宋体"/>
      <w:kern w:val="0"/>
      <w:sz w:val="24"/>
      <w:szCs w:val="24"/>
    </w:rPr>
  </w:style>
  <w:style w:type="character" w:customStyle="1" w:styleId="sdc-article-headerlong-title">
    <w:name w:val="sdc-article-header__long-title"/>
    <w:basedOn w:val="a0"/>
    <w:rsid w:val="00D918DA"/>
  </w:style>
  <w:style w:type="paragraph" w:customStyle="1" w:styleId="sdc-article-headersub-title">
    <w:name w:val="sdc-article-header__sub-title"/>
    <w:basedOn w:val="a"/>
    <w:rsid w:val="00D918DA"/>
    <w:pPr>
      <w:widowControl/>
      <w:spacing w:before="100" w:beforeAutospacing="1" w:after="100" w:afterAutospacing="1"/>
      <w:jc w:val="left"/>
    </w:pPr>
    <w:rPr>
      <w:rFonts w:ascii="宋体" w:eastAsia="宋体" w:hAnsi="宋体" w:cs="宋体"/>
      <w:kern w:val="0"/>
      <w:sz w:val="24"/>
      <w:szCs w:val="24"/>
    </w:rPr>
  </w:style>
  <w:style w:type="paragraph" w:customStyle="1" w:styleId="sdc-article-datedate-time">
    <w:name w:val="sdc-article-date__date-time"/>
    <w:basedOn w:val="a"/>
    <w:rsid w:val="00D918DA"/>
    <w:pPr>
      <w:widowControl/>
      <w:spacing w:before="100" w:beforeAutospacing="1" w:after="100" w:afterAutospacing="1"/>
      <w:jc w:val="left"/>
    </w:pPr>
    <w:rPr>
      <w:rFonts w:ascii="宋体" w:eastAsia="宋体" w:hAnsi="宋体" w:cs="宋体"/>
      <w:kern w:val="0"/>
      <w:sz w:val="24"/>
      <w:szCs w:val="24"/>
    </w:rPr>
  </w:style>
  <w:style w:type="character" w:styleId="a7">
    <w:name w:val="Strong"/>
    <w:basedOn w:val="a0"/>
    <w:uiPriority w:val="22"/>
    <w:qFormat/>
    <w:rsid w:val="00D918DA"/>
    <w:rPr>
      <w:b/>
      <w:bCs/>
    </w:rPr>
  </w:style>
  <w:style w:type="character" w:customStyle="1" w:styleId="article-classifiergap">
    <w:name w:val="article-classifier__gap"/>
    <w:basedOn w:val="a0"/>
    <w:rsid w:val="00D918DA"/>
  </w:style>
  <w:style w:type="paragraph" w:customStyle="1" w:styleId="comp">
    <w:name w:val="comp"/>
    <w:basedOn w:val="a"/>
    <w:rsid w:val="00776164"/>
    <w:pPr>
      <w:widowControl/>
      <w:spacing w:before="100" w:beforeAutospacing="1" w:after="100" w:afterAutospacing="1"/>
      <w:jc w:val="left"/>
    </w:pPr>
    <w:rPr>
      <w:rFonts w:ascii="宋体" w:eastAsia="宋体" w:hAnsi="宋体" w:cs="宋体"/>
      <w:kern w:val="0"/>
      <w:sz w:val="24"/>
      <w:szCs w:val="24"/>
    </w:rPr>
  </w:style>
  <w:style w:type="character" w:customStyle="1" w:styleId="mntl-inline-citation">
    <w:name w:val="mntl-inline-citation"/>
    <w:basedOn w:val="a0"/>
    <w:rsid w:val="00776164"/>
  </w:style>
  <w:style w:type="character" w:customStyle="1" w:styleId="3Char">
    <w:name w:val="标题 3 Char"/>
    <w:basedOn w:val="a0"/>
    <w:link w:val="3"/>
    <w:uiPriority w:val="9"/>
    <w:semiHidden/>
    <w:rsid w:val="00776164"/>
    <w:rPr>
      <w:b/>
      <w:bCs/>
      <w:sz w:val="32"/>
      <w:szCs w:val="32"/>
    </w:rPr>
  </w:style>
  <w:style w:type="character" w:customStyle="1" w:styleId="mntl-sc-block-subheadingtext">
    <w:name w:val="mntl-sc-block-subheading__text"/>
    <w:basedOn w:val="a0"/>
    <w:rsid w:val="00776164"/>
  </w:style>
  <w:style w:type="paragraph" w:styleId="HTML">
    <w:name w:val="HTML Preformatted"/>
    <w:basedOn w:val="a"/>
    <w:link w:val="HTMLChar"/>
    <w:uiPriority w:val="99"/>
    <w:semiHidden/>
    <w:unhideWhenUsed/>
    <w:rsid w:val="00621D33"/>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Char">
    <w:name w:val="HTML 预设格式 Char"/>
    <w:basedOn w:val="a0"/>
    <w:link w:val="HTML"/>
    <w:uiPriority w:val="99"/>
    <w:semiHidden/>
    <w:rsid w:val="00621D33"/>
    <w:rPr>
      <w:rFonts w:ascii="宋体" w:eastAsia="宋体" w:hAnsi="宋体" w:cs="宋体"/>
      <w:kern w:val="0"/>
      <w:sz w:val="24"/>
      <w:szCs w:val="24"/>
    </w:rPr>
  </w:style>
  <w:style w:type="character" w:customStyle="1" w:styleId="y2iqfc">
    <w:name w:val="y2iqfc"/>
    <w:basedOn w:val="a0"/>
    <w:rsid w:val="00621D33"/>
  </w:style>
  <w:style w:type="paragraph" w:styleId="a8">
    <w:name w:val="Balloon Text"/>
    <w:basedOn w:val="a"/>
    <w:link w:val="Char1"/>
    <w:uiPriority w:val="99"/>
    <w:semiHidden/>
    <w:unhideWhenUsed/>
    <w:rsid w:val="00874DB1"/>
    <w:rPr>
      <w:sz w:val="18"/>
      <w:szCs w:val="18"/>
    </w:rPr>
  </w:style>
  <w:style w:type="character" w:customStyle="1" w:styleId="Char1">
    <w:name w:val="批注框文本 Char"/>
    <w:basedOn w:val="a0"/>
    <w:link w:val="a8"/>
    <w:uiPriority w:val="99"/>
    <w:semiHidden/>
    <w:rsid w:val="00874DB1"/>
    <w:rPr>
      <w:sz w:val="18"/>
      <w:szCs w:val="18"/>
    </w:rPr>
  </w:style>
  <w:style w:type="character" w:customStyle="1" w:styleId="css-kaitht">
    <w:name w:val="css-kaitht"/>
    <w:basedOn w:val="a0"/>
    <w:rsid w:val="00D71348"/>
  </w:style>
  <w:style w:type="table" w:styleId="a9">
    <w:name w:val="Table Grid"/>
    <w:basedOn w:val="a1"/>
    <w:uiPriority w:val="59"/>
    <w:rsid w:val="00FF1369"/>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aa">
    <w:name w:val="FollowedHyperlink"/>
    <w:basedOn w:val="a0"/>
    <w:uiPriority w:val="99"/>
    <w:semiHidden/>
    <w:unhideWhenUsed/>
    <w:rsid w:val="00205FE6"/>
    <w:rPr>
      <w:color w:val="800080" w:themeColor="followedHyperlink"/>
      <w:u w:val="single"/>
    </w:rPr>
  </w:style>
  <w:style w:type="paragraph" w:styleId="ab">
    <w:name w:val="List Paragraph"/>
    <w:basedOn w:val="a"/>
    <w:uiPriority w:val="34"/>
    <w:qFormat/>
    <w:rsid w:val="00C52A10"/>
    <w:pPr>
      <w:ind w:firstLineChars="200" w:firstLine="420"/>
    </w:pPr>
  </w:style>
</w:styles>
</file>

<file path=word/webSettings.xml><?xml version="1.0" encoding="utf-8"?>
<w:webSettings xmlns:r="http://schemas.openxmlformats.org/officeDocument/2006/relationships" xmlns:w="http://schemas.openxmlformats.org/wordprocessingml/2006/main">
  <w:divs>
    <w:div w:id="8602851">
      <w:bodyDiv w:val="1"/>
      <w:marLeft w:val="0"/>
      <w:marRight w:val="0"/>
      <w:marTop w:val="0"/>
      <w:marBottom w:val="0"/>
      <w:divBdr>
        <w:top w:val="none" w:sz="0" w:space="0" w:color="auto"/>
        <w:left w:val="none" w:sz="0" w:space="0" w:color="auto"/>
        <w:bottom w:val="none" w:sz="0" w:space="0" w:color="auto"/>
        <w:right w:val="none" w:sz="0" w:space="0" w:color="auto"/>
      </w:divBdr>
    </w:div>
    <w:div w:id="26489306">
      <w:bodyDiv w:val="1"/>
      <w:marLeft w:val="0"/>
      <w:marRight w:val="0"/>
      <w:marTop w:val="0"/>
      <w:marBottom w:val="0"/>
      <w:divBdr>
        <w:top w:val="none" w:sz="0" w:space="0" w:color="auto"/>
        <w:left w:val="none" w:sz="0" w:space="0" w:color="auto"/>
        <w:bottom w:val="none" w:sz="0" w:space="0" w:color="auto"/>
        <w:right w:val="none" w:sz="0" w:space="0" w:color="auto"/>
      </w:divBdr>
    </w:div>
    <w:div w:id="47338009">
      <w:bodyDiv w:val="1"/>
      <w:marLeft w:val="0"/>
      <w:marRight w:val="0"/>
      <w:marTop w:val="0"/>
      <w:marBottom w:val="0"/>
      <w:divBdr>
        <w:top w:val="none" w:sz="0" w:space="0" w:color="auto"/>
        <w:left w:val="none" w:sz="0" w:space="0" w:color="auto"/>
        <w:bottom w:val="none" w:sz="0" w:space="0" w:color="auto"/>
        <w:right w:val="none" w:sz="0" w:space="0" w:color="auto"/>
      </w:divBdr>
    </w:div>
    <w:div w:id="56242332">
      <w:bodyDiv w:val="1"/>
      <w:marLeft w:val="0"/>
      <w:marRight w:val="0"/>
      <w:marTop w:val="0"/>
      <w:marBottom w:val="0"/>
      <w:divBdr>
        <w:top w:val="none" w:sz="0" w:space="0" w:color="auto"/>
        <w:left w:val="none" w:sz="0" w:space="0" w:color="auto"/>
        <w:bottom w:val="none" w:sz="0" w:space="0" w:color="auto"/>
        <w:right w:val="none" w:sz="0" w:space="0" w:color="auto"/>
      </w:divBdr>
    </w:div>
    <w:div w:id="60643194">
      <w:bodyDiv w:val="1"/>
      <w:marLeft w:val="0"/>
      <w:marRight w:val="0"/>
      <w:marTop w:val="0"/>
      <w:marBottom w:val="0"/>
      <w:divBdr>
        <w:top w:val="none" w:sz="0" w:space="0" w:color="auto"/>
        <w:left w:val="none" w:sz="0" w:space="0" w:color="auto"/>
        <w:bottom w:val="none" w:sz="0" w:space="0" w:color="auto"/>
        <w:right w:val="none" w:sz="0" w:space="0" w:color="auto"/>
      </w:divBdr>
    </w:div>
    <w:div w:id="111554225">
      <w:bodyDiv w:val="1"/>
      <w:marLeft w:val="0"/>
      <w:marRight w:val="0"/>
      <w:marTop w:val="0"/>
      <w:marBottom w:val="0"/>
      <w:divBdr>
        <w:top w:val="none" w:sz="0" w:space="0" w:color="auto"/>
        <w:left w:val="none" w:sz="0" w:space="0" w:color="auto"/>
        <w:bottom w:val="none" w:sz="0" w:space="0" w:color="auto"/>
        <w:right w:val="none" w:sz="0" w:space="0" w:color="auto"/>
      </w:divBdr>
    </w:div>
    <w:div w:id="120422046">
      <w:bodyDiv w:val="1"/>
      <w:marLeft w:val="0"/>
      <w:marRight w:val="0"/>
      <w:marTop w:val="0"/>
      <w:marBottom w:val="0"/>
      <w:divBdr>
        <w:top w:val="none" w:sz="0" w:space="0" w:color="auto"/>
        <w:left w:val="none" w:sz="0" w:space="0" w:color="auto"/>
        <w:bottom w:val="none" w:sz="0" w:space="0" w:color="auto"/>
        <w:right w:val="none" w:sz="0" w:space="0" w:color="auto"/>
      </w:divBdr>
    </w:div>
    <w:div w:id="154422513">
      <w:bodyDiv w:val="1"/>
      <w:marLeft w:val="0"/>
      <w:marRight w:val="0"/>
      <w:marTop w:val="0"/>
      <w:marBottom w:val="0"/>
      <w:divBdr>
        <w:top w:val="none" w:sz="0" w:space="0" w:color="auto"/>
        <w:left w:val="none" w:sz="0" w:space="0" w:color="auto"/>
        <w:bottom w:val="none" w:sz="0" w:space="0" w:color="auto"/>
        <w:right w:val="none" w:sz="0" w:space="0" w:color="auto"/>
      </w:divBdr>
    </w:div>
    <w:div w:id="171532495">
      <w:bodyDiv w:val="1"/>
      <w:marLeft w:val="0"/>
      <w:marRight w:val="0"/>
      <w:marTop w:val="0"/>
      <w:marBottom w:val="0"/>
      <w:divBdr>
        <w:top w:val="none" w:sz="0" w:space="0" w:color="auto"/>
        <w:left w:val="none" w:sz="0" w:space="0" w:color="auto"/>
        <w:bottom w:val="none" w:sz="0" w:space="0" w:color="auto"/>
        <w:right w:val="none" w:sz="0" w:space="0" w:color="auto"/>
      </w:divBdr>
    </w:div>
    <w:div w:id="177156939">
      <w:bodyDiv w:val="1"/>
      <w:marLeft w:val="0"/>
      <w:marRight w:val="0"/>
      <w:marTop w:val="0"/>
      <w:marBottom w:val="0"/>
      <w:divBdr>
        <w:top w:val="none" w:sz="0" w:space="0" w:color="auto"/>
        <w:left w:val="none" w:sz="0" w:space="0" w:color="auto"/>
        <w:bottom w:val="none" w:sz="0" w:space="0" w:color="auto"/>
        <w:right w:val="none" w:sz="0" w:space="0" w:color="auto"/>
      </w:divBdr>
    </w:div>
    <w:div w:id="214703481">
      <w:bodyDiv w:val="1"/>
      <w:marLeft w:val="0"/>
      <w:marRight w:val="0"/>
      <w:marTop w:val="0"/>
      <w:marBottom w:val="0"/>
      <w:divBdr>
        <w:top w:val="none" w:sz="0" w:space="0" w:color="auto"/>
        <w:left w:val="none" w:sz="0" w:space="0" w:color="auto"/>
        <w:bottom w:val="none" w:sz="0" w:space="0" w:color="auto"/>
        <w:right w:val="none" w:sz="0" w:space="0" w:color="auto"/>
      </w:divBdr>
    </w:div>
    <w:div w:id="220942780">
      <w:bodyDiv w:val="1"/>
      <w:marLeft w:val="0"/>
      <w:marRight w:val="0"/>
      <w:marTop w:val="0"/>
      <w:marBottom w:val="0"/>
      <w:divBdr>
        <w:top w:val="none" w:sz="0" w:space="0" w:color="auto"/>
        <w:left w:val="none" w:sz="0" w:space="0" w:color="auto"/>
        <w:bottom w:val="none" w:sz="0" w:space="0" w:color="auto"/>
        <w:right w:val="none" w:sz="0" w:space="0" w:color="auto"/>
      </w:divBdr>
    </w:div>
    <w:div w:id="252445240">
      <w:bodyDiv w:val="1"/>
      <w:marLeft w:val="0"/>
      <w:marRight w:val="0"/>
      <w:marTop w:val="0"/>
      <w:marBottom w:val="0"/>
      <w:divBdr>
        <w:top w:val="none" w:sz="0" w:space="0" w:color="auto"/>
        <w:left w:val="none" w:sz="0" w:space="0" w:color="auto"/>
        <w:bottom w:val="none" w:sz="0" w:space="0" w:color="auto"/>
        <w:right w:val="none" w:sz="0" w:space="0" w:color="auto"/>
      </w:divBdr>
      <w:divsChild>
        <w:div w:id="1956863752">
          <w:marLeft w:val="0"/>
          <w:marRight w:val="0"/>
          <w:marTop w:val="0"/>
          <w:marBottom w:val="0"/>
          <w:divBdr>
            <w:top w:val="none" w:sz="0" w:space="0" w:color="auto"/>
            <w:left w:val="none" w:sz="0" w:space="0" w:color="auto"/>
            <w:bottom w:val="none" w:sz="0" w:space="0" w:color="auto"/>
            <w:right w:val="none" w:sz="0" w:space="0" w:color="auto"/>
          </w:divBdr>
          <w:divsChild>
            <w:div w:id="1031539789">
              <w:marLeft w:val="0"/>
              <w:marRight w:val="0"/>
              <w:marTop w:val="0"/>
              <w:marBottom w:val="0"/>
              <w:divBdr>
                <w:top w:val="none" w:sz="0" w:space="0" w:color="auto"/>
                <w:left w:val="none" w:sz="0" w:space="0" w:color="auto"/>
                <w:bottom w:val="none" w:sz="0" w:space="0" w:color="auto"/>
                <w:right w:val="none" w:sz="0" w:space="0" w:color="auto"/>
              </w:divBdr>
            </w:div>
          </w:divsChild>
        </w:div>
        <w:div w:id="565842804">
          <w:marLeft w:val="0"/>
          <w:marRight w:val="0"/>
          <w:marTop w:val="0"/>
          <w:marBottom w:val="0"/>
          <w:divBdr>
            <w:top w:val="none" w:sz="0" w:space="0" w:color="auto"/>
            <w:left w:val="none" w:sz="0" w:space="0" w:color="auto"/>
            <w:bottom w:val="none" w:sz="0" w:space="0" w:color="auto"/>
            <w:right w:val="none" w:sz="0" w:space="0" w:color="auto"/>
          </w:divBdr>
          <w:divsChild>
            <w:div w:id="1734690852">
              <w:marLeft w:val="0"/>
              <w:marRight w:val="0"/>
              <w:marTop w:val="0"/>
              <w:marBottom w:val="0"/>
              <w:divBdr>
                <w:top w:val="none" w:sz="0" w:space="0" w:color="auto"/>
                <w:left w:val="none" w:sz="0" w:space="0" w:color="auto"/>
                <w:bottom w:val="none" w:sz="0" w:space="0" w:color="auto"/>
                <w:right w:val="none" w:sz="0" w:space="0" w:color="auto"/>
              </w:divBdr>
            </w:div>
          </w:divsChild>
        </w:div>
        <w:div w:id="2080471566">
          <w:marLeft w:val="0"/>
          <w:marRight w:val="0"/>
          <w:marTop w:val="0"/>
          <w:marBottom w:val="0"/>
          <w:divBdr>
            <w:top w:val="none" w:sz="0" w:space="0" w:color="auto"/>
            <w:left w:val="none" w:sz="0" w:space="0" w:color="auto"/>
            <w:bottom w:val="none" w:sz="0" w:space="0" w:color="auto"/>
            <w:right w:val="none" w:sz="0" w:space="0" w:color="auto"/>
          </w:divBdr>
          <w:divsChild>
            <w:div w:id="1530951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505633">
      <w:bodyDiv w:val="1"/>
      <w:marLeft w:val="0"/>
      <w:marRight w:val="0"/>
      <w:marTop w:val="0"/>
      <w:marBottom w:val="0"/>
      <w:divBdr>
        <w:top w:val="none" w:sz="0" w:space="0" w:color="auto"/>
        <w:left w:val="none" w:sz="0" w:space="0" w:color="auto"/>
        <w:bottom w:val="none" w:sz="0" w:space="0" w:color="auto"/>
        <w:right w:val="none" w:sz="0" w:space="0" w:color="auto"/>
      </w:divBdr>
      <w:divsChild>
        <w:div w:id="743256114">
          <w:marLeft w:val="0"/>
          <w:marRight w:val="0"/>
          <w:marTop w:val="0"/>
          <w:marBottom w:val="0"/>
          <w:divBdr>
            <w:top w:val="none" w:sz="0" w:space="0" w:color="auto"/>
            <w:left w:val="none" w:sz="0" w:space="0" w:color="auto"/>
            <w:bottom w:val="none" w:sz="0" w:space="0" w:color="auto"/>
            <w:right w:val="none" w:sz="0" w:space="0" w:color="auto"/>
          </w:divBdr>
        </w:div>
      </w:divsChild>
    </w:div>
    <w:div w:id="281812265">
      <w:bodyDiv w:val="1"/>
      <w:marLeft w:val="0"/>
      <w:marRight w:val="0"/>
      <w:marTop w:val="0"/>
      <w:marBottom w:val="0"/>
      <w:divBdr>
        <w:top w:val="none" w:sz="0" w:space="0" w:color="auto"/>
        <w:left w:val="none" w:sz="0" w:space="0" w:color="auto"/>
        <w:bottom w:val="none" w:sz="0" w:space="0" w:color="auto"/>
        <w:right w:val="none" w:sz="0" w:space="0" w:color="auto"/>
      </w:divBdr>
      <w:divsChild>
        <w:div w:id="83026">
          <w:marLeft w:val="0"/>
          <w:marRight w:val="0"/>
          <w:marTop w:val="0"/>
          <w:marBottom w:val="0"/>
          <w:divBdr>
            <w:top w:val="none" w:sz="0" w:space="0" w:color="auto"/>
            <w:left w:val="none" w:sz="0" w:space="0" w:color="auto"/>
            <w:bottom w:val="none" w:sz="0" w:space="0" w:color="auto"/>
            <w:right w:val="none" w:sz="0" w:space="0" w:color="auto"/>
          </w:divBdr>
        </w:div>
      </w:divsChild>
    </w:div>
    <w:div w:id="282804653">
      <w:bodyDiv w:val="1"/>
      <w:marLeft w:val="0"/>
      <w:marRight w:val="0"/>
      <w:marTop w:val="0"/>
      <w:marBottom w:val="0"/>
      <w:divBdr>
        <w:top w:val="none" w:sz="0" w:space="0" w:color="auto"/>
        <w:left w:val="none" w:sz="0" w:space="0" w:color="auto"/>
        <w:bottom w:val="none" w:sz="0" w:space="0" w:color="auto"/>
        <w:right w:val="none" w:sz="0" w:space="0" w:color="auto"/>
      </w:divBdr>
      <w:divsChild>
        <w:div w:id="1496652547">
          <w:marLeft w:val="0"/>
          <w:marRight w:val="0"/>
          <w:marTop w:val="0"/>
          <w:marBottom w:val="0"/>
          <w:divBdr>
            <w:top w:val="none" w:sz="0" w:space="0" w:color="auto"/>
            <w:left w:val="none" w:sz="0" w:space="0" w:color="auto"/>
            <w:bottom w:val="none" w:sz="0" w:space="0" w:color="auto"/>
            <w:right w:val="none" w:sz="0" w:space="0" w:color="auto"/>
          </w:divBdr>
          <w:divsChild>
            <w:div w:id="1199006035">
              <w:marLeft w:val="0"/>
              <w:marRight w:val="0"/>
              <w:marTop w:val="0"/>
              <w:marBottom w:val="0"/>
              <w:divBdr>
                <w:top w:val="none" w:sz="0" w:space="0" w:color="auto"/>
                <w:left w:val="none" w:sz="0" w:space="0" w:color="auto"/>
                <w:bottom w:val="none" w:sz="0" w:space="0" w:color="auto"/>
                <w:right w:val="none" w:sz="0" w:space="0" w:color="auto"/>
              </w:divBdr>
            </w:div>
          </w:divsChild>
        </w:div>
        <w:div w:id="1911190183">
          <w:marLeft w:val="0"/>
          <w:marRight w:val="0"/>
          <w:marTop w:val="0"/>
          <w:marBottom w:val="0"/>
          <w:divBdr>
            <w:top w:val="none" w:sz="0" w:space="0" w:color="auto"/>
            <w:left w:val="none" w:sz="0" w:space="0" w:color="auto"/>
            <w:bottom w:val="none" w:sz="0" w:space="0" w:color="auto"/>
            <w:right w:val="none" w:sz="0" w:space="0" w:color="auto"/>
          </w:divBdr>
          <w:divsChild>
            <w:div w:id="1568343624">
              <w:marLeft w:val="0"/>
              <w:marRight w:val="0"/>
              <w:marTop w:val="0"/>
              <w:marBottom w:val="0"/>
              <w:divBdr>
                <w:top w:val="none" w:sz="0" w:space="0" w:color="auto"/>
                <w:left w:val="none" w:sz="0" w:space="0" w:color="auto"/>
                <w:bottom w:val="none" w:sz="0" w:space="0" w:color="auto"/>
                <w:right w:val="none" w:sz="0" w:space="0" w:color="auto"/>
              </w:divBdr>
            </w:div>
          </w:divsChild>
        </w:div>
        <w:div w:id="2032336925">
          <w:marLeft w:val="0"/>
          <w:marRight w:val="0"/>
          <w:marTop w:val="0"/>
          <w:marBottom w:val="0"/>
          <w:divBdr>
            <w:top w:val="none" w:sz="0" w:space="0" w:color="auto"/>
            <w:left w:val="none" w:sz="0" w:space="0" w:color="auto"/>
            <w:bottom w:val="none" w:sz="0" w:space="0" w:color="auto"/>
            <w:right w:val="none" w:sz="0" w:space="0" w:color="auto"/>
          </w:divBdr>
          <w:divsChild>
            <w:div w:id="473110659">
              <w:marLeft w:val="0"/>
              <w:marRight w:val="0"/>
              <w:marTop w:val="0"/>
              <w:marBottom w:val="0"/>
              <w:divBdr>
                <w:top w:val="none" w:sz="0" w:space="0" w:color="auto"/>
                <w:left w:val="none" w:sz="0" w:space="0" w:color="auto"/>
                <w:bottom w:val="none" w:sz="0" w:space="0" w:color="auto"/>
                <w:right w:val="none" w:sz="0" w:space="0" w:color="auto"/>
              </w:divBdr>
            </w:div>
          </w:divsChild>
        </w:div>
        <w:div w:id="1923682702">
          <w:marLeft w:val="0"/>
          <w:marRight w:val="0"/>
          <w:marTop w:val="0"/>
          <w:marBottom w:val="0"/>
          <w:divBdr>
            <w:top w:val="none" w:sz="0" w:space="0" w:color="auto"/>
            <w:left w:val="none" w:sz="0" w:space="0" w:color="auto"/>
            <w:bottom w:val="none" w:sz="0" w:space="0" w:color="auto"/>
            <w:right w:val="none" w:sz="0" w:space="0" w:color="auto"/>
          </w:divBdr>
          <w:divsChild>
            <w:div w:id="155118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714190">
      <w:bodyDiv w:val="1"/>
      <w:marLeft w:val="0"/>
      <w:marRight w:val="0"/>
      <w:marTop w:val="0"/>
      <w:marBottom w:val="0"/>
      <w:divBdr>
        <w:top w:val="none" w:sz="0" w:space="0" w:color="auto"/>
        <w:left w:val="none" w:sz="0" w:space="0" w:color="auto"/>
        <w:bottom w:val="none" w:sz="0" w:space="0" w:color="auto"/>
        <w:right w:val="none" w:sz="0" w:space="0" w:color="auto"/>
      </w:divBdr>
    </w:div>
    <w:div w:id="322045919">
      <w:bodyDiv w:val="1"/>
      <w:marLeft w:val="0"/>
      <w:marRight w:val="0"/>
      <w:marTop w:val="0"/>
      <w:marBottom w:val="0"/>
      <w:divBdr>
        <w:top w:val="none" w:sz="0" w:space="0" w:color="auto"/>
        <w:left w:val="none" w:sz="0" w:space="0" w:color="auto"/>
        <w:bottom w:val="none" w:sz="0" w:space="0" w:color="auto"/>
        <w:right w:val="none" w:sz="0" w:space="0" w:color="auto"/>
      </w:divBdr>
    </w:div>
    <w:div w:id="357852026">
      <w:bodyDiv w:val="1"/>
      <w:marLeft w:val="0"/>
      <w:marRight w:val="0"/>
      <w:marTop w:val="0"/>
      <w:marBottom w:val="0"/>
      <w:divBdr>
        <w:top w:val="none" w:sz="0" w:space="0" w:color="auto"/>
        <w:left w:val="none" w:sz="0" w:space="0" w:color="auto"/>
        <w:bottom w:val="none" w:sz="0" w:space="0" w:color="auto"/>
        <w:right w:val="none" w:sz="0" w:space="0" w:color="auto"/>
      </w:divBdr>
    </w:div>
    <w:div w:id="382415084">
      <w:bodyDiv w:val="1"/>
      <w:marLeft w:val="0"/>
      <w:marRight w:val="0"/>
      <w:marTop w:val="0"/>
      <w:marBottom w:val="0"/>
      <w:divBdr>
        <w:top w:val="none" w:sz="0" w:space="0" w:color="auto"/>
        <w:left w:val="none" w:sz="0" w:space="0" w:color="auto"/>
        <w:bottom w:val="none" w:sz="0" w:space="0" w:color="auto"/>
        <w:right w:val="none" w:sz="0" w:space="0" w:color="auto"/>
      </w:divBdr>
    </w:div>
    <w:div w:id="423571500">
      <w:bodyDiv w:val="1"/>
      <w:marLeft w:val="0"/>
      <w:marRight w:val="0"/>
      <w:marTop w:val="0"/>
      <w:marBottom w:val="0"/>
      <w:divBdr>
        <w:top w:val="none" w:sz="0" w:space="0" w:color="auto"/>
        <w:left w:val="none" w:sz="0" w:space="0" w:color="auto"/>
        <w:bottom w:val="none" w:sz="0" w:space="0" w:color="auto"/>
        <w:right w:val="none" w:sz="0" w:space="0" w:color="auto"/>
      </w:divBdr>
    </w:div>
    <w:div w:id="465319749">
      <w:bodyDiv w:val="1"/>
      <w:marLeft w:val="0"/>
      <w:marRight w:val="0"/>
      <w:marTop w:val="0"/>
      <w:marBottom w:val="0"/>
      <w:divBdr>
        <w:top w:val="none" w:sz="0" w:space="0" w:color="auto"/>
        <w:left w:val="none" w:sz="0" w:space="0" w:color="auto"/>
        <w:bottom w:val="none" w:sz="0" w:space="0" w:color="auto"/>
        <w:right w:val="none" w:sz="0" w:space="0" w:color="auto"/>
      </w:divBdr>
      <w:divsChild>
        <w:div w:id="1326324568">
          <w:marLeft w:val="0"/>
          <w:marRight w:val="0"/>
          <w:marTop w:val="0"/>
          <w:marBottom w:val="0"/>
          <w:divBdr>
            <w:top w:val="none" w:sz="0" w:space="0" w:color="auto"/>
            <w:left w:val="none" w:sz="0" w:space="0" w:color="auto"/>
            <w:bottom w:val="none" w:sz="0" w:space="0" w:color="auto"/>
            <w:right w:val="none" w:sz="0" w:space="0" w:color="auto"/>
          </w:divBdr>
          <w:divsChild>
            <w:div w:id="1401058848">
              <w:marLeft w:val="0"/>
              <w:marRight w:val="0"/>
              <w:marTop w:val="33"/>
              <w:marBottom w:val="0"/>
              <w:divBdr>
                <w:top w:val="single" w:sz="2" w:space="0" w:color="BBBBBB"/>
                <w:left w:val="single" w:sz="2" w:space="0" w:color="BBBBBB"/>
                <w:bottom w:val="single" w:sz="2" w:space="0" w:color="BBBBBB"/>
                <w:right w:val="single" w:sz="2" w:space="0" w:color="BBBBBB"/>
              </w:divBdr>
            </w:div>
          </w:divsChild>
        </w:div>
      </w:divsChild>
    </w:div>
    <w:div w:id="472212417">
      <w:bodyDiv w:val="1"/>
      <w:marLeft w:val="0"/>
      <w:marRight w:val="0"/>
      <w:marTop w:val="0"/>
      <w:marBottom w:val="0"/>
      <w:divBdr>
        <w:top w:val="none" w:sz="0" w:space="0" w:color="auto"/>
        <w:left w:val="none" w:sz="0" w:space="0" w:color="auto"/>
        <w:bottom w:val="none" w:sz="0" w:space="0" w:color="auto"/>
        <w:right w:val="none" w:sz="0" w:space="0" w:color="auto"/>
      </w:divBdr>
    </w:div>
    <w:div w:id="479731342">
      <w:bodyDiv w:val="1"/>
      <w:marLeft w:val="0"/>
      <w:marRight w:val="0"/>
      <w:marTop w:val="0"/>
      <w:marBottom w:val="0"/>
      <w:divBdr>
        <w:top w:val="none" w:sz="0" w:space="0" w:color="auto"/>
        <w:left w:val="none" w:sz="0" w:space="0" w:color="auto"/>
        <w:bottom w:val="none" w:sz="0" w:space="0" w:color="auto"/>
        <w:right w:val="none" w:sz="0" w:space="0" w:color="auto"/>
      </w:divBdr>
    </w:div>
    <w:div w:id="484976399">
      <w:bodyDiv w:val="1"/>
      <w:marLeft w:val="0"/>
      <w:marRight w:val="0"/>
      <w:marTop w:val="0"/>
      <w:marBottom w:val="0"/>
      <w:divBdr>
        <w:top w:val="none" w:sz="0" w:space="0" w:color="auto"/>
        <w:left w:val="none" w:sz="0" w:space="0" w:color="auto"/>
        <w:bottom w:val="none" w:sz="0" w:space="0" w:color="auto"/>
        <w:right w:val="none" w:sz="0" w:space="0" w:color="auto"/>
      </w:divBdr>
    </w:div>
    <w:div w:id="498814283">
      <w:bodyDiv w:val="1"/>
      <w:marLeft w:val="0"/>
      <w:marRight w:val="0"/>
      <w:marTop w:val="0"/>
      <w:marBottom w:val="0"/>
      <w:divBdr>
        <w:top w:val="none" w:sz="0" w:space="0" w:color="auto"/>
        <w:left w:val="none" w:sz="0" w:space="0" w:color="auto"/>
        <w:bottom w:val="none" w:sz="0" w:space="0" w:color="auto"/>
        <w:right w:val="none" w:sz="0" w:space="0" w:color="auto"/>
      </w:divBdr>
    </w:div>
    <w:div w:id="501432559">
      <w:bodyDiv w:val="1"/>
      <w:marLeft w:val="0"/>
      <w:marRight w:val="0"/>
      <w:marTop w:val="0"/>
      <w:marBottom w:val="0"/>
      <w:divBdr>
        <w:top w:val="none" w:sz="0" w:space="0" w:color="auto"/>
        <w:left w:val="none" w:sz="0" w:space="0" w:color="auto"/>
        <w:bottom w:val="none" w:sz="0" w:space="0" w:color="auto"/>
        <w:right w:val="none" w:sz="0" w:space="0" w:color="auto"/>
      </w:divBdr>
      <w:divsChild>
        <w:div w:id="1905291102">
          <w:marLeft w:val="0"/>
          <w:marRight w:val="0"/>
          <w:marTop w:val="0"/>
          <w:marBottom w:val="0"/>
          <w:divBdr>
            <w:top w:val="none" w:sz="0" w:space="0" w:color="auto"/>
            <w:left w:val="none" w:sz="0" w:space="0" w:color="auto"/>
            <w:bottom w:val="none" w:sz="0" w:space="0" w:color="auto"/>
            <w:right w:val="none" w:sz="0" w:space="0" w:color="auto"/>
          </w:divBdr>
        </w:div>
      </w:divsChild>
    </w:div>
    <w:div w:id="504630058">
      <w:bodyDiv w:val="1"/>
      <w:marLeft w:val="0"/>
      <w:marRight w:val="0"/>
      <w:marTop w:val="0"/>
      <w:marBottom w:val="0"/>
      <w:divBdr>
        <w:top w:val="none" w:sz="0" w:space="0" w:color="auto"/>
        <w:left w:val="none" w:sz="0" w:space="0" w:color="auto"/>
        <w:bottom w:val="none" w:sz="0" w:space="0" w:color="auto"/>
        <w:right w:val="none" w:sz="0" w:space="0" w:color="auto"/>
      </w:divBdr>
    </w:div>
    <w:div w:id="508329456">
      <w:bodyDiv w:val="1"/>
      <w:marLeft w:val="0"/>
      <w:marRight w:val="0"/>
      <w:marTop w:val="0"/>
      <w:marBottom w:val="0"/>
      <w:divBdr>
        <w:top w:val="none" w:sz="0" w:space="0" w:color="auto"/>
        <w:left w:val="none" w:sz="0" w:space="0" w:color="auto"/>
        <w:bottom w:val="none" w:sz="0" w:space="0" w:color="auto"/>
        <w:right w:val="none" w:sz="0" w:space="0" w:color="auto"/>
      </w:divBdr>
      <w:divsChild>
        <w:div w:id="279072431">
          <w:marLeft w:val="0"/>
          <w:marRight w:val="0"/>
          <w:marTop w:val="0"/>
          <w:marBottom w:val="0"/>
          <w:divBdr>
            <w:top w:val="none" w:sz="0" w:space="0" w:color="auto"/>
            <w:left w:val="none" w:sz="0" w:space="0" w:color="auto"/>
            <w:bottom w:val="none" w:sz="0" w:space="0" w:color="auto"/>
            <w:right w:val="none" w:sz="0" w:space="0" w:color="auto"/>
          </w:divBdr>
          <w:divsChild>
            <w:div w:id="818228804">
              <w:marLeft w:val="127"/>
              <w:marRight w:val="0"/>
              <w:marTop w:val="0"/>
              <w:marBottom w:val="0"/>
              <w:divBdr>
                <w:top w:val="none" w:sz="0" w:space="0" w:color="auto"/>
                <w:left w:val="none" w:sz="0" w:space="0" w:color="auto"/>
                <w:bottom w:val="none" w:sz="0" w:space="0" w:color="auto"/>
                <w:right w:val="none" w:sz="0" w:space="0" w:color="auto"/>
              </w:divBdr>
            </w:div>
            <w:div w:id="2139368876">
              <w:marLeft w:val="127"/>
              <w:marRight w:val="0"/>
              <w:marTop w:val="0"/>
              <w:marBottom w:val="0"/>
              <w:divBdr>
                <w:top w:val="none" w:sz="0" w:space="0" w:color="auto"/>
                <w:left w:val="none" w:sz="0" w:space="0" w:color="auto"/>
                <w:bottom w:val="none" w:sz="0" w:space="0" w:color="auto"/>
                <w:right w:val="none" w:sz="0" w:space="0" w:color="auto"/>
              </w:divBdr>
            </w:div>
            <w:div w:id="707536041">
              <w:marLeft w:val="127"/>
              <w:marRight w:val="0"/>
              <w:marTop w:val="0"/>
              <w:marBottom w:val="0"/>
              <w:divBdr>
                <w:top w:val="none" w:sz="0" w:space="0" w:color="auto"/>
                <w:left w:val="none" w:sz="0" w:space="0" w:color="auto"/>
                <w:bottom w:val="none" w:sz="0" w:space="0" w:color="auto"/>
                <w:right w:val="none" w:sz="0" w:space="0" w:color="auto"/>
              </w:divBdr>
            </w:div>
            <w:div w:id="146938392">
              <w:marLeft w:val="127"/>
              <w:marRight w:val="0"/>
              <w:marTop w:val="0"/>
              <w:marBottom w:val="0"/>
              <w:divBdr>
                <w:top w:val="none" w:sz="0" w:space="0" w:color="auto"/>
                <w:left w:val="none" w:sz="0" w:space="0" w:color="auto"/>
                <w:bottom w:val="none" w:sz="0" w:space="0" w:color="auto"/>
                <w:right w:val="none" w:sz="0" w:space="0" w:color="auto"/>
              </w:divBdr>
            </w:div>
          </w:divsChild>
        </w:div>
      </w:divsChild>
    </w:div>
    <w:div w:id="517350065">
      <w:bodyDiv w:val="1"/>
      <w:marLeft w:val="0"/>
      <w:marRight w:val="0"/>
      <w:marTop w:val="0"/>
      <w:marBottom w:val="0"/>
      <w:divBdr>
        <w:top w:val="none" w:sz="0" w:space="0" w:color="auto"/>
        <w:left w:val="none" w:sz="0" w:space="0" w:color="auto"/>
        <w:bottom w:val="none" w:sz="0" w:space="0" w:color="auto"/>
        <w:right w:val="none" w:sz="0" w:space="0" w:color="auto"/>
      </w:divBdr>
      <w:divsChild>
        <w:div w:id="1490245648">
          <w:marLeft w:val="0"/>
          <w:marRight w:val="0"/>
          <w:marTop w:val="0"/>
          <w:marBottom w:val="0"/>
          <w:divBdr>
            <w:top w:val="none" w:sz="0" w:space="0" w:color="auto"/>
            <w:left w:val="none" w:sz="0" w:space="0" w:color="auto"/>
            <w:bottom w:val="none" w:sz="0" w:space="0" w:color="auto"/>
            <w:right w:val="none" w:sz="0" w:space="0" w:color="auto"/>
          </w:divBdr>
          <w:divsChild>
            <w:div w:id="1366634111">
              <w:marLeft w:val="0"/>
              <w:marRight w:val="0"/>
              <w:marTop w:val="0"/>
              <w:marBottom w:val="0"/>
              <w:divBdr>
                <w:top w:val="none" w:sz="0" w:space="0" w:color="auto"/>
                <w:left w:val="none" w:sz="0" w:space="0" w:color="auto"/>
                <w:bottom w:val="none" w:sz="0" w:space="0" w:color="auto"/>
                <w:right w:val="none" w:sz="0" w:space="0" w:color="auto"/>
              </w:divBdr>
            </w:div>
          </w:divsChild>
        </w:div>
        <w:div w:id="870268039">
          <w:marLeft w:val="0"/>
          <w:marRight w:val="0"/>
          <w:marTop w:val="0"/>
          <w:marBottom w:val="0"/>
          <w:divBdr>
            <w:top w:val="none" w:sz="0" w:space="0" w:color="auto"/>
            <w:left w:val="none" w:sz="0" w:space="0" w:color="auto"/>
            <w:bottom w:val="none" w:sz="0" w:space="0" w:color="auto"/>
            <w:right w:val="none" w:sz="0" w:space="0" w:color="auto"/>
          </w:divBdr>
          <w:divsChild>
            <w:div w:id="301472701">
              <w:marLeft w:val="0"/>
              <w:marRight w:val="0"/>
              <w:marTop w:val="0"/>
              <w:marBottom w:val="0"/>
              <w:divBdr>
                <w:top w:val="none" w:sz="0" w:space="0" w:color="auto"/>
                <w:left w:val="none" w:sz="0" w:space="0" w:color="auto"/>
                <w:bottom w:val="none" w:sz="0" w:space="0" w:color="auto"/>
                <w:right w:val="none" w:sz="0" w:space="0" w:color="auto"/>
              </w:divBdr>
            </w:div>
          </w:divsChild>
        </w:div>
        <w:div w:id="1660187057">
          <w:marLeft w:val="0"/>
          <w:marRight w:val="0"/>
          <w:marTop w:val="0"/>
          <w:marBottom w:val="0"/>
          <w:divBdr>
            <w:top w:val="none" w:sz="0" w:space="0" w:color="auto"/>
            <w:left w:val="none" w:sz="0" w:space="0" w:color="auto"/>
            <w:bottom w:val="none" w:sz="0" w:space="0" w:color="auto"/>
            <w:right w:val="none" w:sz="0" w:space="0" w:color="auto"/>
          </w:divBdr>
          <w:divsChild>
            <w:div w:id="671570886">
              <w:marLeft w:val="0"/>
              <w:marRight w:val="0"/>
              <w:marTop w:val="0"/>
              <w:marBottom w:val="0"/>
              <w:divBdr>
                <w:top w:val="none" w:sz="0" w:space="0" w:color="auto"/>
                <w:left w:val="none" w:sz="0" w:space="0" w:color="auto"/>
                <w:bottom w:val="none" w:sz="0" w:space="0" w:color="auto"/>
                <w:right w:val="none" w:sz="0" w:space="0" w:color="auto"/>
              </w:divBdr>
            </w:div>
          </w:divsChild>
        </w:div>
        <w:div w:id="624431008">
          <w:marLeft w:val="0"/>
          <w:marRight w:val="0"/>
          <w:marTop w:val="0"/>
          <w:marBottom w:val="0"/>
          <w:divBdr>
            <w:top w:val="none" w:sz="0" w:space="0" w:color="auto"/>
            <w:left w:val="none" w:sz="0" w:space="0" w:color="auto"/>
            <w:bottom w:val="none" w:sz="0" w:space="0" w:color="auto"/>
            <w:right w:val="none" w:sz="0" w:space="0" w:color="auto"/>
          </w:divBdr>
          <w:divsChild>
            <w:div w:id="1326400357">
              <w:marLeft w:val="0"/>
              <w:marRight w:val="0"/>
              <w:marTop w:val="0"/>
              <w:marBottom w:val="0"/>
              <w:divBdr>
                <w:top w:val="none" w:sz="0" w:space="0" w:color="auto"/>
                <w:left w:val="none" w:sz="0" w:space="0" w:color="auto"/>
                <w:bottom w:val="none" w:sz="0" w:space="0" w:color="auto"/>
                <w:right w:val="none" w:sz="0" w:space="0" w:color="auto"/>
              </w:divBdr>
            </w:div>
          </w:divsChild>
        </w:div>
        <w:div w:id="296880613">
          <w:marLeft w:val="0"/>
          <w:marRight w:val="0"/>
          <w:marTop w:val="0"/>
          <w:marBottom w:val="0"/>
          <w:divBdr>
            <w:top w:val="none" w:sz="0" w:space="0" w:color="auto"/>
            <w:left w:val="none" w:sz="0" w:space="0" w:color="auto"/>
            <w:bottom w:val="none" w:sz="0" w:space="0" w:color="auto"/>
            <w:right w:val="none" w:sz="0" w:space="0" w:color="auto"/>
          </w:divBdr>
          <w:divsChild>
            <w:div w:id="191574443">
              <w:marLeft w:val="0"/>
              <w:marRight w:val="0"/>
              <w:marTop w:val="0"/>
              <w:marBottom w:val="0"/>
              <w:divBdr>
                <w:top w:val="none" w:sz="0" w:space="0" w:color="auto"/>
                <w:left w:val="none" w:sz="0" w:space="0" w:color="auto"/>
                <w:bottom w:val="none" w:sz="0" w:space="0" w:color="auto"/>
                <w:right w:val="none" w:sz="0" w:space="0" w:color="auto"/>
              </w:divBdr>
            </w:div>
          </w:divsChild>
        </w:div>
        <w:div w:id="2087803727">
          <w:marLeft w:val="0"/>
          <w:marRight w:val="0"/>
          <w:marTop w:val="0"/>
          <w:marBottom w:val="0"/>
          <w:divBdr>
            <w:top w:val="none" w:sz="0" w:space="0" w:color="auto"/>
            <w:left w:val="none" w:sz="0" w:space="0" w:color="auto"/>
            <w:bottom w:val="none" w:sz="0" w:space="0" w:color="auto"/>
            <w:right w:val="none" w:sz="0" w:space="0" w:color="auto"/>
          </w:divBdr>
          <w:divsChild>
            <w:div w:id="381095316">
              <w:marLeft w:val="0"/>
              <w:marRight w:val="0"/>
              <w:marTop w:val="0"/>
              <w:marBottom w:val="0"/>
              <w:divBdr>
                <w:top w:val="none" w:sz="0" w:space="0" w:color="auto"/>
                <w:left w:val="none" w:sz="0" w:space="0" w:color="auto"/>
                <w:bottom w:val="none" w:sz="0" w:space="0" w:color="auto"/>
                <w:right w:val="none" w:sz="0" w:space="0" w:color="auto"/>
              </w:divBdr>
            </w:div>
          </w:divsChild>
        </w:div>
        <w:div w:id="1289894155">
          <w:marLeft w:val="0"/>
          <w:marRight w:val="0"/>
          <w:marTop w:val="0"/>
          <w:marBottom w:val="0"/>
          <w:divBdr>
            <w:top w:val="none" w:sz="0" w:space="0" w:color="auto"/>
            <w:left w:val="none" w:sz="0" w:space="0" w:color="auto"/>
            <w:bottom w:val="none" w:sz="0" w:space="0" w:color="auto"/>
            <w:right w:val="none" w:sz="0" w:space="0" w:color="auto"/>
          </w:divBdr>
          <w:divsChild>
            <w:div w:id="394664266">
              <w:marLeft w:val="0"/>
              <w:marRight w:val="0"/>
              <w:marTop w:val="0"/>
              <w:marBottom w:val="0"/>
              <w:divBdr>
                <w:top w:val="none" w:sz="0" w:space="0" w:color="auto"/>
                <w:left w:val="none" w:sz="0" w:space="0" w:color="auto"/>
                <w:bottom w:val="none" w:sz="0" w:space="0" w:color="auto"/>
                <w:right w:val="none" w:sz="0" w:space="0" w:color="auto"/>
              </w:divBdr>
            </w:div>
          </w:divsChild>
        </w:div>
        <w:div w:id="504589987">
          <w:marLeft w:val="0"/>
          <w:marRight w:val="0"/>
          <w:marTop w:val="0"/>
          <w:marBottom w:val="0"/>
          <w:divBdr>
            <w:top w:val="none" w:sz="0" w:space="0" w:color="auto"/>
            <w:left w:val="none" w:sz="0" w:space="0" w:color="auto"/>
            <w:bottom w:val="none" w:sz="0" w:space="0" w:color="auto"/>
            <w:right w:val="none" w:sz="0" w:space="0" w:color="auto"/>
          </w:divBdr>
          <w:divsChild>
            <w:div w:id="1856384951">
              <w:marLeft w:val="0"/>
              <w:marRight w:val="0"/>
              <w:marTop w:val="0"/>
              <w:marBottom w:val="0"/>
              <w:divBdr>
                <w:top w:val="none" w:sz="0" w:space="0" w:color="auto"/>
                <w:left w:val="none" w:sz="0" w:space="0" w:color="auto"/>
                <w:bottom w:val="none" w:sz="0" w:space="0" w:color="auto"/>
                <w:right w:val="none" w:sz="0" w:space="0" w:color="auto"/>
              </w:divBdr>
            </w:div>
          </w:divsChild>
        </w:div>
        <w:div w:id="1856772642">
          <w:marLeft w:val="0"/>
          <w:marRight w:val="0"/>
          <w:marTop w:val="0"/>
          <w:marBottom w:val="0"/>
          <w:divBdr>
            <w:top w:val="none" w:sz="0" w:space="0" w:color="auto"/>
            <w:left w:val="none" w:sz="0" w:space="0" w:color="auto"/>
            <w:bottom w:val="none" w:sz="0" w:space="0" w:color="auto"/>
            <w:right w:val="none" w:sz="0" w:space="0" w:color="auto"/>
          </w:divBdr>
          <w:divsChild>
            <w:div w:id="10250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069584">
      <w:bodyDiv w:val="1"/>
      <w:marLeft w:val="0"/>
      <w:marRight w:val="0"/>
      <w:marTop w:val="0"/>
      <w:marBottom w:val="0"/>
      <w:divBdr>
        <w:top w:val="none" w:sz="0" w:space="0" w:color="auto"/>
        <w:left w:val="none" w:sz="0" w:space="0" w:color="auto"/>
        <w:bottom w:val="none" w:sz="0" w:space="0" w:color="auto"/>
        <w:right w:val="none" w:sz="0" w:space="0" w:color="auto"/>
      </w:divBdr>
    </w:div>
    <w:div w:id="548417835">
      <w:bodyDiv w:val="1"/>
      <w:marLeft w:val="0"/>
      <w:marRight w:val="0"/>
      <w:marTop w:val="0"/>
      <w:marBottom w:val="0"/>
      <w:divBdr>
        <w:top w:val="none" w:sz="0" w:space="0" w:color="auto"/>
        <w:left w:val="none" w:sz="0" w:space="0" w:color="auto"/>
        <w:bottom w:val="none" w:sz="0" w:space="0" w:color="auto"/>
        <w:right w:val="none" w:sz="0" w:space="0" w:color="auto"/>
      </w:divBdr>
    </w:div>
    <w:div w:id="560483403">
      <w:bodyDiv w:val="1"/>
      <w:marLeft w:val="0"/>
      <w:marRight w:val="0"/>
      <w:marTop w:val="0"/>
      <w:marBottom w:val="0"/>
      <w:divBdr>
        <w:top w:val="none" w:sz="0" w:space="0" w:color="auto"/>
        <w:left w:val="none" w:sz="0" w:space="0" w:color="auto"/>
        <w:bottom w:val="none" w:sz="0" w:space="0" w:color="auto"/>
        <w:right w:val="none" w:sz="0" w:space="0" w:color="auto"/>
      </w:divBdr>
    </w:div>
    <w:div w:id="563834742">
      <w:bodyDiv w:val="1"/>
      <w:marLeft w:val="0"/>
      <w:marRight w:val="0"/>
      <w:marTop w:val="0"/>
      <w:marBottom w:val="0"/>
      <w:divBdr>
        <w:top w:val="none" w:sz="0" w:space="0" w:color="auto"/>
        <w:left w:val="none" w:sz="0" w:space="0" w:color="auto"/>
        <w:bottom w:val="none" w:sz="0" w:space="0" w:color="auto"/>
        <w:right w:val="none" w:sz="0" w:space="0" w:color="auto"/>
      </w:divBdr>
    </w:div>
    <w:div w:id="568924889">
      <w:bodyDiv w:val="1"/>
      <w:marLeft w:val="0"/>
      <w:marRight w:val="0"/>
      <w:marTop w:val="0"/>
      <w:marBottom w:val="0"/>
      <w:divBdr>
        <w:top w:val="none" w:sz="0" w:space="0" w:color="auto"/>
        <w:left w:val="none" w:sz="0" w:space="0" w:color="auto"/>
        <w:bottom w:val="none" w:sz="0" w:space="0" w:color="auto"/>
        <w:right w:val="none" w:sz="0" w:space="0" w:color="auto"/>
      </w:divBdr>
    </w:div>
    <w:div w:id="573861142">
      <w:bodyDiv w:val="1"/>
      <w:marLeft w:val="0"/>
      <w:marRight w:val="0"/>
      <w:marTop w:val="0"/>
      <w:marBottom w:val="0"/>
      <w:divBdr>
        <w:top w:val="none" w:sz="0" w:space="0" w:color="auto"/>
        <w:left w:val="none" w:sz="0" w:space="0" w:color="auto"/>
        <w:bottom w:val="none" w:sz="0" w:space="0" w:color="auto"/>
        <w:right w:val="none" w:sz="0" w:space="0" w:color="auto"/>
      </w:divBdr>
    </w:div>
    <w:div w:id="619917197">
      <w:bodyDiv w:val="1"/>
      <w:marLeft w:val="0"/>
      <w:marRight w:val="0"/>
      <w:marTop w:val="0"/>
      <w:marBottom w:val="0"/>
      <w:divBdr>
        <w:top w:val="none" w:sz="0" w:space="0" w:color="auto"/>
        <w:left w:val="none" w:sz="0" w:space="0" w:color="auto"/>
        <w:bottom w:val="none" w:sz="0" w:space="0" w:color="auto"/>
        <w:right w:val="none" w:sz="0" w:space="0" w:color="auto"/>
      </w:divBdr>
    </w:div>
    <w:div w:id="635379364">
      <w:bodyDiv w:val="1"/>
      <w:marLeft w:val="0"/>
      <w:marRight w:val="0"/>
      <w:marTop w:val="0"/>
      <w:marBottom w:val="0"/>
      <w:divBdr>
        <w:top w:val="none" w:sz="0" w:space="0" w:color="auto"/>
        <w:left w:val="none" w:sz="0" w:space="0" w:color="auto"/>
        <w:bottom w:val="none" w:sz="0" w:space="0" w:color="auto"/>
        <w:right w:val="none" w:sz="0" w:space="0" w:color="auto"/>
      </w:divBdr>
    </w:div>
    <w:div w:id="639309187">
      <w:bodyDiv w:val="1"/>
      <w:marLeft w:val="0"/>
      <w:marRight w:val="0"/>
      <w:marTop w:val="0"/>
      <w:marBottom w:val="0"/>
      <w:divBdr>
        <w:top w:val="none" w:sz="0" w:space="0" w:color="auto"/>
        <w:left w:val="none" w:sz="0" w:space="0" w:color="auto"/>
        <w:bottom w:val="none" w:sz="0" w:space="0" w:color="auto"/>
        <w:right w:val="none" w:sz="0" w:space="0" w:color="auto"/>
      </w:divBdr>
    </w:div>
    <w:div w:id="691341527">
      <w:bodyDiv w:val="1"/>
      <w:marLeft w:val="0"/>
      <w:marRight w:val="0"/>
      <w:marTop w:val="0"/>
      <w:marBottom w:val="0"/>
      <w:divBdr>
        <w:top w:val="none" w:sz="0" w:space="0" w:color="auto"/>
        <w:left w:val="none" w:sz="0" w:space="0" w:color="auto"/>
        <w:bottom w:val="none" w:sz="0" w:space="0" w:color="auto"/>
        <w:right w:val="none" w:sz="0" w:space="0" w:color="auto"/>
      </w:divBdr>
    </w:div>
    <w:div w:id="736586186">
      <w:bodyDiv w:val="1"/>
      <w:marLeft w:val="0"/>
      <w:marRight w:val="0"/>
      <w:marTop w:val="0"/>
      <w:marBottom w:val="0"/>
      <w:divBdr>
        <w:top w:val="none" w:sz="0" w:space="0" w:color="auto"/>
        <w:left w:val="none" w:sz="0" w:space="0" w:color="auto"/>
        <w:bottom w:val="none" w:sz="0" w:space="0" w:color="auto"/>
        <w:right w:val="none" w:sz="0" w:space="0" w:color="auto"/>
      </w:divBdr>
      <w:divsChild>
        <w:div w:id="490219388">
          <w:marLeft w:val="0"/>
          <w:marRight w:val="0"/>
          <w:marTop w:val="0"/>
          <w:marBottom w:val="0"/>
          <w:divBdr>
            <w:top w:val="none" w:sz="0" w:space="0" w:color="auto"/>
            <w:left w:val="none" w:sz="0" w:space="0" w:color="auto"/>
            <w:bottom w:val="none" w:sz="0" w:space="0" w:color="auto"/>
            <w:right w:val="none" w:sz="0" w:space="0" w:color="auto"/>
          </w:divBdr>
          <w:divsChild>
            <w:div w:id="1148521567">
              <w:marLeft w:val="0"/>
              <w:marRight w:val="0"/>
              <w:marTop w:val="0"/>
              <w:marBottom w:val="0"/>
              <w:divBdr>
                <w:top w:val="none" w:sz="0" w:space="0" w:color="auto"/>
                <w:left w:val="none" w:sz="0" w:space="0" w:color="auto"/>
                <w:bottom w:val="none" w:sz="0" w:space="0" w:color="auto"/>
                <w:right w:val="none" w:sz="0" w:space="0" w:color="auto"/>
              </w:divBdr>
            </w:div>
          </w:divsChild>
        </w:div>
        <w:div w:id="1180461638">
          <w:marLeft w:val="0"/>
          <w:marRight w:val="0"/>
          <w:marTop w:val="0"/>
          <w:marBottom w:val="0"/>
          <w:divBdr>
            <w:top w:val="none" w:sz="0" w:space="0" w:color="auto"/>
            <w:left w:val="none" w:sz="0" w:space="0" w:color="auto"/>
            <w:bottom w:val="none" w:sz="0" w:space="0" w:color="auto"/>
            <w:right w:val="none" w:sz="0" w:space="0" w:color="auto"/>
          </w:divBdr>
          <w:divsChild>
            <w:div w:id="237908797">
              <w:marLeft w:val="0"/>
              <w:marRight w:val="0"/>
              <w:marTop w:val="0"/>
              <w:marBottom w:val="0"/>
              <w:divBdr>
                <w:top w:val="none" w:sz="0" w:space="0" w:color="auto"/>
                <w:left w:val="none" w:sz="0" w:space="0" w:color="auto"/>
                <w:bottom w:val="none" w:sz="0" w:space="0" w:color="auto"/>
                <w:right w:val="none" w:sz="0" w:space="0" w:color="auto"/>
              </w:divBdr>
              <w:divsChild>
                <w:div w:id="564337846">
                  <w:marLeft w:val="0"/>
                  <w:marRight w:val="0"/>
                  <w:marTop w:val="0"/>
                  <w:marBottom w:val="0"/>
                  <w:divBdr>
                    <w:top w:val="none" w:sz="0" w:space="0" w:color="auto"/>
                    <w:left w:val="none" w:sz="0" w:space="0" w:color="auto"/>
                    <w:bottom w:val="none" w:sz="0" w:space="0" w:color="auto"/>
                    <w:right w:val="none" w:sz="0" w:space="0" w:color="auto"/>
                  </w:divBdr>
                  <w:divsChild>
                    <w:div w:id="114696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8019450">
      <w:bodyDiv w:val="1"/>
      <w:marLeft w:val="0"/>
      <w:marRight w:val="0"/>
      <w:marTop w:val="0"/>
      <w:marBottom w:val="0"/>
      <w:divBdr>
        <w:top w:val="none" w:sz="0" w:space="0" w:color="auto"/>
        <w:left w:val="none" w:sz="0" w:space="0" w:color="auto"/>
        <w:bottom w:val="none" w:sz="0" w:space="0" w:color="auto"/>
        <w:right w:val="none" w:sz="0" w:space="0" w:color="auto"/>
      </w:divBdr>
    </w:div>
    <w:div w:id="762066642">
      <w:bodyDiv w:val="1"/>
      <w:marLeft w:val="0"/>
      <w:marRight w:val="0"/>
      <w:marTop w:val="0"/>
      <w:marBottom w:val="0"/>
      <w:divBdr>
        <w:top w:val="none" w:sz="0" w:space="0" w:color="auto"/>
        <w:left w:val="none" w:sz="0" w:space="0" w:color="auto"/>
        <w:bottom w:val="none" w:sz="0" w:space="0" w:color="auto"/>
        <w:right w:val="none" w:sz="0" w:space="0" w:color="auto"/>
      </w:divBdr>
    </w:div>
    <w:div w:id="778837993">
      <w:bodyDiv w:val="1"/>
      <w:marLeft w:val="0"/>
      <w:marRight w:val="0"/>
      <w:marTop w:val="0"/>
      <w:marBottom w:val="0"/>
      <w:divBdr>
        <w:top w:val="none" w:sz="0" w:space="0" w:color="auto"/>
        <w:left w:val="none" w:sz="0" w:space="0" w:color="auto"/>
        <w:bottom w:val="none" w:sz="0" w:space="0" w:color="auto"/>
        <w:right w:val="none" w:sz="0" w:space="0" w:color="auto"/>
      </w:divBdr>
    </w:div>
    <w:div w:id="779572024">
      <w:bodyDiv w:val="1"/>
      <w:marLeft w:val="0"/>
      <w:marRight w:val="0"/>
      <w:marTop w:val="0"/>
      <w:marBottom w:val="0"/>
      <w:divBdr>
        <w:top w:val="none" w:sz="0" w:space="0" w:color="auto"/>
        <w:left w:val="none" w:sz="0" w:space="0" w:color="auto"/>
        <w:bottom w:val="none" w:sz="0" w:space="0" w:color="auto"/>
        <w:right w:val="none" w:sz="0" w:space="0" w:color="auto"/>
      </w:divBdr>
    </w:div>
    <w:div w:id="783498825">
      <w:bodyDiv w:val="1"/>
      <w:marLeft w:val="0"/>
      <w:marRight w:val="0"/>
      <w:marTop w:val="0"/>
      <w:marBottom w:val="0"/>
      <w:divBdr>
        <w:top w:val="none" w:sz="0" w:space="0" w:color="auto"/>
        <w:left w:val="none" w:sz="0" w:space="0" w:color="auto"/>
        <w:bottom w:val="none" w:sz="0" w:space="0" w:color="auto"/>
        <w:right w:val="none" w:sz="0" w:space="0" w:color="auto"/>
      </w:divBdr>
    </w:div>
    <w:div w:id="784812286">
      <w:bodyDiv w:val="1"/>
      <w:marLeft w:val="0"/>
      <w:marRight w:val="0"/>
      <w:marTop w:val="0"/>
      <w:marBottom w:val="0"/>
      <w:divBdr>
        <w:top w:val="none" w:sz="0" w:space="0" w:color="auto"/>
        <w:left w:val="none" w:sz="0" w:space="0" w:color="auto"/>
        <w:bottom w:val="none" w:sz="0" w:space="0" w:color="auto"/>
        <w:right w:val="none" w:sz="0" w:space="0" w:color="auto"/>
      </w:divBdr>
    </w:div>
    <w:div w:id="822039620">
      <w:bodyDiv w:val="1"/>
      <w:marLeft w:val="0"/>
      <w:marRight w:val="0"/>
      <w:marTop w:val="0"/>
      <w:marBottom w:val="0"/>
      <w:divBdr>
        <w:top w:val="none" w:sz="0" w:space="0" w:color="auto"/>
        <w:left w:val="none" w:sz="0" w:space="0" w:color="auto"/>
        <w:bottom w:val="none" w:sz="0" w:space="0" w:color="auto"/>
        <w:right w:val="none" w:sz="0" w:space="0" w:color="auto"/>
      </w:divBdr>
    </w:div>
    <w:div w:id="827479899">
      <w:bodyDiv w:val="1"/>
      <w:marLeft w:val="0"/>
      <w:marRight w:val="0"/>
      <w:marTop w:val="0"/>
      <w:marBottom w:val="0"/>
      <w:divBdr>
        <w:top w:val="none" w:sz="0" w:space="0" w:color="auto"/>
        <w:left w:val="none" w:sz="0" w:space="0" w:color="auto"/>
        <w:bottom w:val="none" w:sz="0" w:space="0" w:color="auto"/>
        <w:right w:val="none" w:sz="0" w:space="0" w:color="auto"/>
      </w:divBdr>
    </w:div>
    <w:div w:id="833952996">
      <w:bodyDiv w:val="1"/>
      <w:marLeft w:val="0"/>
      <w:marRight w:val="0"/>
      <w:marTop w:val="0"/>
      <w:marBottom w:val="0"/>
      <w:divBdr>
        <w:top w:val="none" w:sz="0" w:space="0" w:color="auto"/>
        <w:left w:val="none" w:sz="0" w:space="0" w:color="auto"/>
        <w:bottom w:val="none" w:sz="0" w:space="0" w:color="auto"/>
        <w:right w:val="none" w:sz="0" w:space="0" w:color="auto"/>
      </w:divBdr>
    </w:div>
    <w:div w:id="842164182">
      <w:bodyDiv w:val="1"/>
      <w:marLeft w:val="0"/>
      <w:marRight w:val="0"/>
      <w:marTop w:val="0"/>
      <w:marBottom w:val="0"/>
      <w:divBdr>
        <w:top w:val="none" w:sz="0" w:space="0" w:color="auto"/>
        <w:left w:val="none" w:sz="0" w:space="0" w:color="auto"/>
        <w:bottom w:val="none" w:sz="0" w:space="0" w:color="auto"/>
        <w:right w:val="none" w:sz="0" w:space="0" w:color="auto"/>
      </w:divBdr>
    </w:div>
    <w:div w:id="843980674">
      <w:bodyDiv w:val="1"/>
      <w:marLeft w:val="0"/>
      <w:marRight w:val="0"/>
      <w:marTop w:val="0"/>
      <w:marBottom w:val="0"/>
      <w:divBdr>
        <w:top w:val="none" w:sz="0" w:space="0" w:color="auto"/>
        <w:left w:val="none" w:sz="0" w:space="0" w:color="auto"/>
        <w:bottom w:val="none" w:sz="0" w:space="0" w:color="auto"/>
        <w:right w:val="none" w:sz="0" w:space="0" w:color="auto"/>
      </w:divBdr>
    </w:div>
    <w:div w:id="844635183">
      <w:bodyDiv w:val="1"/>
      <w:marLeft w:val="0"/>
      <w:marRight w:val="0"/>
      <w:marTop w:val="0"/>
      <w:marBottom w:val="0"/>
      <w:divBdr>
        <w:top w:val="none" w:sz="0" w:space="0" w:color="auto"/>
        <w:left w:val="none" w:sz="0" w:space="0" w:color="auto"/>
        <w:bottom w:val="none" w:sz="0" w:space="0" w:color="auto"/>
        <w:right w:val="none" w:sz="0" w:space="0" w:color="auto"/>
      </w:divBdr>
      <w:divsChild>
        <w:div w:id="427892319">
          <w:marLeft w:val="0"/>
          <w:marRight w:val="0"/>
          <w:marTop w:val="0"/>
          <w:marBottom w:val="0"/>
          <w:divBdr>
            <w:top w:val="none" w:sz="0" w:space="0" w:color="auto"/>
            <w:left w:val="none" w:sz="0" w:space="0" w:color="auto"/>
            <w:bottom w:val="none" w:sz="0" w:space="0" w:color="auto"/>
            <w:right w:val="none" w:sz="0" w:space="0" w:color="auto"/>
          </w:divBdr>
        </w:div>
      </w:divsChild>
    </w:div>
    <w:div w:id="852498639">
      <w:bodyDiv w:val="1"/>
      <w:marLeft w:val="0"/>
      <w:marRight w:val="0"/>
      <w:marTop w:val="0"/>
      <w:marBottom w:val="0"/>
      <w:divBdr>
        <w:top w:val="none" w:sz="0" w:space="0" w:color="auto"/>
        <w:left w:val="none" w:sz="0" w:space="0" w:color="auto"/>
        <w:bottom w:val="none" w:sz="0" w:space="0" w:color="auto"/>
        <w:right w:val="none" w:sz="0" w:space="0" w:color="auto"/>
      </w:divBdr>
    </w:div>
    <w:div w:id="856776487">
      <w:bodyDiv w:val="1"/>
      <w:marLeft w:val="0"/>
      <w:marRight w:val="0"/>
      <w:marTop w:val="0"/>
      <w:marBottom w:val="0"/>
      <w:divBdr>
        <w:top w:val="none" w:sz="0" w:space="0" w:color="auto"/>
        <w:left w:val="none" w:sz="0" w:space="0" w:color="auto"/>
        <w:bottom w:val="none" w:sz="0" w:space="0" w:color="auto"/>
        <w:right w:val="none" w:sz="0" w:space="0" w:color="auto"/>
      </w:divBdr>
    </w:div>
    <w:div w:id="861474364">
      <w:bodyDiv w:val="1"/>
      <w:marLeft w:val="0"/>
      <w:marRight w:val="0"/>
      <w:marTop w:val="0"/>
      <w:marBottom w:val="0"/>
      <w:divBdr>
        <w:top w:val="none" w:sz="0" w:space="0" w:color="auto"/>
        <w:left w:val="none" w:sz="0" w:space="0" w:color="auto"/>
        <w:bottom w:val="none" w:sz="0" w:space="0" w:color="auto"/>
        <w:right w:val="none" w:sz="0" w:space="0" w:color="auto"/>
      </w:divBdr>
    </w:div>
    <w:div w:id="871187449">
      <w:bodyDiv w:val="1"/>
      <w:marLeft w:val="0"/>
      <w:marRight w:val="0"/>
      <w:marTop w:val="0"/>
      <w:marBottom w:val="0"/>
      <w:divBdr>
        <w:top w:val="none" w:sz="0" w:space="0" w:color="auto"/>
        <w:left w:val="none" w:sz="0" w:space="0" w:color="auto"/>
        <w:bottom w:val="none" w:sz="0" w:space="0" w:color="auto"/>
        <w:right w:val="none" w:sz="0" w:space="0" w:color="auto"/>
      </w:divBdr>
    </w:div>
    <w:div w:id="884295154">
      <w:bodyDiv w:val="1"/>
      <w:marLeft w:val="0"/>
      <w:marRight w:val="0"/>
      <w:marTop w:val="0"/>
      <w:marBottom w:val="0"/>
      <w:divBdr>
        <w:top w:val="none" w:sz="0" w:space="0" w:color="auto"/>
        <w:left w:val="none" w:sz="0" w:space="0" w:color="auto"/>
        <w:bottom w:val="none" w:sz="0" w:space="0" w:color="auto"/>
        <w:right w:val="none" w:sz="0" w:space="0" w:color="auto"/>
      </w:divBdr>
      <w:divsChild>
        <w:div w:id="1502044962">
          <w:marLeft w:val="0"/>
          <w:marRight w:val="0"/>
          <w:marTop w:val="0"/>
          <w:marBottom w:val="0"/>
          <w:divBdr>
            <w:top w:val="none" w:sz="0" w:space="0" w:color="auto"/>
            <w:left w:val="none" w:sz="0" w:space="0" w:color="auto"/>
            <w:bottom w:val="none" w:sz="0" w:space="0" w:color="auto"/>
            <w:right w:val="none" w:sz="0" w:space="0" w:color="auto"/>
          </w:divBdr>
        </w:div>
      </w:divsChild>
    </w:div>
    <w:div w:id="934171650">
      <w:bodyDiv w:val="1"/>
      <w:marLeft w:val="0"/>
      <w:marRight w:val="0"/>
      <w:marTop w:val="0"/>
      <w:marBottom w:val="0"/>
      <w:divBdr>
        <w:top w:val="none" w:sz="0" w:space="0" w:color="auto"/>
        <w:left w:val="none" w:sz="0" w:space="0" w:color="auto"/>
        <w:bottom w:val="none" w:sz="0" w:space="0" w:color="auto"/>
        <w:right w:val="none" w:sz="0" w:space="0" w:color="auto"/>
      </w:divBdr>
    </w:div>
    <w:div w:id="935790265">
      <w:bodyDiv w:val="1"/>
      <w:marLeft w:val="0"/>
      <w:marRight w:val="0"/>
      <w:marTop w:val="0"/>
      <w:marBottom w:val="0"/>
      <w:divBdr>
        <w:top w:val="none" w:sz="0" w:space="0" w:color="auto"/>
        <w:left w:val="none" w:sz="0" w:space="0" w:color="auto"/>
        <w:bottom w:val="none" w:sz="0" w:space="0" w:color="auto"/>
        <w:right w:val="none" w:sz="0" w:space="0" w:color="auto"/>
      </w:divBdr>
    </w:div>
    <w:div w:id="940920776">
      <w:bodyDiv w:val="1"/>
      <w:marLeft w:val="0"/>
      <w:marRight w:val="0"/>
      <w:marTop w:val="0"/>
      <w:marBottom w:val="0"/>
      <w:divBdr>
        <w:top w:val="none" w:sz="0" w:space="0" w:color="auto"/>
        <w:left w:val="none" w:sz="0" w:space="0" w:color="auto"/>
        <w:bottom w:val="none" w:sz="0" w:space="0" w:color="auto"/>
        <w:right w:val="none" w:sz="0" w:space="0" w:color="auto"/>
      </w:divBdr>
    </w:div>
    <w:div w:id="949702039">
      <w:bodyDiv w:val="1"/>
      <w:marLeft w:val="0"/>
      <w:marRight w:val="0"/>
      <w:marTop w:val="0"/>
      <w:marBottom w:val="0"/>
      <w:divBdr>
        <w:top w:val="none" w:sz="0" w:space="0" w:color="auto"/>
        <w:left w:val="none" w:sz="0" w:space="0" w:color="auto"/>
        <w:bottom w:val="none" w:sz="0" w:space="0" w:color="auto"/>
        <w:right w:val="none" w:sz="0" w:space="0" w:color="auto"/>
      </w:divBdr>
    </w:div>
    <w:div w:id="958997688">
      <w:bodyDiv w:val="1"/>
      <w:marLeft w:val="0"/>
      <w:marRight w:val="0"/>
      <w:marTop w:val="0"/>
      <w:marBottom w:val="0"/>
      <w:divBdr>
        <w:top w:val="none" w:sz="0" w:space="0" w:color="auto"/>
        <w:left w:val="none" w:sz="0" w:space="0" w:color="auto"/>
        <w:bottom w:val="none" w:sz="0" w:space="0" w:color="auto"/>
        <w:right w:val="none" w:sz="0" w:space="0" w:color="auto"/>
      </w:divBdr>
      <w:divsChild>
        <w:div w:id="327292124">
          <w:marLeft w:val="0"/>
          <w:marRight w:val="0"/>
          <w:marTop w:val="0"/>
          <w:marBottom w:val="0"/>
          <w:divBdr>
            <w:top w:val="none" w:sz="0" w:space="0" w:color="auto"/>
            <w:left w:val="none" w:sz="0" w:space="0" w:color="auto"/>
            <w:bottom w:val="none" w:sz="0" w:space="0" w:color="auto"/>
            <w:right w:val="none" w:sz="0" w:space="0" w:color="auto"/>
          </w:divBdr>
        </w:div>
      </w:divsChild>
    </w:div>
    <w:div w:id="977877261">
      <w:bodyDiv w:val="1"/>
      <w:marLeft w:val="0"/>
      <w:marRight w:val="0"/>
      <w:marTop w:val="0"/>
      <w:marBottom w:val="0"/>
      <w:divBdr>
        <w:top w:val="none" w:sz="0" w:space="0" w:color="auto"/>
        <w:left w:val="none" w:sz="0" w:space="0" w:color="auto"/>
        <w:bottom w:val="none" w:sz="0" w:space="0" w:color="auto"/>
        <w:right w:val="none" w:sz="0" w:space="0" w:color="auto"/>
      </w:divBdr>
    </w:div>
    <w:div w:id="988559401">
      <w:bodyDiv w:val="1"/>
      <w:marLeft w:val="0"/>
      <w:marRight w:val="0"/>
      <w:marTop w:val="0"/>
      <w:marBottom w:val="0"/>
      <w:divBdr>
        <w:top w:val="none" w:sz="0" w:space="0" w:color="auto"/>
        <w:left w:val="none" w:sz="0" w:space="0" w:color="auto"/>
        <w:bottom w:val="none" w:sz="0" w:space="0" w:color="auto"/>
        <w:right w:val="none" w:sz="0" w:space="0" w:color="auto"/>
      </w:divBdr>
    </w:div>
    <w:div w:id="991180145">
      <w:bodyDiv w:val="1"/>
      <w:marLeft w:val="0"/>
      <w:marRight w:val="0"/>
      <w:marTop w:val="0"/>
      <w:marBottom w:val="0"/>
      <w:divBdr>
        <w:top w:val="none" w:sz="0" w:space="0" w:color="auto"/>
        <w:left w:val="none" w:sz="0" w:space="0" w:color="auto"/>
        <w:bottom w:val="none" w:sz="0" w:space="0" w:color="auto"/>
        <w:right w:val="none" w:sz="0" w:space="0" w:color="auto"/>
      </w:divBdr>
    </w:div>
    <w:div w:id="996152998">
      <w:bodyDiv w:val="1"/>
      <w:marLeft w:val="0"/>
      <w:marRight w:val="0"/>
      <w:marTop w:val="0"/>
      <w:marBottom w:val="0"/>
      <w:divBdr>
        <w:top w:val="none" w:sz="0" w:space="0" w:color="auto"/>
        <w:left w:val="none" w:sz="0" w:space="0" w:color="auto"/>
        <w:bottom w:val="none" w:sz="0" w:space="0" w:color="auto"/>
        <w:right w:val="none" w:sz="0" w:space="0" w:color="auto"/>
      </w:divBdr>
      <w:divsChild>
        <w:div w:id="1032732945">
          <w:marLeft w:val="0"/>
          <w:marRight w:val="0"/>
          <w:marTop w:val="0"/>
          <w:marBottom w:val="0"/>
          <w:divBdr>
            <w:top w:val="none" w:sz="0" w:space="0" w:color="auto"/>
            <w:left w:val="none" w:sz="0" w:space="0" w:color="auto"/>
            <w:bottom w:val="none" w:sz="0" w:space="0" w:color="auto"/>
            <w:right w:val="none" w:sz="0" w:space="0" w:color="auto"/>
          </w:divBdr>
          <w:divsChild>
            <w:div w:id="1694964262">
              <w:marLeft w:val="0"/>
              <w:marRight w:val="0"/>
              <w:marTop w:val="0"/>
              <w:marBottom w:val="0"/>
              <w:divBdr>
                <w:top w:val="none" w:sz="0" w:space="0" w:color="auto"/>
                <w:left w:val="none" w:sz="0" w:space="0" w:color="auto"/>
                <w:bottom w:val="none" w:sz="0" w:space="0" w:color="auto"/>
                <w:right w:val="none" w:sz="0" w:space="0" w:color="auto"/>
              </w:divBdr>
            </w:div>
          </w:divsChild>
        </w:div>
        <w:div w:id="1878227559">
          <w:marLeft w:val="0"/>
          <w:marRight w:val="0"/>
          <w:marTop w:val="0"/>
          <w:marBottom w:val="0"/>
          <w:divBdr>
            <w:top w:val="none" w:sz="0" w:space="0" w:color="auto"/>
            <w:left w:val="none" w:sz="0" w:space="0" w:color="auto"/>
            <w:bottom w:val="none" w:sz="0" w:space="0" w:color="auto"/>
            <w:right w:val="none" w:sz="0" w:space="0" w:color="auto"/>
          </w:divBdr>
          <w:divsChild>
            <w:div w:id="1444181473">
              <w:marLeft w:val="0"/>
              <w:marRight w:val="0"/>
              <w:marTop w:val="0"/>
              <w:marBottom w:val="0"/>
              <w:divBdr>
                <w:top w:val="none" w:sz="0" w:space="0" w:color="auto"/>
                <w:left w:val="none" w:sz="0" w:space="0" w:color="auto"/>
                <w:bottom w:val="none" w:sz="0" w:space="0" w:color="auto"/>
                <w:right w:val="none" w:sz="0" w:space="0" w:color="auto"/>
              </w:divBdr>
            </w:div>
          </w:divsChild>
        </w:div>
        <w:div w:id="1863861134">
          <w:marLeft w:val="0"/>
          <w:marRight w:val="0"/>
          <w:marTop w:val="0"/>
          <w:marBottom w:val="0"/>
          <w:divBdr>
            <w:top w:val="none" w:sz="0" w:space="0" w:color="auto"/>
            <w:left w:val="none" w:sz="0" w:space="0" w:color="auto"/>
            <w:bottom w:val="none" w:sz="0" w:space="0" w:color="auto"/>
            <w:right w:val="none" w:sz="0" w:space="0" w:color="auto"/>
          </w:divBdr>
          <w:divsChild>
            <w:div w:id="1795756216">
              <w:marLeft w:val="0"/>
              <w:marRight w:val="0"/>
              <w:marTop w:val="0"/>
              <w:marBottom w:val="0"/>
              <w:divBdr>
                <w:top w:val="none" w:sz="0" w:space="0" w:color="auto"/>
                <w:left w:val="none" w:sz="0" w:space="0" w:color="auto"/>
                <w:bottom w:val="none" w:sz="0" w:space="0" w:color="auto"/>
                <w:right w:val="none" w:sz="0" w:space="0" w:color="auto"/>
              </w:divBdr>
            </w:div>
          </w:divsChild>
        </w:div>
        <w:div w:id="2026516854">
          <w:marLeft w:val="0"/>
          <w:marRight w:val="0"/>
          <w:marTop w:val="0"/>
          <w:marBottom w:val="0"/>
          <w:divBdr>
            <w:top w:val="none" w:sz="0" w:space="0" w:color="auto"/>
            <w:left w:val="none" w:sz="0" w:space="0" w:color="auto"/>
            <w:bottom w:val="none" w:sz="0" w:space="0" w:color="auto"/>
            <w:right w:val="none" w:sz="0" w:space="0" w:color="auto"/>
          </w:divBdr>
          <w:divsChild>
            <w:div w:id="757405190">
              <w:marLeft w:val="0"/>
              <w:marRight w:val="0"/>
              <w:marTop w:val="0"/>
              <w:marBottom w:val="0"/>
              <w:divBdr>
                <w:top w:val="none" w:sz="0" w:space="0" w:color="auto"/>
                <w:left w:val="none" w:sz="0" w:space="0" w:color="auto"/>
                <w:bottom w:val="none" w:sz="0" w:space="0" w:color="auto"/>
                <w:right w:val="none" w:sz="0" w:space="0" w:color="auto"/>
              </w:divBdr>
            </w:div>
          </w:divsChild>
        </w:div>
        <w:div w:id="1103037395">
          <w:marLeft w:val="0"/>
          <w:marRight w:val="0"/>
          <w:marTop w:val="0"/>
          <w:marBottom w:val="0"/>
          <w:divBdr>
            <w:top w:val="none" w:sz="0" w:space="0" w:color="auto"/>
            <w:left w:val="none" w:sz="0" w:space="0" w:color="auto"/>
            <w:bottom w:val="none" w:sz="0" w:space="0" w:color="auto"/>
            <w:right w:val="none" w:sz="0" w:space="0" w:color="auto"/>
          </w:divBdr>
          <w:divsChild>
            <w:div w:id="3921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574591">
      <w:bodyDiv w:val="1"/>
      <w:marLeft w:val="0"/>
      <w:marRight w:val="0"/>
      <w:marTop w:val="0"/>
      <w:marBottom w:val="0"/>
      <w:divBdr>
        <w:top w:val="none" w:sz="0" w:space="0" w:color="auto"/>
        <w:left w:val="none" w:sz="0" w:space="0" w:color="auto"/>
        <w:bottom w:val="none" w:sz="0" w:space="0" w:color="auto"/>
        <w:right w:val="none" w:sz="0" w:space="0" w:color="auto"/>
      </w:divBdr>
    </w:div>
    <w:div w:id="1019895476">
      <w:bodyDiv w:val="1"/>
      <w:marLeft w:val="0"/>
      <w:marRight w:val="0"/>
      <w:marTop w:val="0"/>
      <w:marBottom w:val="0"/>
      <w:divBdr>
        <w:top w:val="none" w:sz="0" w:space="0" w:color="auto"/>
        <w:left w:val="none" w:sz="0" w:space="0" w:color="auto"/>
        <w:bottom w:val="none" w:sz="0" w:space="0" w:color="auto"/>
        <w:right w:val="none" w:sz="0" w:space="0" w:color="auto"/>
      </w:divBdr>
    </w:div>
    <w:div w:id="1027365820">
      <w:bodyDiv w:val="1"/>
      <w:marLeft w:val="0"/>
      <w:marRight w:val="0"/>
      <w:marTop w:val="0"/>
      <w:marBottom w:val="0"/>
      <w:divBdr>
        <w:top w:val="none" w:sz="0" w:space="0" w:color="auto"/>
        <w:left w:val="none" w:sz="0" w:space="0" w:color="auto"/>
        <w:bottom w:val="none" w:sz="0" w:space="0" w:color="auto"/>
        <w:right w:val="none" w:sz="0" w:space="0" w:color="auto"/>
      </w:divBdr>
    </w:div>
    <w:div w:id="1040277376">
      <w:bodyDiv w:val="1"/>
      <w:marLeft w:val="0"/>
      <w:marRight w:val="0"/>
      <w:marTop w:val="0"/>
      <w:marBottom w:val="0"/>
      <w:divBdr>
        <w:top w:val="none" w:sz="0" w:space="0" w:color="auto"/>
        <w:left w:val="none" w:sz="0" w:space="0" w:color="auto"/>
        <w:bottom w:val="none" w:sz="0" w:space="0" w:color="auto"/>
        <w:right w:val="none" w:sz="0" w:space="0" w:color="auto"/>
      </w:divBdr>
      <w:divsChild>
        <w:div w:id="1287203805">
          <w:marLeft w:val="0"/>
          <w:marRight w:val="0"/>
          <w:marTop w:val="0"/>
          <w:marBottom w:val="0"/>
          <w:divBdr>
            <w:top w:val="none" w:sz="0" w:space="0" w:color="auto"/>
            <w:left w:val="none" w:sz="0" w:space="0" w:color="auto"/>
            <w:bottom w:val="none" w:sz="0" w:space="0" w:color="auto"/>
            <w:right w:val="none" w:sz="0" w:space="0" w:color="auto"/>
          </w:divBdr>
          <w:divsChild>
            <w:div w:id="2042779296">
              <w:marLeft w:val="0"/>
              <w:marRight w:val="0"/>
              <w:marTop w:val="0"/>
              <w:marBottom w:val="0"/>
              <w:divBdr>
                <w:top w:val="none" w:sz="0" w:space="0" w:color="auto"/>
                <w:left w:val="none" w:sz="0" w:space="0" w:color="auto"/>
                <w:bottom w:val="none" w:sz="0" w:space="0" w:color="auto"/>
                <w:right w:val="none" w:sz="0" w:space="0" w:color="auto"/>
              </w:divBdr>
            </w:div>
          </w:divsChild>
        </w:div>
        <w:div w:id="954478666">
          <w:marLeft w:val="0"/>
          <w:marRight w:val="0"/>
          <w:marTop w:val="0"/>
          <w:marBottom w:val="0"/>
          <w:divBdr>
            <w:top w:val="none" w:sz="0" w:space="0" w:color="auto"/>
            <w:left w:val="none" w:sz="0" w:space="0" w:color="auto"/>
            <w:bottom w:val="none" w:sz="0" w:space="0" w:color="auto"/>
            <w:right w:val="none" w:sz="0" w:space="0" w:color="auto"/>
          </w:divBdr>
          <w:divsChild>
            <w:div w:id="1498377318">
              <w:marLeft w:val="0"/>
              <w:marRight w:val="0"/>
              <w:marTop w:val="0"/>
              <w:marBottom w:val="0"/>
              <w:divBdr>
                <w:top w:val="none" w:sz="0" w:space="0" w:color="auto"/>
                <w:left w:val="none" w:sz="0" w:space="0" w:color="auto"/>
                <w:bottom w:val="none" w:sz="0" w:space="0" w:color="auto"/>
                <w:right w:val="none" w:sz="0" w:space="0" w:color="auto"/>
              </w:divBdr>
            </w:div>
          </w:divsChild>
        </w:div>
        <w:div w:id="1413041472">
          <w:marLeft w:val="0"/>
          <w:marRight w:val="0"/>
          <w:marTop w:val="0"/>
          <w:marBottom w:val="0"/>
          <w:divBdr>
            <w:top w:val="none" w:sz="0" w:space="0" w:color="auto"/>
            <w:left w:val="none" w:sz="0" w:space="0" w:color="auto"/>
            <w:bottom w:val="none" w:sz="0" w:space="0" w:color="auto"/>
            <w:right w:val="none" w:sz="0" w:space="0" w:color="auto"/>
          </w:divBdr>
          <w:divsChild>
            <w:div w:id="30843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628065">
      <w:bodyDiv w:val="1"/>
      <w:marLeft w:val="0"/>
      <w:marRight w:val="0"/>
      <w:marTop w:val="0"/>
      <w:marBottom w:val="0"/>
      <w:divBdr>
        <w:top w:val="none" w:sz="0" w:space="0" w:color="auto"/>
        <w:left w:val="none" w:sz="0" w:space="0" w:color="auto"/>
        <w:bottom w:val="none" w:sz="0" w:space="0" w:color="auto"/>
        <w:right w:val="none" w:sz="0" w:space="0" w:color="auto"/>
      </w:divBdr>
      <w:divsChild>
        <w:div w:id="1368142299">
          <w:marLeft w:val="0"/>
          <w:marRight w:val="0"/>
          <w:marTop w:val="0"/>
          <w:marBottom w:val="0"/>
          <w:divBdr>
            <w:top w:val="none" w:sz="0" w:space="0" w:color="auto"/>
            <w:left w:val="none" w:sz="0" w:space="0" w:color="auto"/>
            <w:bottom w:val="none" w:sz="0" w:space="0" w:color="auto"/>
            <w:right w:val="none" w:sz="0" w:space="0" w:color="auto"/>
          </w:divBdr>
        </w:div>
      </w:divsChild>
    </w:div>
    <w:div w:id="1088229333">
      <w:bodyDiv w:val="1"/>
      <w:marLeft w:val="0"/>
      <w:marRight w:val="0"/>
      <w:marTop w:val="0"/>
      <w:marBottom w:val="0"/>
      <w:divBdr>
        <w:top w:val="none" w:sz="0" w:space="0" w:color="auto"/>
        <w:left w:val="none" w:sz="0" w:space="0" w:color="auto"/>
        <w:bottom w:val="none" w:sz="0" w:space="0" w:color="auto"/>
        <w:right w:val="none" w:sz="0" w:space="0" w:color="auto"/>
      </w:divBdr>
    </w:div>
    <w:div w:id="1095788281">
      <w:bodyDiv w:val="1"/>
      <w:marLeft w:val="0"/>
      <w:marRight w:val="0"/>
      <w:marTop w:val="0"/>
      <w:marBottom w:val="0"/>
      <w:divBdr>
        <w:top w:val="none" w:sz="0" w:space="0" w:color="auto"/>
        <w:left w:val="none" w:sz="0" w:space="0" w:color="auto"/>
        <w:bottom w:val="none" w:sz="0" w:space="0" w:color="auto"/>
        <w:right w:val="none" w:sz="0" w:space="0" w:color="auto"/>
      </w:divBdr>
    </w:div>
    <w:div w:id="1096974178">
      <w:bodyDiv w:val="1"/>
      <w:marLeft w:val="0"/>
      <w:marRight w:val="0"/>
      <w:marTop w:val="0"/>
      <w:marBottom w:val="0"/>
      <w:divBdr>
        <w:top w:val="none" w:sz="0" w:space="0" w:color="auto"/>
        <w:left w:val="none" w:sz="0" w:space="0" w:color="auto"/>
        <w:bottom w:val="none" w:sz="0" w:space="0" w:color="auto"/>
        <w:right w:val="none" w:sz="0" w:space="0" w:color="auto"/>
      </w:divBdr>
    </w:div>
    <w:div w:id="1108234153">
      <w:bodyDiv w:val="1"/>
      <w:marLeft w:val="0"/>
      <w:marRight w:val="0"/>
      <w:marTop w:val="0"/>
      <w:marBottom w:val="0"/>
      <w:divBdr>
        <w:top w:val="none" w:sz="0" w:space="0" w:color="auto"/>
        <w:left w:val="none" w:sz="0" w:space="0" w:color="auto"/>
        <w:bottom w:val="none" w:sz="0" w:space="0" w:color="auto"/>
        <w:right w:val="none" w:sz="0" w:space="0" w:color="auto"/>
      </w:divBdr>
    </w:div>
    <w:div w:id="1131828725">
      <w:bodyDiv w:val="1"/>
      <w:marLeft w:val="0"/>
      <w:marRight w:val="0"/>
      <w:marTop w:val="0"/>
      <w:marBottom w:val="0"/>
      <w:divBdr>
        <w:top w:val="none" w:sz="0" w:space="0" w:color="auto"/>
        <w:left w:val="none" w:sz="0" w:space="0" w:color="auto"/>
        <w:bottom w:val="none" w:sz="0" w:space="0" w:color="auto"/>
        <w:right w:val="none" w:sz="0" w:space="0" w:color="auto"/>
      </w:divBdr>
    </w:div>
    <w:div w:id="1147087593">
      <w:bodyDiv w:val="1"/>
      <w:marLeft w:val="0"/>
      <w:marRight w:val="0"/>
      <w:marTop w:val="0"/>
      <w:marBottom w:val="0"/>
      <w:divBdr>
        <w:top w:val="none" w:sz="0" w:space="0" w:color="auto"/>
        <w:left w:val="none" w:sz="0" w:space="0" w:color="auto"/>
        <w:bottom w:val="none" w:sz="0" w:space="0" w:color="auto"/>
        <w:right w:val="none" w:sz="0" w:space="0" w:color="auto"/>
      </w:divBdr>
    </w:div>
    <w:div w:id="1150051651">
      <w:bodyDiv w:val="1"/>
      <w:marLeft w:val="0"/>
      <w:marRight w:val="0"/>
      <w:marTop w:val="0"/>
      <w:marBottom w:val="0"/>
      <w:divBdr>
        <w:top w:val="none" w:sz="0" w:space="0" w:color="auto"/>
        <w:left w:val="none" w:sz="0" w:space="0" w:color="auto"/>
        <w:bottom w:val="none" w:sz="0" w:space="0" w:color="auto"/>
        <w:right w:val="none" w:sz="0" w:space="0" w:color="auto"/>
      </w:divBdr>
    </w:div>
    <w:div w:id="1179588371">
      <w:bodyDiv w:val="1"/>
      <w:marLeft w:val="0"/>
      <w:marRight w:val="0"/>
      <w:marTop w:val="0"/>
      <w:marBottom w:val="0"/>
      <w:divBdr>
        <w:top w:val="none" w:sz="0" w:space="0" w:color="auto"/>
        <w:left w:val="none" w:sz="0" w:space="0" w:color="auto"/>
        <w:bottom w:val="none" w:sz="0" w:space="0" w:color="auto"/>
        <w:right w:val="none" w:sz="0" w:space="0" w:color="auto"/>
      </w:divBdr>
    </w:div>
    <w:div w:id="1185828467">
      <w:bodyDiv w:val="1"/>
      <w:marLeft w:val="0"/>
      <w:marRight w:val="0"/>
      <w:marTop w:val="0"/>
      <w:marBottom w:val="0"/>
      <w:divBdr>
        <w:top w:val="none" w:sz="0" w:space="0" w:color="auto"/>
        <w:left w:val="none" w:sz="0" w:space="0" w:color="auto"/>
        <w:bottom w:val="none" w:sz="0" w:space="0" w:color="auto"/>
        <w:right w:val="none" w:sz="0" w:space="0" w:color="auto"/>
      </w:divBdr>
    </w:div>
    <w:div w:id="1192373754">
      <w:bodyDiv w:val="1"/>
      <w:marLeft w:val="0"/>
      <w:marRight w:val="0"/>
      <w:marTop w:val="0"/>
      <w:marBottom w:val="0"/>
      <w:divBdr>
        <w:top w:val="none" w:sz="0" w:space="0" w:color="auto"/>
        <w:left w:val="none" w:sz="0" w:space="0" w:color="auto"/>
        <w:bottom w:val="none" w:sz="0" w:space="0" w:color="auto"/>
        <w:right w:val="none" w:sz="0" w:space="0" w:color="auto"/>
      </w:divBdr>
    </w:div>
    <w:div w:id="1221480361">
      <w:bodyDiv w:val="1"/>
      <w:marLeft w:val="0"/>
      <w:marRight w:val="0"/>
      <w:marTop w:val="0"/>
      <w:marBottom w:val="0"/>
      <w:divBdr>
        <w:top w:val="none" w:sz="0" w:space="0" w:color="auto"/>
        <w:left w:val="none" w:sz="0" w:space="0" w:color="auto"/>
        <w:bottom w:val="none" w:sz="0" w:space="0" w:color="auto"/>
        <w:right w:val="none" w:sz="0" w:space="0" w:color="auto"/>
      </w:divBdr>
    </w:div>
    <w:div w:id="1225028741">
      <w:bodyDiv w:val="1"/>
      <w:marLeft w:val="0"/>
      <w:marRight w:val="0"/>
      <w:marTop w:val="0"/>
      <w:marBottom w:val="0"/>
      <w:divBdr>
        <w:top w:val="none" w:sz="0" w:space="0" w:color="auto"/>
        <w:left w:val="none" w:sz="0" w:space="0" w:color="auto"/>
        <w:bottom w:val="none" w:sz="0" w:space="0" w:color="auto"/>
        <w:right w:val="none" w:sz="0" w:space="0" w:color="auto"/>
      </w:divBdr>
    </w:div>
    <w:div w:id="1262300803">
      <w:bodyDiv w:val="1"/>
      <w:marLeft w:val="0"/>
      <w:marRight w:val="0"/>
      <w:marTop w:val="0"/>
      <w:marBottom w:val="0"/>
      <w:divBdr>
        <w:top w:val="none" w:sz="0" w:space="0" w:color="auto"/>
        <w:left w:val="none" w:sz="0" w:space="0" w:color="auto"/>
        <w:bottom w:val="none" w:sz="0" w:space="0" w:color="auto"/>
        <w:right w:val="none" w:sz="0" w:space="0" w:color="auto"/>
      </w:divBdr>
    </w:div>
    <w:div w:id="1277449005">
      <w:bodyDiv w:val="1"/>
      <w:marLeft w:val="0"/>
      <w:marRight w:val="0"/>
      <w:marTop w:val="0"/>
      <w:marBottom w:val="0"/>
      <w:divBdr>
        <w:top w:val="none" w:sz="0" w:space="0" w:color="auto"/>
        <w:left w:val="none" w:sz="0" w:space="0" w:color="auto"/>
        <w:bottom w:val="none" w:sz="0" w:space="0" w:color="auto"/>
        <w:right w:val="none" w:sz="0" w:space="0" w:color="auto"/>
      </w:divBdr>
    </w:div>
    <w:div w:id="1316571249">
      <w:bodyDiv w:val="1"/>
      <w:marLeft w:val="0"/>
      <w:marRight w:val="0"/>
      <w:marTop w:val="0"/>
      <w:marBottom w:val="0"/>
      <w:divBdr>
        <w:top w:val="none" w:sz="0" w:space="0" w:color="auto"/>
        <w:left w:val="none" w:sz="0" w:space="0" w:color="auto"/>
        <w:bottom w:val="none" w:sz="0" w:space="0" w:color="auto"/>
        <w:right w:val="none" w:sz="0" w:space="0" w:color="auto"/>
      </w:divBdr>
    </w:div>
    <w:div w:id="1318150021">
      <w:bodyDiv w:val="1"/>
      <w:marLeft w:val="0"/>
      <w:marRight w:val="0"/>
      <w:marTop w:val="0"/>
      <w:marBottom w:val="0"/>
      <w:divBdr>
        <w:top w:val="none" w:sz="0" w:space="0" w:color="auto"/>
        <w:left w:val="none" w:sz="0" w:space="0" w:color="auto"/>
        <w:bottom w:val="none" w:sz="0" w:space="0" w:color="auto"/>
        <w:right w:val="none" w:sz="0" w:space="0" w:color="auto"/>
      </w:divBdr>
    </w:div>
    <w:div w:id="1320888417">
      <w:bodyDiv w:val="1"/>
      <w:marLeft w:val="0"/>
      <w:marRight w:val="0"/>
      <w:marTop w:val="0"/>
      <w:marBottom w:val="0"/>
      <w:divBdr>
        <w:top w:val="none" w:sz="0" w:space="0" w:color="auto"/>
        <w:left w:val="none" w:sz="0" w:space="0" w:color="auto"/>
        <w:bottom w:val="none" w:sz="0" w:space="0" w:color="auto"/>
        <w:right w:val="none" w:sz="0" w:space="0" w:color="auto"/>
      </w:divBdr>
    </w:div>
    <w:div w:id="1347635835">
      <w:bodyDiv w:val="1"/>
      <w:marLeft w:val="0"/>
      <w:marRight w:val="0"/>
      <w:marTop w:val="0"/>
      <w:marBottom w:val="0"/>
      <w:divBdr>
        <w:top w:val="none" w:sz="0" w:space="0" w:color="auto"/>
        <w:left w:val="none" w:sz="0" w:space="0" w:color="auto"/>
        <w:bottom w:val="none" w:sz="0" w:space="0" w:color="auto"/>
        <w:right w:val="none" w:sz="0" w:space="0" w:color="auto"/>
      </w:divBdr>
      <w:divsChild>
        <w:div w:id="2034304843">
          <w:marLeft w:val="0"/>
          <w:marRight w:val="0"/>
          <w:marTop w:val="0"/>
          <w:marBottom w:val="0"/>
          <w:divBdr>
            <w:top w:val="none" w:sz="0" w:space="0" w:color="auto"/>
            <w:left w:val="none" w:sz="0" w:space="0" w:color="auto"/>
            <w:bottom w:val="none" w:sz="0" w:space="0" w:color="auto"/>
            <w:right w:val="none" w:sz="0" w:space="0" w:color="auto"/>
          </w:divBdr>
        </w:div>
      </w:divsChild>
    </w:div>
    <w:div w:id="1368798495">
      <w:bodyDiv w:val="1"/>
      <w:marLeft w:val="0"/>
      <w:marRight w:val="0"/>
      <w:marTop w:val="0"/>
      <w:marBottom w:val="0"/>
      <w:divBdr>
        <w:top w:val="none" w:sz="0" w:space="0" w:color="auto"/>
        <w:left w:val="none" w:sz="0" w:space="0" w:color="auto"/>
        <w:bottom w:val="none" w:sz="0" w:space="0" w:color="auto"/>
        <w:right w:val="none" w:sz="0" w:space="0" w:color="auto"/>
      </w:divBdr>
    </w:div>
    <w:div w:id="1399087377">
      <w:bodyDiv w:val="1"/>
      <w:marLeft w:val="0"/>
      <w:marRight w:val="0"/>
      <w:marTop w:val="0"/>
      <w:marBottom w:val="0"/>
      <w:divBdr>
        <w:top w:val="none" w:sz="0" w:space="0" w:color="auto"/>
        <w:left w:val="none" w:sz="0" w:space="0" w:color="auto"/>
        <w:bottom w:val="none" w:sz="0" w:space="0" w:color="auto"/>
        <w:right w:val="none" w:sz="0" w:space="0" w:color="auto"/>
      </w:divBdr>
    </w:div>
    <w:div w:id="1445660768">
      <w:bodyDiv w:val="1"/>
      <w:marLeft w:val="0"/>
      <w:marRight w:val="0"/>
      <w:marTop w:val="0"/>
      <w:marBottom w:val="0"/>
      <w:divBdr>
        <w:top w:val="none" w:sz="0" w:space="0" w:color="auto"/>
        <w:left w:val="none" w:sz="0" w:space="0" w:color="auto"/>
        <w:bottom w:val="none" w:sz="0" w:space="0" w:color="auto"/>
        <w:right w:val="none" w:sz="0" w:space="0" w:color="auto"/>
      </w:divBdr>
      <w:divsChild>
        <w:div w:id="1410038721">
          <w:marLeft w:val="0"/>
          <w:marRight w:val="0"/>
          <w:marTop w:val="0"/>
          <w:marBottom w:val="0"/>
          <w:divBdr>
            <w:top w:val="none" w:sz="0" w:space="0" w:color="auto"/>
            <w:left w:val="none" w:sz="0" w:space="0" w:color="auto"/>
            <w:bottom w:val="none" w:sz="0" w:space="0" w:color="auto"/>
            <w:right w:val="none" w:sz="0" w:space="0" w:color="auto"/>
          </w:divBdr>
        </w:div>
      </w:divsChild>
    </w:div>
    <w:div w:id="1448162263">
      <w:bodyDiv w:val="1"/>
      <w:marLeft w:val="0"/>
      <w:marRight w:val="0"/>
      <w:marTop w:val="0"/>
      <w:marBottom w:val="0"/>
      <w:divBdr>
        <w:top w:val="none" w:sz="0" w:space="0" w:color="auto"/>
        <w:left w:val="none" w:sz="0" w:space="0" w:color="auto"/>
        <w:bottom w:val="none" w:sz="0" w:space="0" w:color="auto"/>
        <w:right w:val="none" w:sz="0" w:space="0" w:color="auto"/>
      </w:divBdr>
    </w:div>
    <w:div w:id="1523786457">
      <w:bodyDiv w:val="1"/>
      <w:marLeft w:val="0"/>
      <w:marRight w:val="0"/>
      <w:marTop w:val="0"/>
      <w:marBottom w:val="0"/>
      <w:divBdr>
        <w:top w:val="none" w:sz="0" w:space="0" w:color="auto"/>
        <w:left w:val="none" w:sz="0" w:space="0" w:color="auto"/>
        <w:bottom w:val="none" w:sz="0" w:space="0" w:color="auto"/>
        <w:right w:val="none" w:sz="0" w:space="0" w:color="auto"/>
      </w:divBdr>
    </w:div>
    <w:div w:id="1536653691">
      <w:bodyDiv w:val="1"/>
      <w:marLeft w:val="0"/>
      <w:marRight w:val="0"/>
      <w:marTop w:val="0"/>
      <w:marBottom w:val="0"/>
      <w:divBdr>
        <w:top w:val="none" w:sz="0" w:space="0" w:color="auto"/>
        <w:left w:val="none" w:sz="0" w:space="0" w:color="auto"/>
        <w:bottom w:val="none" w:sz="0" w:space="0" w:color="auto"/>
        <w:right w:val="none" w:sz="0" w:space="0" w:color="auto"/>
      </w:divBdr>
    </w:div>
    <w:div w:id="1542746168">
      <w:bodyDiv w:val="1"/>
      <w:marLeft w:val="0"/>
      <w:marRight w:val="0"/>
      <w:marTop w:val="0"/>
      <w:marBottom w:val="0"/>
      <w:divBdr>
        <w:top w:val="none" w:sz="0" w:space="0" w:color="auto"/>
        <w:left w:val="none" w:sz="0" w:space="0" w:color="auto"/>
        <w:bottom w:val="none" w:sz="0" w:space="0" w:color="auto"/>
        <w:right w:val="none" w:sz="0" w:space="0" w:color="auto"/>
      </w:divBdr>
    </w:div>
    <w:div w:id="1546327564">
      <w:bodyDiv w:val="1"/>
      <w:marLeft w:val="0"/>
      <w:marRight w:val="0"/>
      <w:marTop w:val="0"/>
      <w:marBottom w:val="0"/>
      <w:divBdr>
        <w:top w:val="none" w:sz="0" w:space="0" w:color="auto"/>
        <w:left w:val="none" w:sz="0" w:space="0" w:color="auto"/>
        <w:bottom w:val="none" w:sz="0" w:space="0" w:color="auto"/>
        <w:right w:val="none" w:sz="0" w:space="0" w:color="auto"/>
      </w:divBdr>
    </w:div>
    <w:div w:id="1587496013">
      <w:bodyDiv w:val="1"/>
      <w:marLeft w:val="0"/>
      <w:marRight w:val="0"/>
      <w:marTop w:val="0"/>
      <w:marBottom w:val="0"/>
      <w:divBdr>
        <w:top w:val="none" w:sz="0" w:space="0" w:color="auto"/>
        <w:left w:val="none" w:sz="0" w:space="0" w:color="auto"/>
        <w:bottom w:val="none" w:sz="0" w:space="0" w:color="auto"/>
        <w:right w:val="none" w:sz="0" w:space="0" w:color="auto"/>
      </w:divBdr>
    </w:div>
    <w:div w:id="1589734545">
      <w:bodyDiv w:val="1"/>
      <w:marLeft w:val="0"/>
      <w:marRight w:val="0"/>
      <w:marTop w:val="0"/>
      <w:marBottom w:val="0"/>
      <w:divBdr>
        <w:top w:val="none" w:sz="0" w:space="0" w:color="auto"/>
        <w:left w:val="none" w:sz="0" w:space="0" w:color="auto"/>
        <w:bottom w:val="none" w:sz="0" w:space="0" w:color="auto"/>
        <w:right w:val="none" w:sz="0" w:space="0" w:color="auto"/>
      </w:divBdr>
      <w:divsChild>
        <w:div w:id="1479765939">
          <w:marLeft w:val="0"/>
          <w:marRight w:val="0"/>
          <w:marTop w:val="0"/>
          <w:marBottom w:val="0"/>
          <w:divBdr>
            <w:top w:val="none" w:sz="0" w:space="0" w:color="auto"/>
            <w:left w:val="none" w:sz="0" w:space="0" w:color="auto"/>
            <w:bottom w:val="none" w:sz="0" w:space="0" w:color="auto"/>
            <w:right w:val="none" w:sz="0" w:space="0" w:color="auto"/>
          </w:divBdr>
        </w:div>
      </w:divsChild>
    </w:div>
    <w:div w:id="1596404168">
      <w:bodyDiv w:val="1"/>
      <w:marLeft w:val="0"/>
      <w:marRight w:val="0"/>
      <w:marTop w:val="0"/>
      <w:marBottom w:val="0"/>
      <w:divBdr>
        <w:top w:val="none" w:sz="0" w:space="0" w:color="auto"/>
        <w:left w:val="none" w:sz="0" w:space="0" w:color="auto"/>
        <w:bottom w:val="none" w:sz="0" w:space="0" w:color="auto"/>
        <w:right w:val="none" w:sz="0" w:space="0" w:color="auto"/>
      </w:divBdr>
    </w:div>
    <w:div w:id="1613781896">
      <w:bodyDiv w:val="1"/>
      <w:marLeft w:val="0"/>
      <w:marRight w:val="0"/>
      <w:marTop w:val="0"/>
      <w:marBottom w:val="0"/>
      <w:divBdr>
        <w:top w:val="none" w:sz="0" w:space="0" w:color="auto"/>
        <w:left w:val="none" w:sz="0" w:space="0" w:color="auto"/>
        <w:bottom w:val="none" w:sz="0" w:space="0" w:color="auto"/>
        <w:right w:val="none" w:sz="0" w:space="0" w:color="auto"/>
      </w:divBdr>
    </w:div>
    <w:div w:id="1639608878">
      <w:bodyDiv w:val="1"/>
      <w:marLeft w:val="0"/>
      <w:marRight w:val="0"/>
      <w:marTop w:val="0"/>
      <w:marBottom w:val="0"/>
      <w:divBdr>
        <w:top w:val="none" w:sz="0" w:space="0" w:color="auto"/>
        <w:left w:val="none" w:sz="0" w:space="0" w:color="auto"/>
        <w:bottom w:val="none" w:sz="0" w:space="0" w:color="auto"/>
        <w:right w:val="none" w:sz="0" w:space="0" w:color="auto"/>
      </w:divBdr>
    </w:div>
    <w:div w:id="1641039332">
      <w:bodyDiv w:val="1"/>
      <w:marLeft w:val="0"/>
      <w:marRight w:val="0"/>
      <w:marTop w:val="0"/>
      <w:marBottom w:val="0"/>
      <w:divBdr>
        <w:top w:val="none" w:sz="0" w:space="0" w:color="auto"/>
        <w:left w:val="none" w:sz="0" w:space="0" w:color="auto"/>
        <w:bottom w:val="none" w:sz="0" w:space="0" w:color="auto"/>
        <w:right w:val="none" w:sz="0" w:space="0" w:color="auto"/>
      </w:divBdr>
    </w:div>
    <w:div w:id="1653555851">
      <w:bodyDiv w:val="1"/>
      <w:marLeft w:val="0"/>
      <w:marRight w:val="0"/>
      <w:marTop w:val="0"/>
      <w:marBottom w:val="0"/>
      <w:divBdr>
        <w:top w:val="none" w:sz="0" w:space="0" w:color="auto"/>
        <w:left w:val="none" w:sz="0" w:space="0" w:color="auto"/>
        <w:bottom w:val="none" w:sz="0" w:space="0" w:color="auto"/>
        <w:right w:val="none" w:sz="0" w:space="0" w:color="auto"/>
      </w:divBdr>
    </w:div>
    <w:div w:id="1665933453">
      <w:bodyDiv w:val="1"/>
      <w:marLeft w:val="0"/>
      <w:marRight w:val="0"/>
      <w:marTop w:val="0"/>
      <w:marBottom w:val="0"/>
      <w:divBdr>
        <w:top w:val="none" w:sz="0" w:space="0" w:color="auto"/>
        <w:left w:val="none" w:sz="0" w:space="0" w:color="auto"/>
        <w:bottom w:val="none" w:sz="0" w:space="0" w:color="auto"/>
        <w:right w:val="none" w:sz="0" w:space="0" w:color="auto"/>
      </w:divBdr>
    </w:div>
    <w:div w:id="1683239369">
      <w:bodyDiv w:val="1"/>
      <w:marLeft w:val="0"/>
      <w:marRight w:val="0"/>
      <w:marTop w:val="0"/>
      <w:marBottom w:val="0"/>
      <w:divBdr>
        <w:top w:val="none" w:sz="0" w:space="0" w:color="auto"/>
        <w:left w:val="none" w:sz="0" w:space="0" w:color="auto"/>
        <w:bottom w:val="none" w:sz="0" w:space="0" w:color="auto"/>
        <w:right w:val="none" w:sz="0" w:space="0" w:color="auto"/>
      </w:divBdr>
      <w:divsChild>
        <w:div w:id="2102681709">
          <w:marLeft w:val="0"/>
          <w:marRight w:val="0"/>
          <w:marTop w:val="0"/>
          <w:marBottom w:val="0"/>
          <w:divBdr>
            <w:top w:val="none" w:sz="0" w:space="0" w:color="auto"/>
            <w:left w:val="none" w:sz="0" w:space="0" w:color="auto"/>
            <w:bottom w:val="none" w:sz="0" w:space="0" w:color="auto"/>
            <w:right w:val="none" w:sz="0" w:space="0" w:color="auto"/>
          </w:divBdr>
        </w:div>
      </w:divsChild>
    </w:div>
    <w:div w:id="1693023294">
      <w:bodyDiv w:val="1"/>
      <w:marLeft w:val="0"/>
      <w:marRight w:val="0"/>
      <w:marTop w:val="0"/>
      <w:marBottom w:val="0"/>
      <w:divBdr>
        <w:top w:val="none" w:sz="0" w:space="0" w:color="auto"/>
        <w:left w:val="none" w:sz="0" w:space="0" w:color="auto"/>
        <w:bottom w:val="none" w:sz="0" w:space="0" w:color="auto"/>
        <w:right w:val="none" w:sz="0" w:space="0" w:color="auto"/>
      </w:divBdr>
    </w:div>
    <w:div w:id="1700859220">
      <w:bodyDiv w:val="1"/>
      <w:marLeft w:val="0"/>
      <w:marRight w:val="0"/>
      <w:marTop w:val="0"/>
      <w:marBottom w:val="0"/>
      <w:divBdr>
        <w:top w:val="none" w:sz="0" w:space="0" w:color="auto"/>
        <w:left w:val="none" w:sz="0" w:space="0" w:color="auto"/>
        <w:bottom w:val="none" w:sz="0" w:space="0" w:color="auto"/>
        <w:right w:val="none" w:sz="0" w:space="0" w:color="auto"/>
      </w:divBdr>
    </w:div>
    <w:div w:id="1711152845">
      <w:bodyDiv w:val="1"/>
      <w:marLeft w:val="0"/>
      <w:marRight w:val="0"/>
      <w:marTop w:val="0"/>
      <w:marBottom w:val="0"/>
      <w:divBdr>
        <w:top w:val="none" w:sz="0" w:space="0" w:color="auto"/>
        <w:left w:val="none" w:sz="0" w:space="0" w:color="auto"/>
        <w:bottom w:val="none" w:sz="0" w:space="0" w:color="auto"/>
        <w:right w:val="none" w:sz="0" w:space="0" w:color="auto"/>
      </w:divBdr>
    </w:div>
    <w:div w:id="1736049565">
      <w:bodyDiv w:val="1"/>
      <w:marLeft w:val="0"/>
      <w:marRight w:val="0"/>
      <w:marTop w:val="0"/>
      <w:marBottom w:val="0"/>
      <w:divBdr>
        <w:top w:val="none" w:sz="0" w:space="0" w:color="auto"/>
        <w:left w:val="none" w:sz="0" w:space="0" w:color="auto"/>
        <w:bottom w:val="none" w:sz="0" w:space="0" w:color="auto"/>
        <w:right w:val="none" w:sz="0" w:space="0" w:color="auto"/>
      </w:divBdr>
    </w:div>
    <w:div w:id="1782995589">
      <w:bodyDiv w:val="1"/>
      <w:marLeft w:val="0"/>
      <w:marRight w:val="0"/>
      <w:marTop w:val="0"/>
      <w:marBottom w:val="0"/>
      <w:divBdr>
        <w:top w:val="none" w:sz="0" w:space="0" w:color="auto"/>
        <w:left w:val="none" w:sz="0" w:space="0" w:color="auto"/>
        <w:bottom w:val="none" w:sz="0" w:space="0" w:color="auto"/>
        <w:right w:val="none" w:sz="0" w:space="0" w:color="auto"/>
      </w:divBdr>
    </w:div>
    <w:div w:id="1795369289">
      <w:bodyDiv w:val="1"/>
      <w:marLeft w:val="0"/>
      <w:marRight w:val="0"/>
      <w:marTop w:val="0"/>
      <w:marBottom w:val="0"/>
      <w:divBdr>
        <w:top w:val="none" w:sz="0" w:space="0" w:color="auto"/>
        <w:left w:val="none" w:sz="0" w:space="0" w:color="auto"/>
        <w:bottom w:val="none" w:sz="0" w:space="0" w:color="auto"/>
        <w:right w:val="none" w:sz="0" w:space="0" w:color="auto"/>
      </w:divBdr>
    </w:div>
    <w:div w:id="1822887034">
      <w:bodyDiv w:val="1"/>
      <w:marLeft w:val="0"/>
      <w:marRight w:val="0"/>
      <w:marTop w:val="0"/>
      <w:marBottom w:val="0"/>
      <w:divBdr>
        <w:top w:val="none" w:sz="0" w:space="0" w:color="auto"/>
        <w:left w:val="none" w:sz="0" w:space="0" w:color="auto"/>
        <w:bottom w:val="none" w:sz="0" w:space="0" w:color="auto"/>
        <w:right w:val="none" w:sz="0" w:space="0" w:color="auto"/>
      </w:divBdr>
    </w:div>
    <w:div w:id="1836261365">
      <w:bodyDiv w:val="1"/>
      <w:marLeft w:val="0"/>
      <w:marRight w:val="0"/>
      <w:marTop w:val="0"/>
      <w:marBottom w:val="0"/>
      <w:divBdr>
        <w:top w:val="none" w:sz="0" w:space="0" w:color="auto"/>
        <w:left w:val="none" w:sz="0" w:space="0" w:color="auto"/>
        <w:bottom w:val="none" w:sz="0" w:space="0" w:color="auto"/>
        <w:right w:val="none" w:sz="0" w:space="0" w:color="auto"/>
      </w:divBdr>
    </w:div>
    <w:div w:id="1848323366">
      <w:bodyDiv w:val="1"/>
      <w:marLeft w:val="0"/>
      <w:marRight w:val="0"/>
      <w:marTop w:val="0"/>
      <w:marBottom w:val="0"/>
      <w:divBdr>
        <w:top w:val="none" w:sz="0" w:space="0" w:color="auto"/>
        <w:left w:val="none" w:sz="0" w:space="0" w:color="auto"/>
        <w:bottom w:val="none" w:sz="0" w:space="0" w:color="auto"/>
        <w:right w:val="none" w:sz="0" w:space="0" w:color="auto"/>
      </w:divBdr>
    </w:div>
    <w:div w:id="1876035620">
      <w:bodyDiv w:val="1"/>
      <w:marLeft w:val="0"/>
      <w:marRight w:val="0"/>
      <w:marTop w:val="0"/>
      <w:marBottom w:val="0"/>
      <w:divBdr>
        <w:top w:val="none" w:sz="0" w:space="0" w:color="auto"/>
        <w:left w:val="none" w:sz="0" w:space="0" w:color="auto"/>
        <w:bottom w:val="none" w:sz="0" w:space="0" w:color="auto"/>
        <w:right w:val="none" w:sz="0" w:space="0" w:color="auto"/>
      </w:divBdr>
      <w:divsChild>
        <w:div w:id="1389838070">
          <w:marLeft w:val="0"/>
          <w:marRight w:val="0"/>
          <w:marTop w:val="0"/>
          <w:marBottom w:val="0"/>
          <w:divBdr>
            <w:top w:val="none" w:sz="0" w:space="0" w:color="auto"/>
            <w:left w:val="none" w:sz="0" w:space="0" w:color="auto"/>
            <w:bottom w:val="none" w:sz="0" w:space="0" w:color="auto"/>
            <w:right w:val="none" w:sz="0" w:space="0" w:color="auto"/>
          </w:divBdr>
        </w:div>
      </w:divsChild>
    </w:div>
    <w:div w:id="1886061098">
      <w:bodyDiv w:val="1"/>
      <w:marLeft w:val="0"/>
      <w:marRight w:val="0"/>
      <w:marTop w:val="0"/>
      <w:marBottom w:val="0"/>
      <w:divBdr>
        <w:top w:val="none" w:sz="0" w:space="0" w:color="auto"/>
        <w:left w:val="none" w:sz="0" w:space="0" w:color="auto"/>
        <w:bottom w:val="none" w:sz="0" w:space="0" w:color="auto"/>
        <w:right w:val="none" w:sz="0" w:space="0" w:color="auto"/>
      </w:divBdr>
      <w:divsChild>
        <w:div w:id="538250587">
          <w:marLeft w:val="0"/>
          <w:marRight w:val="0"/>
          <w:marTop w:val="0"/>
          <w:marBottom w:val="0"/>
          <w:divBdr>
            <w:top w:val="none" w:sz="0" w:space="0" w:color="auto"/>
            <w:left w:val="none" w:sz="0" w:space="0" w:color="auto"/>
            <w:bottom w:val="none" w:sz="0" w:space="0" w:color="auto"/>
            <w:right w:val="none" w:sz="0" w:space="0" w:color="auto"/>
          </w:divBdr>
        </w:div>
      </w:divsChild>
    </w:div>
    <w:div w:id="1897930826">
      <w:bodyDiv w:val="1"/>
      <w:marLeft w:val="0"/>
      <w:marRight w:val="0"/>
      <w:marTop w:val="0"/>
      <w:marBottom w:val="0"/>
      <w:divBdr>
        <w:top w:val="none" w:sz="0" w:space="0" w:color="auto"/>
        <w:left w:val="none" w:sz="0" w:space="0" w:color="auto"/>
        <w:bottom w:val="none" w:sz="0" w:space="0" w:color="auto"/>
        <w:right w:val="none" w:sz="0" w:space="0" w:color="auto"/>
      </w:divBdr>
    </w:div>
    <w:div w:id="1900283513">
      <w:bodyDiv w:val="1"/>
      <w:marLeft w:val="0"/>
      <w:marRight w:val="0"/>
      <w:marTop w:val="0"/>
      <w:marBottom w:val="0"/>
      <w:divBdr>
        <w:top w:val="none" w:sz="0" w:space="0" w:color="auto"/>
        <w:left w:val="none" w:sz="0" w:space="0" w:color="auto"/>
        <w:bottom w:val="none" w:sz="0" w:space="0" w:color="auto"/>
        <w:right w:val="none" w:sz="0" w:space="0" w:color="auto"/>
      </w:divBdr>
    </w:div>
    <w:div w:id="1902399499">
      <w:bodyDiv w:val="1"/>
      <w:marLeft w:val="0"/>
      <w:marRight w:val="0"/>
      <w:marTop w:val="0"/>
      <w:marBottom w:val="0"/>
      <w:divBdr>
        <w:top w:val="none" w:sz="0" w:space="0" w:color="auto"/>
        <w:left w:val="none" w:sz="0" w:space="0" w:color="auto"/>
        <w:bottom w:val="none" w:sz="0" w:space="0" w:color="auto"/>
        <w:right w:val="none" w:sz="0" w:space="0" w:color="auto"/>
      </w:divBdr>
    </w:div>
    <w:div w:id="1911890662">
      <w:bodyDiv w:val="1"/>
      <w:marLeft w:val="0"/>
      <w:marRight w:val="0"/>
      <w:marTop w:val="0"/>
      <w:marBottom w:val="0"/>
      <w:divBdr>
        <w:top w:val="none" w:sz="0" w:space="0" w:color="auto"/>
        <w:left w:val="none" w:sz="0" w:space="0" w:color="auto"/>
        <w:bottom w:val="none" w:sz="0" w:space="0" w:color="auto"/>
        <w:right w:val="none" w:sz="0" w:space="0" w:color="auto"/>
      </w:divBdr>
    </w:div>
    <w:div w:id="1913543153">
      <w:bodyDiv w:val="1"/>
      <w:marLeft w:val="0"/>
      <w:marRight w:val="0"/>
      <w:marTop w:val="0"/>
      <w:marBottom w:val="0"/>
      <w:divBdr>
        <w:top w:val="none" w:sz="0" w:space="0" w:color="auto"/>
        <w:left w:val="none" w:sz="0" w:space="0" w:color="auto"/>
        <w:bottom w:val="none" w:sz="0" w:space="0" w:color="auto"/>
        <w:right w:val="none" w:sz="0" w:space="0" w:color="auto"/>
      </w:divBdr>
    </w:div>
    <w:div w:id="1916890694">
      <w:bodyDiv w:val="1"/>
      <w:marLeft w:val="0"/>
      <w:marRight w:val="0"/>
      <w:marTop w:val="0"/>
      <w:marBottom w:val="0"/>
      <w:divBdr>
        <w:top w:val="none" w:sz="0" w:space="0" w:color="auto"/>
        <w:left w:val="none" w:sz="0" w:space="0" w:color="auto"/>
        <w:bottom w:val="none" w:sz="0" w:space="0" w:color="auto"/>
        <w:right w:val="none" w:sz="0" w:space="0" w:color="auto"/>
      </w:divBdr>
    </w:div>
    <w:div w:id="1931543644">
      <w:bodyDiv w:val="1"/>
      <w:marLeft w:val="0"/>
      <w:marRight w:val="0"/>
      <w:marTop w:val="0"/>
      <w:marBottom w:val="0"/>
      <w:divBdr>
        <w:top w:val="none" w:sz="0" w:space="0" w:color="auto"/>
        <w:left w:val="none" w:sz="0" w:space="0" w:color="auto"/>
        <w:bottom w:val="none" w:sz="0" w:space="0" w:color="auto"/>
        <w:right w:val="none" w:sz="0" w:space="0" w:color="auto"/>
      </w:divBdr>
    </w:div>
    <w:div w:id="1933126432">
      <w:bodyDiv w:val="1"/>
      <w:marLeft w:val="0"/>
      <w:marRight w:val="0"/>
      <w:marTop w:val="0"/>
      <w:marBottom w:val="0"/>
      <w:divBdr>
        <w:top w:val="none" w:sz="0" w:space="0" w:color="auto"/>
        <w:left w:val="none" w:sz="0" w:space="0" w:color="auto"/>
        <w:bottom w:val="none" w:sz="0" w:space="0" w:color="auto"/>
        <w:right w:val="none" w:sz="0" w:space="0" w:color="auto"/>
      </w:divBdr>
    </w:div>
    <w:div w:id="1993826716">
      <w:bodyDiv w:val="1"/>
      <w:marLeft w:val="0"/>
      <w:marRight w:val="0"/>
      <w:marTop w:val="0"/>
      <w:marBottom w:val="0"/>
      <w:divBdr>
        <w:top w:val="none" w:sz="0" w:space="0" w:color="auto"/>
        <w:left w:val="none" w:sz="0" w:space="0" w:color="auto"/>
        <w:bottom w:val="none" w:sz="0" w:space="0" w:color="auto"/>
        <w:right w:val="none" w:sz="0" w:space="0" w:color="auto"/>
      </w:divBdr>
    </w:div>
    <w:div w:id="2023511499">
      <w:bodyDiv w:val="1"/>
      <w:marLeft w:val="0"/>
      <w:marRight w:val="0"/>
      <w:marTop w:val="0"/>
      <w:marBottom w:val="0"/>
      <w:divBdr>
        <w:top w:val="none" w:sz="0" w:space="0" w:color="auto"/>
        <w:left w:val="none" w:sz="0" w:space="0" w:color="auto"/>
        <w:bottom w:val="none" w:sz="0" w:space="0" w:color="auto"/>
        <w:right w:val="none" w:sz="0" w:space="0" w:color="auto"/>
      </w:divBdr>
    </w:div>
    <w:div w:id="2023703286">
      <w:bodyDiv w:val="1"/>
      <w:marLeft w:val="0"/>
      <w:marRight w:val="0"/>
      <w:marTop w:val="0"/>
      <w:marBottom w:val="0"/>
      <w:divBdr>
        <w:top w:val="none" w:sz="0" w:space="0" w:color="auto"/>
        <w:left w:val="none" w:sz="0" w:space="0" w:color="auto"/>
        <w:bottom w:val="none" w:sz="0" w:space="0" w:color="auto"/>
        <w:right w:val="none" w:sz="0" w:space="0" w:color="auto"/>
      </w:divBdr>
      <w:divsChild>
        <w:div w:id="378169475">
          <w:marLeft w:val="0"/>
          <w:marRight w:val="0"/>
          <w:marTop w:val="0"/>
          <w:marBottom w:val="0"/>
          <w:divBdr>
            <w:top w:val="none" w:sz="0" w:space="0" w:color="auto"/>
            <w:left w:val="none" w:sz="0" w:space="0" w:color="auto"/>
            <w:bottom w:val="none" w:sz="0" w:space="0" w:color="auto"/>
            <w:right w:val="none" w:sz="0" w:space="0" w:color="auto"/>
          </w:divBdr>
          <w:divsChild>
            <w:div w:id="1173764911">
              <w:marLeft w:val="0"/>
              <w:marRight w:val="0"/>
              <w:marTop w:val="0"/>
              <w:marBottom w:val="0"/>
              <w:divBdr>
                <w:top w:val="none" w:sz="0" w:space="0" w:color="auto"/>
                <w:left w:val="none" w:sz="0" w:space="0" w:color="auto"/>
                <w:bottom w:val="none" w:sz="0" w:space="0" w:color="auto"/>
                <w:right w:val="none" w:sz="0" w:space="0" w:color="auto"/>
              </w:divBdr>
            </w:div>
          </w:divsChild>
        </w:div>
        <w:div w:id="799343112">
          <w:marLeft w:val="0"/>
          <w:marRight w:val="0"/>
          <w:marTop w:val="0"/>
          <w:marBottom w:val="0"/>
          <w:divBdr>
            <w:top w:val="none" w:sz="0" w:space="0" w:color="auto"/>
            <w:left w:val="none" w:sz="0" w:space="0" w:color="auto"/>
            <w:bottom w:val="none" w:sz="0" w:space="0" w:color="auto"/>
            <w:right w:val="none" w:sz="0" w:space="0" w:color="auto"/>
          </w:divBdr>
          <w:divsChild>
            <w:div w:id="35331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434806">
      <w:bodyDiv w:val="1"/>
      <w:marLeft w:val="0"/>
      <w:marRight w:val="0"/>
      <w:marTop w:val="0"/>
      <w:marBottom w:val="0"/>
      <w:divBdr>
        <w:top w:val="none" w:sz="0" w:space="0" w:color="auto"/>
        <w:left w:val="none" w:sz="0" w:space="0" w:color="auto"/>
        <w:bottom w:val="none" w:sz="0" w:space="0" w:color="auto"/>
        <w:right w:val="none" w:sz="0" w:space="0" w:color="auto"/>
      </w:divBdr>
    </w:div>
    <w:div w:id="2044018185">
      <w:bodyDiv w:val="1"/>
      <w:marLeft w:val="0"/>
      <w:marRight w:val="0"/>
      <w:marTop w:val="0"/>
      <w:marBottom w:val="0"/>
      <w:divBdr>
        <w:top w:val="none" w:sz="0" w:space="0" w:color="auto"/>
        <w:left w:val="none" w:sz="0" w:space="0" w:color="auto"/>
        <w:bottom w:val="none" w:sz="0" w:space="0" w:color="auto"/>
        <w:right w:val="none" w:sz="0" w:space="0" w:color="auto"/>
      </w:divBdr>
    </w:div>
    <w:div w:id="2048527292">
      <w:bodyDiv w:val="1"/>
      <w:marLeft w:val="0"/>
      <w:marRight w:val="0"/>
      <w:marTop w:val="0"/>
      <w:marBottom w:val="0"/>
      <w:divBdr>
        <w:top w:val="none" w:sz="0" w:space="0" w:color="auto"/>
        <w:left w:val="none" w:sz="0" w:space="0" w:color="auto"/>
        <w:bottom w:val="none" w:sz="0" w:space="0" w:color="auto"/>
        <w:right w:val="none" w:sz="0" w:space="0" w:color="auto"/>
      </w:divBdr>
    </w:div>
    <w:div w:id="2051685120">
      <w:bodyDiv w:val="1"/>
      <w:marLeft w:val="0"/>
      <w:marRight w:val="0"/>
      <w:marTop w:val="0"/>
      <w:marBottom w:val="0"/>
      <w:divBdr>
        <w:top w:val="none" w:sz="0" w:space="0" w:color="auto"/>
        <w:left w:val="none" w:sz="0" w:space="0" w:color="auto"/>
        <w:bottom w:val="none" w:sz="0" w:space="0" w:color="auto"/>
        <w:right w:val="none" w:sz="0" w:space="0" w:color="auto"/>
      </w:divBdr>
    </w:div>
    <w:div w:id="2055349440">
      <w:bodyDiv w:val="1"/>
      <w:marLeft w:val="0"/>
      <w:marRight w:val="0"/>
      <w:marTop w:val="0"/>
      <w:marBottom w:val="0"/>
      <w:divBdr>
        <w:top w:val="none" w:sz="0" w:space="0" w:color="auto"/>
        <w:left w:val="none" w:sz="0" w:space="0" w:color="auto"/>
        <w:bottom w:val="none" w:sz="0" w:space="0" w:color="auto"/>
        <w:right w:val="none" w:sz="0" w:space="0" w:color="auto"/>
      </w:divBdr>
    </w:div>
    <w:div w:id="2061316466">
      <w:bodyDiv w:val="1"/>
      <w:marLeft w:val="0"/>
      <w:marRight w:val="0"/>
      <w:marTop w:val="0"/>
      <w:marBottom w:val="0"/>
      <w:divBdr>
        <w:top w:val="none" w:sz="0" w:space="0" w:color="auto"/>
        <w:left w:val="none" w:sz="0" w:space="0" w:color="auto"/>
        <w:bottom w:val="none" w:sz="0" w:space="0" w:color="auto"/>
        <w:right w:val="none" w:sz="0" w:space="0" w:color="auto"/>
      </w:divBdr>
    </w:div>
    <w:div w:id="2061399243">
      <w:bodyDiv w:val="1"/>
      <w:marLeft w:val="0"/>
      <w:marRight w:val="0"/>
      <w:marTop w:val="0"/>
      <w:marBottom w:val="0"/>
      <w:divBdr>
        <w:top w:val="none" w:sz="0" w:space="0" w:color="auto"/>
        <w:left w:val="none" w:sz="0" w:space="0" w:color="auto"/>
        <w:bottom w:val="none" w:sz="0" w:space="0" w:color="auto"/>
        <w:right w:val="none" w:sz="0" w:space="0" w:color="auto"/>
      </w:divBdr>
    </w:div>
    <w:div w:id="2069264071">
      <w:bodyDiv w:val="1"/>
      <w:marLeft w:val="0"/>
      <w:marRight w:val="0"/>
      <w:marTop w:val="0"/>
      <w:marBottom w:val="0"/>
      <w:divBdr>
        <w:top w:val="none" w:sz="0" w:space="0" w:color="auto"/>
        <w:left w:val="none" w:sz="0" w:space="0" w:color="auto"/>
        <w:bottom w:val="none" w:sz="0" w:space="0" w:color="auto"/>
        <w:right w:val="none" w:sz="0" w:space="0" w:color="auto"/>
      </w:divBdr>
    </w:div>
    <w:div w:id="2117748630">
      <w:bodyDiv w:val="1"/>
      <w:marLeft w:val="0"/>
      <w:marRight w:val="0"/>
      <w:marTop w:val="0"/>
      <w:marBottom w:val="0"/>
      <w:divBdr>
        <w:top w:val="none" w:sz="0" w:space="0" w:color="auto"/>
        <w:left w:val="none" w:sz="0" w:space="0" w:color="auto"/>
        <w:bottom w:val="none" w:sz="0" w:space="0" w:color="auto"/>
        <w:right w:val="none" w:sz="0" w:space="0" w:color="auto"/>
      </w:divBdr>
      <w:divsChild>
        <w:div w:id="828714064">
          <w:marLeft w:val="0"/>
          <w:marRight w:val="0"/>
          <w:marTop w:val="0"/>
          <w:marBottom w:val="0"/>
          <w:divBdr>
            <w:top w:val="none" w:sz="0" w:space="0" w:color="auto"/>
            <w:left w:val="none" w:sz="0" w:space="0" w:color="auto"/>
            <w:bottom w:val="none" w:sz="0" w:space="0" w:color="auto"/>
            <w:right w:val="none" w:sz="0" w:space="0" w:color="auto"/>
          </w:divBdr>
        </w:div>
      </w:divsChild>
    </w:div>
    <w:div w:id="2118983605">
      <w:bodyDiv w:val="1"/>
      <w:marLeft w:val="0"/>
      <w:marRight w:val="0"/>
      <w:marTop w:val="0"/>
      <w:marBottom w:val="0"/>
      <w:divBdr>
        <w:top w:val="none" w:sz="0" w:space="0" w:color="auto"/>
        <w:left w:val="none" w:sz="0" w:space="0" w:color="auto"/>
        <w:bottom w:val="none" w:sz="0" w:space="0" w:color="auto"/>
        <w:right w:val="none" w:sz="0" w:space="0" w:color="auto"/>
      </w:divBdr>
    </w:div>
    <w:div w:id="2121684920">
      <w:bodyDiv w:val="1"/>
      <w:marLeft w:val="0"/>
      <w:marRight w:val="0"/>
      <w:marTop w:val="0"/>
      <w:marBottom w:val="0"/>
      <w:divBdr>
        <w:top w:val="none" w:sz="0" w:space="0" w:color="auto"/>
        <w:left w:val="none" w:sz="0" w:space="0" w:color="auto"/>
        <w:bottom w:val="none" w:sz="0" w:space="0" w:color="auto"/>
        <w:right w:val="none" w:sz="0" w:space="0" w:color="auto"/>
      </w:divBdr>
      <w:divsChild>
        <w:div w:id="735668270">
          <w:marLeft w:val="0"/>
          <w:marRight w:val="0"/>
          <w:marTop w:val="0"/>
          <w:marBottom w:val="0"/>
          <w:divBdr>
            <w:top w:val="none" w:sz="0" w:space="0" w:color="auto"/>
            <w:left w:val="none" w:sz="0" w:space="0" w:color="auto"/>
            <w:bottom w:val="none" w:sz="0" w:space="0" w:color="auto"/>
            <w:right w:val="none" w:sz="0" w:space="0" w:color="auto"/>
          </w:divBdr>
          <w:divsChild>
            <w:div w:id="715809837">
              <w:marLeft w:val="0"/>
              <w:marRight w:val="0"/>
              <w:marTop w:val="0"/>
              <w:marBottom w:val="0"/>
              <w:divBdr>
                <w:top w:val="none" w:sz="0" w:space="0" w:color="auto"/>
                <w:left w:val="none" w:sz="0" w:space="0" w:color="auto"/>
                <w:bottom w:val="none" w:sz="0" w:space="0" w:color="auto"/>
                <w:right w:val="none" w:sz="0" w:space="0" w:color="auto"/>
              </w:divBdr>
              <w:divsChild>
                <w:div w:id="115483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703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23</Pages>
  <Words>8513</Words>
  <Characters>48530</Characters>
  <Application>Microsoft Office Word</Application>
  <DocSecurity>0</DocSecurity>
  <Lines>404</Lines>
  <Paragraphs>113</Paragraphs>
  <ScaleCrop>false</ScaleCrop>
  <Company/>
  <LinksUpToDate>false</LinksUpToDate>
  <CharactersWithSpaces>56930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dc:creator>
  <cp:lastModifiedBy>Jie L</cp:lastModifiedBy>
  <cp:revision>7</cp:revision>
  <dcterms:created xsi:type="dcterms:W3CDTF">2024-04-23T10:15:00Z</dcterms:created>
  <dcterms:modified xsi:type="dcterms:W3CDTF">2024-04-23T12:15:00Z</dcterms:modified>
</cp:coreProperties>
</file>