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6528320"/>
        <w:docPartObj>
          <w:docPartGallery w:val="Cover Pages"/>
          <w:docPartUnique/>
        </w:docPartObj>
      </w:sdtPr>
      <w:sdtEndPr>
        <w:rPr>
          <w:sz w:val="16"/>
          <w:szCs w:val="16"/>
        </w:rPr>
      </w:sdtEndPr>
      <w:sdtContent>
        <w:p w14:paraId="48E99C49" w14:textId="14E80C95" w:rsidR="00FA786B" w:rsidRDefault="00F20D61">
          <w:r>
            <w:rPr>
              <w:noProof/>
            </w:rPr>
            <mc:AlternateContent>
              <mc:Choice Requires="wps">
                <w:drawing>
                  <wp:anchor distT="0" distB="0" distL="114300" distR="114300" simplePos="0" relativeHeight="251660288" behindDoc="0" locked="0" layoutInCell="1" allowOverlap="1" wp14:anchorId="25377584" wp14:editId="64EF8128">
                    <wp:simplePos x="0" y="0"/>
                    <wp:positionH relativeFrom="margin">
                      <wp:align>left</wp:align>
                    </wp:positionH>
                    <wp:positionV relativeFrom="paragraph">
                      <wp:posOffset>-139700</wp:posOffset>
                    </wp:positionV>
                    <wp:extent cx="5708650" cy="1206500"/>
                    <wp:effectExtent l="0" t="0" r="25400" b="12700"/>
                    <wp:wrapNone/>
                    <wp:docPr id="10" name="Rectangle 10"/>
                    <wp:cNvGraphicFramePr/>
                    <a:graphic xmlns:a="http://schemas.openxmlformats.org/drawingml/2006/main">
                      <a:graphicData uri="http://schemas.microsoft.com/office/word/2010/wordprocessingShape">
                        <wps:wsp>
                          <wps:cNvSpPr/>
                          <wps:spPr>
                            <a:xfrm>
                              <a:off x="0" y="0"/>
                              <a:ext cx="5708650" cy="1206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CC10BD4" w14:textId="5262DC95" w:rsidR="007360F0" w:rsidRDefault="00F779BE" w:rsidP="00F779BE">
                                <w:pPr>
                                  <w:jc w:val="right"/>
                                </w:pPr>
                                <w:r>
                                  <w:t>UNIVERSITY OF WALES TRINITY AND SAINT DAVID</w:t>
                                </w:r>
                              </w:p>
                              <w:p w14:paraId="01D15854" w14:textId="48F8E399" w:rsidR="00F779BE" w:rsidRDefault="00F779BE" w:rsidP="00F779BE">
                                <w:pPr>
                                  <w:jc w:val="right"/>
                                </w:pPr>
                                <w:r>
                                  <w:t>BA BUSINESS AND MANAGEMENT</w:t>
                                </w:r>
                              </w:p>
                              <w:p w14:paraId="4EA134D0" w14:textId="621A754C" w:rsidR="00F779BE" w:rsidRDefault="00F779BE" w:rsidP="00F779BE">
                                <w:pPr>
                                  <w:jc w:val="right"/>
                                </w:pPr>
                                <w:r>
                                  <w:t>LEVEL 6</w:t>
                                </w:r>
                              </w:p>
                              <w:p w14:paraId="68FB3299" w14:textId="4C934633" w:rsidR="00F779BE" w:rsidRDefault="00F779BE" w:rsidP="00F779BE">
                                <w:pPr>
                                  <w:jc w:val="right"/>
                                </w:pPr>
                                <w:r>
                                  <w:t>TERM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377584" id="Rectangle 10" o:spid="_x0000_s1026" style="position:absolute;left:0;text-align:left;margin-left:0;margin-top:-11pt;width:449.5pt;height:9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" fillcolor="#4472c4 [3204]" strokecolor="#1f3763 [1604]" strokeweight="1pt">
                    <v:textbox>
                      <w:txbxContent>
                        <w:p w14:paraId="0CC10BD4" w14:textId="5262DC95" w:rsidR="007360F0" w:rsidRDefault="00F779BE" w:rsidP="00F779BE">
                          <w:pPr>
                            <w:jc w:val="right"/>
                          </w:pPr>
                          <w:r>
                            <w:t>UNIVERSITY OF WALES TRINITY AND SAINT DAVID</w:t>
                          </w:r>
                        </w:p>
                        <w:p w14:paraId="01D15854" w14:textId="48F8E399" w:rsidR="00F779BE" w:rsidRDefault="00F779BE" w:rsidP="00F779BE">
                          <w:pPr>
                            <w:jc w:val="right"/>
                          </w:pPr>
                          <w:r>
                            <w:t>BA BUSINESS AND MANAGEMENT</w:t>
                          </w:r>
                        </w:p>
                        <w:p w14:paraId="4EA134D0" w14:textId="621A754C" w:rsidR="00F779BE" w:rsidRDefault="00F779BE" w:rsidP="00F779BE">
                          <w:pPr>
                            <w:jc w:val="right"/>
                          </w:pPr>
                          <w:r>
                            <w:t>LEVEL 6</w:t>
                          </w:r>
                        </w:p>
                        <w:p w14:paraId="68FB3299" w14:textId="4C934633" w:rsidR="00F779BE" w:rsidRDefault="00F779BE" w:rsidP="00F779BE">
                          <w:pPr>
                            <w:jc w:val="right"/>
                          </w:pPr>
                          <w:r>
                            <w:t>TERM 1</w:t>
                          </w:r>
                        </w:p>
                      </w:txbxContent>
                    </v:textbox>
                    <w10:wrap anchorx="margin"/>
                  </v:rect>
                </w:pict>
              </mc:Fallback>
            </mc:AlternateContent>
          </w:r>
          <w:r w:rsidR="00FA786B">
            <w:rPr>
              <w:noProof/>
            </w:rPr>
            <mc:AlternateContent>
              <mc:Choice Requires="wpg">
                <w:drawing>
                  <wp:anchor distT="0" distB="0" distL="114300" distR="114300" simplePos="0" relativeHeight="251659264" behindDoc="1" locked="0" layoutInCell="1" allowOverlap="1" wp14:anchorId="451D681F" wp14:editId="249B7624">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25FC76A" w14:textId="17225FB0" w:rsidR="00FA786B" w:rsidRPr="00182E82" w:rsidRDefault="003D29AB">
                                      <w:pPr>
                                        <w:pStyle w:val="NoSpacing"/>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STUDENT: RODICA DINU - 1921784</w:t>
                                      </w:r>
                                    </w:p>
                                  </w:sdtContent>
                                </w:sdt>
                                <w:p w14:paraId="0F72265F" w14:textId="36002E90" w:rsidR="00FA786B" w:rsidRPr="00182E82" w:rsidRDefault="000B20F9">
                                  <w:pPr>
                                    <w:pStyle w:val="NoSpacing"/>
                                    <w:rPr>
                                      <w:rFonts w:ascii="Times New Roman" w:hAnsi="Times New Roman" w:cs="Times New Roman"/>
                                      <w:caps/>
                                      <w:color w:val="FFFFFF" w:themeColor="background1"/>
                                      <w:sz w:val="24"/>
                                      <w:szCs w:val="24"/>
                                    </w:rPr>
                                  </w:pPr>
                                  <w:sdt>
                                    <w:sdtPr>
                                      <w:rPr>
                                        <w:rFonts w:ascii="Times New Roman" w:hAnsi="Times New Roman" w:cs="Times New Roman"/>
                                        <w:caps/>
                                        <w:color w:val="FFFFFF" w:themeColor="background1"/>
                                        <w:sz w:val="24"/>
                                        <w:szCs w:val="24"/>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904630" w:rsidRPr="00182E82">
                                        <w:rPr>
                                          <w:rFonts w:ascii="Times New Roman" w:hAnsi="Times New Roman" w:cs="Times New Roman"/>
                                          <w:caps/>
                                          <w:color w:val="FFFFFF" w:themeColor="background1"/>
                                          <w:sz w:val="24"/>
                                          <w:szCs w:val="24"/>
                                        </w:rPr>
                                        <w:t xml:space="preserve">     </w:t>
                                      </w:r>
                                    </w:sdtContent>
                                  </w:sdt>
                                  <w:r w:rsidR="00904630" w:rsidRPr="00182E82">
                                    <w:rPr>
                                      <w:rFonts w:ascii="Times New Roman" w:hAnsi="Times New Roman" w:cs="Times New Roman"/>
                                      <w:caps/>
                                      <w:color w:val="FFFFFF" w:themeColor="background1"/>
                                      <w:sz w:val="24"/>
                                      <w:szCs w:val="24"/>
                                    </w:rPr>
                                    <w:t>MODULE:</w:t>
                                  </w:r>
                                  <w:r w:rsidR="0021216D" w:rsidRPr="00182E82">
                                    <w:rPr>
                                      <w:rFonts w:ascii="Times New Roman" w:hAnsi="Times New Roman" w:cs="Times New Roman"/>
                                      <w:caps/>
                                      <w:color w:val="FFFFFF" w:themeColor="background1"/>
                                      <w:sz w:val="24"/>
                                      <w:szCs w:val="24"/>
                                    </w:rPr>
                                    <w:t xml:space="preserve"> International Financial Management </w:t>
                                  </w:r>
                                  <w:r w:rsidR="00904630" w:rsidRPr="00182E82">
                                    <w:rPr>
                                      <w:rFonts w:ascii="Times New Roman" w:hAnsi="Times New Roman" w:cs="Times New Roman"/>
                                      <w:caps/>
                                      <w:color w:val="FFFFFF" w:themeColor="background1"/>
                                      <w:sz w:val="24"/>
                                      <w:szCs w:val="24"/>
                                    </w:rPr>
                                    <w:t>(</w:t>
                                  </w:r>
                                  <w:r w:rsidR="0021216D" w:rsidRPr="00182E82">
                                    <w:rPr>
                                      <w:rFonts w:ascii="Times New Roman" w:hAnsi="Times New Roman" w:cs="Times New Roman"/>
                                      <w:caps/>
                                      <w:color w:val="FFFFFF" w:themeColor="background1"/>
                                      <w:sz w:val="24"/>
                                      <w:szCs w:val="24"/>
                                    </w:rPr>
                                    <w:t>lcbb</w:t>
                                  </w:r>
                                  <w:r w:rsidR="005B3FD2" w:rsidRPr="00182E82">
                                    <w:rPr>
                                      <w:rFonts w:ascii="Times New Roman" w:hAnsi="Times New Roman" w:cs="Times New Roman"/>
                                      <w:caps/>
                                      <w:color w:val="FFFFFF" w:themeColor="background1"/>
                                      <w:sz w:val="24"/>
                                      <w:szCs w:val="24"/>
                                    </w:rPr>
                                    <w:t>6002</w:t>
                                  </w:r>
                                  <w:r w:rsidR="00904630" w:rsidRPr="00182E82">
                                    <w:rPr>
                                      <w:rFonts w:ascii="Times New Roman" w:hAnsi="Times New Roman" w:cs="Times New Roman"/>
                                      <w:caps/>
                                      <w:color w:val="FFFFFF" w:themeColor="background1"/>
                                      <w:sz w:val="24"/>
                                      <w:szCs w:val="24"/>
                                    </w:rPr>
                                    <w:t>)</w:t>
                                  </w:r>
                                </w:p>
                                <w:p w14:paraId="2C9EFCA4" w14:textId="711D222E" w:rsidR="005B3FD2" w:rsidRPr="00182E82" w:rsidRDefault="00182E82">
                                  <w:pPr>
                                    <w:pStyle w:val="NoSpacing"/>
                                    <w:rPr>
                                      <w:rFonts w:ascii="Times New Roman" w:hAnsi="Times New Roman" w:cs="Times New Roman"/>
                                      <w:caps/>
                                      <w:color w:val="FFFFFF" w:themeColor="background1"/>
                                      <w:sz w:val="24"/>
                                      <w:szCs w:val="24"/>
                                    </w:rPr>
                                  </w:pPr>
                                  <w:r w:rsidRPr="00182E82">
                                    <w:rPr>
                                      <w:rFonts w:ascii="Times New Roman" w:hAnsi="Times New Roman" w:cs="Times New Roman"/>
                                      <w:caps/>
                                      <w:color w:val="FFFFFF" w:themeColor="background1"/>
                                      <w:sz w:val="24"/>
                                      <w:szCs w:val="24"/>
                                    </w:rPr>
                                    <w:t xml:space="preserve">     </w:t>
                                  </w:r>
                                  <w:r w:rsidR="005B3FD2" w:rsidRPr="00182E82">
                                    <w:rPr>
                                      <w:rFonts w:ascii="Times New Roman" w:hAnsi="Times New Roman" w:cs="Times New Roman"/>
                                      <w:caps/>
                                      <w:color w:val="FFFFFF" w:themeColor="background1"/>
                                      <w:sz w:val="24"/>
                                      <w:szCs w:val="24"/>
                                    </w:rPr>
                                    <w:t>lecturer: Isaia</w:t>
                                  </w:r>
                                  <w:r w:rsidR="00F20D61">
                                    <w:rPr>
                                      <w:rFonts w:ascii="Times New Roman" w:hAnsi="Times New Roman" w:cs="Times New Roman"/>
                                      <w:caps/>
                                      <w:color w:val="FFFFFF" w:themeColor="background1"/>
                                      <w:sz w:val="24"/>
                                      <w:szCs w:val="24"/>
                                    </w:rPr>
                                    <w:t>H</w:t>
                                  </w:r>
                                  <w:r w:rsidR="005B3FD2" w:rsidRPr="00182E82">
                                    <w:rPr>
                                      <w:rFonts w:ascii="Times New Roman" w:hAnsi="Times New Roman" w:cs="Times New Roman"/>
                                      <w:caps/>
                                      <w:color w:val="FFFFFF" w:themeColor="background1"/>
                                      <w:sz w:val="24"/>
                                      <w:szCs w:val="24"/>
                                    </w:rPr>
                                    <w:t xml:space="preserve"> Oino</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936BD77" w14:textId="5342E4BF" w:rsidR="00FA786B" w:rsidRDefault="00C472AB" w:rsidP="00F779BE">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ASSESSMENT 1</w:t>
                                      </w:r>
                                    </w:p>
                                  </w:sdtContent>
                                </w:sdt>
                                <w:p w14:paraId="340F457D" w14:textId="734CA1B6" w:rsidR="00FA786B" w:rsidRDefault="000B20F9" w:rsidP="00F779BE">
                                  <w:pPr>
                                    <w:pStyle w:val="NoSpacing"/>
                                    <w:spacing w:before="240"/>
                                    <w:jc w:val="cente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C472AB">
                                        <w:rPr>
                                          <w:caps/>
                                          <w:color w:val="44546A" w:themeColor="text2"/>
                                          <w:sz w:val="36"/>
                                          <w:szCs w:val="36"/>
                                        </w:rPr>
                                        <w:t>Shell Plc</w:t>
                                      </w:r>
                                    </w:sdtContent>
                                  </w:sdt>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51D681F" id="Group 119" o:spid="_x0000_s1027"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Pdu8RaaAwAAmw4A&#10;AA4AAAAAAAAAAAAAAAAALgIAAGRycy9lMm9Eb2MueG1sUEsBAi0AFAAGAAgAAAAhAEcd6g7cAAAA&#10;BwEAAA8AAAAAAAAAAAAAAAAA9AUAAGRycy9kb3ducmV2LnhtbFBLBQYAAAAABAAEAPMAAAD9BgAA&#10;AAA=&#10;">
                    <v:rect id="Rectangle 120" o:spid="_x0000_s1028"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9"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Times New Roman" w:hAnsi="Times New Roman" w:cs="Times New Roman"/>
                                <w:color w:val="FFFFFF" w:themeColor="background1"/>
                                <w:sz w:val="24"/>
                                <w:szCs w:val="2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25FC76A" w14:textId="17225FB0" w:rsidR="00FA786B" w:rsidRPr="00182E82" w:rsidRDefault="003D29AB">
                                <w:pPr>
                                  <w:pStyle w:val="NoSpacing"/>
                                  <w:rPr>
                                    <w:rFonts w:ascii="Times New Roman" w:hAnsi="Times New Roman" w:cs="Times New Roman"/>
                                    <w:color w:val="FFFFFF" w:themeColor="background1"/>
                                    <w:sz w:val="24"/>
                                    <w:szCs w:val="24"/>
                                  </w:rPr>
                                </w:pPr>
                                <w:r>
                                  <w:rPr>
                                    <w:rFonts w:ascii="Times New Roman" w:hAnsi="Times New Roman" w:cs="Times New Roman"/>
                                    <w:color w:val="FFFFFF" w:themeColor="background1"/>
                                    <w:sz w:val="24"/>
                                    <w:szCs w:val="24"/>
                                  </w:rPr>
                                  <w:t>STUDENT: RODICA DINU - 1921784</w:t>
                                </w:r>
                              </w:p>
                            </w:sdtContent>
                          </w:sdt>
                          <w:p w14:paraId="0F72265F" w14:textId="36002E90" w:rsidR="00FA786B" w:rsidRPr="00182E82" w:rsidRDefault="000B20F9">
                            <w:pPr>
                              <w:pStyle w:val="NoSpacing"/>
                              <w:rPr>
                                <w:rFonts w:ascii="Times New Roman" w:hAnsi="Times New Roman" w:cs="Times New Roman"/>
                                <w:caps/>
                                <w:color w:val="FFFFFF" w:themeColor="background1"/>
                                <w:sz w:val="24"/>
                                <w:szCs w:val="24"/>
                              </w:rPr>
                            </w:pPr>
                            <w:sdt>
                              <w:sdtPr>
                                <w:rPr>
                                  <w:rFonts w:ascii="Times New Roman" w:hAnsi="Times New Roman" w:cs="Times New Roman"/>
                                  <w:caps/>
                                  <w:color w:val="FFFFFF" w:themeColor="background1"/>
                                  <w:sz w:val="24"/>
                                  <w:szCs w:val="24"/>
                                </w:rPr>
                                <w:alias w:val="Company"/>
                                <w:tag w:val=""/>
                                <w:id w:val="922067218"/>
                                <w:showingPlcHdr/>
                                <w:dataBinding w:prefixMappings="xmlns:ns0='http://schemas.openxmlformats.org/officeDocument/2006/extended-properties' " w:xpath="/ns0:Properties[1]/ns0:Company[1]" w:storeItemID="{6668398D-A668-4E3E-A5EB-62B293D839F1}"/>
                                <w:text/>
                              </w:sdtPr>
                              <w:sdtEndPr/>
                              <w:sdtContent>
                                <w:r w:rsidR="00904630" w:rsidRPr="00182E82">
                                  <w:rPr>
                                    <w:rFonts w:ascii="Times New Roman" w:hAnsi="Times New Roman" w:cs="Times New Roman"/>
                                    <w:caps/>
                                    <w:color w:val="FFFFFF" w:themeColor="background1"/>
                                    <w:sz w:val="24"/>
                                    <w:szCs w:val="24"/>
                                  </w:rPr>
                                  <w:t xml:space="preserve">     </w:t>
                                </w:r>
                              </w:sdtContent>
                            </w:sdt>
                            <w:r w:rsidR="00904630" w:rsidRPr="00182E82">
                              <w:rPr>
                                <w:rFonts w:ascii="Times New Roman" w:hAnsi="Times New Roman" w:cs="Times New Roman"/>
                                <w:caps/>
                                <w:color w:val="FFFFFF" w:themeColor="background1"/>
                                <w:sz w:val="24"/>
                                <w:szCs w:val="24"/>
                              </w:rPr>
                              <w:t>MODULE:</w:t>
                            </w:r>
                            <w:r w:rsidR="0021216D" w:rsidRPr="00182E82">
                              <w:rPr>
                                <w:rFonts w:ascii="Times New Roman" w:hAnsi="Times New Roman" w:cs="Times New Roman"/>
                                <w:caps/>
                                <w:color w:val="FFFFFF" w:themeColor="background1"/>
                                <w:sz w:val="24"/>
                                <w:szCs w:val="24"/>
                              </w:rPr>
                              <w:t xml:space="preserve"> International Financial Management </w:t>
                            </w:r>
                            <w:r w:rsidR="00904630" w:rsidRPr="00182E82">
                              <w:rPr>
                                <w:rFonts w:ascii="Times New Roman" w:hAnsi="Times New Roman" w:cs="Times New Roman"/>
                                <w:caps/>
                                <w:color w:val="FFFFFF" w:themeColor="background1"/>
                                <w:sz w:val="24"/>
                                <w:szCs w:val="24"/>
                              </w:rPr>
                              <w:t>(</w:t>
                            </w:r>
                            <w:r w:rsidR="0021216D" w:rsidRPr="00182E82">
                              <w:rPr>
                                <w:rFonts w:ascii="Times New Roman" w:hAnsi="Times New Roman" w:cs="Times New Roman"/>
                                <w:caps/>
                                <w:color w:val="FFFFFF" w:themeColor="background1"/>
                                <w:sz w:val="24"/>
                                <w:szCs w:val="24"/>
                              </w:rPr>
                              <w:t>lcbb</w:t>
                            </w:r>
                            <w:r w:rsidR="005B3FD2" w:rsidRPr="00182E82">
                              <w:rPr>
                                <w:rFonts w:ascii="Times New Roman" w:hAnsi="Times New Roman" w:cs="Times New Roman"/>
                                <w:caps/>
                                <w:color w:val="FFFFFF" w:themeColor="background1"/>
                                <w:sz w:val="24"/>
                                <w:szCs w:val="24"/>
                              </w:rPr>
                              <w:t>6002</w:t>
                            </w:r>
                            <w:r w:rsidR="00904630" w:rsidRPr="00182E82">
                              <w:rPr>
                                <w:rFonts w:ascii="Times New Roman" w:hAnsi="Times New Roman" w:cs="Times New Roman"/>
                                <w:caps/>
                                <w:color w:val="FFFFFF" w:themeColor="background1"/>
                                <w:sz w:val="24"/>
                                <w:szCs w:val="24"/>
                              </w:rPr>
                              <w:t>)</w:t>
                            </w:r>
                          </w:p>
                          <w:p w14:paraId="2C9EFCA4" w14:textId="711D222E" w:rsidR="005B3FD2" w:rsidRPr="00182E82" w:rsidRDefault="00182E82">
                            <w:pPr>
                              <w:pStyle w:val="NoSpacing"/>
                              <w:rPr>
                                <w:rFonts w:ascii="Times New Roman" w:hAnsi="Times New Roman" w:cs="Times New Roman"/>
                                <w:caps/>
                                <w:color w:val="FFFFFF" w:themeColor="background1"/>
                                <w:sz w:val="24"/>
                                <w:szCs w:val="24"/>
                              </w:rPr>
                            </w:pPr>
                            <w:r w:rsidRPr="00182E82">
                              <w:rPr>
                                <w:rFonts w:ascii="Times New Roman" w:hAnsi="Times New Roman" w:cs="Times New Roman"/>
                                <w:caps/>
                                <w:color w:val="FFFFFF" w:themeColor="background1"/>
                                <w:sz w:val="24"/>
                                <w:szCs w:val="24"/>
                              </w:rPr>
                              <w:t xml:space="preserve">     </w:t>
                            </w:r>
                            <w:r w:rsidR="005B3FD2" w:rsidRPr="00182E82">
                              <w:rPr>
                                <w:rFonts w:ascii="Times New Roman" w:hAnsi="Times New Roman" w:cs="Times New Roman"/>
                                <w:caps/>
                                <w:color w:val="FFFFFF" w:themeColor="background1"/>
                                <w:sz w:val="24"/>
                                <w:szCs w:val="24"/>
                              </w:rPr>
                              <w:t>lecturer: Isaia</w:t>
                            </w:r>
                            <w:r w:rsidR="00F20D61">
                              <w:rPr>
                                <w:rFonts w:ascii="Times New Roman" w:hAnsi="Times New Roman" w:cs="Times New Roman"/>
                                <w:caps/>
                                <w:color w:val="FFFFFF" w:themeColor="background1"/>
                                <w:sz w:val="24"/>
                                <w:szCs w:val="24"/>
                              </w:rPr>
                              <w:t>H</w:t>
                            </w:r>
                            <w:r w:rsidR="005B3FD2" w:rsidRPr="00182E82">
                              <w:rPr>
                                <w:rFonts w:ascii="Times New Roman" w:hAnsi="Times New Roman" w:cs="Times New Roman"/>
                                <w:caps/>
                                <w:color w:val="FFFFFF" w:themeColor="background1"/>
                                <w:sz w:val="24"/>
                                <w:szCs w:val="24"/>
                              </w:rPr>
                              <w:t xml:space="preserve"> Oino</w:t>
                            </w:r>
                          </w:p>
                        </w:txbxContent>
                      </v:textbox>
                    </v:rect>
                    <v:shapetype id="_x0000_t202" coordsize="21600,21600" o:spt="202" path="m,l,21600r21600,l21600,xe">
                      <v:stroke joinstyle="miter"/>
                      <v:path gradientshapeok="t" o:connecttype="rect"/>
                    </v:shapetype>
                    <v:shape id="Text Box 122" o:spid="_x0000_s1030"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936BD77" w14:textId="5342E4BF" w:rsidR="00FA786B" w:rsidRDefault="00C472AB" w:rsidP="00F779BE">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ASSESSMENT 1</w:t>
                                </w:r>
                              </w:p>
                            </w:sdtContent>
                          </w:sdt>
                          <w:p w14:paraId="340F457D" w14:textId="734CA1B6" w:rsidR="00FA786B" w:rsidRDefault="000B20F9" w:rsidP="00F779BE">
                            <w:pPr>
                              <w:pStyle w:val="NoSpacing"/>
                              <w:spacing w:before="240"/>
                              <w:jc w:val="center"/>
                              <w:rPr>
                                <w:caps/>
                                <w:color w:val="44546A" w:themeColor="text2"/>
                                <w:sz w:val="36"/>
                                <w:szCs w:val="36"/>
                              </w:rPr>
                            </w:pPr>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r w:rsidR="00C472AB">
                                  <w:rPr>
                                    <w:caps/>
                                    <w:color w:val="44546A" w:themeColor="text2"/>
                                    <w:sz w:val="36"/>
                                    <w:szCs w:val="36"/>
                                  </w:rPr>
                                  <w:t>Shell Plc</w:t>
                                </w:r>
                              </w:sdtContent>
                            </w:sdt>
                          </w:p>
                        </w:txbxContent>
                      </v:textbox>
                    </v:shape>
                    <w10:wrap anchorx="page" anchory="page"/>
                  </v:group>
                </w:pict>
              </mc:Fallback>
            </mc:AlternateContent>
          </w:r>
        </w:p>
        <w:p w14:paraId="27577CE9" w14:textId="767946B1" w:rsidR="00FA786B" w:rsidRDefault="00FA786B" w:rsidP="00F779BE">
          <w:pPr>
            <w:jc w:val="left"/>
            <w:rPr>
              <w:sz w:val="16"/>
              <w:szCs w:val="16"/>
            </w:rPr>
          </w:pPr>
          <w:r>
            <w:rPr>
              <w:sz w:val="16"/>
              <w:szCs w:val="16"/>
            </w:rPr>
            <w:br w:type="page"/>
          </w:r>
        </w:p>
      </w:sdtContent>
    </w:sdt>
    <w:sdt>
      <w:sdtPr>
        <w:rPr>
          <w:rFonts w:ascii="Times New Roman" w:eastAsiaTheme="minorHAnsi" w:hAnsi="Times New Roman" w:cstheme="minorBidi"/>
          <w:color w:val="auto"/>
          <w:sz w:val="24"/>
          <w:szCs w:val="22"/>
          <w:lang w:val="en-GB"/>
        </w:rPr>
        <w:id w:val="-283424750"/>
        <w:docPartObj>
          <w:docPartGallery w:val="Table of Contents"/>
          <w:docPartUnique/>
        </w:docPartObj>
      </w:sdtPr>
      <w:sdtEndPr>
        <w:rPr>
          <w:rFonts w:cs="Times New Roman"/>
          <w:b/>
          <w:bCs/>
          <w:noProof/>
          <w:szCs w:val="24"/>
        </w:rPr>
      </w:sdtEndPr>
      <w:sdtContent>
        <w:p w14:paraId="2769F3BE" w14:textId="350F4F07" w:rsidR="002B51E7" w:rsidRDefault="002B51E7" w:rsidP="002B51E7">
          <w:pPr>
            <w:pStyle w:val="TOCHeading"/>
            <w:jc w:val="center"/>
            <w:rPr>
              <w:rFonts w:ascii="Times New Roman" w:hAnsi="Times New Roman" w:cs="Times New Roman"/>
              <w:color w:val="auto"/>
            </w:rPr>
          </w:pPr>
          <w:r w:rsidRPr="002B51E7">
            <w:rPr>
              <w:rFonts w:ascii="Times New Roman" w:hAnsi="Times New Roman" w:cs="Times New Roman"/>
              <w:color w:val="auto"/>
            </w:rPr>
            <w:t>Table of Contents</w:t>
          </w:r>
        </w:p>
        <w:p w14:paraId="62692AEC" w14:textId="40A4C9E4" w:rsidR="002B51E7" w:rsidRPr="002B51E7" w:rsidRDefault="002B51E7" w:rsidP="002B51E7">
          <w:pPr>
            <w:rPr>
              <w:lang w:val="en-US"/>
            </w:rPr>
          </w:pPr>
        </w:p>
        <w:p w14:paraId="0DF00A3B" w14:textId="468EAFE0" w:rsidR="00E7222A" w:rsidRDefault="002B51E7">
          <w:pPr>
            <w:pStyle w:val="TOC1"/>
            <w:tabs>
              <w:tab w:val="right" w:leader="dot" w:pos="9016"/>
            </w:tabs>
            <w:rPr>
              <w:rFonts w:asciiTheme="minorHAnsi" w:eastAsiaTheme="minorEastAsia" w:hAnsiTheme="minorHAnsi"/>
              <w:noProof/>
              <w:sz w:val="22"/>
              <w:lang w:eastAsia="en-GB"/>
            </w:rPr>
          </w:pPr>
          <w:r w:rsidRPr="002B51E7">
            <w:rPr>
              <w:rFonts w:cs="Times New Roman"/>
              <w:szCs w:val="24"/>
            </w:rPr>
            <w:fldChar w:fldCharType="begin"/>
          </w:r>
          <w:r w:rsidRPr="002B51E7">
            <w:rPr>
              <w:rFonts w:cs="Times New Roman"/>
              <w:szCs w:val="24"/>
            </w:rPr>
            <w:instrText xml:space="preserve"> TOC \o "1-3" \h \z \u </w:instrText>
          </w:r>
          <w:r w:rsidRPr="002B51E7">
            <w:rPr>
              <w:rFonts w:cs="Times New Roman"/>
              <w:szCs w:val="24"/>
            </w:rPr>
            <w:fldChar w:fldCharType="separate"/>
          </w:r>
          <w:hyperlink w:anchor="_Toc110529954" w:history="1">
            <w:r w:rsidR="00E7222A" w:rsidRPr="00ED7E68">
              <w:rPr>
                <w:rStyle w:val="Hyperlink"/>
                <w:noProof/>
              </w:rPr>
              <w:t>Introduction</w:t>
            </w:r>
            <w:r w:rsidR="00E7222A">
              <w:rPr>
                <w:noProof/>
                <w:webHidden/>
              </w:rPr>
              <w:tab/>
            </w:r>
            <w:r w:rsidR="00E7222A">
              <w:rPr>
                <w:noProof/>
                <w:webHidden/>
              </w:rPr>
              <w:fldChar w:fldCharType="begin"/>
            </w:r>
            <w:r w:rsidR="00E7222A">
              <w:rPr>
                <w:noProof/>
                <w:webHidden/>
              </w:rPr>
              <w:instrText xml:space="preserve"> PAGEREF _Toc110529954 \h </w:instrText>
            </w:r>
            <w:r w:rsidR="00E7222A">
              <w:rPr>
                <w:noProof/>
                <w:webHidden/>
              </w:rPr>
            </w:r>
            <w:r w:rsidR="00E7222A">
              <w:rPr>
                <w:noProof/>
                <w:webHidden/>
              </w:rPr>
              <w:fldChar w:fldCharType="separate"/>
            </w:r>
            <w:r w:rsidR="002768EC">
              <w:rPr>
                <w:noProof/>
                <w:webHidden/>
              </w:rPr>
              <w:t>2</w:t>
            </w:r>
            <w:r w:rsidR="00E7222A">
              <w:rPr>
                <w:noProof/>
                <w:webHidden/>
              </w:rPr>
              <w:fldChar w:fldCharType="end"/>
            </w:r>
          </w:hyperlink>
        </w:p>
        <w:p w14:paraId="4CC54423" w14:textId="2BF1C275" w:rsidR="00E7222A" w:rsidRDefault="000B20F9">
          <w:pPr>
            <w:pStyle w:val="TOC1"/>
            <w:tabs>
              <w:tab w:val="right" w:leader="dot" w:pos="9016"/>
            </w:tabs>
            <w:rPr>
              <w:rFonts w:asciiTheme="minorHAnsi" w:eastAsiaTheme="minorEastAsia" w:hAnsiTheme="minorHAnsi"/>
              <w:noProof/>
              <w:sz w:val="22"/>
              <w:lang w:eastAsia="en-GB"/>
            </w:rPr>
          </w:pPr>
          <w:hyperlink w:anchor="_Toc110529955" w:history="1">
            <w:r w:rsidR="00E7222A" w:rsidRPr="00ED7E68">
              <w:rPr>
                <w:rStyle w:val="Hyperlink"/>
                <w:noProof/>
              </w:rPr>
              <w:t>The importance of International Financial Management</w:t>
            </w:r>
            <w:r w:rsidR="00E7222A">
              <w:rPr>
                <w:noProof/>
                <w:webHidden/>
              </w:rPr>
              <w:tab/>
            </w:r>
            <w:r w:rsidR="00E7222A">
              <w:rPr>
                <w:noProof/>
                <w:webHidden/>
              </w:rPr>
              <w:fldChar w:fldCharType="begin"/>
            </w:r>
            <w:r w:rsidR="00E7222A">
              <w:rPr>
                <w:noProof/>
                <w:webHidden/>
              </w:rPr>
              <w:instrText xml:space="preserve"> PAGEREF _Toc110529955 \h </w:instrText>
            </w:r>
            <w:r w:rsidR="00E7222A">
              <w:rPr>
                <w:noProof/>
                <w:webHidden/>
              </w:rPr>
            </w:r>
            <w:r w:rsidR="00E7222A">
              <w:rPr>
                <w:noProof/>
                <w:webHidden/>
              </w:rPr>
              <w:fldChar w:fldCharType="separate"/>
            </w:r>
            <w:r w:rsidR="002768EC">
              <w:rPr>
                <w:noProof/>
                <w:webHidden/>
              </w:rPr>
              <w:t>4</w:t>
            </w:r>
            <w:r w:rsidR="00E7222A">
              <w:rPr>
                <w:noProof/>
                <w:webHidden/>
              </w:rPr>
              <w:fldChar w:fldCharType="end"/>
            </w:r>
          </w:hyperlink>
        </w:p>
        <w:p w14:paraId="46D3D03A" w14:textId="30930679" w:rsidR="00E7222A" w:rsidRDefault="000B20F9">
          <w:pPr>
            <w:pStyle w:val="TOC1"/>
            <w:tabs>
              <w:tab w:val="right" w:leader="dot" w:pos="9016"/>
            </w:tabs>
            <w:rPr>
              <w:rFonts w:asciiTheme="minorHAnsi" w:eastAsiaTheme="minorEastAsia" w:hAnsiTheme="minorHAnsi"/>
              <w:noProof/>
              <w:sz w:val="22"/>
              <w:lang w:eastAsia="en-GB"/>
            </w:rPr>
          </w:pPr>
          <w:hyperlink w:anchor="_Toc110529956" w:history="1">
            <w:r w:rsidR="00E7222A" w:rsidRPr="00ED7E68">
              <w:rPr>
                <w:rStyle w:val="Hyperlink"/>
                <w:noProof/>
              </w:rPr>
              <w:t>Challenges in international markets</w:t>
            </w:r>
            <w:r w:rsidR="00E7222A">
              <w:rPr>
                <w:noProof/>
                <w:webHidden/>
              </w:rPr>
              <w:tab/>
            </w:r>
            <w:r w:rsidR="00E7222A">
              <w:rPr>
                <w:noProof/>
                <w:webHidden/>
              </w:rPr>
              <w:fldChar w:fldCharType="begin"/>
            </w:r>
            <w:r w:rsidR="00E7222A">
              <w:rPr>
                <w:noProof/>
                <w:webHidden/>
              </w:rPr>
              <w:instrText xml:space="preserve"> PAGEREF _Toc110529956 \h </w:instrText>
            </w:r>
            <w:r w:rsidR="00E7222A">
              <w:rPr>
                <w:noProof/>
                <w:webHidden/>
              </w:rPr>
            </w:r>
            <w:r w:rsidR="00E7222A">
              <w:rPr>
                <w:noProof/>
                <w:webHidden/>
              </w:rPr>
              <w:fldChar w:fldCharType="separate"/>
            </w:r>
            <w:r w:rsidR="002768EC">
              <w:rPr>
                <w:noProof/>
                <w:webHidden/>
              </w:rPr>
              <w:t>5</w:t>
            </w:r>
            <w:r w:rsidR="00E7222A">
              <w:rPr>
                <w:noProof/>
                <w:webHidden/>
              </w:rPr>
              <w:fldChar w:fldCharType="end"/>
            </w:r>
          </w:hyperlink>
        </w:p>
        <w:p w14:paraId="46E80EEC" w14:textId="3558E221" w:rsidR="00E7222A" w:rsidRDefault="000B20F9">
          <w:pPr>
            <w:pStyle w:val="TOC1"/>
            <w:tabs>
              <w:tab w:val="right" w:leader="dot" w:pos="9016"/>
            </w:tabs>
            <w:rPr>
              <w:rFonts w:asciiTheme="minorHAnsi" w:eastAsiaTheme="minorEastAsia" w:hAnsiTheme="minorHAnsi"/>
              <w:noProof/>
              <w:sz w:val="22"/>
              <w:lang w:eastAsia="en-GB"/>
            </w:rPr>
          </w:pPr>
          <w:hyperlink w:anchor="_Toc110529957" w:history="1">
            <w:r w:rsidR="00E7222A" w:rsidRPr="00ED7E68">
              <w:rPr>
                <w:rStyle w:val="Hyperlink"/>
                <w:noProof/>
              </w:rPr>
              <w:t>Dividend distribution policy</w:t>
            </w:r>
            <w:r w:rsidR="00E7222A">
              <w:rPr>
                <w:noProof/>
                <w:webHidden/>
              </w:rPr>
              <w:tab/>
            </w:r>
            <w:r w:rsidR="00E7222A">
              <w:rPr>
                <w:noProof/>
                <w:webHidden/>
              </w:rPr>
              <w:fldChar w:fldCharType="begin"/>
            </w:r>
            <w:r w:rsidR="00E7222A">
              <w:rPr>
                <w:noProof/>
                <w:webHidden/>
              </w:rPr>
              <w:instrText xml:space="preserve"> PAGEREF _Toc110529957 \h </w:instrText>
            </w:r>
            <w:r w:rsidR="00E7222A">
              <w:rPr>
                <w:noProof/>
                <w:webHidden/>
              </w:rPr>
            </w:r>
            <w:r w:rsidR="00E7222A">
              <w:rPr>
                <w:noProof/>
                <w:webHidden/>
              </w:rPr>
              <w:fldChar w:fldCharType="separate"/>
            </w:r>
            <w:r w:rsidR="002768EC">
              <w:rPr>
                <w:noProof/>
                <w:webHidden/>
              </w:rPr>
              <w:t>6</w:t>
            </w:r>
            <w:r w:rsidR="00E7222A">
              <w:rPr>
                <w:noProof/>
                <w:webHidden/>
              </w:rPr>
              <w:fldChar w:fldCharType="end"/>
            </w:r>
          </w:hyperlink>
        </w:p>
        <w:p w14:paraId="4F914302" w14:textId="34A804D8" w:rsidR="00E7222A" w:rsidRDefault="000B20F9">
          <w:pPr>
            <w:pStyle w:val="TOC1"/>
            <w:tabs>
              <w:tab w:val="right" w:leader="dot" w:pos="9016"/>
            </w:tabs>
            <w:rPr>
              <w:rFonts w:asciiTheme="minorHAnsi" w:eastAsiaTheme="minorEastAsia" w:hAnsiTheme="minorHAnsi"/>
              <w:noProof/>
              <w:sz w:val="22"/>
              <w:lang w:eastAsia="en-GB"/>
            </w:rPr>
          </w:pPr>
          <w:hyperlink w:anchor="_Toc110529958" w:history="1">
            <w:r w:rsidR="00E7222A" w:rsidRPr="00ED7E68">
              <w:rPr>
                <w:rStyle w:val="Hyperlink"/>
                <w:noProof/>
              </w:rPr>
              <w:t>The efficient market hypothesis</w:t>
            </w:r>
            <w:r w:rsidR="00E7222A">
              <w:rPr>
                <w:noProof/>
                <w:webHidden/>
              </w:rPr>
              <w:tab/>
            </w:r>
            <w:r w:rsidR="00E7222A">
              <w:rPr>
                <w:noProof/>
                <w:webHidden/>
              </w:rPr>
              <w:fldChar w:fldCharType="begin"/>
            </w:r>
            <w:r w:rsidR="00E7222A">
              <w:rPr>
                <w:noProof/>
                <w:webHidden/>
              </w:rPr>
              <w:instrText xml:space="preserve"> PAGEREF _Toc110529958 \h </w:instrText>
            </w:r>
            <w:r w:rsidR="00E7222A">
              <w:rPr>
                <w:noProof/>
                <w:webHidden/>
              </w:rPr>
            </w:r>
            <w:r w:rsidR="00E7222A">
              <w:rPr>
                <w:noProof/>
                <w:webHidden/>
              </w:rPr>
              <w:fldChar w:fldCharType="separate"/>
            </w:r>
            <w:r w:rsidR="002768EC">
              <w:rPr>
                <w:noProof/>
                <w:webHidden/>
              </w:rPr>
              <w:t>8</w:t>
            </w:r>
            <w:r w:rsidR="00E7222A">
              <w:rPr>
                <w:noProof/>
                <w:webHidden/>
              </w:rPr>
              <w:fldChar w:fldCharType="end"/>
            </w:r>
          </w:hyperlink>
        </w:p>
        <w:p w14:paraId="12C48450" w14:textId="0D8D3D34" w:rsidR="00E7222A" w:rsidRDefault="000B20F9">
          <w:pPr>
            <w:pStyle w:val="TOC1"/>
            <w:tabs>
              <w:tab w:val="right" w:leader="dot" w:pos="9016"/>
            </w:tabs>
            <w:rPr>
              <w:rFonts w:asciiTheme="minorHAnsi" w:eastAsiaTheme="minorEastAsia" w:hAnsiTheme="minorHAnsi"/>
              <w:noProof/>
              <w:sz w:val="22"/>
              <w:lang w:eastAsia="en-GB"/>
            </w:rPr>
          </w:pPr>
          <w:hyperlink w:anchor="_Toc110529959" w:history="1">
            <w:r w:rsidR="00E7222A" w:rsidRPr="00ED7E68">
              <w:rPr>
                <w:rStyle w:val="Hyperlink"/>
                <w:noProof/>
              </w:rPr>
              <w:t>Investment appraisal</w:t>
            </w:r>
            <w:r w:rsidR="00E7222A">
              <w:rPr>
                <w:noProof/>
                <w:webHidden/>
              </w:rPr>
              <w:tab/>
            </w:r>
            <w:r w:rsidR="00E7222A">
              <w:rPr>
                <w:noProof/>
                <w:webHidden/>
              </w:rPr>
              <w:fldChar w:fldCharType="begin"/>
            </w:r>
            <w:r w:rsidR="00E7222A">
              <w:rPr>
                <w:noProof/>
                <w:webHidden/>
              </w:rPr>
              <w:instrText xml:space="preserve"> PAGEREF _Toc110529959 \h </w:instrText>
            </w:r>
            <w:r w:rsidR="00E7222A">
              <w:rPr>
                <w:noProof/>
                <w:webHidden/>
              </w:rPr>
            </w:r>
            <w:r w:rsidR="00E7222A">
              <w:rPr>
                <w:noProof/>
                <w:webHidden/>
              </w:rPr>
              <w:fldChar w:fldCharType="separate"/>
            </w:r>
            <w:r w:rsidR="002768EC">
              <w:rPr>
                <w:noProof/>
                <w:webHidden/>
              </w:rPr>
              <w:t>9</w:t>
            </w:r>
            <w:r w:rsidR="00E7222A">
              <w:rPr>
                <w:noProof/>
                <w:webHidden/>
              </w:rPr>
              <w:fldChar w:fldCharType="end"/>
            </w:r>
          </w:hyperlink>
        </w:p>
        <w:p w14:paraId="1814A9B6" w14:textId="6CB52A36" w:rsidR="00E7222A" w:rsidRDefault="000B20F9">
          <w:pPr>
            <w:pStyle w:val="TOC1"/>
            <w:tabs>
              <w:tab w:val="right" w:leader="dot" w:pos="9016"/>
            </w:tabs>
            <w:rPr>
              <w:rFonts w:asciiTheme="minorHAnsi" w:eastAsiaTheme="minorEastAsia" w:hAnsiTheme="minorHAnsi"/>
              <w:noProof/>
              <w:sz w:val="22"/>
              <w:lang w:eastAsia="en-GB"/>
            </w:rPr>
          </w:pPr>
          <w:hyperlink w:anchor="_Toc110529960" w:history="1">
            <w:r w:rsidR="00E7222A" w:rsidRPr="00ED7E68">
              <w:rPr>
                <w:rStyle w:val="Hyperlink"/>
                <w:noProof/>
              </w:rPr>
              <w:t>Conclusion</w:t>
            </w:r>
            <w:r w:rsidR="00E7222A">
              <w:rPr>
                <w:noProof/>
                <w:webHidden/>
              </w:rPr>
              <w:tab/>
            </w:r>
            <w:r w:rsidR="00E7222A">
              <w:rPr>
                <w:noProof/>
                <w:webHidden/>
              </w:rPr>
              <w:fldChar w:fldCharType="begin"/>
            </w:r>
            <w:r w:rsidR="00E7222A">
              <w:rPr>
                <w:noProof/>
                <w:webHidden/>
              </w:rPr>
              <w:instrText xml:space="preserve"> PAGEREF _Toc110529960 \h </w:instrText>
            </w:r>
            <w:r w:rsidR="00E7222A">
              <w:rPr>
                <w:noProof/>
                <w:webHidden/>
              </w:rPr>
            </w:r>
            <w:r w:rsidR="00E7222A">
              <w:rPr>
                <w:noProof/>
                <w:webHidden/>
              </w:rPr>
              <w:fldChar w:fldCharType="separate"/>
            </w:r>
            <w:r w:rsidR="002768EC">
              <w:rPr>
                <w:noProof/>
                <w:webHidden/>
              </w:rPr>
              <w:t>11</w:t>
            </w:r>
            <w:r w:rsidR="00E7222A">
              <w:rPr>
                <w:noProof/>
                <w:webHidden/>
              </w:rPr>
              <w:fldChar w:fldCharType="end"/>
            </w:r>
          </w:hyperlink>
        </w:p>
        <w:p w14:paraId="6BBF6AE1" w14:textId="7F3B502D" w:rsidR="00E7222A" w:rsidRDefault="000B20F9">
          <w:pPr>
            <w:pStyle w:val="TOC1"/>
            <w:tabs>
              <w:tab w:val="right" w:leader="dot" w:pos="9016"/>
            </w:tabs>
            <w:rPr>
              <w:rFonts w:asciiTheme="minorHAnsi" w:eastAsiaTheme="minorEastAsia" w:hAnsiTheme="minorHAnsi"/>
              <w:noProof/>
              <w:sz w:val="22"/>
              <w:lang w:eastAsia="en-GB"/>
            </w:rPr>
          </w:pPr>
          <w:hyperlink w:anchor="_Toc110529961" w:history="1">
            <w:r w:rsidR="00E7222A" w:rsidRPr="00ED7E68">
              <w:rPr>
                <w:rStyle w:val="Hyperlink"/>
                <w:noProof/>
              </w:rPr>
              <w:t>Reference list</w:t>
            </w:r>
            <w:r w:rsidR="00E7222A">
              <w:rPr>
                <w:noProof/>
                <w:webHidden/>
              </w:rPr>
              <w:tab/>
            </w:r>
            <w:r w:rsidR="00E7222A">
              <w:rPr>
                <w:noProof/>
                <w:webHidden/>
              </w:rPr>
              <w:fldChar w:fldCharType="begin"/>
            </w:r>
            <w:r w:rsidR="00E7222A">
              <w:rPr>
                <w:noProof/>
                <w:webHidden/>
              </w:rPr>
              <w:instrText xml:space="preserve"> PAGEREF _Toc110529961 \h </w:instrText>
            </w:r>
            <w:r w:rsidR="00E7222A">
              <w:rPr>
                <w:noProof/>
                <w:webHidden/>
              </w:rPr>
            </w:r>
            <w:r w:rsidR="00E7222A">
              <w:rPr>
                <w:noProof/>
                <w:webHidden/>
              </w:rPr>
              <w:fldChar w:fldCharType="separate"/>
            </w:r>
            <w:r w:rsidR="002768EC">
              <w:rPr>
                <w:noProof/>
                <w:webHidden/>
              </w:rPr>
              <w:t>12</w:t>
            </w:r>
            <w:r w:rsidR="00E7222A">
              <w:rPr>
                <w:noProof/>
                <w:webHidden/>
              </w:rPr>
              <w:fldChar w:fldCharType="end"/>
            </w:r>
          </w:hyperlink>
        </w:p>
        <w:p w14:paraId="26B89871" w14:textId="297429AF" w:rsidR="002B51E7" w:rsidRPr="002B51E7" w:rsidRDefault="002B51E7">
          <w:pPr>
            <w:rPr>
              <w:rFonts w:cs="Times New Roman"/>
              <w:szCs w:val="24"/>
            </w:rPr>
          </w:pPr>
          <w:r w:rsidRPr="002B51E7">
            <w:rPr>
              <w:rFonts w:cs="Times New Roman"/>
              <w:b/>
              <w:bCs/>
              <w:noProof/>
              <w:szCs w:val="24"/>
            </w:rPr>
            <w:fldChar w:fldCharType="end"/>
          </w:r>
        </w:p>
      </w:sdtContent>
    </w:sdt>
    <w:p w14:paraId="736420E7" w14:textId="6831E814" w:rsidR="002B51E7" w:rsidRDefault="002B51E7" w:rsidP="002B51E7">
      <w:pPr>
        <w:pStyle w:val="Heading1"/>
      </w:pPr>
    </w:p>
    <w:p w14:paraId="5DA14106" w14:textId="0E486364" w:rsidR="002B51E7" w:rsidRDefault="002B51E7" w:rsidP="002B51E7"/>
    <w:p w14:paraId="678B8298" w14:textId="0CAD1253" w:rsidR="002B51E7" w:rsidRDefault="00A604EE" w:rsidP="00A604EE">
      <w:pPr>
        <w:jc w:val="center"/>
      </w:pPr>
      <w:r>
        <w:t>Table of Figures</w:t>
      </w:r>
    </w:p>
    <w:p w14:paraId="55AE9648" w14:textId="77777777" w:rsidR="00A604EE" w:rsidRDefault="00A604EE" w:rsidP="00A604EE">
      <w:pPr>
        <w:jc w:val="center"/>
      </w:pPr>
    </w:p>
    <w:p w14:paraId="4733E21F" w14:textId="3F18497D"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fldChar w:fldCharType="begin"/>
      </w:r>
      <w:r>
        <w:instrText xml:space="preserve"> TOC \c "Figure" </w:instrText>
      </w:r>
      <w:r>
        <w:fldChar w:fldCharType="separate"/>
      </w:r>
      <w:r>
        <w:rPr>
          <w:noProof/>
        </w:rPr>
        <w:t>Figure 1. Market Capitalisation. Top 10 leading oil and gas companies</w:t>
      </w:r>
      <w:r>
        <w:rPr>
          <w:noProof/>
        </w:rPr>
        <w:tab/>
      </w:r>
      <w:r>
        <w:rPr>
          <w:noProof/>
        </w:rPr>
        <w:fldChar w:fldCharType="begin"/>
      </w:r>
      <w:r>
        <w:rPr>
          <w:noProof/>
        </w:rPr>
        <w:instrText xml:space="preserve"> PAGEREF _Toc110528490 \h </w:instrText>
      </w:r>
      <w:r>
        <w:rPr>
          <w:noProof/>
        </w:rPr>
      </w:r>
      <w:r>
        <w:rPr>
          <w:noProof/>
        </w:rPr>
        <w:fldChar w:fldCharType="separate"/>
      </w:r>
      <w:r w:rsidR="002768EC">
        <w:rPr>
          <w:noProof/>
        </w:rPr>
        <w:t>3</w:t>
      </w:r>
      <w:r>
        <w:rPr>
          <w:noProof/>
        </w:rPr>
        <w:fldChar w:fldCharType="end"/>
      </w:r>
    </w:p>
    <w:p w14:paraId="2C769701" w14:textId="12569570"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2 Shell's net profit/loss 2008-2021</w:t>
      </w:r>
      <w:r>
        <w:rPr>
          <w:noProof/>
        </w:rPr>
        <w:tab/>
      </w:r>
      <w:r>
        <w:rPr>
          <w:noProof/>
        </w:rPr>
        <w:fldChar w:fldCharType="begin"/>
      </w:r>
      <w:r>
        <w:rPr>
          <w:noProof/>
        </w:rPr>
        <w:instrText xml:space="preserve"> PAGEREF _Toc110528491 \h </w:instrText>
      </w:r>
      <w:r>
        <w:rPr>
          <w:noProof/>
        </w:rPr>
      </w:r>
      <w:r>
        <w:rPr>
          <w:noProof/>
        </w:rPr>
        <w:fldChar w:fldCharType="separate"/>
      </w:r>
      <w:r w:rsidR="002768EC">
        <w:rPr>
          <w:noProof/>
        </w:rPr>
        <w:t>3</w:t>
      </w:r>
      <w:r>
        <w:rPr>
          <w:noProof/>
        </w:rPr>
        <w:fldChar w:fldCharType="end"/>
      </w:r>
    </w:p>
    <w:p w14:paraId="5C8BCFBD" w14:textId="523B8548"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3 Oil price fluctuations and assumptions</w:t>
      </w:r>
      <w:r>
        <w:rPr>
          <w:noProof/>
        </w:rPr>
        <w:tab/>
      </w:r>
      <w:r>
        <w:rPr>
          <w:noProof/>
        </w:rPr>
        <w:fldChar w:fldCharType="begin"/>
      </w:r>
      <w:r>
        <w:rPr>
          <w:noProof/>
        </w:rPr>
        <w:instrText xml:space="preserve"> PAGEREF _Toc110528492 \h </w:instrText>
      </w:r>
      <w:r>
        <w:rPr>
          <w:noProof/>
        </w:rPr>
      </w:r>
      <w:r>
        <w:rPr>
          <w:noProof/>
        </w:rPr>
        <w:fldChar w:fldCharType="separate"/>
      </w:r>
      <w:r w:rsidR="002768EC">
        <w:rPr>
          <w:noProof/>
        </w:rPr>
        <w:t>5</w:t>
      </w:r>
      <w:r>
        <w:rPr>
          <w:noProof/>
        </w:rPr>
        <w:fldChar w:fldCharType="end"/>
      </w:r>
    </w:p>
    <w:p w14:paraId="7AAD5F59" w14:textId="347FAE6F"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4 Shell historical data. Annual % change</w:t>
      </w:r>
      <w:r>
        <w:rPr>
          <w:noProof/>
        </w:rPr>
        <w:tab/>
      </w:r>
      <w:r>
        <w:rPr>
          <w:noProof/>
        </w:rPr>
        <w:fldChar w:fldCharType="begin"/>
      </w:r>
      <w:r>
        <w:rPr>
          <w:noProof/>
        </w:rPr>
        <w:instrText xml:space="preserve"> PAGEREF _Toc110528493 \h </w:instrText>
      </w:r>
      <w:r>
        <w:rPr>
          <w:noProof/>
        </w:rPr>
      </w:r>
      <w:r>
        <w:rPr>
          <w:noProof/>
        </w:rPr>
        <w:fldChar w:fldCharType="separate"/>
      </w:r>
      <w:r w:rsidR="002768EC">
        <w:rPr>
          <w:noProof/>
        </w:rPr>
        <w:t>7</w:t>
      </w:r>
      <w:r>
        <w:rPr>
          <w:noProof/>
        </w:rPr>
        <w:fldChar w:fldCharType="end"/>
      </w:r>
    </w:p>
    <w:p w14:paraId="682FC36E" w14:textId="23E69B6C"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 xml:space="preserve">Figure 5 Historical Data. Shell Plc Dividends 2017-2022 </w:t>
      </w:r>
      <w:r>
        <w:rPr>
          <w:noProof/>
        </w:rPr>
        <w:tab/>
      </w:r>
      <w:r>
        <w:rPr>
          <w:noProof/>
        </w:rPr>
        <w:fldChar w:fldCharType="begin"/>
      </w:r>
      <w:r>
        <w:rPr>
          <w:noProof/>
        </w:rPr>
        <w:instrText xml:space="preserve"> PAGEREF _Toc110528494 \h </w:instrText>
      </w:r>
      <w:r>
        <w:rPr>
          <w:noProof/>
        </w:rPr>
      </w:r>
      <w:r>
        <w:rPr>
          <w:noProof/>
        </w:rPr>
        <w:fldChar w:fldCharType="separate"/>
      </w:r>
      <w:r w:rsidR="002768EC">
        <w:rPr>
          <w:noProof/>
        </w:rPr>
        <w:t>7</w:t>
      </w:r>
      <w:r>
        <w:rPr>
          <w:noProof/>
        </w:rPr>
        <w:fldChar w:fldCharType="end"/>
      </w:r>
    </w:p>
    <w:p w14:paraId="0B693499" w14:textId="56266877"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Figure 6 Shell Plc – NYSE: Market share price</w:t>
      </w:r>
      <w:r>
        <w:rPr>
          <w:noProof/>
        </w:rPr>
        <w:tab/>
      </w:r>
      <w:r>
        <w:rPr>
          <w:noProof/>
        </w:rPr>
        <w:fldChar w:fldCharType="begin"/>
      </w:r>
      <w:r>
        <w:rPr>
          <w:noProof/>
        </w:rPr>
        <w:instrText xml:space="preserve"> PAGEREF _Toc110528495 \h </w:instrText>
      </w:r>
      <w:r>
        <w:rPr>
          <w:noProof/>
        </w:rPr>
      </w:r>
      <w:r>
        <w:rPr>
          <w:noProof/>
        </w:rPr>
        <w:fldChar w:fldCharType="separate"/>
      </w:r>
      <w:r w:rsidR="002768EC">
        <w:rPr>
          <w:noProof/>
        </w:rPr>
        <w:t>9</w:t>
      </w:r>
      <w:r>
        <w:rPr>
          <w:noProof/>
        </w:rPr>
        <w:fldChar w:fldCharType="end"/>
      </w:r>
    </w:p>
    <w:p w14:paraId="5E1378B1" w14:textId="1CC80090" w:rsidR="00C64F81" w:rsidRDefault="00C64F81" w:rsidP="00A604EE">
      <w:pPr>
        <w:pStyle w:val="TableofFigures"/>
        <w:tabs>
          <w:tab w:val="right" w:leader="dot" w:pos="9016"/>
        </w:tabs>
        <w:spacing w:line="360" w:lineRule="auto"/>
        <w:rPr>
          <w:rFonts w:asciiTheme="minorHAnsi" w:eastAsiaTheme="minorEastAsia" w:hAnsiTheme="minorHAnsi"/>
          <w:noProof/>
          <w:sz w:val="22"/>
          <w:lang w:eastAsia="en-GB"/>
        </w:rPr>
      </w:pPr>
      <w:r>
        <w:rPr>
          <w:noProof/>
        </w:rPr>
        <w:t xml:space="preserve">Figure 7 Investments and returns </w:t>
      </w:r>
      <w:r>
        <w:rPr>
          <w:noProof/>
        </w:rPr>
        <w:tab/>
      </w:r>
      <w:r>
        <w:rPr>
          <w:noProof/>
        </w:rPr>
        <w:fldChar w:fldCharType="begin"/>
      </w:r>
      <w:r>
        <w:rPr>
          <w:noProof/>
        </w:rPr>
        <w:instrText xml:space="preserve"> PAGEREF _Toc110528496 \h </w:instrText>
      </w:r>
      <w:r>
        <w:rPr>
          <w:noProof/>
        </w:rPr>
      </w:r>
      <w:r>
        <w:rPr>
          <w:noProof/>
        </w:rPr>
        <w:fldChar w:fldCharType="separate"/>
      </w:r>
      <w:r w:rsidR="002768EC">
        <w:rPr>
          <w:noProof/>
        </w:rPr>
        <w:t>10</w:t>
      </w:r>
      <w:r>
        <w:rPr>
          <w:noProof/>
        </w:rPr>
        <w:fldChar w:fldCharType="end"/>
      </w:r>
    </w:p>
    <w:p w14:paraId="19220ADC" w14:textId="2C0A1776" w:rsidR="002B51E7" w:rsidRDefault="00C64F81" w:rsidP="00A604EE">
      <w:pPr>
        <w:spacing w:line="360" w:lineRule="auto"/>
      </w:pPr>
      <w:r>
        <w:fldChar w:fldCharType="end"/>
      </w:r>
    </w:p>
    <w:p w14:paraId="0D2F564D" w14:textId="750BD101" w:rsidR="002B51E7" w:rsidRDefault="002B51E7" w:rsidP="002B51E7"/>
    <w:p w14:paraId="615E0BFF" w14:textId="384114E2" w:rsidR="002B51E7" w:rsidRDefault="002B51E7" w:rsidP="002B51E7"/>
    <w:p w14:paraId="33CB06F5" w14:textId="466D7D1D" w:rsidR="002B51E7" w:rsidRDefault="002B51E7" w:rsidP="002B51E7"/>
    <w:p w14:paraId="7165A0B1" w14:textId="68D962BD" w:rsidR="002B51E7" w:rsidRDefault="002B51E7" w:rsidP="002B51E7"/>
    <w:p w14:paraId="76ADED29" w14:textId="2BFD8478" w:rsidR="002B51E7" w:rsidRDefault="002B51E7" w:rsidP="002B51E7"/>
    <w:p w14:paraId="57AAB973" w14:textId="16944FD2" w:rsidR="002B51E7" w:rsidRDefault="002B51E7" w:rsidP="00A604EE">
      <w:pPr>
        <w:ind w:firstLine="0"/>
      </w:pPr>
    </w:p>
    <w:p w14:paraId="57CBA4BA" w14:textId="77777777" w:rsidR="00E7222A" w:rsidRDefault="00E7222A" w:rsidP="00A604EE">
      <w:pPr>
        <w:ind w:firstLine="0"/>
      </w:pPr>
    </w:p>
    <w:p w14:paraId="52C6ECED" w14:textId="77777777" w:rsidR="002B51E7" w:rsidRPr="002B51E7" w:rsidRDefault="002B51E7" w:rsidP="00C75297">
      <w:pPr>
        <w:ind w:firstLine="0"/>
      </w:pPr>
    </w:p>
    <w:p w14:paraId="6FB4A60C" w14:textId="56220D46" w:rsidR="003D6FB8" w:rsidRPr="003D6FB8" w:rsidRDefault="003D6FB8" w:rsidP="002B51E7">
      <w:pPr>
        <w:pStyle w:val="Heading1"/>
      </w:pPr>
      <w:bookmarkStart w:id="0" w:name="_Toc110529954"/>
      <w:r w:rsidRPr="003D6FB8">
        <w:lastRenderedPageBreak/>
        <w:t>Introduction</w:t>
      </w:r>
      <w:bookmarkEnd w:id="0"/>
    </w:p>
    <w:p w14:paraId="55452722" w14:textId="77777777" w:rsidR="003D6FB8" w:rsidRPr="003D6FB8" w:rsidRDefault="003D6FB8">
      <w:pPr>
        <w:rPr>
          <w:rFonts w:cs="Times New Roman"/>
          <w:szCs w:val="24"/>
        </w:rPr>
      </w:pPr>
    </w:p>
    <w:p w14:paraId="372B2C33" w14:textId="11EFE45E" w:rsidR="008A1819" w:rsidRPr="000D43CA" w:rsidRDefault="000D43CA" w:rsidP="002768EC">
      <w:pPr>
        <w:spacing w:line="360" w:lineRule="auto"/>
        <w:rPr>
          <w:rFonts w:cs="Times New Roman"/>
          <w:szCs w:val="24"/>
        </w:rPr>
      </w:pPr>
      <w:r w:rsidRPr="000D43CA">
        <w:rPr>
          <w:rFonts w:cs="Times New Roman"/>
          <w:szCs w:val="24"/>
        </w:rPr>
        <w:t>The difficulties that Shell Plc may be encountering in various foreign markets are covered in this report. An overview of the company will be depicted, and the importance of international financial management and the challenges in the international markets will be outlined. Furthermore, the dividend distribution policy and the methods of appraising projects will be analysed and evaluated, and an analysis of the markets where the company operates through the efficient market hypothesis theory will be done.</w:t>
      </w:r>
    </w:p>
    <w:p w14:paraId="7D681499" w14:textId="77169FD2" w:rsidR="00E77E86" w:rsidRDefault="00975175" w:rsidP="002768EC">
      <w:pPr>
        <w:spacing w:line="360" w:lineRule="auto"/>
      </w:pPr>
      <w:r w:rsidRPr="00975175">
        <w:t>Shell Plc, headquartered in London, known as Royal Dutch Shell Plc until January 2022, is a British international energy, oil and gas group of companies operating in more than 70 countries with 82,000 employees worldwide (Shell Global, 2021,p. 6)</w:t>
      </w:r>
      <w:r w:rsidR="00334B40" w:rsidRPr="00334B40">
        <w:t>. The Group transports oil and gas and operates the upstream and midstream infrastructure required to get oil and gas to market, and explores for and recovers crude oil, natural gas, and natural gas liquids (NGLs)(Shell Global, n.d.-a). It also sells, refines, and produces chemicals, gas power, electricity and oil goods and provides gas stations, vehicle technical assistance services, and supply and distribution services for petroleum products (Shell Global, n.d.-a). It is the top lubricants provider worldwide, delivering to consumers in more than 100 countries (Shell Global, n.d.-b).</w:t>
      </w:r>
      <w:r w:rsidR="00C950C1" w:rsidRPr="00C950C1">
        <w:t xml:space="preserve"> </w:t>
      </w:r>
    </w:p>
    <w:p w14:paraId="1EEC8BAA" w14:textId="55E2001B" w:rsidR="009C1F2E" w:rsidRDefault="009C1F2E" w:rsidP="002768EC">
      <w:pPr>
        <w:spacing w:line="360" w:lineRule="auto"/>
      </w:pPr>
      <w:r w:rsidRPr="009C1F2E">
        <w:t>The cumulative annual growth rate (CAGR) for the worldwide oil and gas industry market size is forecasted to increase from 6,098.98 billion US dollars in 2021 to 6,819.04 billion US dollars in 2022 and hit 10,376.28 billion US dollars in 2026, at a CAGR of 11.1 % (Yahoo Finance,2022). With a market capitalisation of 213.64 billion US dollars as of April 2022</w:t>
      </w:r>
      <w:r w:rsidR="00D9372F">
        <w:t xml:space="preserve"> </w:t>
      </w:r>
      <w:r w:rsidRPr="009C1F2E">
        <w:t>(Statista, 2022-a), the company is ranked fourth as a leading oil and gas producer, according to the graph below.</w:t>
      </w:r>
    </w:p>
    <w:p w14:paraId="261F17DC" w14:textId="1497CEFD" w:rsidR="00F30E57" w:rsidRDefault="00C008A4" w:rsidP="00882EC6">
      <w:pPr>
        <w:rPr>
          <w:rFonts w:cs="Times New Roman"/>
          <w:szCs w:val="24"/>
        </w:rPr>
      </w:pPr>
      <w:r>
        <w:rPr>
          <w:noProof/>
        </w:rPr>
        <w:lastRenderedPageBreak/>
        <w:drawing>
          <wp:inline distT="0" distB="0" distL="0" distR="0" wp14:anchorId="75A2956D" wp14:editId="6FA2EE71">
            <wp:extent cx="5162550" cy="334256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8054" cy="3378497"/>
                    </a:xfrm>
                    <a:prstGeom prst="rect">
                      <a:avLst/>
                    </a:prstGeom>
                    <a:noFill/>
                    <a:ln>
                      <a:noFill/>
                    </a:ln>
                  </pic:spPr>
                </pic:pic>
              </a:graphicData>
            </a:graphic>
          </wp:inline>
        </w:drawing>
      </w:r>
    </w:p>
    <w:p w14:paraId="62485AF1" w14:textId="5B5A5F73" w:rsidR="005230C6" w:rsidRDefault="00297274" w:rsidP="00E7222A">
      <w:pPr>
        <w:pStyle w:val="Caption"/>
        <w:jc w:val="center"/>
      </w:pPr>
      <w:bookmarkStart w:id="1" w:name="_Toc110528490"/>
      <w:r>
        <w:t xml:space="preserve">Figure </w:t>
      </w:r>
      <w:fldSimple w:instr=" SEQ Figure \* ARABIC ">
        <w:r w:rsidR="000B4AFA">
          <w:rPr>
            <w:noProof/>
          </w:rPr>
          <w:t>1</w:t>
        </w:r>
      </w:fldSimple>
      <w:r>
        <w:t xml:space="preserve">. Market Capitalisation. </w:t>
      </w:r>
      <w:r w:rsidR="008A1819">
        <w:t>Top 10</w:t>
      </w:r>
      <w:r w:rsidR="006725D6">
        <w:t xml:space="preserve"> </w:t>
      </w:r>
      <w:r w:rsidR="008A1819">
        <w:t>l</w:t>
      </w:r>
      <w:r>
        <w:t>eading oil and gas companies</w:t>
      </w:r>
      <w:r w:rsidR="005230C6">
        <w:t xml:space="preserve"> (Statista 2022</w:t>
      </w:r>
      <w:r w:rsidR="0021371D">
        <w:t>-a</w:t>
      </w:r>
      <w:r w:rsidR="005230C6">
        <w:t>)</w:t>
      </w:r>
      <w:r w:rsidR="008A1819">
        <w:t>.</w:t>
      </w:r>
      <w:bookmarkEnd w:id="1"/>
    </w:p>
    <w:p w14:paraId="3F854935" w14:textId="77777777" w:rsidR="002768EC" w:rsidRPr="002768EC" w:rsidRDefault="002768EC" w:rsidP="002768EC"/>
    <w:p w14:paraId="4EC52331" w14:textId="7C333458" w:rsidR="000C693A" w:rsidRDefault="000C693A" w:rsidP="002768EC">
      <w:pPr>
        <w:spacing w:line="360" w:lineRule="auto"/>
      </w:pPr>
      <w:r w:rsidRPr="000C693A">
        <w:t>On 2020 due to the pandemic, the company recorded an unprecedented financial loss of over 21.5 billion US dollars, with a sharp upswing on 2021, recording a profit of 20.6 billion US dollars</w:t>
      </w:r>
      <w:r w:rsidR="00E81A7E">
        <w:t>,</w:t>
      </w:r>
      <w:r w:rsidRPr="000C693A">
        <w:t xml:space="preserve"> </w:t>
      </w:r>
      <w:r w:rsidR="00EA14F1" w:rsidRPr="00EA14F1">
        <w:t xml:space="preserve">as shown in the </w:t>
      </w:r>
      <w:r w:rsidR="00A57904">
        <w:t xml:space="preserve">following </w:t>
      </w:r>
      <w:r w:rsidR="00EA14F1" w:rsidRPr="00EA14F1">
        <w:t xml:space="preserve">graph </w:t>
      </w:r>
      <w:r w:rsidR="00EA14F1">
        <w:t>(Figure 2)</w:t>
      </w:r>
      <w:r w:rsidR="00EA14F1" w:rsidRPr="00EA14F1">
        <w:t>.</w:t>
      </w:r>
    </w:p>
    <w:p w14:paraId="4811EC95" w14:textId="77777777" w:rsidR="000C693A" w:rsidRDefault="000C693A" w:rsidP="00495533"/>
    <w:p w14:paraId="29F2A9CD" w14:textId="77777777" w:rsidR="00D96AA4" w:rsidRDefault="000C693A" w:rsidP="00D96AA4">
      <w:pPr>
        <w:keepNext/>
      </w:pPr>
      <w:r>
        <w:rPr>
          <w:noProof/>
        </w:rPr>
        <w:drawing>
          <wp:inline distT="0" distB="0" distL="0" distR="0" wp14:anchorId="25BA1E08" wp14:editId="701EEE2C">
            <wp:extent cx="5168900" cy="2679130"/>
            <wp:effectExtent l="0" t="0" r="0" b="698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6513" cy="2708992"/>
                    </a:xfrm>
                    <a:prstGeom prst="rect">
                      <a:avLst/>
                    </a:prstGeom>
                    <a:noFill/>
                    <a:ln>
                      <a:noFill/>
                    </a:ln>
                  </pic:spPr>
                </pic:pic>
              </a:graphicData>
            </a:graphic>
          </wp:inline>
        </w:drawing>
      </w:r>
    </w:p>
    <w:p w14:paraId="7188EB70" w14:textId="67858DEA" w:rsidR="000C693A" w:rsidRDefault="00D96AA4" w:rsidP="00D96AA4">
      <w:pPr>
        <w:pStyle w:val="Caption"/>
        <w:jc w:val="center"/>
      </w:pPr>
      <w:bookmarkStart w:id="2" w:name="_Toc110528491"/>
      <w:r>
        <w:t xml:space="preserve">Figure </w:t>
      </w:r>
      <w:fldSimple w:instr=" SEQ Figure \* ARABIC ">
        <w:r w:rsidR="000B4AFA">
          <w:rPr>
            <w:noProof/>
          </w:rPr>
          <w:t>2</w:t>
        </w:r>
      </w:fldSimple>
      <w:r>
        <w:t xml:space="preserve"> </w:t>
      </w:r>
      <w:r w:rsidR="006606A1" w:rsidRPr="006606A1">
        <w:t xml:space="preserve">Shell's net profit/loss 2008-2021 </w:t>
      </w:r>
      <w:r>
        <w:t>(Statista, 2022</w:t>
      </w:r>
      <w:r w:rsidR="0058268E">
        <w:t>-b</w:t>
      </w:r>
      <w:r>
        <w:t>)</w:t>
      </w:r>
      <w:bookmarkEnd w:id="2"/>
    </w:p>
    <w:p w14:paraId="32CD5FEE" w14:textId="77777777" w:rsidR="000C693A" w:rsidRDefault="000C693A" w:rsidP="00C75297">
      <w:pPr>
        <w:ind w:firstLine="0"/>
      </w:pPr>
    </w:p>
    <w:p w14:paraId="64B7BA32" w14:textId="5033C34D" w:rsidR="00DF7703" w:rsidRDefault="00DF7703" w:rsidP="002768EC">
      <w:pPr>
        <w:spacing w:line="360" w:lineRule="auto"/>
      </w:pPr>
      <w:r w:rsidRPr="00DF7703">
        <w:lastRenderedPageBreak/>
        <w:t xml:space="preserve">As pointed out by Bousso and Nasralla (2022), this year is on a completely different page, thanks to the mix between the increased oil and gas prices from the commodity price volatility brought on by Russia's invasion of Ukraine, the successful operations of its trading division and the exceptional refining profitability leading Shell to report a record first-quarter net income of 9.13 billion US dollars. </w:t>
      </w:r>
      <w:r w:rsidR="00CB4204">
        <w:t xml:space="preserve">Based on the data </w:t>
      </w:r>
      <w:r w:rsidR="00CA3A94">
        <w:t>cited</w:t>
      </w:r>
      <w:r w:rsidR="004602E0">
        <w:t xml:space="preserve"> </w:t>
      </w:r>
      <w:r w:rsidR="00CA3A94">
        <w:t>above</w:t>
      </w:r>
      <w:r w:rsidR="006C1B3C">
        <w:t>,</w:t>
      </w:r>
      <w:r w:rsidR="00CA3A94">
        <w:t xml:space="preserve"> t</w:t>
      </w:r>
      <w:r w:rsidRPr="00DF7703">
        <w:t xml:space="preserve">his first quarter's net income amounts to 44.3% of the total of last year's profits. </w:t>
      </w:r>
    </w:p>
    <w:p w14:paraId="5DD7E843" w14:textId="21FA1AB3" w:rsidR="002768EC" w:rsidRDefault="00502D26" w:rsidP="002768EC">
      <w:pPr>
        <w:spacing w:line="360" w:lineRule="auto"/>
      </w:pPr>
      <w:r w:rsidRPr="00502D26">
        <w:t xml:space="preserve">On a global scale, being a significant oil and gas producer, the main competitors of the Group are the companies listed in the graph above (Figure 1). </w:t>
      </w:r>
      <w:r w:rsidR="00A8620D" w:rsidRPr="00A8620D">
        <w:t>However, the players in the competition game might change when it comes to specific sectors or different markets where the company operates. In Europe, the major oil and gas competitors of the Group are Gazprom, Rosneft and BP (MarketLine, 2021). For example, in East Africa, in Kenya, the leading four players are Vivo Energy Kenya - Shell's retailer, TotalEnergies Marketing Kenya, Ola Energy and Rubis Energies SAS (Mutua, 2022). As of 2019, Shell's market share in the country was 12.3%, behind TotalEnergies Marketing Kenya with 13.1%  and Rubis Energies SAS, which, thanks to the Kenol Kobil acquisition, went first with almost 20%</w:t>
      </w:r>
      <w:r w:rsidR="00897D03">
        <w:t xml:space="preserve"> </w:t>
      </w:r>
      <w:r w:rsidR="00A8620D" w:rsidRPr="00A8620D">
        <w:t>(Ruto, 2022). However, as of 2022, according to Mutua (2022), the situation changed, with Shell becoming the top leader with a 26.52% market share leaving behind TotalEnergies which increased to 17.7% and Rubis, which lost a critical piece of market share, dropping to 10.73%.</w:t>
      </w:r>
      <w:bookmarkStart w:id="3" w:name="_Toc110529955"/>
    </w:p>
    <w:p w14:paraId="5850AD0D" w14:textId="44BD3E24" w:rsidR="00075B60" w:rsidRDefault="00075B60" w:rsidP="00C4494B">
      <w:pPr>
        <w:pStyle w:val="Heading1"/>
      </w:pPr>
      <w:r>
        <w:t>The importance of International</w:t>
      </w:r>
      <w:r w:rsidR="004F7830">
        <w:t xml:space="preserve"> Financial Management</w:t>
      </w:r>
      <w:bookmarkEnd w:id="3"/>
    </w:p>
    <w:p w14:paraId="7C6E32D2" w14:textId="77777777" w:rsidR="00C4494B" w:rsidRPr="00C4494B" w:rsidRDefault="00C4494B" w:rsidP="00C4494B"/>
    <w:p w14:paraId="1A2A0EB2" w14:textId="11D93007" w:rsidR="002768EC" w:rsidRDefault="005A7D6F" w:rsidP="002768EC">
      <w:pPr>
        <w:spacing w:line="360" w:lineRule="auto"/>
      </w:pPr>
      <w:r>
        <w:t xml:space="preserve">The main focus of financial management in an international context is on making various financial decisions in the best possible way to accomplish a particular set of business objectives (Bekaert and Hodrick, 2017). International financial management includes foreign exchange, markets, and political situations. It differs from the domestic one because political conditions and markets are different. The use of technology and increased access to the world enabled globalisation, a well-known phenomenon, to begin when countries opened their doors to one another. Companies started exploring alternatives outside their home countries. Due to their global context, multinational companies have an advantage over other traditional businesses. Globalisation and agreements like NAFTA, WTO, EU, Mercosur, ASEAN and GATT have shaped international trade (Bekaert and Hodrick, 2013). Such initiatives easily allow a business to operate globally and help in the smooth exchange of goods and services internationally. Operating in the international financial markets without international management could be difficult because they are different from domestic markets. If a company </w:t>
      </w:r>
      <w:r>
        <w:lastRenderedPageBreak/>
        <w:t>handles international finances well, it can achieve the same efficiency and effectiveness in all markets. Financial managers are tasked with finding the best opportunities in an imperfect market. Investment and financial decisions made by financial managers are the main factors that influence a company's success; their understanding of international financial management is vital for a firm to expand and remain stable (Arnold, 2013, p.5).</w:t>
      </w:r>
    </w:p>
    <w:p w14:paraId="3EF5FB14" w14:textId="4283BE78" w:rsidR="00A604EE" w:rsidRDefault="0019348F" w:rsidP="00A604EE">
      <w:pPr>
        <w:pStyle w:val="Heading1"/>
      </w:pPr>
      <w:bookmarkStart w:id="4" w:name="_Toc110529956"/>
      <w:r>
        <w:t>Challenges in international markets</w:t>
      </w:r>
      <w:bookmarkEnd w:id="4"/>
    </w:p>
    <w:p w14:paraId="433E433B" w14:textId="77777777" w:rsidR="002A01D7" w:rsidRPr="002A01D7" w:rsidRDefault="002A01D7" w:rsidP="002A01D7">
      <w:pPr>
        <w:ind w:firstLine="0"/>
        <w:rPr>
          <w:sz w:val="16"/>
          <w:szCs w:val="16"/>
        </w:rPr>
      </w:pPr>
    </w:p>
    <w:p w14:paraId="0FBA4E4D" w14:textId="5876887C" w:rsidR="002A01D7" w:rsidRDefault="0019348F" w:rsidP="002768EC">
      <w:pPr>
        <w:spacing w:line="360" w:lineRule="auto"/>
      </w:pPr>
      <w:r>
        <w:t>Operating abroad, Shell Plc is exposed to a wide range of strategic, operational, and cultural risks that, individually or combined, might potentially affect its revenue, cash flow, and financial health</w:t>
      </w:r>
      <w:r w:rsidR="00EA5A90">
        <w:t xml:space="preserve"> (</w:t>
      </w:r>
      <w:r w:rsidR="002F4BBF">
        <w:t>Shell Global, 2021, p.22</w:t>
      </w:r>
      <w:r w:rsidR="00EA5A90">
        <w:t>)</w:t>
      </w:r>
      <w:r>
        <w:t xml:space="preserve">. The fluctuation in the price of crude oil, natural gas and petroleum and chemical products is a macroeconomic risk that the Group faces and tries to contain by diversifying its portfolio to manage price volatility and preparing annual strategic and financial plans that test </w:t>
      </w:r>
      <w:r w:rsidR="00BB3E30">
        <w:t>various</w:t>
      </w:r>
      <w:r>
        <w:t xml:space="preserve"> scenarios and their impact on the prices of the Group's businesses</w:t>
      </w:r>
      <w:r w:rsidR="005A2065">
        <w:t xml:space="preserve"> </w:t>
      </w:r>
      <w:r>
        <w:t>(Shell Global, 2021,p. 22).</w:t>
      </w:r>
    </w:p>
    <w:p w14:paraId="20731E2E" w14:textId="28F707A1" w:rsidR="001E6891" w:rsidRDefault="001E6891" w:rsidP="00BF003A">
      <w:pPr>
        <w:ind w:firstLine="0"/>
        <w:jc w:val="center"/>
      </w:pPr>
      <w:r>
        <w:rPr>
          <w:noProof/>
        </w:rPr>
        <w:drawing>
          <wp:inline distT="0" distB="0" distL="0" distR="0" wp14:anchorId="27EC85EE" wp14:editId="18949811">
            <wp:extent cx="5314950" cy="2082800"/>
            <wp:effectExtent l="0" t="0" r="0" b="0"/>
            <wp:docPr id="7" name="Picture 7"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chart&#10;&#10;Description automatically generated"/>
                    <pic:cNvPicPr/>
                  </pic:nvPicPr>
                  <pic:blipFill>
                    <a:blip r:embed="rId10"/>
                    <a:stretch>
                      <a:fillRect/>
                    </a:stretch>
                  </pic:blipFill>
                  <pic:spPr>
                    <a:xfrm>
                      <a:off x="0" y="0"/>
                      <a:ext cx="5314950" cy="2082800"/>
                    </a:xfrm>
                    <a:prstGeom prst="rect">
                      <a:avLst/>
                    </a:prstGeom>
                  </pic:spPr>
                </pic:pic>
              </a:graphicData>
            </a:graphic>
          </wp:inline>
        </w:drawing>
      </w:r>
    </w:p>
    <w:p w14:paraId="37725942" w14:textId="158988B9" w:rsidR="001E6891" w:rsidRDefault="00FB701F" w:rsidP="00B117D0">
      <w:pPr>
        <w:pStyle w:val="Caption"/>
        <w:jc w:val="center"/>
      </w:pPr>
      <w:bookmarkStart w:id="5" w:name="_Toc110528492"/>
      <w:r>
        <w:t xml:space="preserve">Figure </w:t>
      </w:r>
      <w:fldSimple w:instr=" SEQ Figure \* ARABIC ">
        <w:r w:rsidR="000B4AFA">
          <w:rPr>
            <w:noProof/>
          </w:rPr>
          <w:t>3</w:t>
        </w:r>
      </w:fldSimple>
      <w:r>
        <w:t xml:space="preserve"> Oil price </w:t>
      </w:r>
      <w:r w:rsidR="00674C00">
        <w:t>fluctuations and assumptions (</w:t>
      </w:r>
      <w:r w:rsidR="002C4895">
        <w:t>Shell</w:t>
      </w:r>
      <w:r w:rsidR="001458F0">
        <w:t xml:space="preserve"> Global, 2021, p.243</w:t>
      </w:r>
      <w:r w:rsidR="00674C00">
        <w:t>)</w:t>
      </w:r>
      <w:bookmarkEnd w:id="5"/>
    </w:p>
    <w:p w14:paraId="1F346D94" w14:textId="77777777" w:rsidR="00BF003A" w:rsidRPr="00BF003A" w:rsidRDefault="00BF003A" w:rsidP="00BF003A"/>
    <w:p w14:paraId="276E3EAB" w14:textId="27A724DF" w:rsidR="006236F2" w:rsidRDefault="00343117" w:rsidP="002768EC">
      <w:pPr>
        <w:spacing w:line="360" w:lineRule="auto"/>
        <w:rPr>
          <w:rFonts w:cs="Times New Roman"/>
          <w:color w:val="1B2124"/>
          <w:shd w:val="clear" w:color="auto" w:fill="FFFFFF"/>
        </w:rPr>
      </w:pPr>
      <w:r w:rsidRPr="00343117">
        <w:rPr>
          <w:rFonts w:cs="Times New Roman"/>
          <w:color w:val="1B2124"/>
          <w:shd w:val="clear" w:color="auto" w:fill="FFFFFF"/>
        </w:rPr>
        <w:t>It is unpredictable how oil prices will change in the future, as they have historically been highly volatile, as illustrated in the figure above. Changes in macroeconomic conditions, available supply, demand, and other factors could impact oil prices in the future; that is why the company make assumptions and test different scenarios and their impact on the company activities (Shell Global, 2021, p.243). For example, Brent crude oil fluctuations over the last years have been significantly impacted by two significant events, Covid 19 and the Russian invasion of Ukraine. Its biggest fall was in April 2020, when it reached 9.12</w:t>
      </w:r>
      <w:r w:rsidR="00374A42">
        <w:rPr>
          <w:rFonts w:cs="Times New Roman"/>
          <w:color w:val="1B2124"/>
          <w:shd w:val="clear" w:color="auto" w:fill="FFFFFF"/>
        </w:rPr>
        <w:t xml:space="preserve"> US</w:t>
      </w:r>
      <w:r w:rsidRPr="00343117">
        <w:rPr>
          <w:rFonts w:cs="Times New Roman"/>
          <w:color w:val="1B2124"/>
          <w:shd w:val="clear" w:color="auto" w:fill="FFFFFF"/>
        </w:rPr>
        <w:t xml:space="preserve"> dollars per </w:t>
      </w:r>
      <w:r w:rsidRPr="00343117">
        <w:rPr>
          <w:rFonts w:cs="Times New Roman"/>
          <w:color w:val="1B2124"/>
          <w:shd w:val="clear" w:color="auto" w:fill="FFFFFF"/>
        </w:rPr>
        <w:lastRenderedPageBreak/>
        <w:t xml:space="preserve">barrel due to Covid 19 and in March 2022 saw its most significant rise to 133.18 </w:t>
      </w:r>
      <w:r w:rsidR="00C43B0E">
        <w:rPr>
          <w:rFonts w:cs="Times New Roman"/>
          <w:color w:val="1B2124"/>
          <w:shd w:val="clear" w:color="auto" w:fill="FFFFFF"/>
        </w:rPr>
        <w:t xml:space="preserve">US </w:t>
      </w:r>
      <w:r w:rsidRPr="00343117">
        <w:rPr>
          <w:rFonts w:cs="Times New Roman"/>
          <w:color w:val="1B2124"/>
          <w:shd w:val="clear" w:color="auto" w:fill="FFFFFF"/>
        </w:rPr>
        <w:t>dollars per barrel due to Russia's invasion of Ukraine (Macrotrends, 2022).</w:t>
      </w:r>
      <w:r w:rsidR="00E7222A">
        <w:rPr>
          <w:rFonts w:cs="Times New Roman"/>
          <w:color w:val="1B2124"/>
          <w:shd w:val="clear" w:color="auto" w:fill="FFFFFF"/>
        </w:rPr>
        <w:t xml:space="preserve"> </w:t>
      </w:r>
    </w:p>
    <w:p w14:paraId="460F593A" w14:textId="77777777" w:rsidR="006236F2" w:rsidRDefault="008203C4" w:rsidP="002768EC">
      <w:pPr>
        <w:spacing w:line="360" w:lineRule="auto"/>
      </w:pPr>
      <w:r w:rsidRPr="008203C4">
        <w:t xml:space="preserve">Risks related to foreign exchange, liquidity, credit risk, and interest rates are among the treasury and trade risks to which Shell Plc is exposed (Shell Global, 2021,p. 29). Foreign exchange is one of the most crucial components of the global economy (Bekaert and Hodrick, 2017). The primary focus of the foreign exchange markets is the buying and selling of various currencies. The currency price fluctuations could turn a successful agreement into a losing one which is a risk for a financial manager. The Group try to manage its exposure to changes in interest rates, foreign currency rates, and commodity prices by using various financial instruments and diversifying its portfolio of cash investments to reduce the risk of having all of its investments on a single instrument, nation, or counterparty (Shell Global, 2021, p.38). </w:t>
      </w:r>
    </w:p>
    <w:p w14:paraId="30C7AC26" w14:textId="738DE080" w:rsidR="002768EC" w:rsidRPr="002768EC" w:rsidRDefault="0019348F" w:rsidP="002768EC">
      <w:pPr>
        <w:spacing w:line="360" w:lineRule="auto"/>
      </w:pPr>
      <w:r>
        <w:t>When the government of a country change the rules of the game unexpectedly creates a political risk, and Shell, as a company operating worldwide, is exposed to this risk. However, when the company notices that it no longer functions in a country under the standards and existing legislation or political situation, it is prepared to leave that country, as it recently announced to exit Russia in response to Russia's invasion of Ukraine (BBC, 2022).</w:t>
      </w:r>
    </w:p>
    <w:p w14:paraId="3F1AD3A8" w14:textId="24366635" w:rsidR="006D2F49" w:rsidRDefault="00315C06" w:rsidP="006236F2">
      <w:pPr>
        <w:pStyle w:val="Heading1"/>
      </w:pPr>
      <w:bookmarkStart w:id="6" w:name="_Toc110529957"/>
      <w:r>
        <w:t>Dividend distribution policy</w:t>
      </w:r>
      <w:bookmarkEnd w:id="6"/>
    </w:p>
    <w:p w14:paraId="6DF4F5C7" w14:textId="77777777" w:rsidR="00C4494B" w:rsidRPr="00C4494B" w:rsidRDefault="00C4494B" w:rsidP="00C4494B"/>
    <w:p w14:paraId="5E40F153" w14:textId="77777777" w:rsidR="00E7222A" w:rsidRDefault="005D5C43" w:rsidP="002768EC">
      <w:pPr>
        <w:spacing w:line="360" w:lineRule="auto"/>
      </w:pPr>
      <w:r w:rsidRPr="005D5C43">
        <w:t xml:space="preserve">According to Bekaert and Hodrick(2017), the maximisation of shareholder wealth is the objective of International Finance managers. In other words, maximising shareholders' wealth means maximising the price of the share. The decision is important to be taken by the management of the organisation. Between 2017 and 2021, the annual percentage change in Shell Plc's equity share price has varied from a decline of -40.42% to an increase of 23.51%, as illustrated </w:t>
      </w:r>
      <w:r>
        <w:t>below</w:t>
      </w:r>
      <w:r w:rsidRPr="005D5C43">
        <w:t xml:space="preserve"> (Macrotrends, n.d.). However, even if the share price has gone up on three occasions, the decline on the remaining two occasions has been higher, resulting in an overall decrease in the given period.</w:t>
      </w:r>
    </w:p>
    <w:p w14:paraId="4E34DF20" w14:textId="77777777" w:rsidR="00C4494B" w:rsidRDefault="00C4494B" w:rsidP="00E7222A"/>
    <w:p w14:paraId="65C4EF6C" w14:textId="48401A62" w:rsidR="000432CA" w:rsidRDefault="001420F2" w:rsidP="00E7222A">
      <w:r>
        <w:rPr>
          <w:noProof/>
        </w:rPr>
        <w:lastRenderedPageBreak/>
        <w:drawing>
          <wp:inline distT="0" distB="0" distL="0" distR="0" wp14:anchorId="1E5B6F11" wp14:editId="7D09B5FD">
            <wp:extent cx="5175250" cy="1765300"/>
            <wp:effectExtent l="0" t="0" r="6350" b="635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1"/>
                    <a:stretch>
                      <a:fillRect/>
                    </a:stretch>
                  </pic:blipFill>
                  <pic:spPr>
                    <a:xfrm>
                      <a:off x="0" y="0"/>
                      <a:ext cx="5175250" cy="1765300"/>
                    </a:xfrm>
                    <a:prstGeom prst="rect">
                      <a:avLst/>
                    </a:prstGeom>
                  </pic:spPr>
                </pic:pic>
              </a:graphicData>
            </a:graphic>
          </wp:inline>
        </w:drawing>
      </w:r>
    </w:p>
    <w:p w14:paraId="73A66305" w14:textId="7BDD4049" w:rsidR="001420F2" w:rsidRDefault="00DD3430" w:rsidP="006567A3">
      <w:pPr>
        <w:pStyle w:val="Caption"/>
        <w:jc w:val="center"/>
      </w:pPr>
      <w:bookmarkStart w:id="7" w:name="_Toc110528493"/>
      <w:r>
        <w:t xml:space="preserve">Figure </w:t>
      </w:r>
      <w:fldSimple w:instr=" SEQ Figure \* ARABIC ">
        <w:r w:rsidR="000B4AFA">
          <w:rPr>
            <w:noProof/>
          </w:rPr>
          <w:t>4</w:t>
        </w:r>
      </w:fldSimple>
      <w:r>
        <w:t xml:space="preserve"> Shell historical data. Annual % change(</w:t>
      </w:r>
      <w:proofErr w:type="spellStart"/>
      <w:r>
        <w:t>Macrotrends,</w:t>
      </w:r>
      <w:r w:rsidR="006567A3">
        <w:t>n.d</w:t>
      </w:r>
      <w:proofErr w:type="spellEnd"/>
      <w:r w:rsidR="006567A3">
        <w:t>.</w:t>
      </w:r>
      <w:r>
        <w:t>)</w:t>
      </w:r>
      <w:bookmarkEnd w:id="7"/>
    </w:p>
    <w:p w14:paraId="31886903" w14:textId="77777777" w:rsidR="001420F2" w:rsidRDefault="001420F2" w:rsidP="000432CA">
      <w:pPr>
        <w:ind w:firstLine="0"/>
      </w:pPr>
    </w:p>
    <w:p w14:paraId="623EA8CC" w14:textId="3ED08F16" w:rsidR="0038558D" w:rsidRDefault="00B4777D" w:rsidP="002768EC">
      <w:pPr>
        <w:spacing w:line="360" w:lineRule="auto"/>
      </w:pPr>
      <w:r w:rsidRPr="00B4777D">
        <w:t xml:space="preserve"> Shell pays cash dividends quarterly. The payments are made electronically in USD, EUR, or GBP through CREST or interbank transfers (Shell Global, 2021, p.199 ).</w:t>
      </w:r>
      <w:r w:rsidR="0038558D">
        <w:t xml:space="preserve"> </w:t>
      </w:r>
      <w:r w:rsidR="0038558D" w:rsidRPr="0038558D">
        <w:t>Shell aims to remain devoted to its progressive dividend policy and increase the dividend per share by around 4% annually and intends to distribute 20% or more of its cash flow to shareholders; with the help of dividends and share buybacks, the Group looks forward to returning cash to shareholders over time (Shell Global, 2021, p.15). The company Board of directors decided to simplify the share structure from A and B to a single line of shares starting from 2022 and move tax residence to the UK (Shell Global, 2021</w:t>
      </w:r>
      <w:r w:rsidR="0035064D">
        <w:t>, p. 131</w:t>
      </w:r>
      <w:r w:rsidR="0038558D" w:rsidRPr="0038558D">
        <w:t>).</w:t>
      </w:r>
    </w:p>
    <w:p w14:paraId="68C64400" w14:textId="77777777" w:rsidR="00B4777D" w:rsidRDefault="00B4777D" w:rsidP="006D2F49"/>
    <w:p w14:paraId="54FF6B41" w14:textId="6AEC8719" w:rsidR="001E2B3B" w:rsidRDefault="006845C2" w:rsidP="00E83F8A">
      <w:pPr>
        <w:ind w:firstLine="0"/>
      </w:pPr>
      <w:r>
        <w:rPr>
          <w:noProof/>
        </w:rPr>
        <w:drawing>
          <wp:inline distT="0" distB="0" distL="0" distR="0" wp14:anchorId="11E55D04" wp14:editId="794DC5FE">
            <wp:extent cx="5613400" cy="30480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3400" cy="3048000"/>
                    </a:xfrm>
                    <a:prstGeom prst="rect">
                      <a:avLst/>
                    </a:prstGeom>
                    <a:noFill/>
                  </pic:spPr>
                </pic:pic>
              </a:graphicData>
            </a:graphic>
          </wp:inline>
        </w:drawing>
      </w:r>
    </w:p>
    <w:p w14:paraId="02F11EA2" w14:textId="586A7A86" w:rsidR="006D2F49" w:rsidRDefault="006606A1" w:rsidP="00317C90">
      <w:pPr>
        <w:pStyle w:val="Caption"/>
        <w:jc w:val="center"/>
      </w:pPr>
      <w:bookmarkStart w:id="8" w:name="_Toc110528494"/>
      <w:r>
        <w:t xml:space="preserve">Figure </w:t>
      </w:r>
      <w:fldSimple w:instr=" SEQ Figure \* ARABIC ">
        <w:r w:rsidR="000B4AFA">
          <w:rPr>
            <w:noProof/>
          </w:rPr>
          <w:t>5</w:t>
        </w:r>
      </w:fldSimple>
      <w:r>
        <w:t xml:space="preserve"> </w:t>
      </w:r>
      <w:r w:rsidR="00525140" w:rsidRPr="00525140">
        <w:t>Historical Data. Shell Plc Dividends 2017-2022</w:t>
      </w:r>
      <w:r w:rsidR="004B79A3">
        <w:t xml:space="preserve"> (Data collected from: Yahoo Finance,</w:t>
      </w:r>
      <w:r w:rsidR="00A001D1">
        <w:t>n.d.</w:t>
      </w:r>
      <w:r w:rsidR="004B79A3">
        <w:t>)</w:t>
      </w:r>
      <w:bookmarkEnd w:id="8"/>
    </w:p>
    <w:p w14:paraId="4B2E3E44" w14:textId="77777777" w:rsidR="003A1377" w:rsidRDefault="003A1377" w:rsidP="003A1377"/>
    <w:p w14:paraId="2E069D3C" w14:textId="0A42DF15" w:rsidR="002B51E7" w:rsidRPr="002B51E7" w:rsidRDefault="00C0752A" w:rsidP="002768EC">
      <w:pPr>
        <w:spacing w:line="360" w:lineRule="auto"/>
      </w:pPr>
      <w:r w:rsidRPr="00C0752A">
        <w:lastRenderedPageBreak/>
        <w:t xml:space="preserve">The chart above demonstrates that the Group, between 2017 and 2019, committed to a stable dividend policy paying a constant dividend of 0.94 </w:t>
      </w:r>
      <w:r w:rsidR="00C43B0E">
        <w:t xml:space="preserve">US </w:t>
      </w:r>
      <w:r w:rsidRPr="00C0752A">
        <w:t xml:space="preserve">dollars per share ( Share A and B) quarterly despite earnings fluctuations. In 2020 the company faced losses due to Covid-19, which led to a record dividend cut of nearly 66% to 0.32 </w:t>
      </w:r>
      <w:r w:rsidR="00B123F2">
        <w:t xml:space="preserve">US </w:t>
      </w:r>
      <w:r w:rsidRPr="00C0752A">
        <w:t xml:space="preserve">dollars per share in the second quarter(Figure </w:t>
      </w:r>
      <w:r w:rsidR="00A218DD">
        <w:t>5</w:t>
      </w:r>
      <w:r w:rsidRPr="00C0752A">
        <w:t xml:space="preserve">). In the fourth quarter of 2020, the company increased the dividend by 4%  to 0.333 dollars and committed to an annual progressive dividend policy of 4% for the coming years (Shell </w:t>
      </w:r>
      <w:r w:rsidR="00155389">
        <w:t>G</w:t>
      </w:r>
      <w:r w:rsidRPr="00C0752A">
        <w:t xml:space="preserve">lobal, 2020, p.21). After a significant increase in oil and gas prices boosted second-quarter profits to their highest in more than two years in 2021, the corporation announced a $2 billion share buyback programme (Bousso, 2021), pleasing shareholders who were positively surprised by an increase of the dividend per share of 38% to 0.48 </w:t>
      </w:r>
      <w:r w:rsidR="00B123F2">
        <w:t xml:space="preserve">US </w:t>
      </w:r>
      <w:r w:rsidRPr="00C0752A">
        <w:t>dollars in the third quarter of 2021. In 2022, the Group increased the dividend by 4%, remaining committed to its actual policy. Increasing the dividends is a positive signal for analysts and investors that the company is continuing to grow and maintain its profitability in the future.</w:t>
      </w:r>
    </w:p>
    <w:p w14:paraId="5D000BB4" w14:textId="2F65F5B3" w:rsidR="003D6FB8" w:rsidRDefault="009825DC" w:rsidP="002B51E7">
      <w:pPr>
        <w:pStyle w:val="Heading1"/>
      </w:pPr>
      <w:bookmarkStart w:id="9" w:name="_Toc110529958"/>
      <w:r>
        <w:t>The efficient market hypothesis</w:t>
      </w:r>
      <w:bookmarkEnd w:id="9"/>
      <w:r>
        <w:t xml:space="preserve"> </w:t>
      </w:r>
    </w:p>
    <w:p w14:paraId="3A7A260F" w14:textId="77777777" w:rsidR="00BC2E17" w:rsidRDefault="00BC2E17" w:rsidP="00BC2E17"/>
    <w:p w14:paraId="18A8FB9D" w14:textId="15BD7E3D" w:rsidR="00E67045" w:rsidRDefault="00E67045" w:rsidP="002768EC">
      <w:pPr>
        <w:spacing w:line="360" w:lineRule="auto"/>
      </w:pPr>
      <w:r w:rsidRPr="00E67045">
        <w:t>According to the efficient market hypothesis (EMH), current stock prices reflect all available information (Baldrige, 2022) and new information about a company is quickly and logically absorbed into the share price(Arnold,2013, p. 235). However, future price adjustments are unpredictable since news is, by definition, unpredictable and supply and demand factors determine share prices on the major stock exchanges worldwide, but market efficiency does not suggest that stock prices always reflect their genuine value (Arnold,2013, p. 235-236). In the opinion of analysts (Team Trefis, 2020), Shell's share price is undervalued</w:t>
      </w:r>
      <w:r w:rsidR="00E80201">
        <w:t xml:space="preserve"> </w:t>
      </w:r>
      <w:r w:rsidR="00E80201" w:rsidRPr="00E67045">
        <w:t xml:space="preserve">(Team </w:t>
      </w:r>
      <w:proofErr w:type="spellStart"/>
      <w:r w:rsidR="00E80201" w:rsidRPr="00E67045">
        <w:t>Trefis</w:t>
      </w:r>
      <w:proofErr w:type="spellEnd"/>
      <w:r w:rsidR="00E80201" w:rsidRPr="00E67045">
        <w:t>, 2020)</w:t>
      </w:r>
      <w:r w:rsidR="00E80201">
        <w:t>.</w:t>
      </w:r>
      <w:r w:rsidRPr="00E67045">
        <w:t xml:space="preserve"> According to Arnold</w:t>
      </w:r>
      <w:r w:rsidR="005F5840">
        <w:t xml:space="preserve"> </w:t>
      </w:r>
      <w:r w:rsidRPr="00E67045">
        <w:t xml:space="preserve">(2013), there are three market efficiency forms: weak, semi-strong and strong. </w:t>
      </w:r>
    </w:p>
    <w:p w14:paraId="7FEEBCAE" w14:textId="6214F98C" w:rsidR="00C51FC1" w:rsidRDefault="00C51FC1" w:rsidP="002768EC">
      <w:pPr>
        <w:spacing w:line="360" w:lineRule="auto"/>
      </w:pPr>
      <w:r w:rsidRPr="00C51FC1">
        <w:t xml:space="preserve">Research has demonstrated the semi-strong form efficiency of highly established capital markets, such as the New York Stock Exchange and London Stock Exchange (Amewu, Odei Mensah and Alagidede, 2016) and Euronext Amsterdam (Tourun and Kurt, 2008), where Shell Plc shares are traded. </w:t>
      </w:r>
      <w:r w:rsidR="00C33F9B" w:rsidRPr="00C33F9B">
        <w:t>The semi-strong form of market efficiency assumes that all critical publicly available information is wholly reflected in share prices and that stocks adapt swiftly to consider new information so that an investor cannot outperform the market by speculating on it</w:t>
      </w:r>
      <w:r w:rsidR="00A517EB">
        <w:t xml:space="preserve"> </w:t>
      </w:r>
      <w:r w:rsidRPr="00C51FC1">
        <w:t xml:space="preserve">(Investopedia, 2022). Dividend and earnings announcements are reflected in the market as soon as they are made public in an efficient capital market (Baharuddin, Abdullahi, and Teoh, 2010). However, in the days leading up to earnings announcements, analysts make </w:t>
      </w:r>
      <w:r w:rsidRPr="00C51FC1">
        <w:lastRenderedPageBreak/>
        <w:t xml:space="preserve">forecasts that the market uses to evaluate how a company will perform (Mcclure, 2022). </w:t>
      </w:r>
      <w:r w:rsidR="00807864" w:rsidRPr="00807864">
        <w:t xml:space="preserve">For example, </w:t>
      </w:r>
      <w:r w:rsidR="00325E05">
        <w:t>as illustrated below</w:t>
      </w:r>
      <w:r w:rsidR="00325E05" w:rsidRPr="00807864">
        <w:t xml:space="preserve"> </w:t>
      </w:r>
      <w:r w:rsidR="00325E05">
        <w:t>,</w:t>
      </w:r>
      <w:r w:rsidR="00807864" w:rsidRPr="00807864">
        <w:t>the NYSE market in the days before the earning announcement of Shell Plc reacted with a gradual increase in the share price</w:t>
      </w:r>
      <w:r w:rsidR="00940864">
        <w:t xml:space="preserve"> </w:t>
      </w:r>
      <w:r w:rsidR="00807864" w:rsidRPr="00807864">
        <w:t>and after the press release on the 28th of July 2022</w:t>
      </w:r>
      <w:r w:rsidR="00DE6120">
        <w:t>(</w:t>
      </w:r>
      <w:r w:rsidR="006D40D7">
        <w:t>Shell, 2022</w:t>
      </w:r>
      <w:r w:rsidR="00DE6120">
        <w:t>)</w:t>
      </w:r>
      <w:r w:rsidR="00807864" w:rsidRPr="00807864">
        <w:t>, the share price rose</w:t>
      </w:r>
      <w:r w:rsidR="00DE6120">
        <w:t xml:space="preserve"> </w:t>
      </w:r>
      <w:r w:rsidR="00807864" w:rsidRPr="00807864">
        <w:t>to 53.38</w:t>
      </w:r>
      <w:r w:rsidR="00B123F2">
        <w:t xml:space="preserve"> US</w:t>
      </w:r>
      <w:r w:rsidR="00807864" w:rsidRPr="00807864">
        <w:t xml:space="preserve"> dollars from 51.49</w:t>
      </w:r>
      <w:r w:rsidR="00B123F2">
        <w:t xml:space="preserve"> US</w:t>
      </w:r>
      <w:r w:rsidR="00807864" w:rsidRPr="00807864">
        <w:t xml:space="preserve"> dollars </w:t>
      </w:r>
      <w:r w:rsidR="00EC686A">
        <w:t>on 29</w:t>
      </w:r>
      <w:r w:rsidR="00EC686A" w:rsidRPr="00EC686A">
        <w:rPr>
          <w:vertAlign w:val="superscript"/>
        </w:rPr>
        <w:t>th</w:t>
      </w:r>
      <w:r w:rsidR="00EC686A">
        <w:t xml:space="preserve"> of July 2022</w:t>
      </w:r>
      <w:r w:rsidR="00785789">
        <w:t xml:space="preserve"> </w:t>
      </w:r>
      <w:r w:rsidR="00785789" w:rsidRPr="005A2DBD">
        <w:t>(Microsoft Bing, 2022)</w:t>
      </w:r>
      <w:r w:rsidR="00807864" w:rsidRPr="00807864">
        <w:t>, an increase of 3.67%, which means the market absorbed the new information</w:t>
      </w:r>
      <w:r w:rsidR="005A2DBD">
        <w:t>.</w:t>
      </w:r>
    </w:p>
    <w:p w14:paraId="7BA073B8" w14:textId="77777777" w:rsidR="00807864" w:rsidRDefault="00807864" w:rsidP="006C466A"/>
    <w:p w14:paraId="7388D0BF" w14:textId="0C89076E" w:rsidR="0017666A" w:rsidRDefault="0017666A" w:rsidP="006C466A">
      <w:r>
        <w:rPr>
          <w:noProof/>
        </w:rPr>
        <w:drawing>
          <wp:inline distT="0" distB="0" distL="0" distR="0" wp14:anchorId="3AEBA0DF" wp14:editId="1AABA727">
            <wp:extent cx="4951730" cy="2622550"/>
            <wp:effectExtent l="0" t="0" r="1270" b="635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52303" cy="2622853"/>
                    </a:xfrm>
                    <a:prstGeom prst="rect">
                      <a:avLst/>
                    </a:prstGeom>
                    <a:noFill/>
                    <a:ln>
                      <a:noFill/>
                    </a:ln>
                  </pic:spPr>
                </pic:pic>
              </a:graphicData>
            </a:graphic>
          </wp:inline>
        </w:drawing>
      </w:r>
    </w:p>
    <w:p w14:paraId="6C16D134" w14:textId="64151DC7" w:rsidR="00C51FC1" w:rsidRDefault="00D30B81" w:rsidP="002768EC">
      <w:pPr>
        <w:pStyle w:val="Caption"/>
        <w:jc w:val="center"/>
      </w:pPr>
      <w:bookmarkStart w:id="10" w:name="_Toc110528495"/>
      <w:r>
        <w:t xml:space="preserve">Figure </w:t>
      </w:r>
      <w:fldSimple w:instr=" SEQ Figure \* ARABIC ">
        <w:r w:rsidR="000B4AFA">
          <w:rPr>
            <w:noProof/>
          </w:rPr>
          <w:t>6</w:t>
        </w:r>
      </w:fldSimple>
      <w:r>
        <w:t xml:space="preserve"> </w:t>
      </w:r>
      <w:r w:rsidRPr="00EF0ED7">
        <w:t>Shell Plc – NYSE: Market share price</w:t>
      </w:r>
      <w:r>
        <w:t xml:space="preserve"> (Microsoft Bing, 2022)</w:t>
      </w:r>
      <w:bookmarkEnd w:id="10"/>
    </w:p>
    <w:p w14:paraId="3C2957E8" w14:textId="77777777" w:rsidR="002768EC" w:rsidRPr="002768EC" w:rsidRDefault="002768EC" w:rsidP="002768EC"/>
    <w:p w14:paraId="3895C65E" w14:textId="032E7AC0" w:rsidR="000D7D40" w:rsidRDefault="009825DC" w:rsidP="000D7D40">
      <w:pPr>
        <w:pStyle w:val="Heading1"/>
      </w:pPr>
      <w:bookmarkStart w:id="11" w:name="_Toc110529959"/>
      <w:r>
        <w:t>Investment appraisal</w:t>
      </w:r>
      <w:bookmarkEnd w:id="11"/>
    </w:p>
    <w:p w14:paraId="51BDCAD3" w14:textId="77777777" w:rsidR="000E485C" w:rsidRDefault="000E485C" w:rsidP="000E485C"/>
    <w:p w14:paraId="52F76645" w14:textId="0FB8A792" w:rsidR="00CA5505" w:rsidRDefault="000E485C" w:rsidP="002768EC">
      <w:pPr>
        <w:spacing w:line="360" w:lineRule="auto"/>
      </w:pPr>
      <w:r>
        <w:t>Capital budgeting, another name for capital investment appraisal, is a planning procedure that simplifies determining the firm's short-</w:t>
      </w:r>
      <w:r w:rsidR="00363D49">
        <w:t>term</w:t>
      </w:r>
      <w:r>
        <w:t xml:space="preserve"> and long-term investments (Seal </w:t>
      </w:r>
      <w:r>
        <w:rPr>
          <w:rStyle w:val="Emphasis"/>
          <w:color w:val="0E101A"/>
        </w:rPr>
        <w:t>et al</w:t>
      </w:r>
      <w:r>
        <w:t>.,2019, pp. 577-578). In other words, it is the planning of significant capital expenditures and investments where time is a crucial component of investing decisions (Atrill and McLaney, 2017, p. 369). According to the Annual Report and Accounts of Shell Plc (2021), during the pandemic, the capital expenditure and investments for the year 2020 declined to 17.8</w:t>
      </w:r>
      <w:r w:rsidR="00A0451C">
        <w:t>3 billion</w:t>
      </w:r>
      <w:r w:rsidR="00B123F2">
        <w:t xml:space="preserve"> US</w:t>
      </w:r>
      <w:r w:rsidR="00A0451C">
        <w:t xml:space="preserve"> dollars</w:t>
      </w:r>
      <w:r>
        <w:t>, a decrease of 25.47% compared to 2019, when it was 23.92</w:t>
      </w:r>
      <w:r w:rsidR="00B123F2">
        <w:t xml:space="preserve"> US</w:t>
      </w:r>
      <w:r>
        <w:t xml:space="preserve"> billion dollars due to mainly a 27.8% reduction of the capital expenditure budget, while the investment in the joint ventures increased. Furthermore, 2021 increased 10.5% from 2020 to 19.7 billion</w:t>
      </w:r>
      <w:r w:rsidR="00D64A38">
        <w:t xml:space="preserve"> US</w:t>
      </w:r>
      <w:r>
        <w:t xml:space="preserve"> dollars, mainly in the capital expenditure budget, while the investment in the joint ventures was reduced by 53.22% (Global Shell, 2021).</w:t>
      </w:r>
    </w:p>
    <w:p w14:paraId="281448A5" w14:textId="78DACE60" w:rsidR="002F6B7A" w:rsidRDefault="00880F90" w:rsidP="002768EC">
      <w:pPr>
        <w:spacing w:line="360" w:lineRule="auto"/>
      </w:pPr>
      <w:r>
        <w:lastRenderedPageBreak/>
        <w:t xml:space="preserve">According to </w:t>
      </w:r>
      <w:proofErr w:type="spellStart"/>
      <w:r>
        <w:t>Atrill</w:t>
      </w:r>
      <w:proofErr w:type="spellEnd"/>
      <w:r>
        <w:t xml:space="preserve"> and McLaney</w:t>
      </w:r>
      <w:r w:rsidR="008C3779">
        <w:t xml:space="preserve"> (2017) </w:t>
      </w:r>
      <w:r w:rsidR="009E4953">
        <w:t xml:space="preserve">to appraise investment opportunities </w:t>
      </w:r>
      <w:r w:rsidR="00EB4C83">
        <w:t xml:space="preserve">most of  </w:t>
      </w:r>
      <w:r w:rsidR="008C3779">
        <w:t xml:space="preserve">companies </w:t>
      </w:r>
      <w:r w:rsidR="00EB4C83">
        <w:t xml:space="preserve">use </w:t>
      </w:r>
      <w:r w:rsidR="00DF35DE">
        <w:t>the</w:t>
      </w:r>
      <w:r w:rsidR="00906002">
        <w:t xml:space="preserve"> following four</w:t>
      </w:r>
      <w:r w:rsidR="003F0886">
        <w:t xml:space="preserve"> methods</w:t>
      </w:r>
      <w:r w:rsidR="002F6B7A">
        <w:t>:</w:t>
      </w:r>
      <w:r w:rsidR="00906002">
        <w:t xml:space="preserve"> </w:t>
      </w:r>
      <w:r w:rsidR="002F6B7A">
        <w:t xml:space="preserve"> </w:t>
      </w:r>
    </w:p>
    <w:p w14:paraId="544FBFDE" w14:textId="181FD2FE" w:rsidR="003F0886" w:rsidRDefault="003F0886" w:rsidP="002768EC">
      <w:pPr>
        <w:spacing w:line="360" w:lineRule="auto"/>
      </w:pPr>
      <w:r>
        <w:t>Non</w:t>
      </w:r>
      <w:r w:rsidR="00FB2ECA">
        <w:t>-</w:t>
      </w:r>
      <w:r>
        <w:t>discounting</w:t>
      </w:r>
      <w:r w:rsidR="00FB2ECA">
        <w:t xml:space="preserve"> methods:</w:t>
      </w:r>
      <w:r>
        <w:t xml:space="preserve"> </w:t>
      </w:r>
    </w:p>
    <w:p w14:paraId="61D80565" w14:textId="7C2CBF8B" w:rsidR="002F6B7A" w:rsidRDefault="00906002" w:rsidP="002768EC">
      <w:pPr>
        <w:pStyle w:val="ListParagraph"/>
        <w:numPr>
          <w:ilvl w:val="0"/>
          <w:numId w:val="2"/>
        </w:numPr>
        <w:spacing w:line="360" w:lineRule="auto"/>
      </w:pPr>
      <w:r>
        <w:t>Payback Period</w:t>
      </w:r>
      <w:r w:rsidR="002F6B7A">
        <w:t xml:space="preserve"> (PP)</w:t>
      </w:r>
      <w:r w:rsidR="00873CAE">
        <w:t xml:space="preserve">. </w:t>
      </w:r>
      <w:r w:rsidR="00873CAE" w:rsidRPr="00873CAE">
        <w:t>The time it takes for an investment to recover its cost, the faster its repaid more appealing the investment becomes(Kagan, 2022).</w:t>
      </w:r>
    </w:p>
    <w:p w14:paraId="4CE6B5BC" w14:textId="3FD536C8" w:rsidR="00FC6CD0" w:rsidRDefault="00906002" w:rsidP="002768EC">
      <w:pPr>
        <w:pStyle w:val="ListParagraph"/>
        <w:numPr>
          <w:ilvl w:val="0"/>
          <w:numId w:val="2"/>
        </w:numPr>
        <w:spacing w:line="360" w:lineRule="auto"/>
      </w:pPr>
      <w:r>
        <w:t xml:space="preserve">Accounting Rate of </w:t>
      </w:r>
      <w:r w:rsidR="002F6B7A">
        <w:t>R</w:t>
      </w:r>
      <w:r>
        <w:t>eturn</w:t>
      </w:r>
      <w:r w:rsidR="008F5708">
        <w:t>(ARR)</w:t>
      </w:r>
      <w:r w:rsidR="00873CAE">
        <w:t xml:space="preserve">. </w:t>
      </w:r>
      <w:r w:rsidR="0077599D" w:rsidRPr="0077599D">
        <w:t>The total return on investment for an asset over a specific period (Atrill and McLaney, 2017).</w:t>
      </w:r>
    </w:p>
    <w:p w14:paraId="5E83E95F" w14:textId="0BE98F34" w:rsidR="00FB2ECA" w:rsidRDefault="00FB2ECA" w:rsidP="002768EC">
      <w:pPr>
        <w:spacing w:line="360" w:lineRule="auto"/>
      </w:pPr>
      <w:r>
        <w:t>Discounting methods:</w:t>
      </w:r>
    </w:p>
    <w:p w14:paraId="59EF7B0C" w14:textId="7F3EA30C" w:rsidR="008F5708" w:rsidRDefault="000031AA" w:rsidP="002768EC">
      <w:pPr>
        <w:pStyle w:val="ListParagraph"/>
        <w:numPr>
          <w:ilvl w:val="0"/>
          <w:numId w:val="2"/>
        </w:numPr>
        <w:spacing w:line="360" w:lineRule="auto"/>
      </w:pPr>
      <w:r>
        <w:t>Net Present Value (NPV)</w:t>
      </w:r>
      <w:r w:rsidR="0077599D">
        <w:t xml:space="preserve">. </w:t>
      </w:r>
      <w:r w:rsidR="009C3ECE" w:rsidRPr="009C3ECE">
        <w:t>The difference between the present value of cash inflows and outflows over time (Fernando, 2021).</w:t>
      </w:r>
    </w:p>
    <w:p w14:paraId="5DCACB64" w14:textId="5EBBDC91" w:rsidR="002F6B7A" w:rsidRDefault="00311677" w:rsidP="002768EC">
      <w:pPr>
        <w:pStyle w:val="ListParagraph"/>
        <w:numPr>
          <w:ilvl w:val="0"/>
          <w:numId w:val="2"/>
        </w:numPr>
        <w:spacing w:line="360" w:lineRule="auto"/>
      </w:pPr>
      <w:r>
        <w:t>Internal Rate of Return (IRR)</w:t>
      </w:r>
      <w:r w:rsidR="009C3ECE">
        <w:t xml:space="preserve">. </w:t>
      </w:r>
      <w:r w:rsidR="00B7111F" w:rsidRPr="00B7111F">
        <w:t>The discount rate that reduces the NPV of a project to zero, in other words, is the estimated average annual rate of return on a project or investment(Seal et al., 2019).</w:t>
      </w:r>
    </w:p>
    <w:p w14:paraId="5AF8919D" w14:textId="44057CDD" w:rsidR="00C60102" w:rsidRDefault="00C60102" w:rsidP="002768EC">
      <w:pPr>
        <w:spacing w:line="360" w:lineRule="auto"/>
      </w:pPr>
      <w:r w:rsidRPr="00C60102">
        <w:t>Shell Plc's strategy for future investments is to increase investments in Marketing and Renewables and Energy Solutions, maintain the investments in Integrated Gas and Chemicals and Products businesses and limit investments in Upstream oil and gas business, expecting great returns (Shell Global, 2021-a). According to Shell (2021-a), the targeted returns illustrated below</w:t>
      </w:r>
      <w:r w:rsidR="002768EC">
        <w:t xml:space="preserve"> </w:t>
      </w:r>
      <w:r w:rsidRPr="00C60102">
        <w:t>(Figure</w:t>
      </w:r>
      <w:r w:rsidR="00E0724D">
        <w:t xml:space="preserve"> 7</w:t>
      </w:r>
      <w:r w:rsidRPr="00C60102">
        <w:t>) take into account the risks and uncertainties related to their investments and the amount of money needed to create opportunities.</w:t>
      </w:r>
    </w:p>
    <w:p w14:paraId="0DB28167" w14:textId="7B385482" w:rsidR="004220A7" w:rsidRDefault="000B08C0" w:rsidP="000B08C0">
      <w:pPr>
        <w:ind w:firstLine="0"/>
      </w:pPr>
      <w:r>
        <w:rPr>
          <w:noProof/>
        </w:rPr>
        <w:drawing>
          <wp:inline distT="0" distB="0" distL="0" distR="0" wp14:anchorId="69C5339B" wp14:editId="4A7A6348">
            <wp:extent cx="5731510" cy="2682875"/>
            <wp:effectExtent l="0" t="0" r="2540" b="317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682875"/>
                    </a:xfrm>
                    <a:prstGeom prst="rect">
                      <a:avLst/>
                    </a:prstGeom>
                    <a:noFill/>
                    <a:ln>
                      <a:noFill/>
                    </a:ln>
                  </pic:spPr>
                </pic:pic>
              </a:graphicData>
            </a:graphic>
          </wp:inline>
        </w:drawing>
      </w:r>
    </w:p>
    <w:p w14:paraId="007B616B" w14:textId="65F11E6F" w:rsidR="006F18BE" w:rsidRDefault="00050E94" w:rsidP="00050E94">
      <w:pPr>
        <w:pStyle w:val="Caption"/>
        <w:jc w:val="center"/>
      </w:pPr>
      <w:bookmarkStart w:id="12" w:name="_Toc110528496"/>
      <w:r>
        <w:t xml:space="preserve">Figure </w:t>
      </w:r>
      <w:fldSimple w:instr=" SEQ Figure \* ARABIC ">
        <w:r w:rsidR="000B4AFA">
          <w:rPr>
            <w:noProof/>
          </w:rPr>
          <w:t>7</w:t>
        </w:r>
      </w:fldSimple>
      <w:r>
        <w:t xml:space="preserve"> Investments and returns (</w:t>
      </w:r>
      <w:r w:rsidR="009B0875">
        <w:t>Shell Global, 2021-a</w:t>
      </w:r>
      <w:r>
        <w:t>)</w:t>
      </w:r>
      <w:bookmarkEnd w:id="12"/>
    </w:p>
    <w:p w14:paraId="23DF6E03" w14:textId="77777777" w:rsidR="00050E94" w:rsidRDefault="00050E94" w:rsidP="000B08C0">
      <w:pPr>
        <w:ind w:firstLine="0"/>
      </w:pPr>
    </w:p>
    <w:p w14:paraId="4C11B618" w14:textId="3EC7F839" w:rsidR="005259FF" w:rsidRDefault="00680AEE" w:rsidP="002768EC">
      <w:pPr>
        <w:spacing w:line="360" w:lineRule="auto"/>
      </w:pPr>
      <w:r w:rsidRPr="00680AEE">
        <w:t xml:space="preserve">As a decision rule, the projects with an IRR higher than the cost of capital are acceptable (Atrill and McLaney, 2017). With an IRR in all sectors activities illustrated above (Figure </w:t>
      </w:r>
      <w:r w:rsidR="00F6003B">
        <w:t>7</w:t>
      </w:r>
      <w:r w:rsidRPr="00680AEE">
        <w:t xml:space="preserve">), higher than the weighted average cost of capital (WACC) which stands, according to the Annual Report (2021, p.253), at 5% for the Power activities and 6.5% for all the other activities, the investments and projects decided by the company are acceptable. </w:t>
      </w:r>
      <w:r w:rsidR="00D64A38">
        <w:t>T</w:t>
      </w:r>
      <w:r w:rsidR="00D64A38" w:rsidRPr="00680AEE">
        <w:t xml:space="preserve">he Upstream projects </w:t>
      </w:r>
      <w:r w:rsidR="00D64A38">
        <w:t>w</w:t>
      </w:r>
      <w:r w:rsidRPr="00680AEE">
        <w:t xml:space="preserve">ith an IRR between 20% and 25%, are the most attractive. An advantage of IRR is the time value of money; each cash flow is </w:t>
      </w:r>
      <w:r w:rsidR="003C0809">
        <w:t xml:space="preserve">weighted </w:t>
      </w:r>
      <w:r w:rsidR="000B20F9">
        <w:t>equally</w:t>
      </w:r>
      <w:r w:rsidRPr="00680AEE">
        <w:t xml:space="preserve"> because the timing of cash flows in all future years is considered and is easy to use and understand</w:t>
      </w:r>
      <w:r w:rsidR="000B20F9">
        <w:t xml:space="preserve"> </w:t>
      </w:r>
      <w:r w:rsidRPr="00680AEE">
        <w:t>(</w:t>
      </w:r>
      <w:proofErr w:type="spellStart"/>
      <w:r w:rsidRPr="00680AEE">
        <w:t>Lanctot</w:t>
      </w:r>
      <w:proofErr w:type="spellEnd"/>
      <w:r w:rsidRPr="00680AEE">
        <w:t>, 2019). However, according to Lanctot</w:t>
      </w:r>
      <w:r w:rsidR="005F5840">
        <w:t xml:space="preserve"> </w:t>
      </w:r>
      <w:r w:rsidRPr="00680AEE">
        <w:t>(2019), it ignores reinvestment rates, future costs and the project size, which is a disadvantage.</w:t>
      </w:r>
    </w:p>
    <w:p w14:paraId="2D4A8F72" w14:textId="05BB58D8" w:rsidR="000D7D40" w:rsidRDefault="000D7D40" w:rsidP="000D7D40">
      <w:pPr>
        <w:pStyle w:val="Heading1"/>
      </w:pPr>
      <w:bookmarkStart w:id="13" w:name="_Toc110529960"/>
      <w:r>
        <w:t>Conclusion</w:t>
      </w:r>
      <w:bookmarkEnd w:id="13"/>
    </w:p>
    <w:p w14:paraId="7D5D4B87" w14:textId="77777777" w:rsidR="000B4AFA" w:rsidRDefault="000B4AFA" w:rsidP="000B4AFA"/>
    <w:p w14:paraId="476ACEE3" w14:textId="2EDC690C" w:rsidR="000B4AFA" w:rsidRDefault="000B4AFA" w:rsidP="002768EC">
      <w:pPr>
        <w:spacing w:line="360" w:lineRule="auto"/>
      </w:pPr>
      <w:r w:rsidRPr="000B4AFA">
        <w:t>The many initiatives (like NAFTA and WTO) made for international trade have been helpful for multinational businesses. Shell Plc is among the top players on a global scale or regional scale. Managers are crucial to a company's success, and a good understanding of international finance is essential. Shell Plc is exposed to a wide range of risks it tries to contain by diversifying its investment portfolio and preparing various strategic and financial plans. The share price has been on a rollercoaster between 2017 and 2021, but the company's efforts to pay cash dividends and boost share buybacks have helped shareholders. Although the EMH predicts that the stock prices reflect all available information, the news is unpredictable, and supply and demand determine share prices. Through its investment plan, the company is continuing to grow and maintain its profitability in the future.</w:t>
      </w:r>
    </w:p>
    <w:p w14:paraId="58666F8E" w14:textId="77777777" w:rsidR="000B4AFA" w:rsidRDefault="000B4AFA" w:rsidP="000B4AFA"/>
    <w:p w14:paraId="51AB8C97" w14:textId="77777777" w:rsidR="002768EC" w:rsidRDefault="002768EC" w:rsidP="000B4AFA"/>
    <w:p w14:paraId="7E0F4872" w14:textId="77777777" w:rsidR="002768EC" w:rsidRDefault="002768EC" w:rsidP="000B4AFA"/>
    <w:p w14:paraId="1A8A3C69" w14:textId="77777777" w:rsidR="002768EC" w:rsidRDefault="002768EC" w:rsidP="000B4AFA"/>
    <w:p w14:paraId="34219338" w14:textId="77777777" w:rsidR="002768EC" w:rsidRDefault="002768EC" w:rsidP="000B4AFA"/>
    <w:p w14:paraId="0E1B1960" w14:textId="77777777" w:rsidR="002768EC" w:rsidRDefault="002768EC" w:rsidP="000B4AFA"/>
    <w:p w14:paraId="08D000C4" w14:textId="77777777" w:rsidR="002768EC" w:rsidRDefault="002768EC" w:rsidP="000B4AFA"/>
    <w:p w14:paraId="2CE6C027" w14:textId="77777777" w:rsidR="002768EC" w:rsidRPr="000B4AFA" w:rsidRDefault="002768EC" w:rsidP="000B4AFA"/>
    <w:p w14:paraId="5F5D6176" w14:textId="1B49BC74" w:rsidR="0071019B" w:rsidRDefault="001532D4" w:rsidP="002B51E7">
      <w:pPr>
        <w:pStyle w:val="Heading1"/>
      </w:pPr>
      <w:bookmarkStart w:id="14" w:name="_Toc110529961"/>
      <w:r>
        <w:lastRenderedPageBreak/>
        <w:t>Reference list</w:t>
      </w:r>
      <w:bookmarkEnd w:id="14"/>
    </w:p>
    <w:p w14:paraId="0F6A63D4" w14:textId="7F848810" w:rsidR="0071019B" w:rsidRDefault="0071019B" w:rsidP="00882EC6">
      <w:pPr>
        <w:rPr>
          <w:rFonts w:cs="Times New Roman"/>
          <w:szCs w:val="24"/>
        </w:rPr>
      </w:pPr>
    </w:p>
    <w:p w14:paraId="66164B44" w14:textId="56DC334F" w:rsidR="009670D9" w:rsidRDefault="0056751A" w:rsidP="009670D9">
      <w:pPr>
        <w:ind w:firstLine="0"/>
        <w:jc w:val="left"/>
        <w:rPr>
          <w:rFonts w:cs="Times New Roman"/>
          <w:szCs w:val="24"/>
        </w:rPr>
      </w:pPr>
      <w:r>
        <w:rPr>
          <w:rFonts w:cs="Times New Roman"/>
          <w:szCs w:val="24"/>
        </w:rPr>
        <w:t xml:space="preserve">Arnold, G. </w:t>
      </w:r>
      <w:r w:rsidR="009670D9">
        <w:rPr>
          <w:rFonts w:cs="Times New Roman"/>
          <w:szCs w:val="24"/>
        </w:rPr>
        <w:t xml:space="preserve">(2013) </w:t>
      </w:r>
      <w:r w:rsidR="009670D9" w:rsidRPr="009670D9">
        <w:rPr>
          <w:rFonts w:cs="Times New Roman"/>
          <w:i/>
          <w:iCs/>
          <w:szCs w:val="24"/>
        </w:rPr>
        <w:t>Essentials of CORPORATE FINANCIAL MANAGEMENT</w:t>
      </w:r>
      <w:r>
        <w:rPr>
          <w:rFonts w:cs="Times New Roman"/>
          <w:i/>
          <w:iCs/>
          <w:szCs w:val="24"/>
        </w:rPr>
        <w:t xml:space="preserve">. </w:t>
      </w:r>
      <w:r>
        <w:rPr>
          <w:rFonts w:cs="Times New Roman"/>
          <w:szCs w:val="24"/>
        </w:rPr>
        <w:t>2</w:t>
      </w:r>
      <w:r w:rsidRPr="0056751A">
        <w:rPr>
          <w:rFonts w:cs="Times New Roman"/>
          <w:szCs w:val="24"/>
          <w:vertAlign w:val="superscript"/>
        </w:rPr>
        <w:t>nd</w:t>
      </w:r>
      <w:r>
        <w:rPr>
          <w:rFonts w:cs="Times New Roman"/>
          <w:szCs w:val="24"/>
        </w:rPr>
        <w:t xml:space="preserve"> ed.,</w:t>
      </w:r>
      <w:r w:rsidR="00580577">
        <w:rPr>
          <w:rFonts w:cs="Times New Roman"/>
          <w:szCs w:val="24"/>
        </w:rPr>
        <w:t xml:space="preserve"> Pearson: Harlow</w:t>
      </w:r>
      <w:r w:rsidR="0026469A">
        <w:rPr>
          <w:rFonts w:cs="Times New Roman"/>
          <w:szCs w:val="24"/>
        </w:rPr>
        <w:t>.</w:t>
      </w:r>
    </w:p>
    <w:p w14:paraId="0FA6C00C" w14:textId="13CE3A3E" w:rsidR="000D01FC" w:rsidRDefault="000D01FC" w:rsidP="00A5471B">
      <w:pPr>
        <w:ind w:firstLine="0"/>
      </w:pPr>
      <w:r w:rsidRPr="008677FD">
        <w:t>Amewu, G</w:t>
      </w:r>
      <w:r>
        <w:t xml:space="preserve">., </w:t>
      </w:r>
      <w:r w:rsidRPr="008677FD">
        <w:t>Odei</w:t>
      </w:r>
      <w:r>
        <w:t xml:space="preserve"> </w:t>
      </w:r>
      <w:r w:rsidRPr="008677FD">
        <w:t>Mensah,</w:t>
      </w:r>
      <w:r>
        <w:t xml:space="preserve"> J.</w:t>
      </w:r>
      <w:r w:rsidRPr="008677FD">
        <w:t xml:space="preserve"> </w:t>
      </w:r>
      <w:r>
        <w:t>and</w:t>
      </w:r>
      <w:r w:rsidRPr="008677FD">
        <w:t xml:space="preserve"> Alagidede,</w:t>
      </w:r>
      <w:r>
        <w:t xml:space="preserve"> P.</w:t>
      </w:r>
      <w:r w:rsidRPr="008677FD">
        <w:t xml:space="preserve"> (2016). </w:t>
      </w:r>
      <w:r w:rsidR="00B023C6">
        <w:t>‘</w:t>
      </w:r>
      <w:r w:rsidRPr="008677FD">
        <w:t>REACTION OF GLOBAL STOCK MARKETS TO BREXIT</w:t>
      </w:r>
      <w:r w:rsidR="00B023C6">
        <w:t>’</w:t>
      </w:r>
      <w:r>
        <w:t>,</w:t>
      </w:r>
      <w:r w:rsidRPr="008677FD">
        <w:t xml:space="preserve"> </w:t>
      </w:r>
      <w:r w:rsidRPr="00DE4945">
        <w:rPr>
          <w:i/>
          <w:iCs/>
        </w:rPr>
        <w:t>Journal of African Political Economy and Development</w:t>
      </w:r>
      <w:r>
        <w:t>,</w:t>
      </w:r>
      <w:r w:rsidRPr="008677FD">
        <w:t xml:space="preserve"> 1</w:t>
      </w:r>
      <w:r>
        <w:t xml:space="preserve">, pp. </w:t>
      </w:r>
      <w:r w:rsidRPr="008677FD">
        <w:t>40-55.</w:t>
      </w:r>
      <w:r>
        <w:t xml:space="preserve"> </w:t>
      </w:r>
    </w:p>
    <w:p w14:paraId="74D7ED9F" w14:textId="5CA6C61D" w:rsidR="0049459F" w:rsidRDefault="0049459F" w:rsidP="00A5471B">
      <w:pPr>
        <w:ind w:firstLine="0"/>
      </w:pPr>
      <w:r>
        <w:t>Atrill</w:t>
      </w:r>
      <w:r w:rsidR="004F4CF7">
        <w:t xml:space="preserve">, P. and McLaney, E. (2017) </w:t>
      </w:r>
      <w:r w:rsidR="004F4CF7" w:rsidRPr="00184D1C">
        <w:rPr>
          <w:i/>
          <w:iCs/>
        </w:rPr>
        <w:t xml:space="preserve">Accounting and Finance for </w:t>
      </w:r>
      <w:r w:rsidR="00184D1C" w:rsidRPr="00184D1C">
        <w:rPr>
          <w:i/>
          <w:iCs/>
        </w:rPr>
        <w:t>non-specialists</w:t>
      </w:r>
      <w:r w:rsidR="00184D1C">
        <w:rPr>
          <w:i/>
          <w:iCs/>
        </w:rPr>
        <w:t>.</w:t>
      </w:r>
      <w:r w:rsidR="00184D1C">
        <w:t xml:space="preserve"> 1</w:t>
      </w:r>
      <w:r w:rsidR="008C1E69">
        <w:t xml:space="preserve">0th ed. </w:t>
      </w:r>
      <w:r w:rsidR="001A01FD">
        <w:t>Harlow: Pearson.</w:t>
      </w:r>
    </w:p>
    <w:p w14:paraId="117BD693" w14:textId="44AEC13E" w:rsidR="00976C61" w:rsidRPr="00735B4F" w:rsidRDefault="00976C61" w:rsidP="00A5471B">
      <w:pPr>
        <w:ind w:firstLine="0"/>
        <w:rPr>
          <w:rFonts w:cs="Times New Roman"/>
          <w:szCs w:val="24"/>
        </w:rPr>
      </w:pPr>
      <w:r w:rsidRPr="00976C61">
        <w:rPr>
          <w:rFonts w:cs="Times New Roman"/>
          <w:szCs w:val="24"/>
        </w:rPr>
        <w:t>Baharuddin M</w:t>
      </w:r>
      <w:r>
        <w:rPr>
          <w:rFonts w:cs="Times New Roman"/>
          <w:szCs w:val="24"/>
        </w:rPr>
        <w:t xml:space="preserve">. </w:t>
      </w:r>
      <w:r w:rsidRPr="00976C61">
        <w:rPr>
          <w:rFonts w:cs="Times New Roman"/>
          <w:szCs w:val="24"/>
        </w:rPr>
        <w:t>H</w:t>
      </w:r>
      <w:r>
        <w:rPr>
          <w:rFonts w:cs="Times New Roman"/>
          <w:szCs w:val="24"/>
        </w:rPr>
        <w:t>.</w:t>
      </w:r>
      <w:r w:rsidRPr="00976C61">
        <w:rPr>
          <w:rFonts w:cs="Times New Roman"/>
          <w:szCs w:val="24"/>
        </w:rPr>
        <w:t>, Abdullahi D</w:t>
      </w:r>
      <w:r>
        <w:rPr>
          <w:rFonts w:cs="Times New Roman"/>
          <w:szCs w:val="24"/>
        </w:rPr>
        <w:t>.</w:t>
      </w:r>
      <w:r w:rsidRPr="00976C61">
        <w:rPr>
          <w:rFonts w:cs="Times New Roman"/>
          <w:szCs w:val="24"/>
        </w:rPr>
        <w:t xml:space="preserve"> A</w:t>
      </w:r>
      <w:r>
        <w:rPr>
          <w:rFonts w:cs="Times New Roman"/>
          <w:szCs w:val="24"/>
        </w:rPr>
        <w:t>.</w:t>
      </w:r>
      <w:r w:rsidRPr="00976C61">
        <w:rPr>
          <w:rFonts w:cs="Times New Roman"/>
          <w:szCs w:val="24"/>
        </w:rPr>
        <w:t xml:space="preserve">, </w:t>
      </w:r>
      <w:r>
        <w:rPr>
          <w:rFonts w:cs="Times New Roman"/>
          <w:szCs w:val="24"/>
        </w:rPr>
        <w:t>and</w:t>
      </w:r>
      <w:r w:rsidRPr="00976C61">
        <w:rPr>
          <w:rFonts w:cs="Times New Roman"/>
          <w:szCs w:val="24"/>
        </w:rPr>
        <w:t xml:space="preserve"> Teoh C</w:t>
      </w:r>
      <w:r>
        <w:rPr>
          <w:rFonts w:cs="Times New Roman"/>
          <w:szCs w:val="24"/>
        </w:rPr>
        <w:t>.</w:t>
      </w:r>
      <w:r w:rsidRPr="00976C61">
        <w:rPr>
          <w:rFonts w:cs="Times New Roman"/>
          <w:szCs w:val="24"/>
        </w:rPr>
        <w:t xml:space="preserve"> Y. (2010). Semi-Strong Form Efficiency: Market Reaction to Dividend and Earnings Announcements in Malaysian Stock Exchange. The ICFAI Journal of Applied Finance, 16(5), 36–.</w:t>
      </w:r>
    </w:p>
    <w:p w14:paraId="760EC2A3" w14:textId="35A06A2F" w:rsidR="00603E89" w:rsidRPr="00F62FB5" w:rsidRDefault="00603E89" w:rsidP="00603E89">
      <w:pPr>
        <w:ind w:firstLine="0"/>
        <w:jc w:val="left"/>
        <w:rPr>
          <w:rFonts w:cs="Times New Roman"/>
          <w:szCs w:val="24"/>
        </w:rPr>
      </w:pPr>
      <w:r>
        <w:rPr>
          <w:rFonts w:cs="Times New Roman"/>
          <w:szCs w:val="24"/>
        </w:rPr>
        <w:t>BBC</w:t>
      </w:r>
      <w:r w:rsidR="00F62FB5">
        <w:rPr>
          <w:rFonts w:cs="Times New Roman"/>
          <w:szCs w:val="24"/>
        </w:rPr>
        <w:t xml:space="preserve"> </w:t>
      </w:r>
      <w:r>
        <w:rPr>
          <w:rFonts w:cs="Times New Roman"/>
          <w:szCs w:val="24"/>
        </w:rPr>
        <w:t>(</w:t>
      </w:r>
      <w:r w:rsidR="00F62FB5">
        <w:rPr>
          <w:rFonts w:cs="Times New Roman"/>
          <w:szCs w:val="24"/>
        </w:rPr>
        <w:t>2022</w:t>
      </w:r>
      <w:r>
        <w:rPr>
          <w:rFonts w:cs="Times New Roman"/>
          <w:szCs w:val="24"/>
        </w:rPr>
        <w:t>)</w:t>
      </w:r>
      <w:r w:rsidR="00F62FB5">
        <w:rPr>
          <w:rFonts w:cs="Times New Roman"/>
          <w:szCs w:val="24"/>
        </w:rPr>
        <w:t xml:space="preserve"> </w:t>
      </w:r>
      <w:r w:rsidR="00F62FB5" w:rsidRPr="00F62FB5">
        <w:rPr>
          <w:rFonts w:cs="Times New Roman"/>
          <w:i/>
          <w:iCs/>
          <w:szCs w:val="24"/>
        </w:rPr>
        <w:t>Oil giant Shell to take £3.8bn hit by leaving Russia</w:t>
      </w:r>
      <w:r w:rsidR="00F62FB5">
        <w:rPr>
          <w:rFonts w:cs="Times New Roman"/>
          <w:i/>
          <w:iCs/>
          <w:szCs w:val="24"/>
        </w:rPr>
        <w:t xml:space="preserve">. </w:t>
      </w:r>
      <w:r w:rsidR="00F62FB5">
        <w:rPr>
          <w:rFonts w:cs="Times New Roman"/>
          <w:szCs w:val="24"/>
        </w:rPr>
        <w:t xml:space="preserve">Available at: </w:t>
      </w:r>
      <w:r w:rsidR="00D70654" w:rsidRPr="00D70654">
        <w:rPr>
          <w:rFonts w:cs="Times New Roman"/>
          <w:szCs w:val="24"/>
        </w:rPr>
        <w:t>https://www.bbc.co.uk/news/business-61021460</w:t>
      </w:r>
      <w:r w:rsidR="00D70654">
        <w:rPr>
          <w:rFonts w:cs="Times New Roman"/>
          <w:szCs w:val="24"/>
        </w:rPr>
        <w:t xml:space="preserve"> (Accessed: 27 July 2022)</w:t>
      </w:r>
    </w:p>
    <w:p w14:paraId="7371FC78" w14:textId="23BE8F3F" w:rsidR="0071019B" w:rsidRPr="0071019B" w:rsidRDefault="0071019B" w:rsidP="0071019B">
      <w:pPr>
        <w:ind w:firstLine="0"/>
        <w:rPr>
          <w:rFonts w:cs="Times New Roman"/>
          <w:szCs w:val="24"/>
        </w:rPr>
      </w:pPr>
      <w:r w:rsidRPr="0071019B">
        <w:rPr>
          <w:rFonts w:cs="Times New Roman"/>
          <w:szCs w:val="24"/>
        </w:rPr>
        <w:t xml:space="preserve">Bekaert, G.J. and Hodrick, R.J. (2013) </w:t>
      </w:r>
      <w:r w:rsidRPr="0071019B">
        <w:rPr>
          <w:rFonts w:cs="Times New Roman"/>
          <w:i/>
          <w:iCs/>
          <w:szCs w:val="24"/>
        </w:rPr>
        <w:t>International Financial Management</w:t>
      </w:r>
      <w:r w:rsidRPr="0071019B">
        <w:rPr>
          <w:rFonts w:cs="Times New Roman"/>
          <w:szCs w:val="24"/>
        </w:rPr>
        <w:t>. 2nd  ed., international ed.</w:t>
      </w:r>
      <w:r w:rsidR="00580577">
        <w:rPr>
          <w:rFonts w:cs="Times New Roman"/>
          <w:szCs w:val="24"/>
        </w:rPr>
        <w:t xml:space="preserve"> </w:t>
      </w:r>
      <w:r w:rsidRPr="0071019B">
        <w:rPr>
          <w:rFonts w:cs="Times New Roman"/>
          <w:szCs w:val="24"/>
        </w:rPr>
        <w:t>Pearson</w:t>
      </w:r>
      <w:r w:rsidR="00580577">
        <w:rPr>
          <w:rFonts w:cs="Times New Roman"/>
          <w:szCs w:val="24"/>
        </w:rPr>
        <w:t>: Harlow</w:t>
      </w:r>
      <w:r w:rsidRPr="0071019B">
        <w:rPr>
          <w:rFonts w:cs="Times New Roman"/>
          <w:szCs w:val="24"/>
        </w:rPr>
        <w:t>, 2014.</w:t>
      </w:r>
    </w:p>
    <w:p w14:paraId="051AD110" w14:textId="10318E98" w:rsidR="00AD5F80" w:rsidRDefault="0071019B" w:rsidP="002B51E7">
      <w:pPr>
        <w:ind w:firstLine="0"/>
        <w:rPr>
          <w:rFonts w:cs="Times New Roman"/>
          <w:szCs w:val="24"/>
        </w:rPr>
      </w:pPr>
      <w:r w:rsidRPr="0071019B">
        <w:rPr>
          <w:rFonts w:cs="Times New Roman"/>
          <w:szCs w:val="24"/>
        </w:rPr>
        <w:t xml:space="preserve">Bekaert, G.J. and Hodrick, R.J. (2017) </w:t>
      </w:r>
      <w:r w:rsidRPr="0071019B">
        <w:rPr>
          <w:rFonts w:cs="Times New Roman"/>
          <w:i/>
          <w:iCs/>
          <w:szCs w:val="24"/>
        </w:rPr>
        <w:t>International Financial Management</w:t>
      </w:r>
      <w:r>
        <w:rPr>
          <w:rFonts w:cs="Times New Roman"/>
          <w:szCs w:val="24"/>
        </w:rPr>
        <w:t>.</w:t>
      </w:r>
      <w:r w:rsidRPr="0071019B">
        <w:rPr>
          <w:rFonts w:cs="Times New Roman"/>
          <w:szCs w:val="24"/>
        </w:rPr>
        <w:t xml:space="preserve"> 3rd ed., Cambridge University Press:Cambridge.</w:t>
      </w:r>
    </w:p>
    <w:p w14:paraId="6DDCFC22" w14:textId="183503B0" w:rsidR="00E373DC" w:rsidRDefault="00E373DC" w:rsidP="002B51E7">
      <w:pPr>
        <w:ind w:firstLine="0"/>
        <w:rPr>
          <w:rFonts w:cs="Times New Roman"/>
          <w:szCs w:val="24"/>
        </w:rPr>
      </w:pPr>
      <w:r w:rsidRPr="00E373DC">
        <w:rPr>
          <w:rFonts w:cs="Times New Roman"/>
          <w:szCs w:val="24"/>
        </w:rPr>
        <w:t>Brown, S. J. (2020). The Efficient Market Hypothesis, the Financial Analysts Journal, and the Professional Status of Investment Management</w:t>
      </w:r>
      <w:r w:rsidR="008211A4">
        <w:rPr>
          <w:rFonts w:cs="Times New Roman"/>
          <w:szCs w:val="24"/>
        </w:rPr>
        <w:t>,</w:t>
      </w:r>
      <w:r w:rsidRPr="00E373DC">
        <w:rPr>
          <w:rFonts w:cs="Times New Roman"/>
          <w:szCs w:val="24"/>
        </w:rPr>
        <w:t xml:space="preserve"> </w:t>
      </w:r>
      <w:r w:rsidRPr="00DE4945">
        <w:rPr>
          <w:rFonts w:cs="Times New Roman"/>
          <w:i/>
          <w:iCs/>
          <w:szCs w:val="24"/>
        </w:rPr>
        <w:t>Financial Analysts Journal</w:t>
      </w:r>
      <w:r w:rsidRPr="00E373DC">
        <w:rPr>
          <w:rFonts w:cs="Times New Roman"/>
          <w:szCs w:val="24"/>
        </w:rPr>
        <w:t xml:space="preserve">, 76(2), </w:t>
      </w:r>
      <w:r w:rsidR="00DE4945">
        <w:rPr>
          <w:rFonts w:cs="Times New Roman"/>
          <w:szCs w:val="24"/>
        </w:rPr>
        <w:t xml:space="preserve">pp. </w:t>
      </w:r>
      <w:r w:rsidRPr="00E373DC">
        <w:rPr>
          <w:rFonts w:cs="Times New Roman"/>
          <w:szCs w:val="24"/>
        </w:rPr>
        <w:t xml:space="preserve">5–14. </w:t>
      </w:r>
      <w:r w:rsidR="00A33752" w:rsidRPr="00A33752">
        <w:rPr>
          <w:rFonts w:cs="Times New Roman"/>
          <w:szCs w:val="24"/>
        </w:rPr>
        <w:t>https://doi.org/10.1080/0015198X.2020.1734375</w:t>
      </w:r>
      <w:r w:rsidR="00A33752">
        <w:rPr>
          <w:rFonts w:cs="Times New Roman"/>
          <w:szCs w:val="24"/>
        </w:rPr>
        <w:t xml:space="preserve"> </w:t>
      </w:r>
      <w:r w:rsidR="00A33752" w:rsidRPr="00FD35E9">
        <w:rPr>
          <w:rFonts w:cs="Times New Roman"/>
          <w:szCs w:val="24"/>
        </w:rPr>
        <w:t>/</w:t>
      </w:r>
      <w:r w:rsidR="00A33752">
        <w:rPr>
          <w:rFonts w:cs="Times New Roman"/>
          <w:szCs w:val="24"/>
        </w:rPr>
        <w:t xml:space="preserve"> </w:t>
      </w:r>
    </w:p>
    <w:p w14:paraId="466503F0" w14:textId="3BB297EB" w:rsidR="0024010E" w:rsidRDefault="0024010E" w:rsidP="002B51E7">
      <w:pPr>
        <w:ind w:firstLine="0"/>
        <w:rPr>
          <w:rFonts w:cs="Times New Roman"/>
          <w:szCs w:val="24"/>
        </w:rPr>
      </w:pPr>
      <w:r>
        <w:rPr>
          <w:rFonts w:cs="Times New Roman"/>
          <w:szCs w:val="24"/>
        </w:rPr>
        <w:t xml:space="preserve">Bousso, R. (2021) </w:t>
      </w:r>
      <w:r w:rsidR="004C7449" w:rsidRPr="004C7449">
        <w:rPr>
          <w:rFonts w:cs="Times New Roman"/>
          <w:i/>
          <w:iCs/>
          <w:szCs w:val="24"/>
        </w:rPr>
        <w:t>Shell boosts dividend and launches buybacks as profit soars</w:t>
      </w:r>
      <w:r w:rsidR="004C7449">
        <w:rPr>
          <w:rFonts w:cs="Times New Roman"/>
          <w:szCs w:val="24"/>
        </w:rPr>
        <w:t>.</w:t>
      </w:r>
      <w:r>
        <w:rPr>
          <w:rFonts w:cs="Times New Roman"/>
          <w:szCs w:val="24"/>
        </w:rPr>
        <w:t xml:space="preserve"> Available at: </w:t>
      </w:r>
      <w:r w:rsidRPr="0024010E">
        <w:rPr>
          <w:rFonts w:cs="Times New Roman"/>
          <w:szCs w:val="24"/>
        </w:rPr>
        <w:t>https://www.reuters.com/world/uk/shells-profit-soars-it-boosts-dividend-launches-buybacks-2021-07-29/</w:t>
      </w:r>
      <w:r>
        <w:rPr>
          <w:rFonts w:cs="Times New Roman"/>
          <w:szCs w:val="24"/>
        </w:rPr>
        <w:t xml:space="preserve"> (Accessed: 27 July 2022)</w:t>
      </w:r>
    </w:p>
    <w:p w14:paraId="6B0F71C4" w14:textId="6AC07387" w:rsidR="00AD5F80" w:rsidRDefault="00FD35E9" w:rsidP="002B51E7">
      <w:pPr>
        <w:ind w:firstLine="0"/>
        <w:rPr>
          <w:rFonts w:cs="Times New Roman"/>
          <w:szCs w:val="24"/>
        </w:rPr>
      </w:pPr>
      <w:r>
        <w:rPr>
          <w:rFonts w:cs="Times New Roman"/>
          <w:szCs w:val="24"/>
        </w:rPr>
        <w:t>Bousso,</w:t>
      </w:r>
      <w:r w:rsidR="00377B7A">
        <w:rPr>
          <w:rFonts w:cs="Times New Roman"/>
          <w:szCs w:val="24"/>
        </w:rPr>
        <w:t xml:space="preserve"> R.</w:t>
      </w:r>
      <w:r>
        <w:rPr>
          <w:rFonts w:cs="Times New Roman"/>
          <w:szCs w:val="24"/>
        </w:rPr>
        <w:t xml:space="preserve"> and Nasralla</w:t>
      </w:r>
      <w:r w:rsidR="00377B7A">
        <w:rPr>
          <w:rFonts w:cs="Times New Roman"/>
          <w:szCs w:val="24"/>
        </w:rPr>
        <w:t>, S.</w:t>
      </w:r>
      <w:r>
        <w:rPr>
          <w:rFonts w:cs="Times New Roman"/>
          <w:szCs w:val="24"/>
        </w:rPr>
        <w:t xml:space="preserve"> (2022)</w:t>
      </w:r>
      <w:r w:rsidR="00377B7A">
        <w:rPr>
          <w:rFonts w:cs="Times New Roman"/>
          <w:szCs w:val="24"/>
        </w:rPr>
        <w:t xml:space="preserve"> </w:t>
      </w:r>
      <w:r w:rsidR="008C193D" w:rsidRPr="008C193D">
        <w:rPr>
          <w:rFonts w:cs="Times New Roman"/>
          <w:i/>
          <w:iCs/>
          <w:szCs w:val="24"/>
        </w:rPr>
        <w:t>Shell posts record quarterly profit, lifted by energy price surge</w:t>
      </w:r>
      <w:r w:rsidR="008C193D">
        <w:rPr>
          <w:rFonts w:cs="Times New Roman"/>
          <w:i/>
          <w:iCs/>
          <w:szCs w:val="24"/>
        </w:rPr>
        <w:t>.</w:t>
      </w:r>
      <w:r w:rsidR="008C193D">
        <w:rPr>
          <w:rFonts w:cs="Times New Roman"/>
          <w:szCs w:val="24"/>
        </w:rPr>
        <w:t xml:space="preserve"> Available at: </w:t>
      </w:r>
      <w:r w:rsidRPr="00FD35E9">
        <w:rPr>
          <w:rFonts w:cs="Times New Roman"/>
          <w:szCs w:val="24"/>
        </w:rPr>
        <w:t>https://www.reuters.com/business/energy/shell-posts-record-profit-high-energy-prices-trading-boost-2022-05-05/</w:t>
      </w:r>
      <w:r>
        <w:rPr>
          <w:rFonts w:cs="Times New Roman"/>
          <w:szCs w:val="24"/>
        </w:rPr>
        <w:t xml:space="preserve"> (Accessed: 27 July 2022)</w:t>
      </w:r>
    </w:p>
    <w:p w14:paraId="3121E40B" w14:textId="560E3F53" w:rsidR="008C5F3F" w:rsidRDefault="00D6137E" w:rsidP="008C5F3F">
      <w:pPr>
        <w:ind w:firstLine="0"/>
        <w:rPr>
          <w:rFonts w:cs="Times New Roman"/>
          <w:szCs w:val="24"/>
        </w:rPr>
      </w:pPr>
      <w:r>
        <w:rPr>
          <w:rFonts w:cs="Times New Roman"/>
          <w:szCs w:val="24"/>
        </w:rPr>
        <w:t xml:space="preserve">Baldrige, R. (2022) </w:t>
      </w:r>
      <w:r w:rsidRPr="00D6137E">
        <w:rPr>
          <w:rFonts w:cs="Times New Roman"/>
          <w:i/>
          <w:iCs/>
          <w:szCs w:val="24"/>
        </w:rPr>
        <w:t>What Is the Efficient Market Hypothesis?</w:t>
      </w:r>
      <w:r>
        <w:rPr>
          <w:rFonts w:cs="Times New Roman"/>
          <w:szCs w:val="24"/>
        </w:rPr>
        <w:t xml:space="preserve"> </w:t>
      </w:r>
      <w:r w:rsidR="008C5F3F">
        <w:rPr>
          <w:rFonts w:cs="Times New Roman"/>
          <w:szCs w:val="24"/>
        </w:rPr>
        <w:t>Available at:</w:t>
      </w:r>
      <w:r>
        <w:rPr>
          <w:rFonts w:cs="Times New Roman"/>
          <w:szCs w:val="24"/>
        </w:rPr>
        <w:t xml:space="preserve"> </w:t>
      </w:r>
      <w:r w:rsidR="008C5F3F" w:rsidRPr="008C5F3F">
        <w:rPr>
          <w:rFonts w:cs="Times New Roman"/>
          <w:szCs w:val="24"/>
        </w:rPr>
        <w:t>https://www.forbes.com/advisor/investing/efficient-market-hypothesis/</w:t>
      </w:r>
      <w:r>
        <w:rPr>
          <w:rFonts w:cs="Times New Roman"/>
          <w:szCs w:val="24"/>
        </w:rPr>
        <w:t xml:space="preserve"> </w:t>
      </w:r>
      <w:r w:rsidR="008C5F3F">
        <w:rPr>
          <w:rFonts w:cs="Times New Roman"/>
          <w:szCs w:val="24"/>
        </w:rPr>
        <w:t>(Accessed: 02 August 2022)</w:t>
      </w:r>
    </w:p>
    <w:p w14:paraId="125B3F41" w14:textId="3873E7DB" w:rsidR="005F5474" w:rsidRPr="005F5474" w:rsidRDefault="005F5474" w:rsidP="008C5F3F">
      <w:pPr>
        <w:ind w:firstLine="0"/>
        <w:rPr>
          <w:rFonts w:cs="Times New Roman"/>
          <w:szCs w:val="24"/>
        </w:rPr>
      </w:pPr>
      <w:r>
        <w:rPr>
          <w:rFonts w:cs="Times New Roman"/>
          <w:szCs w:val="24"/>
        </w:rPr>
        <w:t xml:space="preserve">Fernando, J. (2021) </w:t>
      </w:r>
      <w:r w:rsidRPr="005F5474">
        <w:rPr>
          <w:rFonts w:cs="Times New Roman"/>
          <w:i/>
          <w:iCs/>
          <w:szCs w:val="24"/>
        </w:rPr>
        <w:t>Net Present Value (NPV)</w:t>
      </w:r>
      <w:r>
        <w:rPr>
          <w:rFonts w:cs="Times New Roman"/>
          <w:szCs w:val="24"/>
        </w:rPr>
        <w:t>. Available at</w:t>
      </w:r>
      <w:r w:rsidR="00E75C7D">
        <w:rPr>
          <w:rFonts w:cs="Times New Roman"/>
          <w:szCs w:val="24"/>
        </w:rPr>
        <w:t>:</w:t>
      </w:r>
      <w:r w:rsidR="00E75C7D" w:rsidRPr="00E75C7D">
        <w:t xml:space="preserve"> </w:t>
      </w:r>
      <w:r w:rsidR="00E75C7D" w:rsidRPr="00E75C7D">
        <w:rPr>
          <w:rFonts w:cs="Times New Roman"/>
          <w:szCs w:val="24"/>
        </w:rPr>
        <w:t>https://www.investopedia.com/terms/n/npv.asp</w:t>
      </w:r>
      <w:r w:rsidR="00E75C7D">
        <w:rPr>
          <w:rFonts w:cs="Times New Roman"/>
          <w:szCs w:val="24"/>
        </w:rPr>
        <w:t xml:space="preserve"> (Accessed: 03 August 2022)</w:t>
      </w:r>
    </w:p>
    <w:p w14:paraId="382BCB16" w14:textId="28537D66" w:rsidR="00C02376" w:rsidRDefault="00045D86" w:rsidP="00C02376">
      <w:pPr>
        <w:ind w:firstLine="0"/>
        <w:rPr>
          <w:rFonts w:cs="Times New Roman"/>
          <w:szCs w:val="24"/>
        </w:rPr>
      </w:pPr>
      <w:r>
        <w:rPr>
          <w:rFonts w:cs="Times New Roman"/>
          <w:szCs w:val="24"/>
        </w:rPr>
        <w:t>Investopedia</w:t>
      </w:r>
      <w:r w:rsidR="00C02376">
        <w:rPr>
          <w:rFonts w:cs="Times New Roman"/>
          <w:szCs w:val="24"/>
        </w:rPr>
        <w:t xml:space="preserve"> (2022) </w:t>
      </w:r>
      <w:r w:rsidR="00651846" w:rsidRPr="00651846">
        <w:rPr>
          <w:rFonts w:cs="Times New Roman"/>
          <w:i/>
          <w:iCs/>
          <w:szCs w:val="24"/>
        </w:rPr>
        <w:t>What Is Market Efficiency?</w:t>
      </w:r>
      <w:r w:rsidR="00651846">
        <w:rPr>
          <w:rFonts w:cs="Times New Roman"/>
          <w:szCs w:val="24"/>
        </w:rPr>
        <w:t xml:space="preserve"> </w:t>
      </w:r>
      <w:r w:rsidR="00C02376">
        <w:rPr>
          <w:rFonts w:cs="Times New Roman"/>
          <w:szCs w:val="24"/>
        </w:rPr>
        <w:t xml:space="preserve">Available at:  </w:t>
      </w:r>
      <w:r w:rsidR="00C02376" w:rsidRPr="00C02376">
        <w:rPr>
          <w:rFonts w:cs="Times New Roman"/>
          <w:szCs w:val="24"/>
        </w:rPr>
        <w:t>https://www.investopedia.com/terms/m/marketefficiency.asp</w:t>
      </w:r>
      <w:r w:rsidR="00C02376">
        <w:rPr>
          <w:rFonts w:cs="Times New Roman"/>
          <w:szCs w:val="24"/>
        </w:rPr>
        <w:t xml:space="preserve"> (Accessed: 02 August 2022)</w:t>
      </w:r>
    </w:p>
    <w:p w14:paraId="51656A1F" w14:textId="162509D4" w:rsidR="00A6131E" w:rsidRDefault="00A6131E" w:rsidP="00A6131E">
      <w:pPr>
        <w:ind w:firstLine="0"/>
        <w:rPr>
          <w:rFonts w:cs="Times New Roman"/>
          <w:szCs w:val="24"/>
        </w:rPr>
      </w:pPr>
      <w:r>
        <w:rPr>
          <w:rFonts w:cs="Times New Roman"/>
          <w:szCs w:val="24"/>
        </w:rPr>
        <w:t>Kagan, J. (2022)</w:t>
      </w:r>
      <w:r w:rsidR="0015562D">
        <w:rPr>
          <w:rFonts w:cs="Times New Roman"/>
          <w:szCs w:val="24"/>
        </w:rPr>
        <w:t xml:space="preserve"> </w:t>
      </w:r>
      <w:r w:rsidR="0015562D" w:rsidRPr="0015562D">
        <w:rPr>
          <w:rFonts w:cs="Times New Roman"/>
          <w:i/>
          <w:iCs/>
          <w:szCs w:val="24"/>
        </w:rPr>
        <w:t>What Is the Payback Period?</w:t>
      </w:r>
      <w:r>
        <w:rPr>
          <w:rFonts w:cs="Times New Roman"/>
          <w:szCs w:val="24"/>
        </w:rPr>
        <w:t xml:space="preserve"> </w:t>
      </w:r>
      <w:r w:rsidR="0015562D">
        <w:rPr>
          <w:rFonts w:cs="Times New Roman"/>
          <w:szCs w:val="24"/>
        </w:rPr>
        <w:t xml:space="preserve">Available at: </w:t>
      </w:r>
      <w:r w:rsidRPr="00A6131E">
        <w:rPr>
          <w:rFonts w:cs="Times New Roman"/>
          <w:szCs w:val="24"/>
        </w:rPr>
        <w:t>https://www.investopedia.com/terms/p/paybackperiod.asp</w:t>
      </w:r>
      <w:r>
        <w:rPr>
          <w:rFonts w:cs="Times New Roman"/>
          <w:szCs w:val="24"/>
        </w:rPr>
        <w:t xml:space="preserve"> (Accessed: 03 August 2022)</w:t>
      </w:r>
    </w:p>
    <w:p w14:paraId="04A83B96" w14:textId="2D1C7157" w:rsidR="00D031AB" w:rsidRDefault="00D031AB" w:rsidP="00A6131E">
      <w:pPr>
        <w:ind w:firstLine="0"/>
        <w:rPr>
          <w:rFonts w:cs="Times New Roman"/>
          <w:szCs w:val="24"/>
        </w:rPr>
      </w:pPr>
      <w:r>
        <w:rPr>
          <w:rFonts w:cs="Times New Roman"/>
          <w:szCs w:val="24"/>
        </w:rPr>
        <w:lastRenderedPageBreak/>
        <w:t>Lanctot, P. (20</w:t>
      </w:r>
      <w:r w:rsidR="00556EEB">
        <w:rPr>
          <w:rFonts w:cs="Times New Roman"/>
          <w:szCs w:val="24"/>
        </w:rPr>
        <w:t>19</w:t>
      </w:r>
      <w:r>
        <w:rPr>
          <w:rFonts w:cs="Times New Roman"/>
          <w:szCs w:val="24"/>
        </w:rPr>
        <w:t>)</w:t>
      </w:r>
      <w:r w:rsidR="00556EEB">
        <w:rPr>
          <w:rFonts w:cs="Times New Roman"/>
          <w:szCs w:val="24"/>
        </w:rPr>
        <w:t xml:space="preserve"> </w:t>
      </w:r>
      <w:r w:rsidR="00556EEB" w:rsidRPr="000922D0">
        <w:rPr>
          <w:rFonts w:cs="Times New Roman"/>
          <w:i/>
          <w:iCs/>
          <w:szCs w:val="24"/>
        </w:rPr>
        <w:t>The Advantages and Disadvantages of the Internal Rate of Return Method.</w:t>
      </w:r>
      <w:r w:rsidR="00556EEB">
        <w:rPr>
          <w:rFonts w:cs="Times New Roman"/>
          <w:szCs w:val="24"/>
        </w:rPr>
        <w:t xml:space="preserve"> Available at: </w:t>
      </w:r>
      <w:r w:rsidR="000922D0" w:rsidRPr="000922D0">
        <w:rPr>
          <w:rFonts w:cs="Times New Roman"/>
          <w:szCs w:val="24"/>
        </w:rPr>
        <w:t>https://smallbusiness.chron.com/advantages-disadvantages-internal-rate-return-method-60935.html</w:t>
      </w:r>
      <w:r w:rsidR="000922D0">
        <w:rPr>
          <w:rFonts w:cs="Times New Roman"/>
          <w:szCs w:val="24"/>
        </w:rPr>
        <w:t xml:space="preserve"> (Accessed: 03 August 2022)</w:t>
      </w:r>
    </w:p>
    <w:p w14:paraId="0E72BC66" w14:textId="0470878A" w:rsidR="008C5F3F" w:rsidRDefault="00863DE9" w:rsidP="002B51E7">
      <w:pPr>
        <w:ind w:firstLine="0"/>
        <w:rPr>
          <w:rFonts w:cs="Times New Roman"/>
          <w:szCs w:val="24"/>
        </w:rPr>
      </w:pPr>
      <w:r>
        <w:rPr>
          <w:rFonts w:cs="Times New Roman"/>
          <w:szCs w:val="24"/>
        </w:rPr>
        <w:t>Mcclure, B. (2022)</w:t>
      </w:r>
      <w:r w:rsidR="00325943">
        <w:rPr>
          <w:rFonts w:cs="Times New Roman"/>
          <w:szCs w:val="24"/>
        </w:rPr>
        <w:t xml:space="preserve"> </w:t>
      </w:r>
      <w:r w:rsidR="00325943" w:rsidRPr="00325943">
        <w:rPr>
          <w:rFonts w:cs="Times New Roman"/>
          <w:i/>
          <w:iCs/>
          <w:szCs w:val="24"/>
        </w:rPr>
        <w:t>Strategies for Quarterly Earnings Season</w:t>
      </w:r>
      <w:r w:rsidR="00325943">
        <w:rPr>
          <w:rFonts w:cs="Times New Roman"/>
          <w:szCs w:val="24"/>
        </w:rPr>
        <w:t>.</w:t>
      </w:r>
      <w:r>
        <w:rPr>
          <w:rFonts w:cs="Times New Roman"/>
          <w:szCs w:val="24"/>
        </w:rPr>
        <w:t xml:space="preserve"> Available at: </w:t>
      </w:r>
      <w:r w:rsidRPr="00325943">
        <w:rPr>
          <w:rFonts w:cs="Times New Roman"/>
          <w:szCs w:val="24"/>
        </w:rPr>
        <w:t>https://www.investopedia.com/articles/stocks/06/quarterlyearningsstrategies.asp</w:t>
      </w:r>
      <w:r>
        <w:rPr>
          <w:rFonts w:cs="Times New Roman"/>
          <w:szCs w:val="24"/>
        </w:rPr>
        <w:t xml:space="preserve"> (Accessed: 03 August 2022)</w:t>
      </w:r>
    </w:p>
    <w:p w14:paraId="5CF58068" w14:textId="0FFA9E48" w:rsidR="001E189B" w:rsidRDefault="001E189B" w:rsidP="002B51E7">
      <w:pPr>
        <w:ind w:firstLine="0"/>
        <w:rPr>
          <w:rFonts w:cs="Times New Roman"/>
          <w:szCs w:val="24"/>
        </w:rPr>
      </w:pPr>
      <w:r>
        <w:rPr>
          <w:rFonts w:cs="Times New Roman"/>
          <w:szCs w:val="24"/>
        </w:rPr>
        <w:t xml:space="preserve">Macrotrends (2022) </w:t>
      </w:r>
      <w:r w:rsidRPr="001E189B">
        <w:rPr>
          <w:rFonts w:cs="Times New Roman"/>
          <w:i/>
          <w:iCs/>
          <w:szCs w:val="24"/>
        </w:rPr>
        <w:t>Brent Crude Oil Prices - 10 Year Daily Chart</w:t>
      </w:r>
      <w:r>
        <w:rPr>
          <w:rFonts w:cs="Times New Roman"/>
          <w:i/>
          <w:iCs/>
          <w:szCs w:val="24"/>
        </w:rPr>
        <w:t>.</w:t>
      </w:r>
      <w:r>
        <w:rPr>
          <w:rFonts w:cs="Times New Roman"/>
          <w:szCs w:val="24"/>
        </w:rPr>
        <w:t xml:space="preserve"> Available at: </w:t>
      </w:r>
      <w:r w:rsidRPr="001E189B">
        <w:rPr>
          <w:rFonts w:cs="Times New Roman"/>
          <w:szCs w:val="24"/>
        </w:rPr>
        <w:t>https://www.macrotrends.net/2480/brent-crude-oil-prices-10-year-daily-chart</w:t>
      </w:r>
      <w:r>
        <w:rPr>
          <w:rFonts w:cs="Times New Roman"/>
          <w:szCs w:val="24"/>
        </w:rPr>
        <w:t xml:space="preserve"> (Accessed: 02 August 2022)</w:t>
      </w:r>
    </w:p>
    <w:p w14:paraId="26713DF4" w14:textId="4E876B4A" w:rsidR="009F1B39" w:rsidRDefault="00084897" w:rsidP="002B51E7">
      <w:pPr>
        <w:ind w:firstLine="0"/>
        <w:rPr>
          <w:rFonts w:cs="Times New Roman"/>
          <w:szCs w:val="24"/>
        </w:rPr>
      </w:pPr>
      <w:r>
        <w:rPr>
          <w:rFonts w:cs="Times New Roman"/>
          <w:szCs w:val="24"/>
        </w:rPr>
        <w:t xml:space="preserve">Macrotrends (n.d.) </w:t>
      </w:r>
      <w:r w:rsidR="009F1B39" w:rsidRPr="00084897">
        <w:rPr>
          <w:rFonts w:cs="Times New Roman"/>
          <w:i/>
          <w:iCs/>
          <w:szCs w:val="24"/>
        </w:rPr>
        <w:t>Shell - Stock Price History | SHEL</w:t>
      </w:r>
      <w:r w:rsidR="009F1B39">
        <w:rPr>
          <w:rFonts w:cs="Times New Roman"/>
          <w:szCs w:val="24"/>
        </w:rPr>
        <w:t xml:space="preserve"> Available at:</w:t>
      </w:r>
      <w:r>
        <w:rPr>
          <w:rFonts w:cs="Times New Roman"/>
          <w:szCs w:val="24"/>
        </w:rPr>
        <w:t xml:space="preserve"> </w:t>
      </w:r>
      <w:r w:rsidRPr="00084897">
        <w:rPr>
          <w:rFonts w:cs="Times New Roman"/>
          <w:szCs w:val="24"/>
        </w:rPr>
        <w:t>https://www.macrotrends.net/stocks/charts/SHEL/shell/stock-price-history</w:t>
      </w:r>
      <w:r>
        <w:rPr>
          <w:rFonts w:cs="Times New Roman"/>
          <w:szCs w:val="24"/>
        </w:rPr>
        <w:t xml:space="preserve"> (Accessed: 02 August 2022)</w:t>
      </w:r>
    </w:p>
    <w:p w14:paraId="6AE2DF1B" w14:textId="2C0528A8" w:rsidR="00270ABA" w:rsidRDefault="00B352DA" w:rsidP="002B51E7">
      <w:pPr>
        <w:ind w:firstLine="0"/>
        <w:rPr>
          <w:rFonts w:cs="Times New Roman"/>
          <w:szCs w:val="24"/>
        </w:rPr>
      </w:pPr>
      <w:r>
        <w:rPr>
          <w:rFonts w:cs="Times New Roman"/>
          <w:szCs w:val="24"/>
        </w:rPr>
        <w:t>Market</w:t>
      </w:r>
      <w:r w:rsidR="00FC2384">
        <w:rPr>
          <w:rFonts w:cs="Times New Roman"/>
          <w:szCs w:val="24"/>
        </w:rPr>
        <w:t xml:space="preserve">Line (2021) </w:t>
      </w:r>
      <w:r w:rsidR="009F0222" w:rsidRPr="00B352DA">
        <w:rPr>
          <w:rFonts w:cs="Times New Roman"/>
          <w:i/>
          <w:iCs/>
          <w:szCs w:val="24"/>
        </w:rPr>
        <w:t>Europe Oil &amp; Gas</w:t>
      </w:r>
      <w:r w:rsidR="00FC2384">
        <w:rPr>
          <w:rFonts w:cs="Times New Roman"/>
          <w:i/>
          <w:iCs/>
          <w:szCs w:val="24"/>
        </w:rPr>
        <w:t>.</w:t>
      </w:r>
      <w:r w:rsidR="009F0222">
        <w:rPr>
          <w:rFonts w:cs="Times New Roman"/>
          <w:szCs w:val="24"/>
        </w:rPr>
        <w:t xml:space="preserve"> </w:t>
      </w:r>
      <w:r>
        <w:rPr>
          <w:rFonts w:cs="Times New Roman"/>
          <w:szCs w:val="24"/>
        </w:rPr>
        <w:t xml:space="preserve">Available at: </w:t>
      </w:r>
      <w:r w:rsidRPr="00B352DA">
        <w:rPr>
          <w:rFonts w:cs="Times New Roman"/>
          <w:szCs w:val="24"/>
        </w:rPr>
        <w:t>https://advantage-marketline-com.ezproxy.uwtsd.ac.uk/Company/ResearchReports/royal-dutch-shell</w:t>
      </w:r>
      <w:r>
        <w:rPr>
          <w:rFonts w:cs="Times New Roman"/>
          <w:szCs w:val="24"/>
        </w:rPr>
        <w:t xml:space="preserve"> (Accessed: 27 July 2022)</w:t>
      </w:r>
    </w:p>
    <w:p w14:paraId="7AEA4835" w14:textId="795BDF92" w:rsidR="0099526C" w:rsidRDefault="0099526C" w:rsidP="002B51E7">
      <w:pPr>
        <w:ind w:firstLine="0"/>
        <w:rPr>
          <w:rFonts w:cs="Times New Roman"/>
          <w:szCs w:val="24"/>
        </w:rPr>
      </w:pPr>
      <w:r>
        <w:rPr>
          <w:rFonts w:cs="Times New Roman"/>
          <w:szCs w:val="24"/>
        </w:rPr>
        <w:t>Microsoft Bing (2022</w:t>
      </w:r>
      <w:r w:rsidR="00D30B81">
        <w:rPr>
          <w:rFonts w:cs="Times New Roman"/>
          <w:szCs w:val="24"/>
        </w:rPr>
        <w:t xml:space="preserve">) </w:t>
      </w:r>
      <w:r w:rsidR="00091265" w:rsidRPr="00D30B81">
        <w:rPr>
          <w:rFonts w:cs="Times New Roman"/>
          <w:i/>
          <w:iCs/>
          <w:szCs w:val="24"/>
        </w:rPr>
        <w:t>Shell Pl</w:t>
      </w:r>
      <w:r w:rsidR="00D30B81" w:rsidRPr="00D30B81">
        <w:rPr>
          <w:rFonts w:cs="Times New Roman"/>
          <w:i/>
          <w:iCs/>
          <w:szCs w:val="24"/>
        </w:rPr>
        <w:t>c – NYSE: Market share price</w:t>
      </w:r>
      <w:r w:rsidR="00D30B81">
        <w:rPr>
          <w:rFonts w:cs="Times New Roman"/>
          <w:szCs w:val="24"/>
        </w:rPr>
        <w:t>.</w:t>
      </w:r>
      <w:r w:rsidR="00DB08BD">
        <w:rPr>
          <w:rFonts w:cs="Times New Roman"/>
          <w:szCs w:val="24"/>
        </w:rPr>
        <w:t xml:space="preserve"> Available at: </w:t>
      </w:r>
      <w:r>
        <w:rPr>
          <w:rFonts w:cs="Times New Roman"/>
          <w:szCs w:val="24"/>
        </w:rPr>
        <w:t xml:space="preserve"> </w:t>
      </w:r>
      <w:r w:rsidRPr="00DB08BD">
        <w:rPr>
          <w:rFonts w:cs="Times New Roman"/>
          <w:szCs w:val="24"/>
        </w:rPr>
        <w:t>https://www.bing.com/search?q=nyse+shel&amp;qs=OS&amp;pq=nyse%3a+shel&amp;sc=2-10&amp;cvid=59DAD868BA254FB2A1CA76EE85D585C3&amp;FORM=QBRE&amp;sp=1</w:t>
      </w:r>
      <w:r>
        <w:rPr>
          <w:rFonts w:cs="Times New Roman"/>
          <w:szCs w:val="24"/>
        </w:rPr>
        <w:t xml:space="preserve"> </w:t>
      </w:r>
      <w:r w:rsidR="00DB08BD">
        <w:rPr>
          <w:rFonts w:cs="Times New Roman"/>
          <w:szCs w:val="24"/>
        </w:rPr>
        <w:t>(Accessed: 03 August 2022)</w:t>
      </w:r>
    </w:p>
    <w:p w14:paraId="613538A6" w14:textId="5C9C2362" w:rsidR="00D74B7B" w:rsidRPr="002A5CE0" w:rsidRDefault="00D74B7B" w:rsidP="002B51E7">
      <w:pPr>
        <w:ind w:firstLine="0"/>
        <w:rPr>
          <w:rFonts w:cs="Times New Roman"/>
          <w:szCs w:val="24"/>
        </w:rPr>
      </w:pPr>
      <w:r>
        <w:rPr>
          <w:rFonts w:cs="Times New Roman"/>
          <w:szCs w:val="24"/>
        </w:rPr>
        <w:t>Ruto, J.</w:t>
      </w:r>
      <w:r w:rsidR="00184EB1">
        <w:rPr>
          <w:rFonts w:cs="Times New Roman"/>
          <w:szCs w:val="24"/>
        </w:rPr>
        <w:t xml:space="preserve"> (2022)</w:t>
      </w:r>
      <w:r>
        <w:rPr>
          <w:rFonts w:cs="Times New Roman"/>
          <w:szCs w:val="24"/>
        </w:rPr>
        <w:t xml:space="preserve"> </w:t>
      </w:r>
      <w:r w:rsidRPr="00D50C5F">
        <w:rPr>
          <w:rFonts w:cs="Times New Roman"/>
          <w:i/>
          <w:iCs/>
          <w:color w:val="000000"/>
        </w:rPr>
        <w:t>5 Largest Oil Companies in Kenya, Their Owners and Market Share</w:t>
      </w:r>
      <w:r w:rsidR="00D50C5F">
        <w:rPr>
          <w:rFonts w:cs="Times New Roman"/>
          <w:color w:val="000000"/>
        </w:rPr>
        <w:t>.</w:t>
      </w:r>
      <w:r w:rsidRPr="002A5CE0">
        <w:rPr>
          <w:rFonts w:cs="Times New Roman"/>
          <w:color w:val="000000"/>
        </w:rPr>
        <w:t xml:space="preserve"> </w:t>
      </w:r>
      <w:r w:rsidR="00184EB1">
        <w:rPr>
          <w:rFonts w:cs="Times New Roman"/>
          <w:color w:val="000000"/>
        </w:rPr>
        <w:t>Available at:</w:t>
      </w:r>
      <w:r w:rsidRPr="002A5CE0">
        <w:rPr>
          <w:rFonts w:cs="Times New Roman"/>
          <w:color w:val="000000"/>
        </w:rPr>
        <w:t> </w:t>
      </w:r>
      <w:r w:rsidRPr="00184EB1">
        <w:rPr>
          <w:rFonts w:cs="Times New Roman"/>
        </w:rPr>
        <w:t>https://www.tuko.co.ke/427947-largest-oil-companies-kenya-owners-market-share.html</w:t>
      </w:r>
      <w:r w:rsidR="00184EB1">
        <w:rPr>
          <w:rFonts w:cs="Times New Roman"/>
        </w:rPr>
        <w:t xml:space="preserve"> </w:t>
      </w:r>
      <w:r w:rsidR="00184EB1">
        <w:rPr>
          <w:rFonts w:cs="Times New Roman"/>
          <w:szCs w:val="24"/>
        </w:rPr>
        <w:t>(Accessed: 03 August 2022)</w:t>
      </w:r>
    </w:p>
    <w:p w14:paraId="5118E6E6" w14:textId="5E92F281" w:rsidR="00556F2D" w:rsidRPr="008405BA" w:rsidRDefault="00556F2D" w:rsidP="002B51E7">
      <w:pPr>
        <w:ind w:firstLine="0"/>
        <w:rPr>
          <w:rFonts w:cs="Times New Roman"/>
          <w:szCs w:val="24"/>
        </w:rPr>
      </w:pPr>
      <w:r>
        <w:rPr>
          <w:rFonts w:cs="Times New Roman"/>
          <w:szCs w:val="24"/>
        </w:rPr>
        <w:t>Seal</w:t>
      </w:r>
      <w:r w:rsidR="008405BA">
        <w:rPr>
          <w:rFonts w:cs="Times New Roman"/>
          <w:szCs w:val="24"/>
        </w:rPr>
        <w:t xml:space="preserve">, W. </w:t>
      </w:r>
      <w:r w:rsidR="008405BA" w:rsidRPr="008405BA">
        <w:rPr>
          <w:rFonts w:cs="Times New Roman"/>
          <w:i/>
          <w:iCs/>
          <w:szCs w:val="24"/>
        </w:rPr>
        <w:t>et al.</w:t>
      </w:r>
      <w:r w:rsidR="008405BA">
        <w:rPr>
          <w:rFonts w:cs="Times New Roman"/>
          <w:i/>
          <w:iCs/>
          <w:szCs w:val="24"/>
        </w:rPr>
        <w:t xml:space="preserve"> </w:t>
      </w:r>
      <w:r w:rsidR="00BF0F90">
        <w:rPr>
          <w:rFonts w:cs="Times New Roman"/>
          <w:szCs w:val="24"/>
        </w:rPr>
        <w:t>(</w:t>
      </w:r>
      <w:r w:rsidR="00796F05">
        <w:rPr>
          <w:rFonts w:cs="Times New Roman"/>
          <w:szCs w:val="24"/>
        </w:rPr>
        <w:t>2019</w:t>
      </w:r>
      <w:r w:rsidR="00BF0F90">
        <w:rPr>
          <w:rFonts w:cs="Times New Roman"/>
          <w:szCs w:val="24"/>
        </w:rPr>
        <w:t>)</w:t>
      </w:r>
      <w:r w:rsidR="00796F05">
        <w:rPr>
          <w:rFonts w:cs="Times New Roman"/>
          <w:szCs w:val="24"/>
        </w:rPr>
        <w:t xml:space="preserve"> </w:t>
      </w:r>
      <w:r w:rsidR="00796F05" w:rsidRPr="003769EB">
        <w:rPr>
          <w:rFonts w:cs="Times New Roman"/>
          <w:i/>
          <w:iCs/>
          <w:szCs w:val="24"/>
        </w:rPr>
        <w:t>Management Accounting</w:t>
      </w:r>
      <w:r w:rsidR="003769EB">
        <w:rPr>
          <w:rFonts w:cs="Times New Roman"/>
          <w:szCs w:val="24"/>
        </w:rPr>
        <w:t xml:space="preserve">. </w:t>
      </w:r>
      <w:r w:rsidR="00F14C2F">
        <w:rPr>
          <w:rFonts w:cs="Times New Roman"/>
          <w:szCs w:val="24"/>
        </w:rPr>
        <w:t>6th</w:t>
      </w:r>
      <w:r w:rsidR="00F14C2F">
        <w:rPr>
          <w:rFonts w:cs="Times New Roman"/>
          <w:szCs w:val="24"/>
          <w:vertAlign w:val="superscript"/>
        </w:rPr>
        <w:t xml:space="preserve"> </w:t>
      </w:r>
      <w:r w:rsidR="00F14C2F">
        <w:rPr>
          <w:rFonts w:cs="Times New Roman"/>
          <w:szCs w:val="24"/>
        </w:rPr>
        <w:t>ed.</w:t>
      </w:r>
      <w:r w:rsidR="007A7E39">
        <w:rPr>
          <w:rFonts w:cs="Times New Roman"/>
          <w:szCs w:val="24"/>
        </w:rPr>
        <w:t xml:space="preserve"> London: Mc-Graw Hill Education</w:t>
      </w:r>
    </w:p>
    <w:p w14:paraId="1DB3C35B" w14:textId="09FF25AD" w:rsidR="00BD0002" w:rsidRDefault="00BD0002" w:rsidP="002B51E7">
      <w:pPr>
        <w:ind w:firstLine="0"/>
        <w:rPr>
          <w:rFonts w:cs="Times New Roman"/>
          <w:szCs w:val="24"/>
        </w:rPr>
      </w:pPr>
      <w:r>
        <w:rPr>
          <w:rFonts w:cs="Times New Roman"/>
          <w:szCs w:val="24"/>
        </w:rPr>
        <w:t xml:space="preserve">Shell Global (2020) </w:t>
      </w:r>
      <w:r w:rsidRPr="007F51D7">
        <w:rPr>
          <w:rFonts w:cs="Times New Roman"/>
          <w:i/>
          <w:iCs/>
          <w:szCs w:val="24"/>
        </w:rPr>
        <w:t>Annual Report and Accounts 202</w:t>
      </w:r>
      <w:r>
        <w:rPr>
          <w:rFonts w:cs="Times New Roman"/>
          <w:i/>
          <w:iCs/>
          <w:szCs w:val="24"/>
        </w:rPr>
        <w:t>0.</w:t>
      </w:r>
      <w:r>
        <w:rPr>
          <w:rFonts w:cs="Times New Roman"/>
          <w:szCs w:val="24"/>
        </w:rPr>
        <w:t xml:space="preserve"> Available at: </w:t>
      </w:r>
      <w:r w:rsidRPr="00BD0002">
        <w:rPr>
          <w:rFonts w:cs="Times New Roman"/>
          <w:szCs w:val="24"/>
        </w:rPr>
        <w:t>https://reports.shell.com/annual-report/2020/servicepages/download-centre.php</w:t>
      </w:r>
      <w:r>
        <w:rPr>
          <w:rFonts w:cs="Times New Roman"/>
          <w:szCs w:val="24"/>
        </w:rPr>
        <w:t xml:space="preserve"> (Accessed: 27 July 2022)</w:t>
      </w:r>
    </w:p>
    <w:p w14:paraId="250C9E57" w14:textId="0F5EC70E" w:rsidR="003D6FB8" w:rsidRDefault="005B2DD5" w:rsidP="005B2DD5">
      <w:pPr>
        <w:ind w:firstLine="0"/>
        <w:rPr>
          <w:rFonts w:cs="Times New Roman"/>
          <w:szCs w:val="24"/>
        </w:rPr>
      </w:pPr>
      <w:r>
        <w:rPr>
          <w:rFonts w:cs="Times New Roman"/>
          <w:szCs w:val="24"/>
        </w:rPr>
        <w:t xml:space="preserve">Shell </w:t>
      </w:r>
      <w:r w:rsidR="00296561">
        <w:rPr>
          <w:rFonts w:cs="Times New Roman"/>
          <w:szCs w:val="24"/>
        </w:rPr>
        <w:t xml:space="preserve">Global </w:t>
      </w:r>
      <w:r>
        <w:rPr>
          <w:rFonts w:cs="Times New Roman"/>
          <w:szCs w:val="24"/>
        </w:rPr>
        <w:t>(</w:t>
      </w:r>
      <w:r w:rsidR="00316CE4">
        <w:rPr>
          <w:rFonts w:cs="Times New Roman"/>
          <w:szCs w:val="24"/>
        </w:rPr>
        <w:t>2021</w:t>
      </w:r>
      <w:r>
        <w:rPr>
          <w:rFonts w:cs="Times New Roman"/>
          <w:szCs w:val="24"/>
        </w:rPr>
        <w:t>)</w:t>
      </w:r>
      <w:r w:rsidR="007F51D7">
        <w:rPr>
          <w:rFonts w:cs="Times New Roman"/>
          <w:szCs w:val="24"/>
        </w:rPr>
        <w:t xml:space="preserve"> </w:t>
      </w:r>
      <w:r w:rsidR="007F51D7" w:rsidRPr="007F51D7">
        <w:rPr>
          <w:rFonts w:cs="Times New Roman"/>
          <w:i/>
          <w:iCs/>
          <w:szCs w:val="24"/>
        </w:rPr>
        <w:t>Annual Report and Accounts 202</w:t>
      </w:r>
      <w:r w:rsidR="007F51D7">
        <w:rPr>
          <w:rFonts w:cs="Times New Roman"/>
          <w:i/>
          <w:iCs/>
          <w:szCs w:val="24"/>
        </w:rPr>
        <w:t>1.</w:t>
      </w:r>
      <w:r w:rsidR="007F51D7">
        <w:rPr>
          <w:rFonts w:cs="Times New Roman"/>
          <w:szCs w:val="24"/>
        </w:rPr>
        <w:t xml:space="preserve"> Available at: </w:t>
      </w:r>
      <w:r w:rsidR="00034DAF" w:rsidRPr="002961A6">
        <w:rPr>
          <w:rFonts w:cs="Times New Roman"/>
          <w:szCs w:val="24"/>
        </w:rPr>
        <w:t>https://reports.shell.com/annual-report/2021/services/downloads.html</w:t>
      </w:r>
      <w:r w:rsidR="00034DAF">
        <w:rPr>
          <w:rFonts w:cs="Times New Roman"/>
          <w:szCs w:val="24"/>
        </w:rPr>
        <w:t xml:space="preserve"> </w:t>
      </w:r>
      <w:r w:rsidR="007F51D7">
        <w:rPr>
          <w:rFonts w:cs="Times New Roman"/>
          <w:szCs w:val="24"/>
        </w:rPr>
        <w:t>(Accessed: 21 July 2022)</w:t>
      </w:r>
    </w:p>
    <w:p w14:paraId="3A07D810" w14:textId="4714052D" w:rsidR="00445C79" w:rsidRDefault="00445C79" w:rsidP="005B2DD5">
      <w:pPr>
        <w:ind w:firstLine="0"/>
        <w:rPr>
          <w:rFonts w:cs="Times New Roman"/>
          <w:szCs w:val="24"/>
        </w:rPr>
      </w:pPr>
      <w:r>
        <w:rPr>
          <w:rFonts w:cs="Times New Roman"/>
          <w:szCs w:val="24"/>
        </w:rPr>
        <w:t xml:space="preserve">Shell Global (2021-a) </w:t>
      </w:r>
      <w:r w:rsidR="00B82B56">
        <w:rPr>
          <w:rFonts w:cs="Times New Roman"/>
          <w:szCs w:val="24"/>
        </w:rPr>
        <w:t>Investment and Returns. Available at:</w:t>
      </w:r>
      <w:r w:rsidR="00B82B56" w:rsidRPr="00B82B56">
        <w:t xml:space="preserve"> </w:t>
      </w:r>
      <w:r w:rsidR="00B82B56" w:rsidRPr="00B82B56">
        <w:rPr>
          <w:rFonts w:cs="Times New Roman"/>
          <w:szCs w:val="24"/>
        </w:rPr>
        <w:t>https://reports.shell.com/energy-transition-progress-report/2021/financial-framework/investments-and-returns.html</w:t>
      </w:r>
      <w:r w:rsidR="00B82B56">
        <w:rPr>
          <w:rFonts w:cs="Times New Roman"/>
          <w:szCs w:val="24"/>
        </w:rPr>
        <w:t xml:space="preserve"> (Accessed: 03 August 2022)</w:t>
      </w:r>
    </w:p>
    <w:p w14:paraId="39E6ADC9" w14:textId="26089683" w:rsidR="00850B59" w:rsidRDefault="00850B59" w:rsidP="00850B59">
      <w:pPr>
        <w:ind w:firstLine="0"/>
        <w:rPr>
          <w:rFonts w:cs="Times New Roman"/>
          <w:szCs w:val="24"/>
        </w:rPr>
      </w:pPr>
      <w:r>
        <w:rPr>
          <w:rFonts w:cs="Times New Roman"/>
          <w:szCs w:val="24"/>
        </w:rPr>
        <w:t xml:space="preserve">Shell </w:t>
      </w:r>
      <w:r w:rsidR="00296561">
        <w:rPr>
          <w:rFonts w:cs="Times New Roman"/>
          <w:szCs w:val="24"/>
        </w:rPr>
        <w:t xml:space="preserve">Global </w:t>
      </w:r>
      <w:r>
        <w:rPr>
          <w:rFonts w:cs="Times New Roman"/>
          <w:szCs w:val="24"/>
        </w:rPr>
        <w:t>(n.d.</w:t>
      </w:r>
      <w:r w:rsidR="006428DC">
        <w:rPr>
          <w:rFonts w:cs="Times New Roman"/>
          <w:szCs w:val="24"/>
        </w:rPr>
        <w:t>-</w:t>
      </w:r>
      <w:r w:rsidR="00316CE4">
        <w:rPr>
          <w:rFonts w:cs="Times New Roman"/>
          <w:szCs w:val="24"/>
        </w:rPr>
        <w:t>a</w:t>
      </w:r>
      <w:r>
        <w:rPr>
          <w:rFonts w:cs="Times New Roman"/>
          <w:szCs w:val="24"/>
        </w:rPr>
        <w:t xml:space="preserve">) </w:t>
      </w:r>
      <w:r w:rsidRPr="00520292">
        <w:rPr>
          <w:rFonts w:cs="Times New Roman"/>
          <w:i/>
          <w:iCs/>
          <w:szCs w:val="24"/>
        </w:rPr>
        <w:t xml:space="preserve">What we do </w:t>
      </w:r>
      <w:r>
        <w:rPr>
          <w:rFonts w:cs="Times New Roman"/>
          <w:szCs w:val="24"/>
        </w:rPr>
        <w:t xml:space="preserve">Available at: </w:t>
      </w:r>
      <w:r w:rsidR="00520292" w:rsidRPr="00520292">
        <w:rPr>
          <w:rFonts w:cs="Times New Roman"/>
          <w:szCs w:val="24"/>
        </w:rPr>
        <w:t>https://www.shell.com/about-us/what-we-do.html</w:t>
      </w:r>
      <w:r w:rsidR="00520292">
        <w:rPr>
          <w:rFonts w:cs="Times New Roman"/>
          <w:szCs w:val="24"/>
        </w:rPr>
        <w:t xml:space="preserve"> (Accessed: 21 July 2022)</w:t>
      </w:r>
    </w:p>
    <w:p w14:paraId="2038B0E3" w14:textId="3B0D151F" w:rsidR="00850B59" w:rsidRDefault="008B41F1" w:rsidP="005B2DD5">
      <w:pPr>
        <w:ind w:firstLine="0"/>
        <w:rPr>
          <w:rFonts w:cs="Times New Roman"/>
          <w:szCs w:val="24"/>
        </w:rPr>
      </w:pPr>
      <w:r>
        <w:rPr>
          <w:rFonts w:cs="Times New Roman"/>
          <w:szCs w:val="24"/>
        </w:rPr>
        <w:t>Shell Global (n.d.-</w:t>
      </w:r>
      <w:r w:rsidR="00316CE4">
        <w:rPr>
          <w:rFonts w:cs="Times New Roman"/>
          <w:szCs w:val="24"/>
        </w:rPr>
        <w:t>b</w:t>
      </w:r>
      <w:r>
        <w:rPr>
          <w:rFonts w:cs="Times New Roman"/>
          <w:szCs w:val="24"/>
        </w:rPr>
        <w:t xml:space="preserve">) </w:t>
      </w:r>
      <w:r w:rsidR="00B649FE" w:rsidRPr="00B649FE">
        <w:rPr>
          <w:rFonts w:cs="Times New Roman"/>
          <w:i/>
          <w:iCs/>
          <w:szCs w:val="24"/>
        </w:rPr>
        <w:t>SHELL ENGINE OILS AND LUBRICANTS</w:t>
      </w:r>
      <w:r w:rsidR="00B649FE">
        <w:rPr>
          <w:rFonts w:cs="Times New Roman"/>
          <w:szCs w:val="24"/>
        </w:rPr>
        <w:t xml:space="preserve">. </w:t>
      </w:r>
      <w:r>
        <w:rPr>
          <w:rFonts w:cs="Times New Roman"/>
          <w:szCs w:val="24"/>
        </w:rPr>
        <w:t xml:space="preserve">Available at: </w:t>
      </w:r>
      <w:r w:rsidR="00731A89" w:rsidRPr="00731A89">
        <w:rPr>
          <w:rFonts w:cs="Times New Roman"/>
          <w:szCs w:val="24"/>
        </w:rPr>
        <w:t>https://www.shell.com/motorist/oils-lubricants.html#:~:text=Shell%20is%20the%20number%20one,best%20formulations%20for%20your%20vehicle</w:t>
      </w:r>
      <w:r w:rsidRPr="008B41F1">
        <w:rPr>
          <w:rFonts w:cs="Times New Roman"/>
          <w:szCs w:val="24"/>
        </w:rPr>
        <w:t>.</w:t>
      </w:r>
      <w:r w:rsidR="00731A89">
        <w:rPr>
          <w:rFonts w:cs="Times New Roman"/>
          <w:szCs w:val="24"/>
        </w:rPr>
        <w:t xml:space="preserve"> (Accessed: 27 July 2022)</w:t>
      </w:r>
    </w:p>
    <w:p w14:paraId="4925F35A" w14:textId="5F5D876A" w:rsidR="00A87962" w:rsidRDefault="00A87962" w:rsidP="005B2DD5">
      <w:pPr>
        <w:ind w:firstLine="0"/>
        <w:rPr>
          <w:rFonts w:cs="Times New Roman"/>
          <w:szCs w:val="24"/>
        </w:rPr>
      </w:pPr>
      <w:r>
        <w:rPr>
          <w:rFonts w:cs="Times New Roman"/>
          <w:szCs w:val="24"/>
        </w:rPr>
        <w:lastRenderedPageBreak/>
        <w:t xml:space="preserve">Shell </w:t>
      </w:r>
      <w:r w:rsidR="0071734B">
        <w:rPr>
          <w:rFonts w:cs="Times New Roman"/>
          <w:szCs w:val="24"/>
        </w:rPr>
        <w:t xml:space="preserve">(2022) </w:t>
      </w:r>
      <w:r w:rsidR="00340F59" w:rsidRPr="00340F59">
        <w:rPr>
          <w:rFonts w:cs="Times New Roman"/>
          <w:i/>
          <w:iCs/>
          <w:szCs w:val="24"/>
        </w:rPr>
        <w:t>Q2 2022 Results. Press Release</w:t>
      </w:r>
      <w:r w:rsidR="00340F59">
        <w:rPr>
          <w:rFonts w:cs="Times New Roman"/>
          <w:szCs w:val="24"/>
        </w:rPr>
        <w:t xml:space="preserve">. Available at:  </w:t>
      </w:r>
      <w:r w:rsidR="00340F59" w:rsidRPr="00340F59">
        <w:rPr>
          <w:rFonts w:cs="Times New Roman"/>
          <w:szCs w:val="24"/>
        </w:rPr>
        <w:t>https://www.shell.com/investors/results-and-reporting/quarterly-results/2022/q2-2022/_jcr_content/par/toptasks_1119141760_.stream/1658963233980/ea8d3faec80bcc2622226933fa722b4955a5e83a/q2-2022-quarterly-press-release.pdf</w:t>
      </w:r>
      <w:r w:rsidR="00340F59">
        <w:rPr>
          <w:rFonts w:cs="Times New Roman"/>
          <w:szCs w:val="24"/>
        </w:rPr>
        <w:t xml:space="preserve"> (Accessed: 03 August 2022)</w:t>
      </w:r>
    </w:p>
    <w:p w14:paraId="6AAAD3C2" w14:textId="70616AAB" w:rsidR="00187884" w:rsidRDefault="00AD5C07" w:rsidP="005B2DD5">
      <w:pPr>
        <w:ind w:firstLine="0"/>
        <w:rPr>
          <w:rFonts w:cs="Times New Roman"/>
          <w:szCs w:val="24"/>
        </w:rPr>
      </w:pPr>
      <w:r>
        <w:rPr>
          <w:rFonts w:cs="Times New Roman"/>
          <w:szCs w:val="24"/>
        </w:rPr>
        <w:t>Statista (2022</w:t>
      </w:r>
      <w:r w:rsidR="0058268E">
        <w:rPr>
          <w:rFonts w:cs="Times New Roman"/>
          <w:szCs w:val="24"/>
        </w:rPr>
        <w:t>-a</w:t>
      </w:r>
      <w:r>
        <w:rPr>
          <w:rFonts w:cs="Times New Roman"/>
          <w:szCs w:val="24"/>
        </w:rPr>
        <w:t xml:space="preserve">) </w:t>
      </w:r>
      <w:r w:rsidR="00A2245B" w:rsidRPr="00076DA2">
        <w:rPr>
          <w:rFonts w:cs="Times New Roman"/>
          <w:i/>
          <w:iCs/>
          <w:szCs w:val="24"/>
        </w:rPr>
        <w:t xml:space="preserve">Leading oil and gas companies worldwide based on market capitalization as of April 2022. </w:t>
      </w:r>
      <w:r w:rsidR="00A2245B">
        <w:rPr>
          <w:rFonts w:cs="Times New Roman"/>
          <w:szCs w:val="24"/>
        </w:rPr>
        <w:t>Available</w:t>
      </w:r>
      <w:r w:rsidR="00076DA2">
        <w:rPr>
          <w:rFonts w:cs="Times New Roman"/>
          <w:szCs w:val="24"/>
        </w:rPr>
        <w:t xml:space="preserve"> at:</w:t>
      </w:r>
      <w:r w:rsidR="00A2245B">
        <w:rPr>
          <w:rFonts w:cs="Times New Roman"/>
          <w:szCs w:val="24"/>
        </w:rPr>
        <w:t xml:space="preserve"> </w:t>
      </w:r>
      <w:r w:rsidR="00187884" w:rsidRPr="000869F1">
        <w:rPr>
          <w:rFonts w:cs="Times New Roman"/>
          <w:szCs w:val="24"/>
        </w:rPr>
        <w:t>https://www.statista.com/statistics/272709/top-10-oil-and-gas-companies-worldwide-based-on-market-value/#:~:text=Exxon%20Mobil%20has%20the%20highest,of%20366.83%20billion%20U.S.%20dollars</w:t>
      </w:r>
      <w:r w:rsidR="00187884" w:rsidRPr="00187884">
        <w:rPr>
          <w:rFonts w:cs="Times New Roman"/>
          <w:szCs w:val="24"/>
        </w:rPr>
        <w:t>.</w:t>
      </w:r>
      <w:r w:rsidR="00187884">
        <w:rPr>
          <w:rFonts w:cs="Times New Roman"/>
          <w:szCs w:val="24"/>
        </w:rPr>
        <w:t xml:space="preserve"> (Accessed: </w:t>
      </w:r>
      <w:r w:rsidR="00A2245B">
        <w:rPr>
          <w:rFonts w:cs="Times New Roman"/>
          <w:szCs w:val="24"/>
        </w:rPr>
        <w:t>27 July 2022</w:t>
      </w:r>
      <w:r w:rsidR="00187884">
        <w:rPr>
          <w:rFonts w:cs="Times New Roman"/>
          <w:szCs w:val="24"/>
        </w:rPr>
        <w:t>)</w:t>
      </w:r>
    </w:p>
    <w:p w14:paraId="430F5FE7" w14:textId="703E0BBB" w:rsidR="0058268E" w:rsidRDefault="0058268E" w:rsidP="005B2DD5">
      <w:pPr>
        <w:ind w:firstLine="0"/>
        <w:rPr>
          <w:rFonts w:cs="Times New Roman"/>
          <w:szCs w:val="24"/>
        </w:rPr>
      </w:pPr>
      <w:r>
        <w:rPr>
          <w:rFonts w:cs="Times New Roman"/>
          <w:szCs w:val="24"/>
        </w:rPr>
        <w:t>Statista (2022-b)</w:t>
      </w:r>
      <w:r>
        <w:rPr>
          <w:rFonts w:cs="Times New Roman"/>
          <w:i/>
          <w:iCs/>
          <w:szCs w:val="24"/>
        </w:rPr>
        <w:t xml:space="preserve"> </w:t>
      </w:r>
      <w:r w:rsidRPr="00216FB6">
        <w:rPr>
          <w:rFonts w:cs="Times New Roman"/>
          <w:i/>
          <w:iCs/>
          <w:szCs w:val="24"/>
        </w:rPr>
        <w:t>Shell's net profit/loss 2008-2021</w:t>
      </w:r>
      <w:r>
        <w:rPr>
          <w:rFonts w:cs="Times New Roman"/>
          <w:i/>
          <w:iCs/>
          <w:szCs w:val="24"/>
        </w:rPr>
        <w:t xml:space="preserve">. </w:t>
      </w:r>
      <w:r>
        <w:rPr>
          <w:rFonts w:cs="Times New Roman"/>
          <w:szCs w:val="24"/>
        </w:rPr>
        <w:t xml:space="preserve">Available at: </w:t>
      </w:r>
      <w:r w:rsidRPr="00431E0E">
        <w:rPr>
          <w:rFonts w:cs="Times New Roman"/>
          <w:szCs w:val="24"/>
        </w:rPr>
        <w:t>https://www.statista.com/statistics/260287/shells-net-income/</w:t>
      </w:r>
      <w:r>
        <w:rPr>
          <w:rFonts w:cs="Times New Roman"/>
          <w:szCs w:val="24"/>
        </w:rPr>
        <w:t xml:space="preserve"> (Accessed: 27 July 2022)</w:t>
      </w:r>
    </w:p>
    <w:p w14:paraId="100E47D2" w14:textId="541FA5AC" w:rsidR="00DB0279" w:rsidRDefault="00DB0279" w:rsidP="005B2DD5">
      <w:pPr>
        <w:ind w:firstLine="0"/>
        <w:rPr>
          <w:rFonts w:cs="Times New Roman"/>
          <w:szCs w:val="24"/>
        </w:rPr>
      </w:pPr>
      <w:r w:rsidRPr="00DB0279">
        <w:rPr>
          <w:rFonts w:cs="Times New Roman"/>
          <w:szCs w:val="24"/>
        </w:rPr>
        <w:t>Team</w:t>
      </w:r>
      <w:r>
        <w:rPr>
          <w:rFonts w:cs="Times New Roman"/>
          <w:szCs w:val="24"/>
        </w:rPr>
        <w:t xml:space="preserve"> Trefis </w:t>
      </w:r>
      <w:r w:rsidRPr="00DB0279">
        <w:rPr>
          <w:rFonts w:cs="Times New Roman"/>
          <w:szCs w:val="24"/>
        </w:rPr>
        <w:t xml:space="preserve">(2020). </w:t>
      </w:r>
      <w:r>
        <w:rPr>
          <w:rFonts w:cs="Times New Roman"/>
          <w:szCs w:val="24"/>
        </w:rPr>
        <w:t>‘</w:t>
      </w:r>
      <w:r w:rsidRPr="00DB0279">
        <w:rPr>
          <w:rFonts w:cs="Times New Roman"/>
          <w:szCs w:val="24"/>
        </w:rPr>
        <w:t>Trefis: Royal Dutch Shell Stock Looks Quite Undervalued</w:t>
      </w:r>
      <w:r w:rsidR="002C1740">
        <w:rPr>
          <w:rFonts w:cs="Times New Roman"/>
          <w:szCs w:val="24"/>
        </w:rPr>
        <w:t>’,</w:t>
      </w:r>
      <w:r w:rsidRPr="00DB0279">
        <w:rPr>
          <w:rFonts w:cs="Times New Roman"/>
          <w:szCs w:val="24"/>
        </w:rPr>
        <w:t xml:space="preserve"> In </w:t>
      </w:r>
      <w:r w:rsidRPr="00DB0279">
        <w:rPr>
          <w:rFonts w:cs="Times New Roman"/>
          <w:i/>
          <w:iCs/>
          <w:szCs w:val="24"/>
        </w:rPr>
        <w:t>Newstex Finance &amp; Accounting Blogs.</w:t>
      </w:r>
      <w:r w:rsidRPr="00DB0279">
        <w:rPr>
          <w:rFonts w:cs="Times New Roman"/>
          <w:szCs w:val="24"/>
        </w:rPr>
        <w:t xml:space="preserve"> Chatham: Newstex.</w:t>
      </w:r>
    </w:p>
    <w:p w14:paraId="47F81E4E" w14:textId="589BBEE8" w:rsidR="003245AD" w:rsidRDefault="003245AD" w:rsidP="005B2DD5">
      <w:pPr>
        <w:ind w:firstLine="0"/>
        <w:rPr>
          <w:rFonts w:cs="Times New Roman"/>
          <w:szCs w:val="24"/>
        </w:rPr>
      </w:pPr>
      <w:r w:rsidRPr="003245AD">
        <w:rPr>
          <w:rFonts w:cs="Times New Roman"/>
          <w:szCs w:val="24"/>
        </w:rPr>
        <w:t>Torun, M</w:t>
      </w:r>
      <w:r w:rsidR="003F5A58">
        <w:rPr>
          <w:rFonts w:cs="Times New Roman"/>
          <w:szCs w:val="24"/>
        </w:rPr>
        <w:t>.</w:t>
      </w:r>
      <w:r w:rsidRPr="003245AD">
        <w:rPr>
          <w:rFonts w:cs="Times New Roman"/>
          <w:szCs w:val="24"/>
        </w:rPr>
        <w:t xml:space="preserve"> </w:t>
      </w:r>
      <w:r w:rsidR="001A14B8">
        <w:rPr>
          <w:rFonts w:cs="Times New Roman"/>
          <w:szCs w:val="24"/>
        </w:rPr>
        <w:t xml:space="preserve">and </w:t>
      </w:r>
      <w:r w:rsidRPr="003245AD">
        <w:rPr>
          <w:rFonts w:cs="Times New Roman"/>
          <w:szCs w:val="24"/>
        </w:rPr>
        <w:t>Kurt, S</w:t>
      </w:r>
      <w:r w:rsidR="003F5A58">
        <w:rPr>
          <w:rFonts w:cs="Times New Roman"/>
          <w:szCs w:val="24"/>
        </w:rPr>
        <w:t>.</w:t>
      </w:r>
      <w:r w:rsidRPr="003245AD">
        <w:rPr>
          <w:rFonts w:cs="Times New Roman"/>
          <w:szCs w:val="24"/>
        </w:rPr>
        <w:t xml:space="preserve"> (2008) </w:t>
      </w:r>
      <w:r w:rsidR="00B023C6">
        <w:rPr>
          <w:rFonts w:cs="Times New Roman"/>
          <w:szCs w:val="24"/>
        </w:rPr>
        <w:t>‘</w:t>
      </w:r>
      <w:r w:rsidRPr="003245AD">
        <w:rPr>
          <w:rFonts w:cs="Times New Roman"/>
          <w:szCs w:val="24"/>
        </w:rPr>
        <w:t>Testing weak and semi-strong form efficiency of stock exchanges in European Monetary Union countries: Panel Data causality and Co integration Analysis</w:t>
      </w:r>
      <w:r w:rsidR="00B023C6">
        <w:rPr>
          <w:rFonts w:cs="Times New Roman"/>
          <w:szCs w:val="24"/>
        </w:rPr>
        <w:t>’</w:t>
      </w:r>
      <w:r w:rsidR="00F25A03">
        <w:rPr>
          <w:rFonts w:cs="Times New Roman"/>
          <w:szCs w:val="24"/>
        </w:rPr>
        <w:t>,</w:t>
      </w:r>
      <w:r w:rsidRPr="003245AD">
        <w:rPr>
          <w:rFonts w:cs="Times New Roman"/>
          <w:szCs w:val="24"/>
        </w:rPr>
        <w:t xml:space="preserve"> </w:t>
      </w:r>
      <w:r w:rsidRPr="003245AD">
        <w:rPr>
          <w:rFonts w:cs="Times New Roman"/>
          <w:i/>
          <w:iCs/>
          <w:szCs w:val="24"/>
        </w:rPr>
        <w:t>International Journal of Economic and Administrative Studies</w:t>
      </w:r>
      <w:r w:rsidR="00F25A03">
        <w:rPr>
          <w:rFonts w:cs="Times New Roman"/>
          <w:i/>
          <w:iCs/>
          <w:szCs w:val="24"/>
        </w:rPr>
        <w:t>,</w:t>
      </w:r>
      <w:r w:rsidRPr="003245AD">
        <w:rPr>
          <w:rFonts w:cs="Times New Roman"/>
          <w:szCs w:val="24"/>
        </w:rPr>
        <w:t xml:space="preserve"> </w:t>
      </w:r>
      <w:r w:rsidR="00F25A03">
        <w:rPr>
          <w:rFonts w:cs="Times New Roman"/>
          <w:szCs w:val="24"/>
        </w:rPr>
        <w:t>1(</w:t>
      </w:r>
      <w:r w:rsidRPr="003245AD">
        <w:rPr>
          <w:rFonts w:cs="Times New Roman"/>
          <w:szCs w:val="24"/>
        </w:rPr>
        <w:t>1</w:t>
      </w:r>
      <w:r w:rsidR="00F25A03">
        <w:rPr>
          <w:rFonts w:cs="Times New Roman"/>
          <w:szCs w:val="24"/>
        </w:rPr>
        <w:t>)</w:t>
      </w:r>
      <w:r w:rsidRPr="003245AD">
        <w:rPr>
          <w:rFonts w:cs="Times New Roman"/>
          <w:szCs w:val="24"/>
        </w:rPr>
        <w:t>.</w:t>
      </w:r>
    </w:p>
    <w:p w14:paraId="48ED83EE" w14:textId="65A3B8B0" w:rsidR="00AD57DC" w:rsidRDefault="00482777" w:rsidP="00EB48F4">
      <w:pPr>
        <w:ind w:firstLine="0"/>
        <w:rPr>
          <w:rFonts w:cs="Times New Roman"/>
          <w:szCs w:val="24"/>
        </w:rPr>
      </w:pPr>
      <w:r>
        <w:rPr>
          <w:rFonts w:cs="Times New Roman"/>
          <w:szCs w:val="24"/>
        </w:rPr>
        <w:t xml:space="preserve">Yahoo Finance, </w:t>
      </w:r>
      <w:r w:rsidR="00EB48F4">
        <w:rPr>
          <w:rFonts w:cs="Times New Roman"/>
          <w:szCs w:val="24"/>
        </w:rPr>
        <w:t>(</w:t>
      </w:r>
      <w:r>
        <w:rPr>
          <w:rFonts w:cs="Times New Roman"/>
          <w:szCs w:val="24"/>
        </w:rPr>
        <w:t>2022</w:t>
      </w:r>
      <w:r w:rsidR="00EB48F4">
        <w:rPr>
          <w:rFonts w:cs="Times New Roman"/>
          <w:szCs w:val="24"/>
        </w:rPr>
        <w:t>)</w:t>
      </w:r>
      <w:r w:rsidR="00F1728C">
        <w:rPr>
          <w:rFonts w:cs="Times New Roman"/>
          <w:szCs w:val="24"/>
        </w:rPr>
        <w:t xml:space="preserve"> </w:t>
      </w:r>
      <w:r w:rsidR="00EB48F4" w:rsidRPr="00EB48F4">
        <w:rPr>
          <w:rFonts w:cs="Times New Roman"/>
          <w:i/>
          <w:iCs/>
          <w:szCs w:val="24"/>
        </w:rPr>
        <w:t>Worldwide Oil and Gas Industry to 2031 - Identify Growth Segments for Investment.</w:t>
      </w:r>
      <w:r w:rsidR="00EB48F4">
        <w:rPr>
          <w:rFonts w:cs="Times New Roman"/>
          <w:szCs w:val="24"/>
        </w:rPr>
        <w:t xml:space="preserve"> </w:t>
      </w:r>
      <w:r w:rsidR="00F1728C">
        <w:rPr>
          <w:rFonts w:cs="Times New Roman"/>
          <w:szCs w:val="24"/>
        </w:rPr>
        <w:t xml:space="preserve"> Available at:  </w:t>
      </w:r>
      <w:r w:rsidR="00EB48F4" w:rsidRPr="00EB48F4">
        <w:rPr>
          <w:rFonts w:cs="Times New Roman"/>
          <w:szCs w:val="24"/>
        </w:rPr>
        <w:t>https://finance.yahoo.com/news/worldwide-oil-gas-industry-2031-091300798.html?guccounter=1&amp;guce_referrer=aHR0cHM6Ly93d3cuZ29vZ2xlLmNvbS8&amp;guce_referrer_sig=AQAAALM8XC601Z63ARFwWmbFxndKhG9M4CQMIL6S0DFR0UjaRFBhHSqa9-5qulJEW08wtpOpLcxMbAV8SXbK1e72dkXpWajZt603rMr6X98r9GkPii6psykMOD1KsFuKkvRzxTSnW6iCKabFG3Gz-Mi_AAsxlEthv0XofKScuO_mDQr3</w:t>
      </w:r>
      <w:r w:rsidR="00EB48F4">
        <w:rPr>
          <w:rFonts w:cs="Times New Roman"/>
          <w:szCs w:val="24"/>
        </w:rPr>
        <w:t xml:space="preserve"> (Accessed: 27 July 2022)</w:t>
      </w:r>
    </w:p>
    <w:p w14:paraId="08567EB5" w14:textId="33618B65" w:rsidR="00AD57DC" w:rsidRDefault="00AD57DC" w:rsidP="00EB48F4">
      <w:pPr>
        <w:ind w:firstLine="0"/>
        <w:rPr>
          <w:rFonts w:cs="Times New Roman"/>
          <w:szCs w:val="24"/>
        </w:rPr>
      </w:pPr>
      <w:r>
        <w:rPr>
          <w:rFonts w:cs="Times New Roman"/>
          <w:szCs w:val="24"/>
        </w:rPr>
        <w:t xml:space="preserve">Yahoo </w:t>
      </w:r>
      <w:r w:rsidR="00317C90">
        <w:rPr>
          <w:rFonts w:cs="Times New Roman"/>
          <w:szCs w:val="24"/>
        </w:rPr>
        <w:t>F</w:t>
      </w:r>
      <w:r>
        <w:rPr>
          <w:rFonts w:cs="Times New Roman"/>
          <w:szCs w:val="24"/>
        </w:rPr>
        <w:t xml:space="preserve">inance </w:t>
      </w:r>
      <w:r w:rsidR="0002494B">
        <w:rPr>
          <w:rFonts w:cs="Times New Roman"/>
          <w:szCs w:val="24"/>
        </w:rPr>
        <w:t xml:space="preserve">(n.d.) </w:t>
      </w:r>
      <w:r w:rsidR="00BE5F33" w:rsidRPr="005F1E15">
        <w:rPr>
          <w:rFonts w:cs="Times New Roman"/>
          <w:i/>
          <w:iCs/>
          <w:szCs w:val="24"/>
        </w:rPr>
        <w:t>Historical Data. Shell</w:t>
      </w:r>
      <w:r w:rsidR="005F1E15" w:rsidRPr="005F1E15">
        <w:rPr>
          <w:rFonts w:cs="Times New Roman"/>
          <w:i/>
          <w:iCs/>
          <w:szCs w:val="24"/>
        </w:rPr>
        <w:t xml:space="preserve"> Plc</w:t>
      </w:r>
      <w:r w:rsidR="00BE5F33" w:rsidRPr="005F1E15">
        <w:rPr>
          <w:rFonts w:cs="Times New Roman"/>
          <w:i/>
          <w:iCs/>
          <w:szCs w:val="24"/>
        </w:rPr>
        <w:t xml:space="preserve"> Dividends 2017-</w:t>
      </w:r>
      <w:r w:rsidR="005F1E15" w:rsidRPr="005F1E15">
        <w:rPr>
          <w:rFonts w:cs="Times New Roman"/>
          <w:i/>
          <w:iCs/>
          <w:szCs w:val="24"/>
        </w:rPr>
        <w:t>2022</w:t>
      </w:r>
      <w:r w:rsidR="005F1E15">
        <w:rPr>
          <w:rFonts w:cs="Times New Roman"/>
          <w:szCs w:val="24"/>
        </w:rPr>
        <w:t>.</w:t>
      </w:r>
      <w:r w:rsidR="0002494B">
        <w:rPr>
          <w:rFonts w:cs="Times New Roman"/>
          <w:szCs w:val="24"/>
        </w:rPr>
        <w:t xml:space="preserve"> Available at: </w:t>
      </w:r>
      <w:r w:rsidR="0002494B" w:rsidRPr="0002494B">
        <w:rPr>
          <w:rFonts w:cs="Times New Roman"/>
          <w:szCs w:val="24"/>
        </w:rPr>
        <w:t>https://finance.yahoo.com/quote/SHEL/history?period1=1501286400&amp;period2=1659052800&amp;interval=capitalGain%7Cdiv%7Csplit&amp;filter=div&amp;frequency=1mo&amp;includeAdjustedClose=true</w:t>
      </w:r>
      <w:r w:rsidR="0002494B">
        <w:rPr>
          <w:rFonts w:cs="Times New Roman"/>
          <w:szCs w:val="24"/>
        </w:rPr>
        <w:t xml:space="preserve"> (Accessed: 27 July 2022)</w:t>
      </w:r>
    </w:p>
    <w:p w14:paraId="5F292610" w14:textId="04FE5CD7" w:rsidR="00482777" w:rsidRPr="003D6FB8" w:rsidRDefault="00482777" w:rsidP="005B2DD5">
      <w:pPr>
        <w:ind w:firstLine="0"/>
        <w:rPr>
          <w:rFonts w:cs="Times New Roman"/>
          <w:szCs w:val="24"/>
        </w:rPr>
      </w:pPr>
    </w:p>
    <w:sectPr w:rsidR="00482777" w:rsidRPr="003D6FB8" w:rsidSect="00FA786B">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D5933" w14:textId="77777777" w:rsidR="003D29AB" w:rsidRDefault="003D29AB" w:rsidP="003D29AB">
      <w:pPr>
        <w:spacing w:after="0" w:line="240" w:lineRule="auto"/>
      </w:pPr>
      <w:r>
        <w:separator/>
      </w:r>
    </w:p>
  </w:endnote>
  <w:endnote w:type="continuationSeparator" w:id="0">
    <w:p w14:paraId="409DED71" w14:textId="77777777" w:rsidR="003D29AB" w:rsidRDefault="003D29AB" w:rsidP="003D2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44DB8" w14:textId="77777777" w:rsidR="003D29AB" w:rsidRDefault="003D29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606441"/>
      <w:docPartObj>
        <w:docPartGallery w:val="Page Numbers (Bottom of Page)"/>
        <w:docPartUnique/>
      </w:docPartObj>
    </w:sdtPr>
    <w:sdtEndPr>
      <w:rPr>
        <w:noProof/>
      </w:rPr>
    </w:sdtEndPr>
    <w:sdtContent>
      <w:p w14:paraId="4C8925B8" w14:textId="127B746D" w:rsidR="003D29AB" w:rsidRDefault="003D29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CC3CC4" w14:textId="77777777" w:rsidR="003D29AB" w:rsidRDefault="003D29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D9063" w14:textId="77777777" w:rsidR="003D29AB" w:rsidRDefault="003D2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D63864" w14:textId="77777777" w:rsidR="003D29AB" w:rsidRDefault="003D29AB" w:rsidP="003D29AB">
      <w:pPr>
        <w:spacing w:after="0" w:line="240" w:lineRule="auto"/>
      </w:pPr>
      <w:r>
        <w:separator/>
      </w:r>
    </w:p>
  </w:footnote>
  <w:footnote w:type="continuationSeparator" w:id="0">
    <w:p w14:paraId="5C6DD77D" w14:textId="77777777" w:rsidR="003D29AB" w:rsidRDefault="003D29AB" w:rsidP="003D2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E4DBC" w14:textId="77777777" w:rsidR="003D29AB" w:rsidRDefault="003D29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0A4780" w14:textId="77777777" w:rsidR="003D29AB" w:rsidRDefault="003D29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9AF36" w14:textId="77777777" w:rsidR="003D29AB" w:rsidRDefault="003D29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2303"/>
    <w:multiLevelType w:val="hybridMultilevel"/>
    <w:tmpl w:val="DDBC30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2AE1761"/>
    <w:multiLevelType w:val="hybridMultilevel"/>
    <w:tmpl w:val="C08AFA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21122585">
    <w:abstractNumId w:val="1"/>
  </w:num>
  <w:num w:numId="2" w16cid:durableId="1352030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FB8"/>
    <w:rsid w:val="000031AA"/>
    <w:rsid w:val="00005950"/>
    <w:rsid w:val="00011EDC"/>
    <w:rsid w:val="00022B4B"/>
    <w:rsid w:val="0002494B"/>
    <w:rsid w:val="00025A08"/>
    <w:rsid w:val="00034DAF"/>
    <w:rsid w:val="000406C7"/>
    <w:rsid w:val="000432CA"/>
    <w:rsid w:val="00043C8C"/>
    <w:rsid w:val="00045D86"/>
    <w:rsid w:val="00050E94"/>
    <w:rsid w:val="00062083"/>
    <w:rsid w:val="00067895"/>
    <w:rsid w:val="00075B60"/>
    <w:rsid w:val="00076DA2"/>
    <w:rsid w:val="00084897"/>
    <w:rsid w:val="0008527F"/>
    <w:rsid w:val="000869F1"/>
    <w:rsid w:val="00090CC0"/>
    <w:rsid w:val="00091265"/>
    <w:rsid w:val="000922D0"/>
    <w:rsid w:val="00095916"/>
    <w:rsid w:val="00096BB9"/>
    <w:rsid w:val="000A53C4"/>
    <w:rsid w:val="000B08C0"/>
    <w:rsid w:val="000B20F9"/>
    <w:rsid w:val="000B4AFA"/>
    <w:rsid w:val="000C693A"/>
    <w:rsid w:val="000D017C"/>
    <w:rsid w:val="000D01FC"/>
    <w:rsid w:val="000D0E45"/>
    <w:rsid w:val="000D2709"/>
    <w:rsid w:val="000D43CA"/>
    <w:rsid w:val="000D7D40"/>
    <w:rsid w:val="000E485C"/>
    <w:rsid w:val="000F0ECE"/>
    <w:rsid w:val="001027AF"/>
    <w:rsid w:val="001106D4"/>
    <w:rsid w:val="00116535"/>
    <w:rsid w:val="00122BDB"/>
    <w:rsid w:val="00136465"/>
    <w:rsid w:val="001364CA"/>
    <w:rsid w:val="001420F2"/>
    <w:rsid w:val="001436E2"/>
    <w:rsid w:val="001458F0"/>
    <w:rsid w:val="001532D4"/>
    <w:rsid w:val="00155389"/>
    <w:rsid w:val="0015562D"/>
    <w:rsid w:val="0017666A"/>
    <w:rsid w:val="00180087"/>
    <w:rsid w:val="00182E82"/>
    <w:rsid w:val="00184D1C"/>
    <w:rsid w:val="00184EB1"/>
    <w:rsid w:val="00187884"/>
    <w:rsid w:val="00193357"/>
    <w:rsid w:val="0019348F"/>
    <w:rsid w:val="001974FD"/>
    <w:rsid w:val="001A01FD"/>
    <w:rsid w:val="001A14B8"/>
    <w:rsid w:val="001B0646"/>
    <w:rsid w:val="001B2E4F"/>
    <w:rsid w:val="001D5ADF"/>
    <w:rsid w:val="001D62E7"/>
    <w:rsid w:val="001D7497"/>
    <w:rsid w:val="001E189B"/>
    <w:rsid w:val="001E2B3B"/>
    <w:rsid w:val="001E6891"/>
    <w:rsid w:val="001F202C"/>
    <w:rsid w:val="00202A4F"/>
    <w:rsid w:val="002044C0"/>
    <w:rsid w:val="0021216D"/>
    <w:rsid w:val="0021371D"/>
    <w:rsid w:val="00216FB6"/>
    <w:rsid w:val="00220C06"/>
    <w:rsid w:val="00226A62"/>
    <w:rsid w:val="0024010E"/>
    <w:rsid w:val="00241DB4"/>
    <w:rsid w:val="0024676F"/>
    <w:rsid w:val="00246D11"/>
    <w:rsid w:val="002475D8"/>
    <w:rsid w:val="00251B80"/>
    <w:rsid w:val="00254157"/>
    <w:rsid w:val="00255F15"/>
    <w:rsid w:val="0026469A"/>
    <w:rsid w:val="00266E25"/>
    <w:rsid w:val="00270ABA"/>
    <w:rsid w:val="002768EC"/>
    <w:rsid w:val="00283B7C"/>
    <w:rsid w:val="00293C01"/>
    <w:rsid w:val="002961A6"/>
    <w:rsid w:val="00296561"/>
    <w:rsid w:val="00297274"/>
    <w:rsid w:val="002A01D7"/>
    <w:rsid w:val="002A5CE0"/>
    <w:rsid w:val="002B1873"/>
    <w:rsid w:val="002B51E7"/>
    <w:rsid w:val="002C1740"/>
    <w:rsid w:val="002C4895"/>
    <w:rsid w:val="002D41BB"/>
    <w:rsid w:val="002E66AC"/>
    <w:rsid w:val="002F3D8F"/>
    <w:rsid w:val="002F4BBF"/>
    <w:rsid w:val="002F6B7A"/>
    <w:rsid w:val="00300419"/>
    <w:rsid w:val="00303BC5"/>
    <w:rsid w:val="003100E3"/>
    <w:rsid w:val="00311677"/>
    <w:rsid w:val="003122F5"/>
    <w:rsid w:val="00314970"/>
    <w:rsid w:val="00315507"/>
    <w:rsid w:val="00315C06"/>
    <w:rsid w:val="00316CE4"/>
    <w:rsid w:val="00317C90"/>
    <w:rsid w:val="00322D39"/>
    <w:rsid w:val="00322E85"/>
    <w:rsid w:val="003245AD"/>
    <w:rsid w:val="00324F28"/>
    <w:rsid w:val="00325943"/>
    <w:rsid w:val="00325E05"/>
    <w:rsid w:val="00333BBE"/>
    <w:rsid w:val="00334B40"/>
    <w:rsid w:val="0033539A"/>
    <w:rsid w:val="00340F59"/>
    <w:rsid w:val="00343117"/>
    <w:rsid w:val="0035064D"/>
    <w:rsid w:val="003534E4"/>
    <w:rsid w:val="00363D49"/>
    <w:rsid w:val="003721DF"/>
    <w:rsid w:val="00374A42"/>
    <w:rsid w:val="003769EB"/>
    <w:rsid w:val="00377B7A"/>
    <w:rsid w:val="0038558D"/>
    <w:rsid w:val="00395C83"/>
    <w:rsid w:val="003A1377"/>
    <w:rsid w:val="003B5B5D"/>
    <w:rsid w:val="003C0809"/>
    <w:rsid w:val="003D29AB"/>
    <w:rsid w:val="003D6FB8"/>
    <w:rsid w:val="003E0267"/>
    <w:rsid w:val="003E2F8F"/>
    <w:rsid w:val="003F0886"/>
    <w:rsid w:val="003F5A58"/>
    <w:rsid w:val="003F6D63"/>
    <w:rsid w:val="0040339A"/>
    <w:rsid w:val="00412B4B"/>
    <w:rsid w:val="004220A7"/>
    <w:rsid w:val="00425416"/>
    <w:rsid w:val="00430B92"/>
    <w:rsid w:val="00431E0E"/>
    <w:rsid w:val="00434B83"/>
    <w:rsid w:val="00442419"/>
    <w:rsid w:val="00445C79"/>
    <w:rsid w:val="004602E0"/>
    <w:rsid w:val="00473BD7"/>
    <w:rsid w:val="00482777"/>
    <w:rsid w:val="00482BC1"/>
    <w:rsid w:val="0049459F"/>
    <w:rsid w:val="00495533"/>
    <w:rsid w:val="0049790F"/>
    <w:rsid w:val="004A2F4F"/>
    <w:rsid w:val="004B79A3"/>
    <w:rsid w:val="004C55BB"/>
    <w:rsid w:val="004C7449"/>
    <w:rsid w:val="004F4CF7"/>
    <w:rsid w:val="004F7830"/>
    <w:rsid w:val="00502D26"/>
    <w:rsid w:val="00503A95"/>
    <w:rsid w:val="00515407"/>
    <w:rsid w:val="00520292"/>
    <w:rsid w:val="005230C6"/>
    <w:rsid w:val="00525140"/>
    <w:rsid w:val="005259FF"/>
    <w:rsid w:val="00536DF7"/>
    <w:rsid w:val="00551919"/>
    <w:rsid w:val="00551C7B"/>
    <w:rsid w:val="00554E4B"/>
    <w:rsid w:val="00556EEB"/>
    <w:rsid w:val="00556F2D"/>
    <w:rsid w:val="0056343C"/>
    <w:rsid w:val="0056751A"/>
    <w:rsid w:val="005716D9"/>
    <w:rsid w:val="00580577"/>
    <w:rsid w:val="0058268E"/>
    <w:rsid w:val="00583C96"/>
    <w:rsid w:val="00587370"/>
    <w:rsid w:val="005968BF"/>
    <w:rsid w:val="005A2065"/>
    <w:rsid w:val="005A2DBD"/>
    <w:rsid w:val="005A7D6F"/>
    <w:rsid w:val="005B2DD5"/>
    <w:rsid w:val="005B3FD2"/>
    <w:rsid w:val="005D5C43"/>
    <w:rsid w:val="005E056C"/>
    <w:rsid w:val="005E7D2A"/>
    <w:rsid w:val="005F0A8C"/>
    <w:rsid w:val="005F1BD0"/>
    <w:rsid w:val="005F1E15"/>
    <w:rsid w:val="005F52C9"/>
    <w:rsid w:val="005F5474"/>
    <w:rsid w:val="005F5840"/>
    <w:rsid w:val="0060068B"/>
    <w:rsid w:val="00603E89"/>
    <w:rsid w:val="00605161"/>
    <w:rsid w:val="00611B35"/>
    <w:rsid w:val="0061217D"/>
    <w:rsid w:val="00617364"/>
    <w:rsid w:val="006236F2"/>
    <w:rsid w:val="00637115"/>
    <w:rsid w:val="006428DC"/>
    <w:rsid w:val="0064591C"/>
    <w:rsid w:val="00651846"/>
    <w:rsid w:val="006567A3"/>
    <w:rsid w:val="006606A1"/>
    <w:rsid w:val="00667419"/>
    <w:rsid w:val="006725D6"/>
    <w:rsid w:val="00673AB0"/>
    <w:rsid w:val="00674C00"/>
    <w:rsid w:val="00680AEE"/>
    <w:rsid w:val="006845C2"/>
    <w:rsid w:val="00691E60"/>
    <w:rsid w:val="006946B3"/>
    <w:rsid w:val="006A561D"/>
    <w:rsid w:val="006B3997"/>
    <w:rsid w:val="006C1B3C"/>
    <w:rsid w:val="006C466A"/>
    <w:rsid w:val="006D05B1"/>
    <w:rsid w:val="006D2F49"/>
    <w:rsid w:val="006D39F1"/>
    <w:rsid w:val="006D40D7"/>
    <w:rsid w:val="006E09A4"/>
    <w:rsid w:val="006F12D7"/>
    <w:rsid w:val="006F18BE"/>
    <w:rsid w:val="006F440D"/>
    <w:rsid w:val="006F6A25"/>
    <w:rsid w:val="0071019B"/>
    <w:rsid w:val="00712447"/>
    <w:rsid w:val="0071734B"/>
    <w:rsid w:val="00731A89"/>
    <w:rsid w:val="00735B4F"/>
    <w:rsid w:val="007360F0"/>
    <w:rsid w:val="00742055"/>
    <w:rsid w:val="00764E65"/>
    <w:rsid w:val="00766E25"/>
    <w:rsid w:val="0077599D"/>
    <w:rsid w:val="00777CD2"/>
    <w:rsid w:val="00785789"/>
    <w:rsid w:val="0078605B"/>
    <w:rsid w:val="007931FC"/>
    <w:rsid w:val="00796F05"/>
    <w:rsid w:val="007A045A"/>
    <w:rsid w:val="007A5B91"/>
    <w:rsid w:val="007A7E39"/>
    <w:rsid w:val="007D2384"/>
    <w:rsid w:val="007D4321"/>
    <w:rsid w:val="007E5328"/>
    <w:rsid w:val="007F51D7"/>
    <w:rsid w:val="00801FB9"/>
    <w:rsid w:val="00807864"/>
    <w:rsid w:val="008203C4"/>
    <w:rsid w:val="008211A4"/>
    <w:rsid w:val="008405BA"/>
    <w:rsid w:val="00847D40"/>
    <w:rsid w:val="00850B59"/>
    <w:rsid w:val="008569B3"/>
    <w:rsid w:val="00862EA3"/>
    <w:rsid w:val="00863DE9"/>
    <w:rsid w:val="008677FD"/>
    <w:rsid w:val="00870C3E"/>
    <w:rsid w:val="00873CAE"/>
    <w:rsid w:val="00880F90"/>
    <w:rsid w:val="00882EC6"/>
    <w:rsid w:val="00883556"/>
    <w:rsid w:val="00887D67"/>
    <w:rsid w:val="008931FD"/>
    <w:rsid w:val="00897D03"/>
    <w:rsid w:val="008A1819"/>
    <w:rsid w:val="008A26AF"/>
    <w:rsid w:val="008B41F1"/>
    <w:rsid w:val="008C193D"/>
    <w:rsid w:val="008C1E69"/>
    <w:rsid w:val="008C3504"/>
    <w:rsid w:val="008C3779"/>
    <w:rsid w:val="008C57BA"/>
    <w:rsid w:val="008C5F3F"/>
    <w:rsid w:val="008E0200"/>
    <w:rsid w:val="008F2DC6"/>
    <w:rsid w:val="008F5708"/>
    <w:rsid w:val="00904630"/>
    <w:rsid w:val="0090473F"/>
    <w:rsid w:val="00906002"/>
    <w:rsid w:val="009120FA"/>
    <w:rsid w:val="00914B17"/>
    <w:rsid w:val="0093340A"/>
    <w:rsid w:val="00940864"/>
    <w:rsid w:val="009554A0"/>
    <w:rsid w:val="009670D9"/>
    <w:rsid w:val="009709FA"/>
    <w:rsid w:val="00975175"/>
    <w:rsid w:val="009758BB"/>
    <w:rsid w:val="00976C61"/>
    <w:rsid w:val="009821CA"/>
    <w:rsid w:val="009825DC"/>
    <w:rsid w:val="00984553"/>
    <w:rsid w:val="00991439"/>
    <w:rsid w:val="0099526C"/>
    <w:rsid w:val="00995398"/>
    <w:rsid w:val="009B0875"/>
    <w:rsid w:val="009B16FF"/>
    <w:rsid w:val="009B52ED"/>
    <w:rsid w:val="009C1F2E"/>
    <w:rsid w:val="009C3ECE"/>
    <w:rsid w:val="009C44F2"/>
    <w:rsid w:val="009C690B"/>
    <w:rsid w:val="009C7EDC"/>
    <w:rsid w:val="009E03F2"/>
    <w:rsid w:val="009E2EE6"/>
    <w:rsid w:val="009E4953"/>
    <w:rsid w:val="009F0222"/>
    <w:rsid w:val="009F1B39"/>
    <w:rsid w:val="009F50CF"/>
    <w:rsid w:val="009F7BB3"/>
    <w:rsid w:val="00A001D1"/>
    <w:rsid w:val="00A0451C"/>
    <w:rsid w:val="00A0494E"/>
    <w:rsid w:val="00A067F8"/>
    <w:rsid w:val="00A1104B"/>
    <w:rsid w:val="00A11F11"/>
    <w:rsid w:val="00A14709"/>
    <w:rsid w:val="00A218DD"/>
    <w:rsid w:val="00A2245B"/>
    <w:rsid w:val="00A2274D"/>
    <w:rsid w:val="00A24661"/>
    <w:rsid w:val="00A33752"/>
    <w:rsid w:val="00A3436C"/>
    <w:rsid w:val="00A42F21"/>
    <w:rsid w:val="00A47D87"/>
    <w:rsid w:val="00A517EB"/>
    <w:rsid w:val="00A51D51"/>
    <w:rsid w:val="00A539DB"/>
    <w:rsid w:val="00A5471B"/>
    <w:rsid w:val="00A577E3"/>
    <w:rsid w:val="00A57904"/>
    <w:rsid w:val="00A6012D"/>
    <w:rsid w:val="00A604EE"/>
    <w:rsid w:val="00A6131E"/>
    <w:rsid w:val="00A6343B"/>
    <w:rsid w:val="00A636E9"/>
    <w:rsid w:val="00A6476D"/>
    <w:rsid w:val="00A67EAA"/>
    <w:rsid w:val="00A74D60"/>
    <w:rsid w:val="00A7621B"/>
    <w:rsid w:val="00A81685"/>
    <w:rsid w:val="00A81EE7"/>
    <w:rsid w:val="00A8620D"/>
    <w:rsid w:val="00A87962"/>
    <w:rsid w:val="00A9155D"/>
    <w:rsid w:val="00AA17C8"/>
    <w:rsid w:val="00AB5CC8"/>
    <w:rsid w:val="00AD57DC"/>
    <w:rsid w:val="00AD5C07"/>
    <w:rsid w:val="00AD5F80"/>
    <w:rsid w:val="00AE0BCA"/>
    <w:rsid w:val="00AF5C22"/>
    <w:rsid w:val="00B023C6"/>
    <w:rsid w:val="00B0486D"/>
    <w:rsid w:val="00B117D0"/>
    <w:rsid w:val="00B123F2"/>
    <w:rsid w:val="00B16209"/>
    <w:rsid w:val="00B2054A"/>
    <w:rsid w:val="00B217F3"/>
    <w:rsid w:val="00B34626"/>
    <w:rsid w:val="00B352DA"/>
    <w:rsid w:val="00B3649E"/>
    <w:rsid w:val="00B44C2B"/>
    <w:rsid w:val="00B45383"/>
    <w:rsid w:val="00B47496"/>
    <w:rsid w:val="00B4777D"/>
    <w:rsid w:val="00B649FE"/>
    <w:rsid w:val="00B7111F"/>
    <w:rsid w:val="00B815A0"/>
    <w:rsid w:val="00B82B56"/>
    <w:rsid w:val="00B8780D"/>
    <w:rsid w:val="00BA2664"/>
    <w:rsid w:val="00BB1FFD"/>
    <w:rsid w:val="00BB3E30"/>
    <w:rsid w:val="00BB7C99"/>
    <w:rsid w:val="00BC2918"/>
    <w:rsid w:val="00BC2E17"/>
    <w:rsid w:val="00BD0002"/>
    <w:rsid w:val="00BD7267"/>
    <w:rsid w:val="00BD7CFA"/>
    <w:rsid w:val="00BE5F33"/>
    <w:rsid w:val="00BF003A"/>
    <w:rsid w:val="00BF0F90"/>
    <w:rsid w:val="00BF77FF"/>
    <w:rsid w:val="00BF7C6D"/>
    <w:rsid w:val="00C008A4"/>
    <w:rsid w:val="00C02077"/>
    <w:rsid w:val="00C02376"/>
    <w:rsid w:val="00C0509A"/>
    <w:rsid w:val="00C0752A"/>
    <w:rsid w:val="00C103ED"/>
    <w:rsid w:val="00C22947"/>
    <w:rsid w:val="00C306A9"/>
    <w:rsid w:val="00C32D2B"/>
    <w:rsid w:val="00C33F5B"/>
    <w:rsid w:val="00C33F9B"/>
    <w:rsid w:val="00C43B0E"/>
    <w:rsid w:val="00C4494B"/>
    <w:rsid w:val="00C472AB"/>
    <w:rsid w:val="00C51FC1"/>
    <w:rsid w:val="00C546CD"/>
    <w:rsid w:val="00C60102"/>
    <w:rsid w:val="00C64F81"/>
    <w:rsid w:val="00C6678D"/>
    <w:rsid w:val="00C75297"/>
    <w:rsid w:val="00C81F4F"/>
    <w:rsid w:val="00C869A7"/>
    <w:rsid w:val="00C942E4"/>
    <w:rsid w:val="00C950C1"/>
    <w:rsid w:val="00CA3A94"/>
    <w:rsid w:val="00CA5505"/>
    <w:rsid w:val="00CB4204"/>
    <w:rsid w:val="00CC345A"/>
    <w:rsid w:val="00CE3C51"/>
    <w:rsid w:val="00D031AB"/>
    <w:rsid w:val="00D17234"/>
    <w:rsid w:val="00D30B81"/>
    <w:rsid w:val="00D44112"/>
    <w:rsid w:val="00D50C5F"/>
    <w:rsid w:val="00D6137E"/>
    <w:rsid w:val="00D64A38"/>
    <w:rsid w:val="00D70654"/>
    <w:rsid w:val="00D74B7B"/>
    <w:rsid w:val="00D7621B"/>
    <w:rsid w:val="00D8015E"/>
    <w:rsid w:val="00D805D6"/>
    <w:rsid w:val="00D808E8"/>
    <w:rsid w:val="00D868F2"/>
    <w:rsid w:val="00D9372F"/>
    <w:rsid w:val="00D96AA4"/>
    <w:rsid w:val="00DB0279"/>
    <w:rsid w:val="00DB08BD"/>
    <w:rsid w:val="00DC357E"/>
    <w:rsid w:val="00DC74E0"/>
    <w:rsid w:val="00DC7749"/>
    <w:rsid w:val="00DD29D8"/>
    <w:rsid w:val="00DD3430"/>
    <w:rsid w:val="00DE39AF"/>
    <w:rsid w:val="00DE4945"/>
    <w:rsid w:val="00DE6120"/>
    <w:rsid w:val="00DF35DE"/>
    <w:rsid w:val="00DF5D2A"/>
    <w:rsid w:val="00DF6209"/>
    <w:rsid w:val="00DF7703"/>
    <w:rsid w:val="00E041E0"/>
    <w:rsid w:val="00E0724D"/>
    <w:rsid w:val="00E10077"/>
    <w:rsid w:val="00E2507B"/>
    <w:rsid w:val="00E36CF1"/>
    <w:rsid w:val="00E373DC"/>
    <w:rsid w:val="00E42FA3"/>
    <w:rsid w:val="00E512A9"/>
    <w:rsid w:val="00E56939"/>
    <w:rsid w:val="00E67045"/>
    <w:rsid w:val="00E7222A"/>
    <w:rsid w:val="00E75C7D"/>
    <w:rsid w:val="00E77E86"/>
    <w:rsid w:val="00E80201"/>
    <w:rsid w:val="00E81A7E"/>
    <w:rsid w:val="00E83F8A"/>
    <w:rsid w:val="00E8701B"/>
    <w:rsid w:val="00E97C20"/>
    <w:rsid w:val="00EA14F1"/>
    <w:rsid w:val="00EA4A00"/>
    <w:rsid w:val="00EA5A90"/>
    <w:rsid w:val="00EB03C4"/>
    <w:rsid w:val="00EB48F4"/>
    <w:rsid w:val="00EB4C83"/>
    <w:rsid w:val="00EB70B7"/>
    <w:rsid w:val="00EC57C4"/>
    <w:rsid w:val="00EC686A"/>
    <w:rsid w:val="00F01040"/>
    <w:rsid w:val="00F04AD3"/>
    <w:rsid w:val="00F06C47"/>
    <w:rsid w:val="00F129C0"/>
    <w:rsid w:val="00F14C2F"/>
    <w:rsid w:val="00F1728C"/>
    <w:rsid w:val="00F17684"/>
    <w:rsid w:val="00F1791F"/>
    <w:rsid w:val="00F20D61"/>
    <w:rsid w:val="00F25A03"/>
    <w:rsid w:val="00F26DE0"/>
    <w:rsid w:val="00F30E57"/>
    <w:rsid w:val="00F34A57"/>
    <w:rsid w:val="00F34AB0"/>
    <w:rsid w:val="00F37522"/>
    <w:rsid w:val="00F50F54"/>
    <w:rsid w:val="00F55DDC"/>
    <w:rsid w:val="00F57C2F"/>
    <w:rsid w:val="00F6003B"/>
    <w:rsid w:val="00F62FB5"/>
    <w:rsid w:val="00F700D9"/>
    <w:rsid w:val="00F726B8"/>
    <w:rsid w:val="00F779BE"/>
    <w:rsid w:val="00F902EB"/>
    <w:rsid w:val="00FA179E"/>
    <w:rsid w:val="00FA786B"/>
    <w:rsid w:val="00FB2ECA"/>
    <w:rsid w:val="00FB40F6"/>
    <w:rsid w:val="00FB701F"/>
    <w:rsid w:val="00FC0709"/>
    <w:rsid w:val="00FC2384"/>
    <w:rsid w:val="00FC6CD0"/>
    <w:rsid w:val="00FD35E9"/>
    <w:rsid w:val="00FE14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6A3A4"/>
  <w15:chartTrackingRefBased/>
  <w15:docId w15:val="{1F88A417-B434-4B61-8209-3F7419F0E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F49"/>
    <w:rPr>
      <w:rFonts w:ascii="Times New Roman" w:hAnsi="Times New Roman"/>
      <w:sz w:val="24"/>
    </w:rPr>
  </w:style>
  <w:style w:type="paragraph" w:styleId="Heading1">
    <w:name w:val="heading 1"/>
    <w:basedOn w:val="Normal"/>
    <w:next w:val="Normal"/>
    <w:link w:val="Heading1Char"/>
    <w:uiPriority w:val="9"/>
    <w:qFormat/>
    <w:rsid w:val="002B51E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49790F"/>
    <w:pPr>
      <w:keepNext/>
      <w:keepLines/>
      <w:spacing w:before="40" w:after="0"/>
      <w:outlineLvl w:val="1"/>
    </w:pPr>
    <w:rPr>
      <w:rFonts w:eastAsiaTheme="majorEastAsia"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019B"/>
    <w:rPr>
      <w:color w:val="0563C1" w:themeColor="hyperlink"/>
      <w:u w:val="single"/>
    </w:rPr>
  </w:style>
  <w:style w:type="character" w:styleId="UnresolvedMention">
    <w:name w:val="Unresolved Mention"/>
    <w:basedOn w:val="DefaultParagraphFont"/>
    <w:uiPriority w:val="99"/>
    <w:semiHidden/>
    <w:unhideWhenUsed/>
    <w:rsid w:val="0071019B"/>
    <w:rPr>
      <w:color w:val="605E5C"/>
      <w:shd w:val="clear" w:color="auto" w:fill="E1DFDD"/>
    </w:rPr>
  </w:style>
  <w:style w:type="character" w:customStyle="1" w:styleId="Heading1Char">
    <w:name w:val="Heading 1 Char"/>
    <w:basedOn w:val="DefaultParagraphFont"/>
    <w:link w:val="Heading1"/>
    <w:uiPriority w:val="9"/>
    <w:rsid w:val="002B51E7"/>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2B51E7"/>
    <w:pPr>
      <w:ind w:firstLine="0"/>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2B51E7"/>
    <w:pPr>
      <w:spacing w:after="100"/>
    </w:pPr>
  </w:style>
  <w:style w:type="character" w:customStyle="1" w:styleId="Heading2Char">
    <w:name w:val="Heading 2 Char"/>
    <w:basedOn w:val="DefaultParagraphFont"/>
    <w:link w:val="Heading2"/>
    <w:uiPriority w:val="9"/>
    <w:rsid w:val="0049790F"/>
    <w:rPr>
      <w:rFonts w:ascii="Times New Roman" w:eastAsiaTheme="majorEastAsia" w:hAnsi="Times New Roman" w:cstheme="majorBidi"/>
      <w:sz w:val="26"/>
      <w:szCs w:val="26"/>
    </w:rPr>
  </w:style>
  <w:style w:type="paragraph" w:styleId="Caption">
    <w:name w:val="caption"/>
    <w:basedOn w:val="Normal"/>
    <w:next w:val="Normal"/>
    <w:uiPriority w:val="35"/>
    <w:unhideWhenUsed/>
    <w:qFormat/>
    <w:rsid w:val="0040339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0339A"/>
    <w:pPr>
      <w:spacing w:after="0"/>
    </w:pPr>
  </w:style>
  <w:style w:type="paragraph" w:styleId="TOC2">
    <w:name w:val="toc 2"/>
    <w:basedOn w:val="Normal"/>
    <w:next w:val="Normal"/>
    <w:autoRedefine/>
    <w:uiPriority w:val="39"/>
    <w:unhideWhenUsed/>
    <w:rsid w:val="000D7D40"/>
    <w:pPr>
      <w:spacing w:after="100"/>
      <w:ind w:left="240"/>
    </w:pPr>
  </w:style>
  <w:style w:type="character" w:styleId="FollowedHyperlink">
    <w:name w:val="FollowedHyperlink"/>
    <w:basedOn w:val="DefaultParagraphFont"/>
    <w:uiPriority w:val="99"/>
    <w:semiHidden/>
    <w:unhideWhenUsed/>
    <w:rsid w:val="00034DAF"/>
    <w:rPr>
      <w:color w:val="954F72" w:themeColor="followedHyperlink"/>
      <w:u w:val="single"/>
    </w:rPr>
  </w:style>
  <w:style w:type="paragraph" w:styleId="ListParagraph">
    <w:name w:val="List Paragraph"/>
    <w:basedOn w:val="Normal"/>
    <w:uiPriority w:val="34"/>
    <w:qFormat/>
    <w:rsid w:val="006C466A"/>
    <w:pPr>
      <w:ind w:left="720"/>
      <w:contextualSpacing/>
    </w:pPr>
  </w:style>
  <w:style w:type="character" w:styleId="Emphasis">
    <w:name w:val="Emphasis"/>
    <w:basedOn w:val="DefaultParagraphFont"/>
    <w:uiPriority w:val="20"/>
    <w:qFormat/>
    <w:rsid w:val="000E485C"/>
    <w:rPr>
      <w:i/>
      <w:iCs/>
    </w:rPr>
  </w:style>
  <w:style w:type="paragraph" w:styleId="NoSpacing">
    <w:name w:val="No Spacing"/>
    <w:link w:val="NoSpacingChar"/>
    <w:uiPriority w:val="1"/>
    <w:qFormat/>
    <w:rsid w:val="007A045A"/>
    <w:pPr>
      <w:spacing w:after="0" w:line="240" w:lineRule="auto"/>
      <w:ind w:firstLine="0"/>
      <w:jc w:val="left"/>
    </w:pPr>
    <w:rPr>
      <w:rFonts w:eastAsiaTheme="minorEastAsia"/>
      <w:lang w:val="en-US"/>
    </w:rPr>
  </w:style>
  <w:style w:type="character" w:customStyle="1" w:styleId="NoSpacingChar">
    <w:name w:val="No Spacing Char"/>
    <w:basedOn w:val="DefaultParagraphFont"/>
    <w:link w:val="NoSpacing"/>
    <w:uiPriority w:val="1"/>
    <w:rsid w:val="007A045A"/>
    <w:rPr>
      <w:rFonts w:eastAsiaTheme="minorEastAsia"/>
      <w:lang w:val="en-US"/>
    </w:rPr>
  </w:style>
  <w:style w:type="paragraph" w:styleId="Header">
    <w:name w:val="header"/>
    <w:basedOn w:val="Normal"/>
    <w:link w:val="HeaderChar"/>
    <w:uiPriority w:val="99"/>
    <w:unhideWhenUsed/>
    <w:rsid w:val="003D2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9AB"/>
    <w:rPr>
      <w:rFonts w:ascii="Times New Roman" w:hAnsi="Times New Roman"/>
      <w:sz w:val="24"/>
    </w:rPr>
  </w:style>
  <w:style w:type="paragraph" w:styleId="Footer">
    <w:name w:val="footer"/>
    <w:basedOn w:val="Normal"/>
    <w:link w:val="FooterChar"/>
    <w:uiPriority w:val="99"/>
    <w:unhideWhenUsed/>
    <w:rsid w:val="003D2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9A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15677">
      <w:bodyDiv w:val="1"/>
      <w:marLeft w:val="0"/>
      <w:marRight w:val="0"/>
      <w:marTop w:val="0"/>
      <w:marBottom w:val="0"/>
      <w:divBdr>
        <w:top w:val="none" w:sz="0" w:space="0" w:color="auto"/>
        <w:left w:val="none" w:sz="0" w:space="0" w:color="auto"/>
        <w:bottom w:val="none" w:sz="0" w:space="0" w:color="auto"/>
        <w:right w:val="none" w:sz="0" w:space="0" w:color="auto"/>
      </w:divBdr>
    </w:div>
    <w:div w:id="186138047">
      <w:bodyDiv w:val="1"/>
      <w:marLeft w:val="0"/>
      <w:marRight w:val="0"/>
      <w:marTop w:val="0"/>
      <w:marBottom w:val="0"/>
      <w:divBdr>
        <w:top w:val="none" w:sz="0" w:space="0" w:color="auto"/>
        <w:left w:val="none" w:sz="0" w:space="0" w:color="auto"/>
        <w:bottom w:val="none" w:sz="0" w:space="0" w:color="auto"/>
        <w:right w:val="none" w:sz="0" w:space="0" w:color="auto"/>
      </w:divBdr>
    </w:div>
    <w:div w:id="187108179">
      <w:bodyDiv w:val="1"/>
      <w:marLeft w:val="0"/>
      <w:marRight w:val="0"/>
      <w:marTop w:val="0"/>
      <w:marBottom w:val="0"/>
      <w:divBdr>
        <w:top w:val="none" w:sz="0" w:space="0" w:color="auto"/>
        <w:left w:val="none" w:sz="0" w:space="0" w:color="auto"/>
        <w:bottom w:val="none" w:sz="0" w:space="0" w:color="auto"/>
        <w:right w:val="none" w:sz="0" w:space="0" w:color="auto"/>
      </w:divBdr>
    </w:div>
    <w:div w:id="236398626">
      <w:bodyDiv w:val="1"/>
      <w:marLeft w:val="0"/>
      <w:marRight w:val="0"/>
      <w:marTop w:val="0"/>
      <w:marBottom w:val="0"/>
      <w:divBdr>
        <w:top w:val="none" w:sz="0" w:space="0" w:color="auto"/>
        <w:left w:val="none" w:sz="0" w:space="0" w:color="auto"/>
        <w:bottom w:val="none" w:sz="0" w:space="0" w:color="auto"/>
        <w:right w:val="none" w:sz="0" w:space="0" w:color="auto"/>
      </w:divBdr>
    </w:div>
    <w:div w:id="355691978">
      <w:bodyDiv w:val="1"/>
      <w:marLeft w:val="0"/>
      <w:marRight w:val="0"/>
      <w:marTop w:val="0"/>
      <w:marBottom w:val="0"/>
      <w:divBdr>
        <w:top w:val="none" w:sz="0" w:space="0" w:color="auto"/>
        <w:left w:val="none" w:sz="0" w:space="0" w:color="auto"/>
        <w:bottom w:val="none" w:sz="0" w:space="0" w:color="auto"/>
        <w:right w:val="none" w:sz="0" w:space="0" w:color="auto"/>
      </w:divBdr>
    </w:div>
    <w:div w:id="453595297">
      <w:bodyDiv w:val="1"/>
      <w:marLeft w:val="0"/>
      <w:marRight w:val="0"/>
      <w:marTop w:val="0"/>
      <w:marBottom w:val="0"/>
      <w:divBdr>
        <w:top w:val="none" w:sz="0" w:space="0" w:color="auto"/>
        <w:left w:val="none" w:sz="0" w:space="0" w:color="auto"/>
        <w:bottom w:val="none" w:sz="0" w:space="0" w:color="auto"/>
        <w:right w:val="none" w:sz="0" w:space="0" w:color="auto"/>
      </w:divBdr>
    </w:div>
    <w:div w:id="517742163">
      <w:bodyDiv w:val="1"/>
      <w:marLeft w:val="0"/>
      <w:marRight w:val="0"/>
      <w:marTop w:val="0"/>
      <w:marBottom w:val="0"/>
      <w:divBdr>
        <w:top w:val="none" w:sz="0" w:space="0" w:color="auto"/>
        <w:left w:val="none" w:sz="0" w:space="0" w:color="auto"/>
        <w:bottom w:val="none" w:sz="0" w:space="0" w:color="auto"/>
        <w:right w:val="none" w:sz="0" w:space="0" w:color="auto"/>
      </w:divBdr>
    </w:div>
    <w:div w:id="757750826">
      <w:bodyDiv w:val="1"/>
      <w:marLeft w:val="0"/>
      <w:marRight w:val="0"/>
      <w:marTop w:val="0"/>
      <w:marBottom w:val="0"/>
      <w:divBdr>
        <w:top w:val="none" w:sz="0" w:space="0" w:color="auto"/>
        <w:left w:val="none" w:sz="0" w:space="0" w:color="auto"/>
        <w:bottom w:val="none" w:sz="0" w:space="0" w:color="auto"/>
        <w:right w:val="none" w:sz="0" w:space="0" w:color="auto"/>
      </w:divBdr>
    </w:div>
    <w:div w:id="781876453">
      <w:bodyDiv w:val="1"/>
      <w:marLeft w:val="0"/>
      <w:marRight w:val="0"/>
      <w:marTop w:val="0"/>
      <w:marBottom w:val="0"/>
      <w:divBdr>
        <w:top w:val="none" w:sz="0" w:space="0" w:color="auto"/>
        <w:left w:val="none" w:sz="0" w:space="0" w:color="auto"/>
        <w:bottom w:val="none" w:sz="0" w:space="0" w:color="auto"/>
        <w:right w:val="none" w:sz="0" w:space="0" w:color="auto"/>
      </w:divBdr>
    </w:div>
    <w:div w:id="880626551">
      <w:bodyDiv w:val="1"/>
      <w:marLeft w:val="0"/>
      <w:marRight w:val="0"/>
      <w:marTop w:val="0"/>
      <w:marBottom w:val="0"/>
      <w:divBdr>
        <w:top w:val="none" w:sz="0" w:space="0" w:color="auto"/>
        <w:left w:val="none" w:sz="0" w:space="0" w:color="auto"/>
        <w:bottom w:val="none" w:sz="0" w:space="0" w:color="auto"/>
        <w:right w:val="none" w:sz="0" w:space="0" w:color="auto"/>
      </w:divBdr>
    </w:div>
    <w:div w:id="929462170">
      <w:bodyDiv w:val="1"/>
      <w:marLeft w:val="0"/>
      <w:marRight w:val="0"/>
      <w:marTop w:val="0"/>
      <w:marBottom w:val="0"/>
      <w:divBdr>
        <w:top w:val="none" w:sz="0" w:space="0" w:color="auto"/>
        <w:left w:val="none" w:sz="0" w:space="0" w:color="auto"/>
        <w:bottom w:val="none" w:sz="0" w:space="0" w:color="auto"/>
        <w:right w:val="none" w:sz="0" w:space="0" w:color="auto"/>
      </w:divBdr>
    </w:div>
    <w:div w:id="1110317260">
      <w:bodyDiv w:val="1"/>
      <w:marLeft w:val="0"/>
      <w:marRight w:val="0"/>
      <w:marTop w:val="0"/>
      <w:marBottom w:val="0"/>
      <w:divBdr>
        <w:top w:val="none" w:sz="0" w:space="0" w:color="auto"/>
        <w:left w:val="none" w:sz="0" w:space="0" w:color="auto"/>
        <w:bottom w:val="none" w:sz="0" w:space="0" w:color="auto"/>
        <w:right w:val="none" w:sz="0" w:space="0" w:color="auto"/>
      </w:divBdr>
    </w:div>
    <w:div w:id="1292200753">
      <w:bodyDiv w:val="1"/>
      <w:marLeft w:val="0"/>
      <w:marRight w:val="0"/>
      <w:marTop w:val="0"/>
      <w:marBottom w:val="0"/>
      <w:divBdr>
        <w:top w:val="none" w:sz="0" w:space="0" w:color="auto"/>
        <w:left w:val="none" w:sz="0" w:space="0" w:color="auto"/>
        <w:bottom w:val="none" w:sz="0" w:space="0" w:color="auto"/>
        <w:right w:val="none" w:sz="0" w:space="0" w:color="auto"/>
      </w:divBdr>
    </w:div>
    <w:div w:id="1475223149">
      <w:bodyDiv w:val="1"/>
      <w:marLeft w:val="0"/>
      <w:marRight w:val="0"/>
      <w:marTop w:val="0"/>
      <w:marBottom w:val="0"/>
      <w:divBdr>
        <w:top w:val="none" w:sz="0" w:space="0" w:color="auto"/>
        <w:left w:val="none" w:sz="0" w:space="0" w:color="auto"/>
        <w:bottom w:val="none" w:sz="0" w:space="0" w:color="auto"/>
        <w:right w:val="none" w:sz="0" w:space="0" w:color="auto"/>
      </w:divBdr>
    </w:div>
    <w:div w:id="1538464136">
      <w:bodyDiv w:val="1"/>
      <w:marLeft w:val="0"/>
      <w:marRight w:val="0"/>
      <w:marTop w:val="0"/>
      <w:marBottom w:val="0"/>
      <w:divBdr>
        <w:top w:val="none" w:sz="0" w:space="0" w:color="auto"/>
        <w:left w:val="none" w:sz="0" w:space="0" w:color="auto"/>
        <w:bottom w:val="none" w:sz="0" w:space="0" w:color="auto"/>
        <w:right w:val="none" w:sz="0" w:space="0" w:color="auto"/>
      </w:divBdr>
    </w:div>
    <w:div w:id="1806118672">
      <w:bodyDiv w:val="1"/>
      <w:marLeft w:val="0"/>
      <w:marRight w:val="0"/>
      <w:marTop w:val="0"/>
      <w:marBottom w:val="0"/>
      <w:divBdr>
        <w:top w:val="none" w:sz="0" w:space="0" w:color="auto"/>
        <w:left w:val="none" w:sz="0" w:space="0" w:color="auto"/>
        <w:bottom w:val="none" w:sz="0" w:space="0" w:color="auto"/>
        <w:right w:val="none" w:sz="0" w:space="0" w:color="auto"/>
      </w:divBdr>
    </w:div>
    <w:div w:id="1809781872">
      <w:bodyDiv w:val="1"/>
      <w:marLeft w:val="0"/>
      <w:marRight w:val="0"/>
      <w:marTop w:val="0"/>
      <w:marBottom w:val="0"/>
      <w:divBdr>
        <w:top w:val="none" w:sz="0" w:space="0" w:color="auto"/>
        <w:left w:val="none" w:sz="0" w:space="0" w:color="auto"/>
        <w:bottom w:val="none" w:sz="0" w:space="0" w:color="auto"/>
        <w:right w:val="none" w:sz="0" w:space="0" w:color="auto"/>
      </w:divBdr>
    </w:div>
    <w:div w:id="1883325540">
      <w:bodyDiv w:val="1"/>
      <w:marLeft w:val="0"/>
      <w:marRight w:val="0"/>
      <w:marTop w:val="0"/>
      <w:marBottom w:val="0"/>
      <w:divBdr>
        <w:top w:val="none" w:sz="0" w:space="0" w:color="auto"/>
        <w:left w:val="none" w:sz="0" w:space="0" w:color="auto"/>
        <w:bottom w:val="none" w:sz="0" w:space="0" w:color="auto"/>
        <w:right w:val="none" w:sz="0" w:space="0" w:color="auto"/>
      </w:divBdr>
    </w:div>
    <w:div w:id="204671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70682-DA98-4C17-838C-91CB0E90B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15799</TotalTime>
  <Pages>15</Pages>
  <Words>3801</Words>
  <Characters>21667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Shell Plc</dc:subject>
  <dc:creator>STUDENT: RODICA DINU - 1921784</dc:creator>
  <cp:keywords/>
  <dc:description/>
  <cp:lastModifiedBy>rodica georgiana dinu</cp:lastModifiedBy>
  <cp:revision>498</cp:revision>
  <cp:lastPrinted>2022-08-04T16:34:00Z</cp:lastPrinted>
  <dcterms:created xsi:type="dcterms:W3CDTF">2022-07-21T14:04:00Z</dcterms:created>
  <dcterms:modified xsi:type="dcterms:W3CDTF">2022-08-04T22:15:00Z</dcterms:modified>
</cp:coreProperties>
</file>