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document.xml" ContentType="application/vnd.openxmlformats-officedocument.wordprocessingml.document.glossary+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32"/>
          <w:szCs w:val="32"/>
        </w:rPr>
      </w:pPr>
      <w:r>
        <w:rPr>
          <w:b/>
          <w:bCs/>
          <w:sz w:val="32"/>
          <w:szCs w:val="32"/>
        </w:rPr>
        <w:t>International Hotel Management (BA)</w:t>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t>Module: Contemporary Themes</w:t>
      </w:r>
    </w:p>
    <w:p>
      <w:pPr>
        <w:pStyle w:val="Normal"/>
        <w:jc w:val="center"/>
        <w:rPr>
          <w:b/>
          <w:b/>
          <w:bCs/>
          <w:sz w:val="32"/>
          <w:szCs w:val="32"/>
        </w:rPr>
      </w:pPr>
      <w:r>
        <w:rPr>
          <w:b/>
          <w:bCs/>
          <w:sz w:val="32"/>
          <w:szCs w:val="32"/>
        </w:rPr>
        <w:t>Module Code: BMIH6001</w:t>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t>Student name: Zsanett Babos</w:t>
      </w:r>
    </w:p>
    <w:p>
      <w:pPr>
        <w:pStyle w:val="Normal"/>
        <w:jc w:val="center"/>
        <w:rPr>
          <w:b/>
          <w:b/>
          <w:bCs/>
          <w:sz w:val="32"/>
          <w:szCs w:val="32"/>
        </w:rPr>
      </w:pPr>
      <w:r>
        <w:rPr>
          <w:b/>
          <w:bCs/>
          <w:sz w:val="32"/>
          <w:szCs w:val="32"/>
        </w:rPr>
        <w:t>Student number: 2020456</w:t>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r>
    </w:p>
    <w:p>
      <w:pPr>
        <w:pStyle w:val="Normal"/>
        <w:jc w:val="center"/>
        <w:rPr>
          <w:b/>
          <w:b/>
          <w:bCs/>
          <w:sz w:val="32"/>
          <w:szCs w:val="32"/>
        </w:rPr>
      </w:pPr>
      <w:r>
        <w:rPr>
          <w:b/>
          <w:bCs/>
          <w:sz w:val="32"/>
          <w:szCs w:val="32"/>
        </w:rPr>
        <w:t>Lecturer: Giulia Chifari</w:t>
      </w:r>
    </w:p>
    <w:p>
      <w:pPr>
        <w:pStyle w:val="Normal"/>
        <w:jc w:val="center"/>
        <w:rPr>
          <w:b/>
          <w:b/>
          <w:bCs/>
          <w:sz w:val="32"/>
          <w:szCs w:val="32"/>
        </w:rPr>
      </w:pPr>
      <w:r>
        <w:rPr>
          <w:b/>
          <w:bCs/>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p>
      <w:pPr>
        <w:pStyle w:val="Normal"/>
        <w:rPr>
          <w:sz w:val="32"/>
          <w:szCs w:val="32"/>
        </w:rPr>
      </w:pPr>
      <w:r>
        <w:rPr>
          <w:sz w:val="32"/>
          <w:szCs w:val="32"/>
        </w:rPr>
      </w:r>
    </w:p>
    <w:sdt>
      <w:sdtPr>
        <w:docPartObj>
          <w:docPartGallery w:val="Table of Contents"/>
          <w:docPartUnique w:val="true"/>
        </w:docPartObj>
      </w:sdtPr>
      <w:sdtContent>
        <w:p>
          <w:pPr>
            <w:pStyle w:val="Contents1"/>
            <w:tabs>
              <w:tab w:val="clear" w:pos="720"/>
              <w:tab w:val="right" w:pos="9015" w:leader="dot"/>
            </w:tabs>
            <w:bidi w:val="0"/>
            <w:spacing w:lineRule="auto" w:line="480" w:before="240" w:after="0"/>
            <w:rPr>
              <w:rStyle w:val="InternetLink"/>
            </w:rPr>
          </w:pPr>
          <w:r>
            <w:fldChar w:fldCharType="begin"/>
          </w:r>
          <w:r>
            <w:rPr>
              <w:webHidden/>
              <w:rStyle w:val="IndexLink"/>
            </w:rPr>
            <w:instrText> TOC \z \o "1-9" \u \h</w:instrText>
          </w:r>
          <w:r>
            <w:rPr>
              <w:webHidden/>
              <w:rStyle w:val="IndexLink"/>
            </w:rPr>
            <w:fldChar w:fldCharType="separate"/>
          </w:r>
          <w:hyperlink w:anchor="_Toc549417035">
            <w:r>
              <w:rPr>
                <w:webHidden/>
              </w:rPr>
              <w:fldChar w:fldCharType="begin"/>
            </w:r>
            <w:r>
              <w:rPr>
                <w:webHidden/>
              </w:rPr>
              <w:instrText>PAGEREF _Toc549417035 \h</w:instrText>
            </w:r>
            <w:r>
              <w:rPr>
                <w:webHidden/>
              </w:rPr>
              <w:fldChar w:fldCharType="separate"/>
            </w:r>
            <w:r>
              <w:rPr>
                <w:webHidden/>
                <w:rStyle w:val="IndexLink"/>
              </w:rPr>
              <w:t>1.Introduction</w:t>
              <w:tab/>
              <w:t>2</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2100413990">
            <w:r>
              <w:rPr>
                <w:webHidden/>
              </w:rPr>
              <w:fldChar w:fldCharType="begin"/>
            </w:r>
            <w:r>
              <w:rPr>
                <w:webHidden/>
              </w:rPr>
              <w:instrText>PAGEREF _Toc2100413990 \h</w:instrText>
            </w:r>
            <w:r>
              <w:rPr>
                <w:webHidden/>
              </w:rPr>
              <w:fldChar w:fldCharType="separate"/>
            </w:r>
            <w:r>
              <w:rPr>
                <w:webHidden/>
                <w:rStyle w:val="IndexLink"/>
              </w:rPr>
              <w:t>Background</w:t>
              <w:tab/>
              <w:t>3</w:t>
            </w:r>
            <w:r>
              <w:rPr>
                <w:webHidden/>
              </w:rPr>
              <w:fldChar w:fldCharType="end"/>
            </w:r>
          </w:hyperlink>
        </w:p>
        <w:p>
          <w:pPr>
            <w:pStyle w:val="Contents3"/>
            <w:tabs>
              <w:tab w:val="clear" w:pos="720"/>
              <w:tab w:val="right" w:pos="9015" w:leader="dot"/>
            </w:tabs>
            <w:bidi w:val="0"/>
            <w:spacing w:lineRule="auto" w:line="480" w:beforeAutospacing="0" w:before="240" w:afterAutospacing="0" w:after="0"/>
            <w:rPr/>
          </w:pPr>
          <w:hyperlink w:anchor="_Toc1481667034">
            <w:r>
              <w:rPr>
                <w:webHidden/>
              </w:rPr>
              <w:fldChar w:fldCharType="begin"/>
            </w:r>
            <w:r>
              <w:rPr>
                <w:webHidden/>
              </w:rPr>
              <w:instrText>PAGEREF _Toc1481667034 \h</w:instrText>
            </w:r>
            <w:r>
              <w:rPr>
                <w:webHidden/>
              </w:rPr>
              <w:fldChar w:fldCharType="separate"/>
            </w:r>
            <w:r>
              <w:rPr>
                <w:webHidden/>
                <w:rStyle w:val="IndexLink"/>
              </w:rPr>
              <w:t>Sustainability in the Hotel and Hospitality Industry</w:t>
              <w:tab/>
              <w:t>3</w:t>
            </w:r>
            <w:r>
              <w:rPr>
                <w:webHidden/>
              </w:rPr>
              <w:fldChar w:fldCharType="end"/>
            </w:r>
          </w:hyperlink>
        </w:p>
        <w:p>
          <w:pPr>
            <w:pStyle w:val="Contents1"/>
            <w:tabs>
              <w:tab w:val="clear" w:pos="720"/>
              <w:tab w:val="right" w:pos="9015" w:leader="dot"/>
            </w:tabs>
            <w:bidi w:val="0"/>
            <w:spacing w:lineRule="auto" w:line="480" w:beforeAutospacing="0" w:before="240" w:afterAutospacing="0" w:after="0"/>
            <w:rPr/>
          </w:pPr>
          <w:hyperlink w:anchor="_Toc1497810689">
            <w:r>
              <w:rPr>
                <w:webHidden/>
              </w:rPr>
              <w:fldChar w:fldCharType="begin"/>
            </w:r>
            <w:r>
              <w:rPr>
                <w:webHidden/>
              </w:rPr>
              <w:instrText>PAGEREF _Toc1497810689 \h</w:instrText>
            </w:r>
            <w:r>
              <w:rPr>
                <w:webHidden/>
              </w:rPr>
              <w:fldChar w:fldCharType="separate"/>
            </w:r>
            <w:r>
              <w:rPr>
                <w:webHidden/>
                <w:rStyle w:val="IndexLink"/>
              </w:rPr>
              <w:t>2.Overview of literature</w:t>
              <w:tab/>
              <w:t>4</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530494991">
            <w:r>
              <w:rPr>
                <w:webHidden/>
              </w:rPr>
              <w:fldChar w:fldCharType="begin"/>
            </w:r>
            <w:r>
              <w:rPr>
                <w:webHidden/>
              </w:rPr>
              <w:instrText>PAGEREF _Toc530494991 \h</w:instrText>
            </w:r>
            <w:r>
              <w:rPr>
                <w:webHidden/>
              </w:rPr>
              <w:fldChar w:fldCharType="separate"/>
            </w:r>
            <w:r>
              <w:rPr>
                <w:webHidden/>
                <w:rStyle w:val="IndexLink"/>
              </w:rPr>
              <w:t>Political</w:t>
              <w:tab/>
              <w:t>5</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1278336465">
            <w:r>
              <w:rPr>
                <w:webHidden/>
              </w:rPr>
              <w:fldChar w:fldCharType="begin"/>
            </w:r>
            <w:r>
              <w:rPr>
                <w:webHidden/>
              </w:rPr>
              <w:instrText>PAGEREF _Toc1278336465 \h</w:instrText>
            </w:r>
            <w:r>
              <w:rPr>
                <w:webHidden/>
              </w:rPr>
              <w:fldChar w:fldCharType="separate"/>
            </w:r>
            <w:r>
              <w:rPr>
                <w:webHidden/>
                <w:rStyle w:val="IndexLink"/>
              </w:rPr>
              <w:t>Economic</w:t>
              <w:tab/>
              <w:t>5</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41443689">
            <w:r>
              <w:rPr>
                <w:webHidden/>
              </w:rPr>
              <w:fldChar w:fldCharType="begin"/>
            </w:r>
            <w:r>
              <w:rPr>
                <w:webHidden/>
              </w:rPr>
              <w:instrText>PAGEREF _Toc41443689 \h</w:instrText>
            </w:r>
            <w:r>
              <w:rPr>
                <w:webHidden/>
              </w:rPr>
              <w:fldChar w:fldCharType="separate"/>
            </w:r>
            <w:r>
              <w:rPr>
                <w:webHidden/>
                <w:rStyle w:val="IndexLink"/>
              </w:rPr>
              <w:t>Social</w:t>
              <w:tab/>
              <w:t>6</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845502588">
            <w:r>
              <w:rPr>
                <w:webHidden/>
              </w:rPr>
              <w:fldChar w:fldCharType="begin"/>
            </w:r>
            <w:r>
              <w:rPr>
                <w:webHidden/>
              </w:rPr>
              <w:instrText>PAGEREF _Toc845502588 \h</w:instrText>
            </w:r>
            <w:r>
              <w:rPr>
                <w:webHidden/>
              </w:rPr>
              <w:fldChar w:fldCharType="separate"/>
            </w:r>
            <w:r>
              <w:rPr>
                <w:webHidden/>
                <w:rStyle w:val="IndexLink"/>
              </w:rPr>
              <w:t>Technological</w:t>
              <w:tab/>
              <w:t>6</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568912082">
            <w:r>
              <w:rPr>
                <w:webHidden/>
              </w:rPr>
              <w:fldChar w:fldCharType="begin"/>
            </w:r>
            <w:r>
              <w:rPr>
                <w:webHidden/>
              </w:rPr>
              <w:instrText>PAGEREF _Toc568912082 \h</w:instrText>
            </w:r>
            <w:r>
              <w:rPr>
                <w:webHidden/>
              </w:rPr>
              <w:fldChar w:fldCharType="separate"/>
            </w:r>
            <w:r>
              <w:rPr>
                <w:webHidden/>
                <w:rStyle w:val="IndexLink"/>
              </w:rPr>
              <w:t>Legal</w:t>
              <w:tab/>
              <w:t>7</w:t>
            </w:r>
            <w:r>
              <w:rPr>
                <w:webHidden/>
              </w:rPr>
              <w:fldChar w:fldCharType="end"/>
            </w:r>
          </w:hyperlink>
        </w:p>
        <w:p>
          <w:pPr>
            <w:pStyle w:val="Contents2"/>
            <w:tabs>
              <w:tab w:val="clear" w:pos="720"/>
              <w:tab w:val="right" w:pos="9015" w:leader="dot"/>
            </w:tabs>
            <w:bidi w:val="0"/>
            <w:spacing w:lineRule="auto" w:line="480" w:beforeAutospacing="0" w:before="240" w:afterAutospacing="0" w:after="0"/>
            <w:rPr/>
          </w:pPr>
          <w:hyperlink w:anchor="_Toc1238433247">
            <w:r>
              <w:rPr>
                <w:webHidden/>
              </w:rPr>
              <w:fldChar w:fldCharType="begin"/>
            </w:r>
            <w:r>
              <w:rPr>
                <w:webHidden/>
              </w:rPr>
              <w:instrText>PAGEREF _Toc1238433247 \h</w:instrText>
            </w:r>
            <w:r>
              <w:rPr>
                <w:webHidden/>
              </w:rPr>
              <w:fldChar w:fldCharType="separate"/>
            </w:r>
            <w:r>
              <w:rPr>
                <w:webHidden/>
                <w:rStyle w:val="IndexLink"/>
              </w:rPr>
              <w:t>Environmental</w:t>
              <w:tab/>
              <w:t>7</w:t>
            </w:r>
            <w:r>
              <w:rPr>
                <w:webHidden/>
              </w:rPr>
              <w:fldChar w:fldCharType="end"/>
            </w:r>
          </w:hyperlink>
        </w:p>
        <w:p>
          <w:pPr>
            <w:pStyle w:val="Contents1"/>
            <w:tabs>
              <w:tab w:val="clear" w:pos="720"/>
              <w:tab w:val="right" w:pos="9015" w:leader="dot"/>
            </w:tabs>
            <w:bidi w:val="0"/>
            <w:spacing w:lineRule="auto" w:line="480" w:beforeAutospacing="0" w:before="240" w:afterAutospacing="0" w:after="0"/>
            <w:rPr/>
          </w:pPr>
          <w:hyperlink w:anchor="_Toc501156349">
            <w:r>
              <w:rPr>
                <w:webHidden/>
              </w:rPr>
              <w:fldChar w:fldCharType="begin"/>
            </w:r>
            <w:r>
              <w:rPr>
                <w:webHidden/>
              </w:rPr>
              <w:instrText>PAGEREF _Toc501156349 \h</w:instrText>
            </w:r>
            <w:r>
              <w:rPr>
                <w:webHidden/>
              </w:rPr>
              <w:fldChar w:fldCharType="separate"/>
            </w:r>
            <w:r>
              <w:rPr>
                <w:webHidden/>
                <w:rStyle w:val="IndexLink"/>
              </w:rPr>
              <w:t>3. Application to the Hotel and Hospitality Sector: Hilton Manchester Deansgate</w:t>
              <w:tab/>
              <w:t>8</w:t>
            </w:r>
            <w:r>
              <w:rPr>
                <w:webHidden/>
              </w:rPr>
              <w:fldChar w:fldCharType="end"/>
            </w:r>
          </w:hyperlink>
        </w:p>
        <w:p>
          <w:pPr>
            <w:pStyle w:val="Contents1"/>
            <w:tabs>
              <w:tab w:val="clear" w:pos="720"/>
              <w:tab w:val="right" w:pos="9015" w:leader="dot"/>
            </w:tabs>
            <w:bidi w:val="0"/>
            <w:spacing w:lineRule="auto" w:line="480" w:beforeAutospacing="0" w:before="240" w:afterAutospacing="0" w:after="0"/>
            <w:rPr/>
          </w:pPr>
          <w:hyperlink w:anchor="_Toc195399714">
            <w:r>
              <w:rPr>
                <w:webHidden/>
              </w:rPr>
              <w:fldChar w:fldCharType="begin"/>
            </w:r>
            <w:r>
              <w:rPr>
                <w:webHidden/>
              </w:rPr>
              <w:instrText>PAGEREF _Toc195399714 \h</w:instrText>
            </w:r>
            <w:r>
              <w:rPr>
                <w:webHidden/>
              </w:rPr>
              <w:fldChar w:fldCharType="separate"/>
            </w:r>
            <w:r>
              <w:rPr>
                <w:webHidden/>
                <w:rStyle w:val="IndexLink"/>
              </w:rPr>
              <w:t>4.Evaluate future policy and management options for dealing with this issue</w:t>
              <w:tab/>
              <w:t>10</w:t>
            </w:r>
            <w:r>
              <w:rPr>
                <w:webHidden/>
              </w:rPr>
              <w:fldChar w:fldCharType="end"/>
            </w:r>
          </w:hyperlink>
        </w:p>
        <w:p>
          <w:pPr>
            <w:pStyle w:val="Contents1"/>
            <w:tabs>
              <w:tab w:val="clear" w:pos="720"/>
              <w:tab w:val="right" w:pos="9015" w:leader="dot"/>
            </w:tabs>
            <w:bidi w:val="0"/>
            <w:spacing w:lineRule="auto" w:line="480" w:beforeAutospacing="0" w:before="240" w:afterAutospacing="0" w:after="0"/>
            <w:rPr/>
          </w:pPr>
          <w:hyperlink w:anchor="_Toc112623020">
            <w:r>
              <w:rPr>
                <w:webHidden/>
              </w:rPr>
              <w:fldChar w:fldCharType="begin"/>
            </w:r>
            <w:r>
              <w:rPr>
                <w:webHidden/>
              </w:rPr>
              <w:instrText>PAGEREF _Toc112623020 \h</w:instrText>
            </w:r>
            <w:r>
              <w:rPr>
                <w:webHidden/>
              </w:rPr>
              <w:fldChar w:fldCharType="separate"/>
            </w:r>
            <w:r>
              <w:rPr>
                <w:webHidden/>
                <w:rStyle w:val="IndexLink"/>
              </w:rPr>
              <w:t>5.References:</w:t>
              <w:tab/>
              <w:t>12</w:t>
            </w:r>
            <w:r>
              <w:rPr>
                <w:webHidden/>
              </w:rPr>
              <w:fldChar w:fldCharType="end"/>
            </w:r>
          </w:hyperlink>
          <w:r>
            <w:rPr>
              <w:rStyle w:val="IndexLink"/>
            </w:rPr>
            <w:fldChar w:fldCharType="end"/>
          </w:r>
        </w:p>
      </w:sdtContent>
    </w:sdt>
    <w:p>
      <w:pPr>
        <w:pStyle w:val="Normal"/>
        <w:spacing w:lineRule="auto" w:line="480" w:before="240" w:after="0"/>
        <w:rPr>
          <w:sz w:val="32"/>
          <w:szCs w:val="32"/>
        </w:rPr>
      </w:pPr>
      <w:r>
        <w:rPr>
          <w:sz w:val="32"/>
          <w:szCs w:val="32"/>
        </w:rPr>
      </w:r>
    </w:p>
    <w:p>
      <w:pPr>
        <w:pStyle w:val="Normal"/>
        <w:spacing w:lineRule="auto" w:line="480" w:beforeAutospacing="0" w:before="240" w:afterAutospacing="0" w:after="0"/>
        <w:rPr>
          <w:sz w:val="32"/>
          <w:szCs w:val="32"/>
        </w:rPr>
      </w:pPr>
      <w:r>
        <w:rPr/>
      </w:r>
    </w:p>
    <w:p>
      <w:pPr>
        <w:pStyle w:val="Normal"/>
        <w:spacing w:lineRule="auto" w:line="480" w:beforeAutospacing="0" w:before="240" w:afterAutospacing="0" w:after="0"/>
        <w:rPr>
          <w:sz w:val="32"/>
          <w:szCs w:val="32"/>
        </w:rPr>
      </w:pPr>
      <w:r>
        <w:rPr/>
      </w:r>
    </w:p>
    <w:p>
      <w:pPr>
        <w:pStyle w:val="Normal"/>
        <w:spacing w:lineRule="auto" w:line="480" w:beforeAutospacing="0" w:before="240" w:afterAutospacing="0" w:after="0"/>
        <w:rPr>
          <w:sz w:val="32"/>
          <w:szCs w:val="32"/>
        </w:rPr>
      </w:pPr>
      <w:r>
        <w:rPr/>
      </w:r>
    </w:p>
    <w:p>
      <w:pPr>
        <w:pStyle w:val="Normal"/>
        <w:rPr/>
      </w:pPr>
      <w:r>
        <w:rPr/>
      </w:r>
    </w:p>
    <w:p>
      <w:pPr>
        <w:pStyle w:val="Normal"/>
        <w:rPr/>
      </w:pPr>
      <w:r>
        <w:rPr/>
      </w:r>
    </w:p>
    <w:p>
      <w:pPr>
        <w:pStyle w:val="Heading1"/>
        <w:keepNext w:val="false"/>
        <w:keepLines w:val="false"/>
        <w:widowControl w:val="false"/>
        <w:spacing w:lineRule="auto" w:line="360"/>
        <w:jc w:val="both"/>
        <w:rPr>
          <w:rFonts w:ascii="Arial" w:hAnsi="Arial" w:eastAsia="Arial" w:cs="Arial"/>
          <w:sz w:val="24"/>
          <w:szCs w:val="24"/>
          <w:lang w:val="en-GB"/>
        </w:rPr>
      </w:pPr>
      <w:bookmarkStart w:id="0" w:name="_Toc549417035"/>
      <w:r>
        <w:rPr>
          <w:rFonts w:eastAsia="Arial" w:cs="Arial" w:ascii="Arial" w:hAnsi="Arial"/>
          <w:sz w:val="24"/>
          <w:szCs w:val="24"/>
          <w:lang w:val="en-GB"/>
        </w:rPr>
        <w:t>1.Introduction</w:t>
      </w:r>
      <w:bookmarkEnd w:id="0"/>
    </w:p>
    <w:p>
      <w:pPr>
        <w:pStyle w:val="Heading2"/>
        <w:keepNext w:val="false"/>
        <w:keepLines w:val="false"/>
        <w:widowControl w:val="false"/>
        <w:spacing w:lineRule="auto" w:line="360"/>
        <w:jc w:val="both"/>
        <w:rPr>
          <w:rFonts w:ascii="Arial" w:hAnsi="Arial" w:eastAsia="Arial" w:cs="Arial"/>
          <w:b w:val="false"/>
          <w:b w:val="false"/>
          <w:bCs w:val="false"/>
          <w:sz w:val="24"/>
          <w:szCs w:val="24"/>
          <w:lang w:val="en-GB"/>
        </w:rPr>
      </w:pPr>
      <w:bookmarkStart w:id="1" w:name="_Toc2100413990"/>
      <w:r>
        <w:rPr>
          <w:rFonts w:eastAsia="Arial" w:cs="Arial" w:ascii="Arial" w:hAnsi="Arial"/>
          <w:sz w:val="24"/>
          <w:szCs w:val="24"/>
          <w:lang w:val="en-GB"/>
        </w:rPr>
        <w:t>Background</w:t>
      </w:r>
      <w:bookmarkEnd w:id="1"/>
      <w:r>
        <w:rPr>
          <w:rFonts w:eastAsia="Arial" w:cs="Arial" w:ascii="Arial" w:hAnsi="Arial"/>
          <w:sz w:val="24"/>
          <w:szCs w:val="24"/>
          <w:lang w:val="en-GB"/>
        </w:rPr>
        <w:t xml:space="preserve"> </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In today's environmentally conscious society, there is a growing consensus that introducing new practices in consumption habits is critical to stop or minimize the degradation of the natural environment. The strive for economic development, while respecting resources is part of the United Nations sustainable development goals that ask everyone to commit to implement by 2030 (Elkhwesky et al., 2022). The United Nations categorized the goals of development into socioeconomic development and environmental protection. A well-known description of sustainability presented by Dahke et al. (2022) terms sustainability development as meeting the needs of the present society without compromising the capabilities of future generations to meet their needs. The definition emphasizes the long-term viability of resources based on the ethical precept of achieving equality for the current and future generations. The concept involves finding a balance between natural and human resources to ensure long-term stability. Thus, the process also entails the creation of a favourable business environment that benefits business organizations. Sorell and Bovia (2021) asserted that sustainability offers firms a framework for holistic decision-making that addresses short-term and long-term business needs while considering the social, economic, and environmental impacts of their business processes.</w:t>
      </w:r>
    </w:p>
    <w:p>
      <w:pPr>
        <w:pStyle w:val="Heading3"/>
        <w:keepNext w:val="false"/>
        <w:keepLines w:val="false"/>
        <w:widowControl w:val="false"/>
        <w:spacing w:lineRule="auto" w:line="360"/>
        <w:jc w:val="both"/>
        <w:rPr>
          <w:rFonts w:ascii="Arial" w:hAnsi="Arial" w:eastAsia="Arial" w:cs="Arial"/>
          <w:b w:val="false"/>
          <w:b w:val="false"/>
          <w:bCs w:val="false"/>
          <w:sz w:val="24"/>
          <w:szCs w:val="24"/>
          <w:lang w:val="en-GB"/>
        </w:rPr>
      </w:pPr>
      <w:bookmarkStart w:id="2" w:name="_Toc1481667034"/>
      <w:r>
        <w:rPr>
          <w:rFonts w:eastAsia="Arial" w:cs="Arial" w:ascii="Arial" w:hAnsi="Arial"/>
          <w:sz w:val="24"/>
          <w:szCs w:val="24"/>
          <w:lang w:val="en-GB"/>
        </w:rPr>
        <w:t>Sustainability in the Hotel and Hospitality Industry</w:t>
      </w:r>
      <w:bookmarkEnd w:id="2"/>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The hotel and hospitality industry are an essential sector of the global economy (Han 2021). The concept of sustainability has gained considerable importance in the sector in recent years and has become a strategic goal for tourism destinations to protect the environment and promote social inclusion. Randolph et al. (2022) asserted that firms have integrated sustainability practices in their operational modes to achieve competitive cost advantages and earn recognition in the broader community. Hence, environmental and social questions are included in strategic development plans to win market share in the business. Hilton Manchester Deansgate Hotels is one of the most recognized Hilton brands in the UK firm that has integrated sustainability into its daily operations. Founded on the belief that travel could make the world a better place, the brand is guided by the mission, ‘travel with purpose’ as it strives to ensure that all its business activities foster sustainability (Hilton, 2022). Hilton Manchester Deansgate, serves as the central case study for this report investigating the concept of sustainability in the hospitality industry.</w:t>
      </w:r>
    </w:p>
    <w:p>
      <w:pPr>
        <w:pStyle w:val="Heading1"/>
        <w:keepNext w:val="false"/>
        <w:keepLines w:val="false"/>
        <w:widowControl w:val="false"/>
        <w:spacing w:lineRule="auto" w:line="360"/>
        <w:jc w:val="both"/>
        <w:rPr>
          <w:rFonts w:ascii="Arial" w:hAnsi="Arial" w:eastAsia="Arial" w:cs="Arial"/>
          <w:b/>
          <w:b/>
          <w:bCs/>
          <w:sz w:val="24"/>
          <w:szCs w:val="24"/>
          <w:lang w:val="en-GB"/>
        </w:rPr>
      </w:pPr>
      <w:bookmarkStart w:id="3" w:name="_Toc1497810689"/>
      <w:r>
        <w:rPr>
          <w:rFonts w:eastAsia="Arial" w:cs="Arial" w:ascii="Arial" w:hAnsi="Arial"/>
          <w:sz w:val="24"/>
          <w:szCs w:val="24"/>
          <w:lang w:val="en-GB"/>
        </w:rPr>
        <w:t>2.Overview of literature</w:t>
      </w:r>
      <w:bookmarkEnd w:id="3"/>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In an article by the University of Central Florida (2022), the authors observed that all tourist activities depend on natural and cultural resources that attract consumers and act as the main drivers of economic development in the hospitality sector. For example, some areas, such as those in the Caribbean, heavily rely on pristine beaches and clear waters to draw tourists. Other areas like Paris depend on their cultural heritage to attract tourists. While various firms in the hotels and hospitality industry differ concerning the attributes that attract consumers to the sites, they all share a common issue: threat by human activities, with some tourist activities being the main to the sector. For example, in 2018, the Thai government shut down one of the nation's famous beaches, Maya Bay, for three years after daily visits of 5,000 tourists destroyed the important coral and the beauty that made people visit the region (UCF 2022). Due to the increased attention of consumers and governments on sustainability, companies are forced to intensify their efforts in sustainable development.</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The concept of sustainability has evolved over the years, and it is not distinguished in three main aspects: ecological, economic, and social. Today, following the 2030 agenda for Sustainable development, it is a holistic strategy that cuts across business models used by players in the hospitality sector. Several frameworks in the literature, including the political, economic, social, technological, legal, and environmental (PESTLE) analysis, have been used to analyse the impact of sustainability themes on the hospitality industry as well as offer policy recommendations on the best way to move forward (Kansongue et al., 2023). The framework is used to assess the external factors influencing an organization in the industry in which it operates. It is critical to comprehend the vital political aspects that affect the industry, environmental and economic considerations, social aspects, technological innovations, and legislations that may affect business operations.</w:t>
      </w:r>
    </w:p>
    <w:p>
      <w:pPr>
        <w:pStyle w:val="Heading2"/>
        <w:keepNext w:val="false"/>
        <w:keepLines w:val="false"/>
        <w:widowControl w:val="false"/>
        <w:spacing w:lineRule="auto" w:line="360"/>
        <w:jc w:val="both"/>
        <w:rPr>
          <w:rFonts w:ascii="Arial" w:hAnsi="Arial" w:eastAsia="Arial" w:cs="Arial"/>
          <w:sz w:val="24"/>
          <w:szCs w:val="24"/>
          <w:lang w:val="en-GB"/>
        </w:rPr>
      </w:pPr>
      <w:bookmarkStart w:id="4" w:name="_Toc530494991"/>
      <w:r>
        <w:rPr>
          <w:rFonts w:eastAsia="Arial" w:cs="Arial" w:ascii="Arial" w:hAnsi="Arial"/>
          <w:sz w:val="24"/>
          <w:szCs w:val="24"/>
          <w:lang w:val="en-GB"/>
        </w:rPr>
        <w:t>Political</w:t>
      </w:r>
      <w:bookmarkEnd w:id="4"/>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Corporate behaviours and performance on sustainability can be substantially impacted by the political environment, which is deemed as vital resource for enterprises (Zhang et al., 2019). From a global perspective, the concept is supported by United Nations sustainable development goals, in which all communities, including business enterprises, are responsible for attaining these goals. Some goals include cleaning water and sanitation, gender equity, affordable and clean energy, sustainable cities, responsible consumption, and climate action, which are attributes of sustainability that can be implemented in the hotel and hospitality industry (United Nations 2023). Considering these governments, governments create policies to enable businesses to implement strategies to increase public responsibility towards attaining the goals. A study by Elkwesky et al. (2022) established that governments encourage hotels to embrace sustainability by offering tax deduction grants and recognition and rewarding those who adhere to sustainable business practices. For example, Hilton Manchester Deansgate procures carbon credit from the South Pole Group to offset carbon emissions associated with the brand, an incentive that fosters the firm’s efforts to cut its collective environmental impact.</w:t>
      </w:r>
    </w:p>
    <w:p>
      <w:pPr>
        <w:pStyle w:val="Heading2"/>
        <w:keepNext w:val="false"/>
        <w:keepLines w:val="false"/>
        <w:widowControl w:val="false"/>
        <w:spacing w:lineRule="auto" w:line="360"/>
        <w:jc w:val="both"/>
        <w:rPr>
          <w:rFonts w:ascii="Arial" w:hAnsi="Arial" w:eastAsia="Arial" w:cs="Arial"/>
          <w:sz w:val="24"/>
          <w:szCs w:val="24"/>
          <w:lang w:val="en-GB"/>
        </w:rPr>
      </w:pPr>
      <w:bookmarkStart w:id="5" w:name="_Toc1278336465"/>
      <w:r>
        <w:rPr>
          <w:rFonts w:eastAsia="Arial" w:cs="Arial" w:ascii="Arial" w:hAnsi="Arial"/>
          <w:sz w:val="24"/>
          <w:szCs w:val="24"/>
          <w:lang w:val="en-GB"/>
        </w:rPr>
        <w:t>Economic</w:t>
      </w:r>
      <w:bookmarkEnd w:id="5"/>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 xml:space="preserve">Several economic benefits are associated with implementing sustainable business practices in the hotel and hospitality industry. UCF (2022) observed that advances in technology related to renewable energy, such as LED lighting, energy-efficient heating, cooling systems, and solar panels, ensure energy is not wasted. Investing in these technologies significantly reduces energy costs while offering a comfortable and enjoyable experience for the guests. Studies suggest that prioritizing sustainability demonstrates hotels' commitment to preserving the environment (Pereira et al., 2021). Hilton Manchester Deansgate benefits from its sustainability efforts by attracting more environmentally conscious tourists, resulting in more sales and profitability, hence the reason it has become one of the most sustainable brands in the region. </w:t>
      </w:r>
    </w:p>
    <w:p>
      <w:pPr>
        <w:pStyle w:val="Heading2"/>
        <w:keepNext w:val="false"/>
        <w:keepLines w:val="false"/>
        <w:widowControl w:val="false"/>
        <w:spacing w:lineRule="auto" w:line="360"/>
        <w:jc w:val="both"/>
        <w:rPr>
          <w:rFonts w:ascii="Arial" w:hAnsi="Arial" w:eastAsia="Arial" w:cs="Arial"/>
          <w:sz w:val="24"/>
          <w:szCs w:val="24"/>
          <w:lang w:val="en-GB"/>
        </w:rPr>
      </w:pPr>
      <w:bookmarkStart w:id="6" w:name="_Toc41443689"/>
      <w:r>
        <w:rPr>
          <w:rFonts w:eastAsia="Arial" w:cs="Arial" w:ascii="Arial" w:hAnsi="Arial"/>
          <w:sz w:val="24"/>
          <w:szCs w:val="24"/>
          <w:lang w:val="en-GB"/>
        </w:rPr>
        <w:t>Social</w:t>
      </w:r>
      <w:bookmarkEnd w:id="6"/>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The core of hospitality is people and offering them a safe, hospitable, and positive environment. As the industry strives to become sustainable, it should direct its efforts to address ecology, economy, and society. Sorrell and Bovia (2021) reiterated the findings of consumer surveys conducted in 2020, which established that approximately 70% of global travelers are more likely to book eco-friendly accommodation, and 53% are willing to pay a premium to access environmentally friendly facilities. The research also found that 90% of consumer respondents are more concerned about environmental issues, recognizing the relationship between environmental protection and human health. Sustainability efforts also entail implementing socially sustainable practices such as purchasing raw materials from the local businesses, including farmers, hiring employees from the local community, ensuring access to the properties to all, including physically disabled people, and ensuring that the workforce is diverse, and promoting cultural practices of the local community (Olya et al., 2021). Hilton Deansgate is committed to achieve 50% and 25% gender diversity and ethnic diversity respectively by 2027 and offers learning and career programs Team Members and communities with a focus on underrepresented populations (Hilton 2023).</w:t>
      </w:r>
    </w:p>
    <w:p>
      <w:pPr>
        <w:pStyle w:val="Heading2"/>
        <w:keepNext w:val="false"/>
        <w:keepLines w:val="false"/>
        <w:widowControl w:val="false"/>
        <w:spacing w:lineRule="auto" w:line="360"/>
        <w:jc w:val="both"/>
        <w:rPr>
          <w:rFonts w:ascii="Arial" w:hAnsi="Arial" w:eastAsia="Arial" w:cs="Arial"/>
          <w:sz w:val="24"/>
          <w:szCs w:val="24"/>
          <w:lang w:val="en-GB"/>
        </w:rPr>
      </w:pPr>
      <w:bookmarkStart w:id="7" w:name="_Toc845502588"/>
      <w:r>
        <w:rPr>
          <w:rFonts w:eastAsia="Arial" w:cs="Arial" w:ascii="Arial" w:hAnsi="Arial"/>
          <w:sz w:val="24"/>
          <w:szCs w:val="24"/>
          <w:lang w:val="en-GB"/>
        </w:rPr>
        <w:t>Technological</w:t>
      </w:r>
      <w:bookmarkEnd w:id="7"/>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 xml:space="preserve">Hotels must invest in innovative solutions to serve society and business, reduce costs, enhance employee competencies, attract the targeted audience, and achieve competitive advantage (Abdou et al., 2020). The initiative is executed by taking advantage of current environmental developments, such as using solar and geothermal energy to power the buildings. For example, Hilton Deansgate uses smart thermostat technology in rooms allows consumers to customize temperature while conserving energy as well as the LightStay platform to curb carbon emissions. The strategies help the firm reduce their carbon footprint, become recognized as climate change agents, and contribute to reducing operational costs (UCF 2022). Also, firms can use digital technologies to create social media content empowering and educating the public about conservation, diversity, and other issues relating to sustainability. A clear understanding of sustainability allows leaders to identify areas where technology can be incorporated to improve efficiencies and achieve sustainable development goals. </w:t>
      </w:r>
    </w:p>
    <w:p>
      <w:pPr>
        <w:pStyle w:val="Heading2"/>
        <w:keepNext w:val="false"/>
        <w:keepLines w:val="false"/>
        <w:widowControl w:val="false"/>
        <w:spacing w:lineRule="auto" w:line="360"/>
        <w:jc w:val="both"/>
        <w:rPr>
          <w:rFonts w:ascii="Arial" w:hAnsi="Arial" w:eastAsia="Arial" w:cs="Arial"/>
          <w:sz w:val="24"/>
          <w:szCs w:val="24"/>
          <w:lang w:val="en-GB"/>
        </w:rPr>
      </w:pPr>
      <w:bookmarkStart w:id="8" w:name="_Toc568912082"/>
      <w:r>
        <w:rPr>
          <w:rFonts w:eastAsia="Arial" w:cs="Arial" w:ascii="Arial" w:hAnsi="Arial"/>
          <w:sz w:val="24"/>
          <w:szCs w:val="24"/>
          <w:lang w:val="en-GB"/>
        </w:rPr>
        <w:t>Legal</w:t>
      </w:r>
      <w:bookmarkEnd w:id="8"/>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 xml:space="preserve">Companies operating in the hospitality industry must formalize sustainability efforts and integrate them into their business strategy, enhancing communication and transparency (Deloitte, 2021). There is an increase in expectations for consistent, comparable, and transparent corporate and social governance driven by global and local regulatory stakeholders and the public. For example, </w:t>
      </w:r>
      <w:r>
        <w:rPr>
          <w:rFonts w:eastAsia="Arial" w:cs="Arial" w:ascii="Arial" w:hAnsi="Arial"/>
          <w:i/>
          <w:iCs/>
          <w:sz w:val="24"/>
          <w:szCs w:val="24"/>
          <w:lang w:val="en-GB"/>
        </w:rPr>
        <w:t>The Corporate Sustainability Reporting Directive</w:t>
      </w:r>
      <w:r>
        <w:rPr>
          <w:rFonts w:eastAsia="Arial" w:cs="Arial" w:ascii="Arial" w:hAnsi="Arial"/>
          <w:sz w:val="24"/>
          <w:szCs w:val="24"/>
          <w:lang w:val="en-GB"/>
        </w:rPr>
        <w:t xml:space="preserve"> (CSRD) impacts over 50,000 large entities, including Hilton, such that these firms are required to report more broadly on sustainability-focused topics, including environmental issues, social responsibility, board diversity, respect for human rights, and anti-corruption policies and measures (Burkinshaw, 2023). The rule ensures that consumers and investors have access to information needed to evaluate risks attributed to the environment and other sustainability issues. They create a culture of transparency and accountability, ensuring that companies consider sustainability as part of the strategic business objectives.</w:t>
      </w:r>
    </w:p>
    <w:p>
      <w:pPr>
        <w:pStyle w:val="Heading2"/>
        <w:keepNext w:val="false"/>
        <w:keepLines w:val="false"/>
        <w:widowControl w:val="false"/>
        <w:spacing w:lineRule="auto" w:line="360"/>
        <w:jc w:val="both"/>
        <w:rPr>
          <w:rFonts w:ascii="Arial" w:hAnsi="Arial" w:eastAsia="Arial" w:cs="Arial"/>
          <w:sz w:val="24"/>
          <w:szCs w:val="24"/>
          <w:lang w:val="en-GB"/>
        </w:rPr>
      </w:pPr>
      <w:bookmarkStart w:id="9" w:name="_Toc1238433247"/>
      <w:r>
        <w:rPr>
          <w:rFonts w:eastAsia="Arial" w:cs="Arial" w:ascii="Arial" w:hAnsi="Arial"/>
          <w:sz w:val="24"/>
          <w:szCs w:val="24"/>
          <w:lang w:val="en-GB"/>
        </w:rPr>
        <w:t>Environmental</w:t>
      </w:r>
      <w:bookmarkEnd w:id="9"/>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As one of the critical pillars of sustainability, the environment focuses on the natural and physical environment. Thus, companies must focus on creating initiatives that maximize the benefits of environmental resources while minimizing the burdens to the current and the future generations who depend on these resources (Archmad and Yulliah 2023). Green conservation measures in the hospitality industry entail energy conservation, minimizing water conservation, and waste management measures. For example, Hilton seeks to reduce Scope 1 and 2 emissions intensity from managed entities, including Manchester Deansgate by 75% in a drive towards a net zero future (Hilton 2023). Research by Texeira et al. (2020) established that the solid waste of hotels could be utilized for composting to retain environmental quality. Recycling, reuse, and participating in community-based environmental conservation efforts are crucial in maintaining sustainable business practices.</w:t>
      </w:r>
    </w:p>
    <w:p>
      <w:pPr>
        <w:pStyle w:val="Heading1"/>
        <w:keepNext w:val="false"/>
        <w:keepLines w:val="false"/>
        <w:widowControl w:val="false"/>
        <w:spacing w:lineRule="auto" w:line="360"/>
        <w:jc w:val="both"/>
        <w:rPr>
          <w:rFonts w:ascii="Arial" w:hAnsi="Arial" w:eastAsia="Arial" w:cs="Arial"/>
          <w:sz w:val="24"/>
          <w:szCs w:val="24"/>
          <w:lang w:val="en-GB"/>
        </w:rPr>
      </w:pPr>
      <w:bookmarkStart w:id="10" w:name="_Toc501156349"/>
      <w:r>
        <w:rPr>
          <w:rFonts w:eastAsia="Arial" w:cs="Arial" w:ascii="Arial" w:hAnsi="Arial"/>
          <w:sz w:val="24"/>
          <w:szCs w:val="24"/>
          <w:lang w:val="en-GB"/>
        </w:rPr>
        <w:t>3. Application to the Hotel and Hospitality Sector: Hilton Manchester Deansgate</w:t>
      </w:r>
      <w:bookmarkEnd w:id="10"/>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 xml:space="preserve">The PESTLE model suggests that hospitality industry sustainability is underpinned by four major pillars: healthy buildings, green buildings and operations, social sustainability, and supply chain sustainability (Sorrell and Bovia 2021). Because of the identified significance of sustainability, Hilton Manchester Deansgate has made great efforts to integrate the concept into its operations. The first major hotel brand to establish science-based targets to reduce greenhouse emissions in line with the Paris Agreement, the firm is also committed to reducing its carbon footprint through energy, water, and waste management practices (Milo, 2022). Various activities influence the firm's operational model. These aspects of the operational model make different contributions to the hospitality industry and the subsequent utilization of sustainability practices. Some of the areas of the company that are affected by sustainability is the energy and supply chain operations. </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Since 2009, the firm has utilized the award-winning Lightstay system to measure, report, and improve its environmental impact (Hilton 2023). Hilton Manchester Deansgate partnered with ClimeCo to offset the carbon footprint of its client's holding events and meetings to help them achieve their sustainability goals. The hotel uses the LightStay platform and utilize collated information with the Meeting Impact Calculator to develop consumption data report (Hilton Manchester Deansgate 2023). The results of CO2 consumption by individual clients are offset by procuring carbon credit from South Pole Group (Hilton Manchester 2023).</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Hilton Manchester applies different strategies to enforce sustainability in its supply chain. The activities of the firm are underpinned by the mission, travel with purpose’ to inform all operations relating to procurement, including sourcing of raw materials, partnerships with the local community and waste management. According to Sorrell and Bovia (2021), supply chain sustainability investigates all attributes of a firm’s supply chain through social, environmental, and economic lenses, making it an essential step for operationalizing the Triple Bottom Line framework of corporate social responsibility. The model considers upstream and mainstream effects of the product lifecycle, how they were made, where they were produced, and the labour conditions supporting the manufacturing process, raw materials, transport, and means of disposal (Modica et al. 2020). The model aligns with the precept of circular economy, which addresses how resources enter and leave the system and how they can be recycled and reused for continued use. Hilton uses the concept in its sustainability practices by considering how the procurement processes affect its business goals.</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For example, like other Hilton brands, Hilton Manchester Deansgate maintains the principle of “zero waste” which it can only achieve by accounting for and mitigating the effects of purchased food service containers. The company directly engages with suppliers on their ESG strategy by conducting due diligence on the upstream and downstream processes to ensure its partners are dedicated to responsible business practices. Suppliers undergo Ecovados sustainability assessment yearly (Hilton, 2023). The firm purchases most of the raw materials from local farmers and vendors to build the community's socioeconomic prospects while ensuring that the products use the least carbon footprint. In addition, the guests can sample climate-conscious menus featuring locally produced foods designed to boost energy and minimize leftovers. The hotels donate the remaining food to homeless people in regions where it is legally allowed (Hilton 2023). Another approach the firm uses to enhance sustainability through the supply chain is swapping products, such as plastic materials, for more sustainable solutions, including consumable shampoos and liquid soap bottles, which are switched to reusable products (Milo, 2022).</w:t>
      </w:r>
    </w:p>
    <w:p>
      <w:pPr>
        <w:pStyle w:val="Normal"/>
        <w:keepNext w:val="false"/>
        <w:keepLines w:val="false"/>
        <w:widowControl w:val="false"/>
        <w:spacing w:lineRule="auto" w:line="360" w:beforeAutospacing="0" w:before="240" w:afterAutospacing="0" w:after="0"/>
        <w:jc w:val="both"/>
        <w:rPr>
          <w:rFonts w:ascii="Arial" w:hAnsi="Arial" w:eastAsia="Arial" w:cs="Arial"/>
          <w:b w:val="false"/>
          <w:b w:val="false"/>
          <w:bCs w:val="false"/>
          <w:sz w:val="24"/>
          <w:szCs w:val="24"/>
          <w:lang w:val="en-GB"/>
        </w:rPr>
      </w:pPr>
      <w:r>
        <w:rPr>
          <w:rFonts w:eastAsia="Arial" w:cs="Arial" w:ascii="Arial" w:hAnsi="Arial"/>
          <w:b w:val="false"/>
          <w:bCs w:val="false"/>
          <w:sz w:val="24"/>
          <w:szCs w:val="24"/>
          <w:lang w:val="en-GB"/>
        </w:rPr>
        <w:t xml:space="preserve">Limitations to Sustainability across the Supply Chain </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Although responsible supply chain practices contribute substantially to a hotel's sustainability efforts, the efforts are limited because they must make a business case to be implemented. The firms are in profit-making business, and sustainable practices can only be integrated into the business model when they enable the firm to make enough profits to reinvest in these activities (TM et al. 2021). Firms experienced significant losses during the COVID-19 pandemic, which affected the cash flow distribution. As a result, most managers are focusing on activities bringing profits, which may include exporting raw materials if the strategy is more cost-effective than purchasing from local suppliers. As such, the government incentives, including tax on some of the business processes, must offer financial benefits to support the firm’s business goals and effectively implement sustainability practices.</w:t>
      </w:r>
    </w:p>
    <w:p>
      <w:pPr>
        <w:pStyle w:val="Heading1"/>
        <w:keepNext w:val="false"/>
        <w:keepLines w:val="false"/>
        <w:widowControl w:val="false"/>
        <w:spacing w:lineRule="auto" w:line="360"/>
        <w:jc w:val="both"/>
        <w:rPr>
          <w:rFonts w:ascii="Arial" w:hAnsi="Arial" w:eastAsia="Arial" w:cs="Arial"/>
          <w:b/>
          <w:b/>
          <w:bCs/>
          <w:sz w:val="24"/>
          <w:szCs w:val="24"/>
          <w:lang w:val="en-GB"/>
        </w:rPr>
      </w:pPr>
      <w:bookmarkStart w:id="11" w:name="_Toc195399714"/>
      <w:r>
        <w:rPr>
          <w:rFonts w:eastAsia="Arial" w:cs="Arial" w:ascii="Arial" w:hAnsi="Arial"/>
          <w:sz w:val="24"/>
          <w:szCs w:val="24"/>
          <w:lang w:val="en-GB"/>
        </w:rPr>
        <w:t>4.Evaluate future policy and management options for dealing with this issue</w:t>
      </w:r>
      <w:bookmarkEnd w:id="11"/>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 xml:space="preserve">A report by The Sustainable Hospital Alliance noted that the hotel and hospitality industry must minimize carbon emissions by 66% by 2030 to help accelerate the world's vision towards a greener economy (Philip 2022). While the firms face a cash flow predicament resulting from ongoing global crisis, the return on investment in sustainable practices could be significant long-term for the hotels and society. Leaders in the hospitality industry need to be strategic about sustainability by understanding the reasons for engaging in sustainable practices and translating the reasons into effective business strategies. </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 xml:space="preserve">To effectively deal with the issue of sustainability, it is recommended that managers at Hilton Manchester Deansgate improve working conditions and foster inclusion for employees (Li et al. 2019). That entails cultivating a learning culture, developing local learning ecosystems, and advocating for better government incentives to ensure that the adopted sustainability strategies are mutually beneficial. The managers must recognize that sustainable development execution cannot be attained without competent and motivated personnel. Green human resource management practices are critical for enterprises to foster citizenship behaviours for environmental programs and motivate workers to commit to the organizational efforts towards sustainability (Howard et al. 2019). Having a team committed to sustainable business practices is vital in designing and implementing innovative strategies such as using energy-efficient stoves, local materials, and light bulbs. That is because workers are responsible for directly implementing sustainability initiatives, and they can only implement the policies when they feel valued and motivated to achieve organizational goals. The firm should also add content relating to sustainability on its website, including how guests can help implement the concept and become an advocate of sustainability. </w:t>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sz w:val="24"/>
          <w:szCs w:val="24"/>
          <w:lang w:val="en-GB"/>
        </w:rPr>
        <w:t>In addition, governments should devise policies requiring higher education institutions to offer multidisciplinary projects by adapting their courses to teach about sustainability (Leah et al. 2020). The programs should involve community stakeholders, including the government and residents, to cultivate a culture of sustainability, particularly among the graduates who will be responsive for managing the hotel and hospitality industry in future.</w:t>
      </w:r>
    </w:p>
    <w:p>
      <w:pPr>
        <w:pStyle w:val="Normal"/>
        <w:keepNext w:val="false"/>
        <w:keepLines w:val="false"/>
        <w:widowControl w:val="false"/>
        <w:spacing w:lineRule="auto" w:line="360" w:beforeAutospacing="0" w:before="240" w:afterAutospacing="0" w:after="159"/>
        <w:jc w:val="both"/>
        <w:rPr>
          <w:rFonts w:ascii="Arial" w:hAnsi="Arial" w:eastAsia="Arial" w:cs="Arial"/>
          <w:sz w:val="24"/>
          <w:szCs w:val="24"/>
        </w:rPr>
      </w:pPr>
      <w:r>
        <w:rPr>
          <w:rFonts w:eastAsia="Arial" w:cs="Arial" w:ascii="Arial" w:hAnsi="Arial"/>
          <w:sz w:val="24"/>
          <w:szCs w:val="24"/>
        </w:rPr>
      </w:r>
    </w:p>
    <w:p>
      <w:pPr>
        <w:pStyle w:val="Normal"/>
        <w:keepNext w:val="false"/>
        <w:keepLines w:val="false"/>
        <w:widowControl w:val="false"/>
        <w:spacing w:lineRule="auto" w:line="360" w:beforeAutospacing="0" w:before="240" w:afterAutospacing="0" w:after="159"/>
        <w:jc w:val="both"/>
        <w:rPr>
          <w:rFonts w:ascii="Arial" w:hAnsi="Arial" w:eastAsia="Arial" w:cs="Arial"/>
          <w:sz w:val="24"/>
          <w:szCs w:val="24"/>
        </w:rPr>
      </w:pPr>
      <w:r>
        <w:rPr>
          <w:rFonts w:eastAsia="Arial" w:cs="Arial" w:ascii="Arial" w:hAnsi="Arial"/>
          <w:sz w:val="24"/>
          <w:szCs w:val="24"/>
        </w:rPr>
      </w:r>
    </w:p>
    <w:p>
      <w:pPr>
        <w:pStyle w:val="Normal"/>
        <w:keepNext w:val="false"/>
        <w:keepLines w:val="false"/>
        <w:widowControl w:val="false"/>
        <w:spacing w:lineRule="auto" w:line="360" w:beforeAutospacing="0" w:before="240" w:afterAutospacing="0" w:after="0"/>
        <w:ind w:hanging="0"/>
        <w:jc w:val="both"/>
        <w:rPr>
          <w:rFonts w:ascii="Arial" w:hAnsi="Arial" w:eastAsia="Arial" w:cs="Arial"/>
          <w:sz w:val="24"/>
          <w:szCs w:val="24"/>
          <w:lang w:val="en-GB"/>
        </w:rPr>
      </w:pPr>
      <w:r>
        <w:rPr>
          <w:rFonts w:eastAsia="Arial" w:cs="Arial" w:ascii="Arial" w:hAnsi="Arial"/>
          <w:sz w:val="24"/>
          <w:szCs w:val="24"/>
          <w:lang w:val="en-GB"/>
        </w:rPr>
      </w:r>
    </w:p>
    <w:p>
      <w:pPr>
        <w:pStyle w:val="Normal"/>
        <w:keepNext w:val="false"/>
        <w:keepLines w:val="false"/>
        <w:widowControl w:val="false"/>
        <w:spacing w:lineRule="auto" w:line="360" w:beforeAutospacing="0" w:before="240" w:afterAutospacing="0" w:after="0"/>
        <w:ind w:firstLine="720"/>
        <w:jc w:val="both"/>
        <w:rPr>
          <w:rFonts w:ascii="Arial" w:hAnsi="Arial" w:eastAsia="Arial" w:cs="Arial"/>
          <w:sz w:val="24"/>
          <w:szCs w:val="24"/>
          <w:lang w:val="en-GB"/>
        </w:rPr>
      </w:pPr>
      <w:r>
        <w:rPr>
          <w:rFonts w:eastAsia="Arial" w:cs="Arial" w:ascii="Arial" w:hAnsi="Arial"/>
          <w:b/>
          <w:bCs/>
          <w:sz w:val="24"/>
          <w:szCs w:val="24"/>
        </w:rPr>
      </w:r>
    </w:p>
    <w:p>
      <w:pPr>
        <w:pStyle w:val="Normal"/>
        <w:keepNext w:val="false"/>
        <w:keepLines w:val="false"/>
        <w:widowControl w:val="false"/>
        <w:spacing w:lineRule="auto" w:line="360" w:before="0" w:afterAutospacing="0" w:after="0"/>
        <w:jc w:val="both"/>
        <w:rPr>
          <w:rFonts w:ascii="Arial" w:hAnsi="Arial" w:eastAsia="Arial" w:cs="Arial"/>
          <w:b/>
          <w:b/>
          <w:bCs/>
          <w:sz w:val="24"/>
          <w:szCs w:val="24"/>
        </w:rPr>
      </w:pPr>
      <w:r>
        <w:rPr>
          <w:rFonts w:eastAsia="Arial" w:cs="Arial" w:ascii="Arial" w:hAnsi="Arial"/>
          <w:b/>
          <w:bCs/>
          <w:sz w:val="24"/>
          <w:szCs w:val="24"/>
        </w:rPr>
      </w:r>
    </w:p>
    <w:p>
      <w:pPr>
        <w:pStyle w:val="Heading1"/>
        <w:keepNext w:val="false"/>
        <w:keepLines w:val="false"/>
        <w:widowControl w:val="false"/>
        <w:spacing w:lineRule="auto" w:line="360"/>
        <w:jc w:val="both"/>
        <w:rPr>
          <w:rFonts w:ascii="Arial" w:hAnsi="Arial" w:eastAsia="Arial" w:cs="Arial"/>
          <w:b/>
          <w:b/>
          <w:bCs/>
          <w:sz w:val="24"/>
          <w:szCs w:val="24"/>
        </w:rPr>
      </w:pPr>
      <w:bookmarkStart w:id="12" w:name="_Toc112623020"/>
      <w:r>
        <w:rPr>
          <w:rFonts w:eastAsia="Arial" w:cs="Arial" w:ascii="Arial" w:hAnsi="Arial"/>
          <w:sz w:val="24"/>
          <w:szCs w:val="24"/>
        </w:rPr>
        <w:t>5.References:</w:t>
      </w:r>
      <w:bookmarkEnd w:id="12"/>
      <w:r>
        <w:rPr>
          <w:rFonts w:eastAsia="Arial" w:cs="Arial" w:ascii="Arial" w:hAnsi="Arial"/>
          <w:sz w:val="24"/>
          <w:szCs w:val="24"/>
        </w:rPr>
        <w:t xml:space="preserve"> </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sz w:val="24"/>
          <w:szCs w:val="24"/>
          <w:u w:val="single"/>
          <w:lang w:val="en-GB"/>
        </w:rPr>
      </w:pPr>
      <w:r>
        <w:rPr>
          <w:rFonts w:eastAsia="Arial" w:cs="Arial" w:ascii="Arial" w:hAnsi="Arial"/>
          <w:sz w:val="24"/>
          <w:szCs w:val="24"/>
          <w:lang w:val="en-GB"/>
        </w:rPr>
        <w:t xml:space="preserve">Abdou, A. H., Hassan, T. H., &amp; El Dief, M. M. (2020). A description of green hotel practices and their role in achieving sustainable development. </w:t>
      </w:r>
      <w:r>
        <w:rPr>
          <w:rFonts w:eastAsia="Arial" w:cs="Arial" w:ascii="Arial" w:hAnsi="Arial"/>
          <w:i/>
          <w:iCs/>
          <w:sz w:val="24"/>
          <w:szCs w:val="24"/>
          <w:lang w:val="en-GB"/>
        </w:rPr>
        <w:t>Sustainability</w:t>
      </w:r>
      <w:r>
        <w:rPr>
          <w:rFonts w:eastAsia="Arial" w:cs="Arial" w:ascii="Arial" w:hAnsi="Arial"/>
          <w:sz w:val="24"/>
          <w:szCs w:val="24"/>
          <w:lang w:val="en-GB"/>
        </w:rPr>
        <w:t xml:space="preserve">, </w:t>
      </w:r>
      <w:r>
        <w:rPr>
          <w:rFonts w:eastAsia="Arial" w:cs="Arial" w:ascii="Arial" w:hAnsi="Arial"/>
          <w:i/>
          <w:iCs/>
          <w:sz w:val="24"/>
          <w:szCs w:val="24"/>
          <w:lang w:val="en-GB"/>
        </w:rPr>
        <w:t>12</w:t>
      </w:r>
      <w:r>
        <w:rPr>
          <w:rFonts w:eastAsia="Arial" w:cs="Arial" w:ascii="Arial" w:hAnsi="Arial"/>
          <w:sz w:val="24"/>
          <w:szCs w:val="24"/>
          <w:lang w:val="en-GB"/>
        </w:rPr>
        <w:t xml:space="preserve">(22), 9624. Available at: </w:t>
      </w:r>
      <w:hyperlink r:id="rId2">
        <w:r>
          <w:rPr>
            <w:rStyle w:val="InternetLink"/>
            <w:rFonts w:eastAsia="Arial" w:cs="Arial" w:ascii="Arial" w:hAnsi="Arial"/>
            <w:b/>
            <w:bCs/>
            <w:i w:val="false"/>
            <w:iCs w:val="false"/>
            <w:caps w:val="false"/>
            <w:smallCaps w:val="false"/>
            <w:strike w:val="false"/>
            <w:dstrike w:val="false"/>
            <w:color w:val="4F5671"/>
            <w:sz w:val="24"/>
            <w:szCs w:val="24"/>
            <w:u w:val="single"/>
            <w:lang w:val="en-GB"/>
          </w:rPr>
          <w:t>https://doi.org/10.3390/su12229624</w:t>
        </w:r>
      </w:hyperlink>
      <w:r>
        <w:rPr>
          <w:rFonts w:eastAsia="Arial" w:cs="Arial" w:ascii="Arial" w:hAnsi="Arial"/>
          <w:b/>
          <w:bCs/>
          <w:i w:val="false"/>
          <w:iCs w:val="false"/>
          <w:caps w:val="false"/>
          <w:smallCaps w:val="false"/>
          <w:strike w:val="false"/>
          <w:dstrike w:val="false"/>
          <w:color w:val="4F5671"/>
          <w:sz w:val="24"/>
          <w:szCs w:val="24"/>
          <w:u w:val="single"/>
          <w:lang w:val="en-GB"/>
        </w:rPr>
        <w:t xml:space="preserve">  </w:t>
      </w:r>
      <w:r>
        <w:rPr>
          <w:rFonts w:eastAsia="Arial" w:cs="Arial" w:ascii="Arial" w:hAnsi="Arial"/>
          <w:b w:val="false"/>
          <w:bCs w:val="false"/>
          <w:i w:val="false"/>
          <w:iCs w:val="false"/>
          <w:caps w:val="false"/>
          <w:smallCaps w:val="false"/>
          <w:strike w:val="false"/>
          <w:dstrike w:val="false"/>
          <w:sz w:val="24"/>
          <w:szCs w:val="24"/>
          <w:u w:val="single"/>
          <w:lang w:val="en-GB"/>
        </w:rPr>
        <w:t>(Accessed: 25.10.2023)</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sz w:val="24"/>
          <w:szCs w:val="24"/>
          <w:u w:val="single"/>
          <w:lang w:val="en-GB"/>
        </w:rPr>
      </w:pPr>
      <w:r>
        <w:rPr>
          <w:rFonts w:eastAsia="Arial" w:cs="Arial" w:ascii="Arial" w:hAnsi="Arial"/>
          <w:sz w:val="24"/>
          <w:szCs w:val="24"/>
          <w:lang w:val="en-GB"/>
        </w:rPr>
        <w:t xml:space="preserve">Achmad, W., &amp; Yulianah, Y. (2022). Corporate social responsibility of the hospitality industry in realizing sustainable tourism development. </w:t>
      </w:r>
      <w:r>
        <w:rPr>
          <w:rFonts w:eastAsia="Arial" w:cs="Arial" w:ascii="Arial" w:hAnsi="Arial"/>
          <w:i/>
          <w:iCs/>
          <w:sz w:val="24"/>
          <w:szCs w:val="24"/>
          <w:lang w:val="en-GB"/>
        </w:rPr>
        <w:t>Enrichment: Journal of Management</w:t>
      </w:r>
      <w:r>
        <w:rPr>
          <w:rFonts w:eastAsia="Arial" w:cs="Arial" w:ascii="Arial" w:hAnsi="Arial"/>
          <w:sz w:val="24"/>
          <w:szCs w:val="24"/>
          <w:lang w:val="en-GB"/>
        </w:rPr>
        <w:t xml:space="preserve">, </w:t>
      </w:r>
      <w:r>
        <w:rPr>
          <w:rFonts w:eastAsia="Arial" w:cs="Arial" w:ascii="Arial" w:hAnsi="Arial"/>
          <w:i/>
          <w:iCs/>
          <w:sz w:val="24"/>
          <w:szCs w:val="24"/>
          <w:lang w:val="en-GB"/>
        </w:rPr>
        <w:t>12</w:t>
      </w:r>
      <w:r>
        <w:rPr>
          <w:rFonts w:eastAsia="Arial" w:cs="Arial" w:ascii="Arial" w:hAnsi="Arial"/>
          <w:sz w:val="24"/>
          <w:szCs w:val="24"/>
          <w:lang w:val="en-GB"/>
        </w:rPr>
        <w:t>(2), 1610-1616. Available at:</w:t>
      </w:r>
      <w:r>
        <w:rPr>
          <w:rFonts w:eastAsia="Arial" w:cs="Arial" w:ascii="Arial" w:hAnsi="Arial"/>
          <w:b w:val="false"/>
          <w:bCs w:val="false"/>
          <w:i w:val="false"/>
          <w:iCs w:val="false"/>
          <w:caps w:val="false"/>
          <w:smallCaps w:val="false"/>
          <w:color w:val="333333"/>
          <w:sz w:val="24"/>
          <w:szCs w:val="24"/>
          <w:lang w:val="en-GB"/>
        </w:rPr>
        <w:t xml:space="preserve"> </w:t>
      </w:r>
      <w:hyperlink r:id="rId3">
        <w:r>
          <w:rPr>
            <w:rStyle w:val="InternetLink"/>
            <w:rFonts w:eastAsia="Arial" w:cs="Arial" w:ascii="Arial" w:hAnsi="Arial"/>
            <w:b w:val="false"/>
            <w:bCs w:val="false"/>
            <w:i w:val="false"/>
            <w:iCs w:val="false"/>
            <w:caps w:val="false"/>
            <w:smallCaps w:val="false"/>
            <w:sz w:val="24"/>
            <w:szCs w:val="24"/>
            <w:lang w:val="en-GB"/>
          </w:rPr>
          <w:t>https://doi.org/10.35335/enrichment.v12i2.447</w:t>
        </w:r>
      </w:hyperlink>
      <w:r>
        <w:rPr>
          <w:rFonts w:eastAsia="Arial" w:cs="Arial" w:ascii="Arial" w:hAnsi="Arial"/>
          <w:b w:val="false"/>
          <w:bCs w:val="false"/>
          <w:i w:val="false"/>
          <w:iCs w:val="false"/>
          <w:caps w:val="false"/>
          <w:smallCaps w:val="false"/>
          <w:color w:val="333333"/>
          <w:sz w:val="24"/>
          <w:szCs w:val="24"/>
          <w:lang w:val="en-GB"/>
        </w:rPr>
        <w:t xml:space="preserve"> </w:t>
      </w:r>
      <w:r>
        <w:rPr>
          <w:rFonts w:eastAsia="Arial" w:cs="Arial" w:ascii="Arial" w:hAnsi="Arial"/>
          <w:b w:val="false"/>
          <w:bCs w:val="false"/>
          <w:i w:val="false"/>
          <w:iCs w:val="false"/>
          <w:caps w:val="false"/>
          <w:smallCaps w:val="false"/>
          <w:strike w:val="false"/>
          <w:dstrike w:val="false"/>
          <w:sz w:val="24"/>
          <w:szCs w:val="24"/>
          <w:u w:val="single"/>
          <w:lang w:val="en-GB"/>
        </w:rPr>
        <w:t>(Accessed: 25.10.2023)</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sz w:val="24"/>
          <w:szCs w:val="24"/>
          <w:u w:val="single"/>
          <w:lang w:val="en-GB"/>
        </w:rPr>
      </w:pPr>
      <w:r>
        <w:rPr>
          <w:rFonts w:eastAsia="Arial" w:cs="Arial" w:ascii="Arial" w:hAnsi="Arial"/>
          <w:sz w:val="24"/>
          <w:szCs w:val="24"/>
          <w:lang w:val="en-GB"/>
        </w:rPr>
        <w:t xml:space="preserve">Burkinshaw, A. (2023). ESG regulation in 2023: Everything you need to know. </w:t>
      </w:r>
      <w:r>
        <w:rPr>
          <w:rFonts w:eastAsia="Arial" w:cs="Arial" w:ascii="Arial" w:hAnsi="Arial"/>
          <w:i/>
          <w:iCs/>
          <w:sz w:val="24"/>
          <w:szCs w:val="24"/>
          <w:lang w:val="en-GB"/>
        </w:rPr>
        <w:t>Sustainable Future News</w:t>
      </w:r>
      <w:r>
        <w:rPr>
          <w:rFonts w:eastAsia="Arial" w:cs="Arial" w:ascii="Arial" w:hAnsi="Arial"/>
          <w:sz w:val="24"/>
          <w:szCs w:val="24"/>
          <w:lang w:val="en-GB"/>
        </w:rPr>
        <w:t xml:space="preserve">. Available at: </w:t>
      </w:r>
      <w:hyperlink r:id="rId4">
        <w:r>
          <w:rPr>
            <w:rStyle w:val="InternetLink"/>
            <w:rFonts w:eastAsia="Arial" w:cs="Arial" w:ascii="Arial" w:hAnsi="Arial"/>
            <w:sz w:val="24"/>
            <w:szCs w:val="24"/>
            <w:lang w:val="en-GB"/>
          </w:rPr>
          <w:t>ESG regulation in 2023: Everything you need to know (sustainablefuturenews.com)</w:t>
        </w:r>
      </w:hyperlink>
      <w:r>
        <w:rPr>
          <w:rFonts w:eastAsia="Arial" w:cs="Arial" w:ascii="Arial" w:hAnsi="Arial"/>
          <w:sz w:val="24"/>
          <w:szCs w:val="24"/>
          <w:lang w:val="en-GB"/>
        </w:rPr>
        <w:t xml:space="preserve"> </w:t>
      </w:r>
      <w:r>
        <w:rPr>
          <w:rFonts w:eastAsia="Arial" w:cs="Arial" w:ascii="Arial" w:hAnsi="Arial"/>
          <w:b w:val="false"/>
          <w:bCs w:val="false"/>
          <w:i w:val="false"/>
          <w:iCs w:val="false"/>
          <w:caps w:val="false"/>
          <w:smallCaps w:val="false"/>
          <w:strike w:val="false"/>
          <w:dstrike w:val="false"/>
          <w:sz w:val="24"/>
          <w:szCs w:val="24"/>
          <w:u w:val="single"/>
          <w:lang w:val="en-GB"/>
        </w:rPr>
        <w:t xml:space="preserve">( Accessed: 25.10.2023) </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sz w:val="24"/>
          <w:szCs w:val="24"/>
          <w:u w:val="single"/>
          <w:lang w:val="en-GB"/>
        </w:rPr>
      </w:pPr>
      <w:r>
        <w:rPr>
          <w:rFonts w:eastAsia="Arial" w:cs="Arial" w:ascii="Arial" w:hAnsi="Arial"/>
          <w:sz w:val="24"/>
          <w:szCs w:val="24"/>
          <w:lang w:val="en-GB"/>
        </w:rPr>
        <w:t xml:space="preserve">Dahlke, P., Orfin-Tomaszewska, K. and Sosnowski, P., 2021. Sustainability in the hospitality industry in the shadow of the COVID-19 pandemic: a case study of the hospitality industry in Poland. In </w:t>
      </w:r>
      <w:r>
        <w:rPr>
          <w:rFonts w:eastAsia="Arial" w:cs="Arial" w:ascii="Arial" w:hAnsi="Arial"/>
          <w:i/>
          <w:iCs/>
          <w:sz w:val="24"/>
          <w:szCs w:val="24"/>
          <w:lang w:val="en-GB"/>
        </w:rPr>
        <w:t>E3S Web of Conferences</w:t>
      </w:r>
      <w:r>
        <w:rPr>
          <w:rFonts w:eastAsia="Arial" w:cs="Arial" w:ascii="Arial" w:hAnsi="Arial"/>
          <w:sz w:val="24"/>
          <w:szCs w:val="24"/>
          <w:lang w:val="en-GB"/>
        </w:rPr>
        <w:t xml:space="preserve"> (Vol. 307, p. 08002). EDP Sciences. Available at: </w:t>
      </w:r>
      <w:hyperlink r:id="rId5">
        <w:r>
          <w:rPr>
            <w:rStyle w:val="InternetLink"/>
            <w:rFonts w:eastAsia="Arial" w:cs="Arial" w:ascii="Arial" w:hAnsi="Arial"/>
            <w:b w:val="false"/>
            <w:bCs w:val="false"/>
            <w:i w:val="false"/>
            <w:iCs w:val="false"/>
            <w:caps w:val="false"/>
            <w:smallCaps w:val="false"/>
            <w:strike w:val="false"/>
            <w:dstrike w:val="false"/>
            <w:sz w:val="24"/>
            <w:szCs w:val="24"/>
            <w:u w:val="single"/>
            <w:lang w:val="en-GB"/>
          </w:rPr>
          <w:t>https://doi.org/10.1051/e3sconf/202130708002</w:t>
        </w:r>
      </w:hyperlink>
      <w:r>
        <w:rPr>
          <w:rFonts w:eastAsia="Arial" w:cs="Arial" w:ascii="Arial" w:hAnsi="Arial"/>
          <w:b w:val="false"/>
          <w:bCs w:val="false"/>
          <w:i w:val="false"/>
          <w:iCs w:val="false"/>
          <w:caps w:val="false"/>
          <w:smallCaps w:val="false"/>
          <w:strike w:val="false"/>
          <w:dstrike w:val="false"/>
          <w:sz w:val="24"/>
          <w:szCs w:val="24"/>
          <w:u w:val="single"/>
          <w:lang w:val="en-GB"/>
        </w:rPr>
        <w:t xml:space="preserve"> ( Accessed: 25.10.2023)</w:t>
      </w:r>
    </w:p>
    <w:tbl>
      <w:tblPr>
        <w:tblStyle w:val="TableNormal"/>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9015"/>
      </w:tblGrid>
      <w:tr>
        <w:trPr>
          <w:trHeight w:val="300" w:hRule="atLeast"/>
        </w:trPr>
        <w:tc>
          <w:tcPr>
            <w:tcW w:w="9015" w:type="dxa"/>
            <w:tcBorders/>
            <w:vAlign w:val="center"/>
          </w:tcPr>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kern w:val="0"/>
                <w:sz w:val="24"/>
                <w:szCs w:val="24"/>
                <w:lang w:val="en-GB" w:eastAsia="en-US" w:bidi="ar-SA"/>
              </w:rPr>
              <w:t xml:space="preserve">Deloitte. 2021. Key regulations in the area of sustainable development. </w:t>
            </w:r>
            <w:r>
              <w:rPr>
                <w:rFonts w:eastAsia="Arial" w:cs="Arial" w:ascii="Arial" w:hAnsi="Arial"/>
                <w:i/>
                <w:iCs/>
                <w:kern w:val="0"/>
                <w:sz w:val="24"/>
                <w:szCs w:val="24"/>
                <w:lang w:val="en-GB" w:eastAsia="en-US" w:bidi="ar-SA"/>
              </w:rPr>
              <w:t>Deloitte</w:t>
            </w:r>
            <w:r>
              <w:rPr>
                <w:rFonts w:eastAsia="Arial" w:cs="Arial" w:ascii="Arial" w:hAnsi="Arial"/>
                <w:kern w:val="0"/>
                <w:sz w:val="24"/>
                <w:szCs w:val="24"/>
                <w:lang w:val="en-GB" w:eastAsia="en-US" w:bidi="ar-SA"/>
              </w:rPr>
              <w:t xml:space="preserve">.  Available at: </w:t>
            </w:r>
            <w:hyperlink r:id="rId6">
              <w:r>
                <w:rPr>
                  <w:rStyle w:val="InternetLink"/>
                  <w:rFonts w:eastAsia="Arial" w:cs="Arial" w:ascii="Arial" w:hAnsi="Arial"/>
                  <w:kern w:val="0"/>
                  <w:sz w:val="24"/>
                  <w:szCs w:val="24"/>
                  <w:lang w:val="en-GB" w:eastAsia="en-US" w:bidi="ar-SA"/>
                </w:rPr>
                <w:t>https://www2.deloitte.com/ce/en/pages/about-deloitte/articles/key-regulations-in-the-area-of-sustainable-development.html</w:t>
              </w:r>
            </w:hyperlink>
            <w:r>
              <w:rPr>
                <w:rFonts w:eastAsia="Arial" w:cs="Arial" w:ascii="Arial" w:hAnsi="Arial"/>
                <w:kern w:val="0"/>
                <w:sz w:val="24"/>
                <w:szCs w:val="24"/>
                <w:lang w:val="en-GB" w:eastAsia="en-US" w:bidi="ar-SA"/>
              </w:rPr>
              <w:t xml:space="preserve"> (Accessed: 25.10.2023) </w:t>
            </w:r>
          </w:p>
          <w:p>
            <w:pPr>
              <w:pStyle w:val="Normal"/>
              <w:keepNext w:val="false"/>
              <w:keepLines w:val="false"/>
              <w:widowControl w:val="false"/>
              <w:spacing w:lineRule="auto" w:line="360" w:beforeAutospacing="0" w:before="0" w:afterAutospacing="0" w:after="0"/>
              <w:jc w:val="both"/>
              <w:rPr>
                <w:rFonts w:ascii="Arial" w:hAnsi="Arial" w:eastAsia="Arial" w:cs="Arial"/>
                <w:sz w:val="24"/>
                <w:szCs w:val="24"/>
              </w:rPr>
            </w:pPr>
            <w:r>
              <w:rPr>
                <w:rFonts w:eastAsia="Arial" w:cs="Arial" w:ascii="Arial" w:hAnsi="Arial"/>
                <w:kern w:val="0"/>
                <w:sz w:val="24"/>
                <w:szCs w:val="24"/>
                <w:lang w:val="en-GB" w:eastAsia="en-US" w:bidi="ar-SA"/>
              </w:rPr>
            </w:r>
          </w:p>
        </w:tc>
      </w:tr>
    </w:tbl>
    <w:p>
      <w:pPr>
        <w:pStyle w:val="Normal"/>
        <w:keepNext w:val="false"/>
        <w:keepLines w:val="false"/>
        <w:widowControl w:val="false"/>
        <w:spacing w:lineRule="auto" w:line="360" w:beforeAutospacing="0" w:before="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Elkhwesky, Z., Salem, I.E., Varmus, M. and Ramkissoon, H., 2022. Sustainable practices in hospitality pre and amid COVID‐19 pandemic: Looking back for moving forward post‐COVID‐19. </w:t>
      </w:r>
      <w:r>
        <w:rPr>
          <w:rFonts w:eastAsia="Arial" w:cs="Arial" w:ascii="Arial" w:hAnsi="Arial"/>
          <w:i/>
          <w:iCs/>
          <w:sz w:val="24"/>
          <w:szCs w:val="24"/>
          <w:lang w:val="en-GB"/>
        </w:rPr>
        <w:t>Sustainable Development</w:t>
      </w:r>
      <w:r>
        <w:rPr>
          <w:rFonts w:eastAsia="Arial" w:cs="Arial" w:ascii="Arial" w:hAnsi="Arial"/>
          <w:sz w:val="24"/>
          <w:szCs w:val="24"/>
          <w:lang w:val="en-GB"/>
        </w:rPr>
        <w:t xml:space="preserve">, </w:t>
      </w:r>
      <w:r>
        <w:rPr>
          <w:rFonts w:eastAsia="Arial" w:cs="Arial" w:ascii="Arial" w:hAnsi="Arial"/>
          <w:i/>
          <w:iCs/>
          <w:sz w:val="24"/>
          <w:szCs w:val="24"/>
          <w:lang w:val="en-GB"/>
        </w:rPr>
        <w:t>30</w:t>
      </w:r>
      <w:r>
        <w:rPr>
          <w:rFonts w:eastAsia="Arial" w:cs="Arial" w:ascii="Arial" w:hAnsi="Arial"/>
          <w:sz w:val="24"/>
          <w:szCs w:val="24"/>
          <w:lang w:val="en-GB"/>
        </w:rPr>
        <w:t xml:space="preserve">(5), pp.1426-1448. Available at: </w:t>
      </w:r>
      <w:hyperlink r:id="rId7">
        <w:r>
          <w:rPr>
            <w:rStyle w:val="InternetLink"/>
            <w:rFonts w:eastAsia="Arial" w:cs="Arial" w:ascii="Arial" w:hAnsi="Arial"/>
            <w:sz w:val="24"/>
            <w:szCs w:val="24"/>
            <w:lang w:val="en-GB"/>
          </w:rPr>
          <w:t>https://doi.org/10.1002/sd.2304</w:t>
        </w:r>
      </w:hyperlink>
      <w:r>
        <w:rPr>
          <w:rFonts w:eastAsia="Arial" w:cs="Arial" w:ascii="Arial" w:hAnsi="Arial"/>
          <w:sz w:val="24"/>
          <w:szCs w:val="24"/>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(Accessed: 25.10.2023)</w:t>
      </w:r>
    </w:p>
    <w:p>
      <w:pPr>
        <w:pStyle w:val="Normal"/>
        <w:keepNext w:val="false"/>
        <w:keepLines w:val="false"/>
        <w:widowControl w:val="false"/>
        <w:spacing w:lineRule="auto" w:line="360" w:beforeAutospacing="0" w:before="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keepNext w:val="false"/>
        <w:keepLines w:val="false"/>
        <w:widowControl w:val="false"/>
        <w:bidi w:val="0"/>
        <w:spacing w:lineRule="auto" w:line="360" w:beforeAutospacing="0" w:before="240" w:afterAutospacing="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Han, H., 2021. Consumer behavior and environmental sustainability in tourism and hospitality: A review of theories, concepts, and latest research. </w:t>
      </w:r>
      <w:r>
        <w:rPr>
          <w:rFonts w:eastAsia="Arial" w:cs="Arial" w:ascii="Arial" w:hAnsi="Arial"/>
          <w:i/>
          <w:iCs/>
          <w:sz w:val="24"/>
          <w:szCs w:val="24"/>
          <w:lang w:val="en-GB"/>
        </w:rPr>
        <w:t>Journal of Sustainable Tourism</w:t>
      </w:r>
      <w:r>
        <w:rPr>
          <w:rFonts w:eastAsia="Arial" w:cs="Arial" w:ascii="Arial" w:hAnsi="Arial"/>
          <w:sz w:val="24"/>
          <w:szCs w:val="24"/>
          <w:lang w:val="en-GB"/>
        </w:rPr>
        <w:t xml:space="preserve">, </w:t>
      </w:r>
      <w:r>
        <w:rPr>
          <w:rFonts w:eastAsia="Arial" w:cs="Arial" w:ascii="Arial" w:hAnsi="Arial"/>
          <w:i/>
          <w:iCs/>
          <w:sz w:val="24"/>
          <w:szCs w:val="24"/>
          <w:lang w:val="en-GB"/>
        </w:rPr>
        <w:t>29</w:t>
      </w:r>
      <w:r>
        <w:rPr>
          <w:rFonts w:eastAsia="Arial" w:cs="Arial" w:ascii="Arial" w:hAnsi="Arial"/>
          <w:sz w:val="24"/>
          <w:szCs w:val="24"/>
          <w:lang w:val="en-GB"/>
        </w:rPr>
        <w:t xml:space="preserve">(7), pp.1021-1042. Available at: </w:t>
      </w:r>
      <w:hyperlink r:id="rId8">
        <w:r>
          <w:rPr>
            <w:rStyle w:val="InternetLink"/>
            <w:rFonts w:eastAsia="Arial" w:cs="Arial" w:ascii="Arial" w:hAnsi="Arial"/>
            <w:b w:val="false"/>
            <w:bCs w:val="false"/>
            <w:i w:val="false"/>
            <w:iCs w:val="false"/>
            <w:caps w:val="false"/>
            <w:smallCaps w:val="false"/>
            <w:strike w:val="false"/>
            <w:dstrike w:val="false"/>
            <w:color w:val="006DB4"/>
            <w:sz w:val="24"/>
            <w:szCs w:val="24"/>
            <w:u w:val="none"/>
            <w:lang w:val="en-GB"/>
          </w:rPr>
          <w:t>https://doi.org/10.1080/09669582.2021.1903019</w:t>
        </w:r>
      </w:hyperlink>
      <w:r>
        <w:rPr>
          <w:rFonts w:eastAsia="Arial" w:cs="Arial" w:ascii="Arial" w:hAnsi="Arial"/>
          <w:b w:val="false"/>
          <w:bCs w:val="false"/>
          <w:i w:val="false"/>
          <w:iCs w:val="false"/>
          <w:caps w:val="false"/>
          <w:smallCaps w:val="false"/>
          <w:strike w:val="false"/>
          <w:dstrike w:val="false"/>
          <w:color w:val="006DB4"/>
          <w:sz w:val="24"/>
          <w:szCs w:val="24"/>
          <w:u w:val="none"/>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(Accessed: 25.10.2023)</w:t>
      </w:r>
    </w:p>
    <w:p>
      <w:pPr>
        <w:pStyle w:val="Normal"/>
        <w:keepNext w:val="false"/>
        <w:keepLines w:val="false"/>
        <w:widowControl w:val="false"/>
        <w:bidi w:val="0"/>
        <w:spacing w:lineRule="auto" w:line="360" w:beforeAutospacing="0" w:before="240" w:afterAutospacing="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Hilton. 2022. Travel with purpose: Hilton 2022 environmental, social and governance report. </w:t>
      </w:r>
      <w:r>
        <w:rPr>
          <w:rFonts w:eastAsia="Arial" w:cs="Arial" w:ascii="Arial" w:hAnsi="Arial"/>
          <w:i/>
          <w:iCs/>
          <w:sz w:val="24"/>
          <w:szCs w:val="24"/>
          <w:lang w:val="en-GB"/>
        </w:rPr>
        <w:t>Hilton</w:t>
      </w:r>
      <w:r>
        <w:rPr>
          <w:rFonts w:eastAsia="Arial" w:cs="Arial" w:ascii="Arial" w:hAnsi="Arial"/>
          <w:sz w:val="24"/>
          <w:szCs w:val="24"/>
          <w:lang w:val="en-GB"/>
        </w:rPr>
        <w:t xml:space="preserve">. Availabe at: </w:t>
      </w:r>
      <w:hyperlink r:id="rId9">
        <w:r>
          <w:rPr>
            <w:rStyle w:val="InternetLink"/>
            <w:rFonts w:eastAsia="Arial" w:cs="Arial" w:ascii="Arial" w:hAnsi="Arial"/>
            <w:sz w:val="24"/>
            <w:szCs w:val="24"/>
            <w:lang w:val="en-GB"/>
          </w:rPr>
          <w:t>Hilton-2022-Environmental-Social-and-Governance-Report.pdf</w:t>
        </w:r>
      </w:hyperlink>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Hilton 2023. Paving the way to net zero. Available at: </w:t>
      </w:r>
      <w:r>
        <w:rPr>
          <w:rFonts w:eastAsia="Arial" w:cs="Arial" w:ascii="Arial" w:hAnsi="Arial"/>
          <w:strike w:val="false"/>
          <w:dstrike w:val="false"/>
          <w:color w:val="000000" w:themeColor="text1" w:themeShade="ff" w:themeTint="ff"/>
          <w:sz w:val="24"/>
          <w:szCs w:val="24"/>
          <w:u w:val="single"/>
          <w:lang w:val="en-GB"/>
        </w:rPr>
        <w:t xml:space="preserve"> </w:t>
      </w:r>
      <w:r>
        <w:fldChar w:fldCharType="begin"/>
      </w:r>
      <w:r>
        <w:rPr>
          <w:rStyle w:val="InternetLink"/>
          <w:sz w:val="24"/>
          <w:szCs w:val="24"/>
          <w:rFonts w:eastAsia="Arial" w:cs="Arial" w:ascii="Arial" w:hAnsi="Arial"/>
          <w:lang w:val="en-GB"/>
        </w:rPr>
        <w:instrText> HYPERLINK "https://esg.hilton.com/environment/" \l ":~:text=Hilton is committed to reducing waste and driving towards a,waste by 50%25 by 2030"</w:instrText>
      </w:r>
      <w:r>
        <w:rPr>
          <w:rStyle w:val="InternetLink"/>
          <w:sz w:val="24"/>
          <w:szCs w:val="24"/>
          <w:rFonts w:eastAsia="Arial" w:cs="Arial" w:ascii="Arial" w:hAnsi="Arial"/>
          <w:lang w:val="en-GB"/>
        </w:rPr>
        <w:fldChar w:fldCharType="separate"/>
      </w:r>
      <w:r>
        <w:rPr>
          <w:rStyle w:val="InternetLink"/>
          <w:rFonts w:eastAsia="Arial" w:cs="Arial" w:ascii="Arial" w:hAnsi="Arial"/>
          <w:sz w:val="24"/>
          <w:szCs w:val="24"/>
          <w:lang w:val="en-GB"/>
        </w:rPr>
        <w:t>Environmental Impact | Travel with Purpose | Hilton ESG</w:t>
      </w:r>
      <w:r>
        <w:rPr>
          <w:rStyle w:val="InternetLink"/>
          <w:sz w:val="24"/>
          <w:szCs w:val="24"/>
          <w:rFonts w:eastAsia="Arial" w:cs="Arial" w:ascii="Arial" w:hAnsi="Arial"/>
          <w:lang w:val="en-GB"/>
        </w:rPr>
        <w:fldChar w:fldCharType="end"/>
      </w:r>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Hilton Manchester. (2023). Carbon neutral meetings at Hilton Manchester Deansgate. </w:t>
      </w:r>
      <w:r>
        <w:fldChar w:fldCharType="begin"/>
      </w:r>
      <w:r>
        <w:rPr>
          <w:rStyle w:val="InternetLink"/>
          <w:sz w:val="24"/>
          <w:szCs w:val="24"/>
          <w:rFonts w:eastAsia="Arial" w:cs="Arial" w:ascii="Arial" w:hAnsi="Arial"/>
          <w:lang w:val="en-GB"/>
        </w:rPr>
        <w:instrText> HYPERLINK "https://www.meetinmanchester.com/featured-pages/carbon-neutral-meetings-at-hilton-manchester-deansgate" \l ":~:text=Hilton Manchester Deansgate recognises that,achieve your corporate sustainability%252 0goals"</w:instrText>
      </w:r>
      <w:r>
        <w:rPr>
          <w:rStyle w:val="InternetLink"/>
          <w:sz w:val="24"/>
          <w:szCs w:val="24"/>
          <w:rFonts w:eastAsia="Arial" w:cs="Arial" w:ascii="Arial" w:hAnsi="Arial"/>
          <w:lang w:val="en-GB"/>
        </w:rPr>
        <w:fldChar w:fldCharType="separate"/>
      </w:r>
      <w:r>
        <w:rPr>
          <w:rStyle w:val="InternetLink"/>
          <w:rFonts w:eastAsia="Arial" w:cs="Arial" w:ascii="Arial" w:hAnsi="Arial"/>
          <w:sz w:val="24"/>
          <w:szCs w:val="24"/>
          <w:lang w:val="en-GB"/>
        </w:rPr>
        <w:t>https://www.meetinmanchester.com/featured-pages/carbon-neutral-meetings-at-hilton-manchester-deansgate#:~:text=Hilton%20Manchester%20Deansgate%20recognises%20that,achieve%20your%20corporate%20sustainability%2 0goals</w:t>
      </w:r>
      <w:r>
        <w:rPr>
          <w:rStyle w:val="InternetLink"/>
          <w:sz w:val="24"/>
          <w:szCs w:val="24"/>
          <w:rFonts w:eastAsia="Arial" w:cs="Arial" w:ascii="Arial" w:hAnsi="Arial"/>
          <w:lang w:val="en-GB"/>
        </w:rPr>
        <w:fldChar w:fldCharType="end"/>
      </w:r>
      <w:r>
        <w:rPr>
          <w:rFonts w:eastAsia="Arial" w:cs="Arial" w:ascii="Arial" w:hAnsi="Arial"/>
          <w:sz w:val="24"/>
          <w:szCs w:val="24"/>
          <w:lang w:val="en-GB"/>
        </w:rPr>
        <w:t>. (Accessed: 25.10.2023)</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Howard-Grenville, J., Davis, G.F., Dyllick, T., Miller, C.C., Thau, S. and Tsui, A.S., 2019. Sustainable development for a better world: Contributions of leadership, management, and organizations. </w:t>
      </w:r>
      <w:r>
        <w:rPr>
          <w:rFonts w:eastAsia="Arial" w:cs="Arial" w:ascii="Arial" w:hAnsi="Arial"/>
          <w:i/>
          <w:iCs/>
          <w:sz w:val="24"/>
          <w:szCs w:val="24"/>
          <w:lang w:val="en-GB"/>
        </w:rPr>
        <w:t>Academy of Management Discoveries</w:t>
      </w:r>
      <w:r>
        <w:rPr>
          <w:rFonts w:eastAsia="Arial" w:cs="Arial" w:ascii="Arial" w:hAnsi="Arial"/>
          <w:sz w:val="24"/>
          <w:szCs w:val="24"/>
          <w:lang w:val="en-GB"/>
        </w:rPr>
        <w:t xml:space="preserve">, </w:t>
      </w:r>
      <w:r>
        <w:rPr>
          <w:rFonts w:eastAsia="Arial" w:cs="Arial" w:ascii="Arial" w:hAnsi="Arial"/>
          <w:i/>
          <w:iCs/>
          <w:sz w:val="24"/>
          <w:szCs w:val="24"/>
          <w:lang w:val="en-GB"/>
        </w:rPr>
        <w:t>5</w:t>
      </w:r>
      <w:r>
        <w:rPr>
          <w:rFonts w:eastAsia="Arial" w:cs="Arial" w:ascii="Arial" w:hAnsi="Arial"/>
          <w:sz w:val="24"/>
          <w:szCs w:val="24"/>
          <w:lang w:val="en-GB"/>
        </w:rPr>
        <w:t xml:space="preserve">(4), pp.355-366. Available at: </w:t>
      </w:r>
      <w:r>
        <w:rPr>
          <w:rFonts w:eastAsia="Arial" w:cs="Arial" w:ascii="Arial" w:hAnsi="Arial"/>
          <w:b w:val="false"/>
          <w:bCs w:val="false"/>
          <w:i w:val="false"/>
          <w:iCs w:val="false"/>
          <w:caps w:val="false"/>
          <w:smallCaps w:val="false"/>
          <w:color w:val="555555"/>
          <w:sz w:val="24"/>
          <w:szCs w:val="24"/>
          <w:lang w:val="en-GB"/>
        </w:rPr>
        <w:t>DOI:</w:t>
      </w:r>
      <w:hyperlink r:id="rId10">
        <w:r>
          <w:rPr>
            <w:rStyle w:val="InternetLink"/>
            <w:rFonts w:eastAsia="Arial" w:cs="Arial" w:ascii="Arial" w:hAnsi="Arial"/>
            <w:b w:val="false"/>
            <w:bCs w:val="false"/>
            <w:i w:val="false"/>
            <w:iCs w:val="false"/>
            <w:caps w:val="false"/>
            <w:smallCaps w:val="false"/>
            <w:strike w:val="false"/>
            <w:dstrike w:val="false"/>
            <w:sz w:val="24"/>
            <w:szCs w:val="24"/>
            <w:u w:val="single"/>
            <w:lang w:val="en-GB"/>
          </w:rPr>
          <w:t>10.5465/amd.2019.0275</w:t>
        </w:r>
      </w:hyperlink>
      <w:r>
        <w:rPr>
          <w:rFonts w:eastAsia="Arial" w:cs="Arial" w:ascii="Arial" w:hAnsi="Arial"/>
          <w:b w:val="false"/>
          <w:bCs w:val="false"/>
          <w:i w:val="false"/>
          <w:iCs w:val="false"/>
          <w:caps w:val="false"/>
          <w:smallCaps w:val="false"/>
          <w:strike w:val="false"/>
          <w:dstrike w:val="false"/>
          <w:sz w:val="24"/>
          <w:szCs w:val="24"/>
          <w:u w:val="single"/>
          <w:lang w:val="en-GB"/>
        </w:rPr>
        <w:t xml:space="preserve"> </w:t>
      </w:r>
      <w:r>
        <w:rPr>
          <w:rFonts w:eastAsia="Arial" w:cs="Arial" w:ascii="Arial" w:hAnsi="Arial"/>
          <w:sz w:val="24"/>
          <w:szCs w:val="24"/>
          <w:lang w:val="en-GB"/>
        </w:rPr>
        <w:t xml:space="preserve">(Accessed: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Kansongue, N., Njuguna, J. and Vertigans, S., 2023. A PESTEL and SWOT impact analysis on renewable energy development in Togo. </w:t>
      </w:r>
      <w:r>
        <w:rPr>
          <w:rFonts w:eastAsia="Arial" w:cs="Arial" w:ascii="Arial" w:hAnsi="Arial"/>
          <w:i/>
          <w:iCs/>
          <w:sz w:val="24"/>
          <w:szCs w:val="24"/>
          <w:lang w:val="en-GB"/>
        </w:rPr>
        <w:t>Frontiers in Sustainability</w:t>
      </w:r>
      <w:r>
        <w:rPr>
          <w:rFonts w:eastAsia="Arial" w:cs="Arial" w:ascii="Arial" w:hAnsi="Arial"/>
          <w:sz w:val="24"/>
          <w:szCs w:val="24"/>
          <w:lang w:val="en-GB"/>
        </w:rPr>
        <w:t xml:space="preserve">, </w:t>
      </w:r>
      <w:r>
        <w:rPr>
          <w:rFonts w:eastAsia="Arial" w:cs="Arial" w:ascii="Arial" w:hAnsi="Arial"/>
          <w:i/>
          <w:iCs/>
          <w:sz w:val="24"/>
          <w:szCs w:val="24"/>
          <w:lang w:val="en-GB"/>
        </w:rPr>
        <w:t>3</w:t>
      </w:r>
      <w:r>
        <w:rPr>
          <w:rFonts w:eastAsia="Arial" w:cs="Arial" w:ascii="Arial" w:hAnsi="Arial"/>
          <w:sz w:val="24"/>
          <w:szCs w:val="24"/>
          <w:lang w:val="en-GB"/>
        </w:rPr>
        <w:t xml:space="preserve">, p.990173. Available at: </w:t>
      </w:r>
      <w:hyperlink r:id="rId11">
        <w:r>
          <w:rPr>
            <w:rStyle w:val="InternetLink"/>
            <w:rFonts w:eastAsia="Arial" w:cs="Arial" w:ascii="Arial" w:hAnsi="Arial"/>
            <w:sz w:val="24"/>
            <w:szCs w:val="24"/>
            <w:lang w:val="en-GB"/>
          </w:rPr>
          <w:t>A PESTEL and SWOT impact analysis on renewable energy development in Togo | Semantic Scholar</w:t>
        </w:r>
      </w:hyperlink>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Li, H., Sajjad, N., Wang, Q., Muhammad Ali, A., Khaqan, Z. and Amina, S., 2019. Influence of transformational leadership on employees’ innovative work behavior in sustainable organizations: Test of mediation and moderation processes. </w:t>
      </w:r>
      <w:r>
        <w:rPr>
          <w:rFonts w:eastAsia="Arial" w:cs="Arial" w:ascii="Arial" w:hAnsi="Arial"/>
          <w:i/>
          <w:iCs/>
          <w:sz w:val="24"/>
          <w:szCs w:val="24"/>
          <w:lang w:val="en-GB"/>
        </w:rPr>
        <w:t>Sustainability</w:t>
      </w:r>
      <w:r>
        <w:rPr>
          <w:rFonts w:eastAsia="Arial" w:cs="Arial" w:ascii="Arial" w:hAnsi="Arial"/>
          <w:sz w:val="24"/>
          <w:szCs w:val="24"/>
          <w:lang w:val="en-GB"/>
        </w:rPr>
        <w:t xml:space="preserve">, </w:t>
      </w:r>
      <w:r>
        <w:rPr>
          <w:rFonts w:eastAsia="Arial" w:cs="Arial" w:ascii="Arial" w:hAnsi="Arial"/>
          <w:i/>
          <w:iCs/>
          <w:sz w:val="24"/>
          <w:szCs w:val="24"/>
          <w:lang w:val="en-GB"/>
        </w:rPr>
        <w:t>11</w:t>
      </w:r>
      <w:r>
        <w:rPr>
          <w:rFonts w:eastAsia="Arial" w:cs="Arial" w:ascii="Arial" w:hAnsi="Arial"/>
          <w:sz w:val="24"/>
          <w:szCs w:val="24"/>
          <w:lang w:val="en-GB"/>
        </w:rPr>
        <w:t xml:space="preserve">(6), p.1594. Available at: </w:t>
      </w:r>
      <w:hyperlink r:id="rId12">
        <w:r>
          <w:rPr>
            <w:rStyle w:val="InternetLink"/>
            <w:rFonts w:eastAsia="Arial" w:cs="Arial" w:ascii="Arial" w:hAnsi="Arial"/>
            <w:b/>
            <w:bCs/>
            <w:i w:val="false"/>
            <w:iCs w:val="false"/>
            <w:caps w:val="false"/>
            <w:smallCaps w:val="false"/>
            <w:strike w:val="false"/>
            <w:dstrike w:val="false"/>
            <w:color w:val="4F5671"/>
            <w:sz w:val="24"/>
            <w:szCs w:val="24"/>
            <w:u w:val="single"/>
            <w:lang w:val="en-GB"/>
          </w:rPr>
          <w:t>https://doi.org/10.3390/su11061594</w:t>
        </w:r>
      </w:hyperlink>
      <w:r>
        <w:rPr>
          <w:rFonts w:eastAsia="Arial" w:cs="Arial" w:ascii="Arial" w:hAnsi="Arial"/>
          <w:b/>
          <w:bCs/>
          <w:i w:val="false"/>
          <w:iCs w:val="false"/>
          <w:caps w:val="false"/>
          <w:smallCaps w:val="false"/>
          <w:strike w:val="false"/>
          <w:dstrike w:val="false"/>
          <w:color w:val="4F5671"/>
          <w:sz w:val="24"/>
          <w:szCs w:val="24"/>
          <w:u w:val="single"/>
          <w:lang w:val="en-GB"/>
        </w:rPr>
        <w:t xml:space="preserve"> </w:t>
      </w:r>
      <w:r>
        <w:rPr>
          <w:rFonts w:eastAsia="Arial" w:cs="Arial" w:ascii="Arial" w:hAnsi="Arial"/>
          <w:sz w:val="24"/>
          <w:szCs w:val="24"/>
          <w:lang w:val="en-GB"/>
        </w:rPr>
        <w:t xml:space="preserve">(Accessed: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Leal Filho, W., Eustachio, J.H.P.P., Caldana, A.C.F., Will, M., Lange Salvia, A., Rampasso, I.S., Anholon, R., Platje, J. and Kovaleva, M., 2020. Sustainability leadership in higher education institutions: An overview of challenges. </w:t>
      </w:r>
      <w:r>
        <w:rPr>
          <w:rFonts w:eastAsia="Arial" w:cs="Arial" w:ascii="Arial" w:hAnsi="Arial"/>
          <w:i/>
          <w:iCs/>
          <w:sz w:val="24"/>
          <w:szCs w:val="24"/>
          <w:lang w:val="en-GB"/>
        </w:rPr>
        <w:t>Sustainability</w:t>
      </w:r>
      <w:r>
        <w:rPr>
          <w:rFonts w:eastAsia="Arial" w:cs="Arial" w:ascii="Arial" w:hAnsi="Arial"/>
          <w:sz w:val="24"/>
          <w:szCs w:val="24"/>
          <w:lang w:val="en-GB"/>
        </w:rPr>
        <w:t xml:space="preserve">, </w:t>
      </w:r>
      <w:r>
        <w:rPr>
          <w:rFonts w:eastAsia="Arial" w:cs="Arial" w:ascii="Arial" w:hAnsi="Arial"/>
          <w:i/>
          <w:iCs/>
          <w:sz w:val="24"/>
          <w:szCs w:val="24"/>
          <w:lang w:val="en-GB"/>
        </w:rPr>
        <w:t>12</w:t>
      </w:r>
      <w:r>
        <w:rPr>
          <w:rFonts w:eastAsia="Arial" w:cs="Arial" w:ascii="Arial" w:hAnsi="Arial"/>
          <w:sz w:val="24"/>
          <w:szCs w:val="24"/>
          <w:lang w:val="en-GB"/>
        </w:rPr>
        <w:t xml:space="preserve">(9), p.3761. Available at: </w:t>
      </w:r>
      <w:hyperlink r:id="rId13">
        <w:r>
          <w:rPr>
            <w:rStyle w:val="InternetLink"/>
            <w:rFonts w:eastAsia="Arial" w:cs="Arial" w:ascii="Arial" w:hAnsi="Arial"/>
            <w:b/>
            <w:bCs/>
            <w:i w:val="false"/>
            <w:iCs w:val="false"/>
            <w:caps w:val="false"/>
            <w:smallCaps w:val="false"/>
            <w:strike w:val="false"/>
            <w:dstrike w:val="false"/>
            <w:color w:val="4F5671"/>
            <w:sz w:val="24"/>
            <w:szCs w:val="24"/>
            <w:u w:val="single"/>
            <w:lang w:val="en-GB"/>
          </w:rPr>
          <w:t>https://doi.org/10.3390/su12093761</w:t>
        </w:r>
      </w:hyperlink>
      <w:r>
        <w:rPr>
          <w:rFonts w:eastAsia="Arial" w:cs="Arial" w:ascii="Arial" w:hAnsi="Arial"/>
          <w:b/>
          <w:bCs/>
          <w:i w:val="false"/>
          <w:iCs w:val="false"/>
          <w:caps w:val="false"/>
          <w:smallCaps w:val="false"/>
          <w:strike w:val="false"/>
          <w:dstrike w:val="false"/>
          <w:color w:val="4F5671"/>
          <w:sz w:val="24"/>
          <w:szCs w:val="24"/>
          <w:u w:val="single"/>
          <w:lang w:val="en-GB"/>
        </w:rPr>
        <w:t xml:space="preserve"> </w:t>
      </w:r>
      <w:r>
        <w:rPr>
          <w:rFonts w:eastAsia="Arial" w:cs="Arial" w:ascii="Arial" w:hAnsi="Arial"/>
          <w:sz w:val="24"/>
          <w:szCs w:val="24"/>
          <w:lang w:val="en-GB"/>
        </w:rPr>
        <w:t xml:space="preserve">(Accessed: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Milo, S. 2022. Implementing sustainability into the hospitality industry. </w:t>
      </w:r>
      <w:r>
        <w:rPr>
          <w:rFonts w:eastAsia="Arial" w:cs="Arial" w:ascii="Arial" w:hAnsi="Arial"/>
          <w:i/>
          <w:iCs/>
          <w:sz w:val="24"/>
          <w:szCs w:val="24"/>
          <w:lang w:val="en-GB"/>
        </w:rPr>
        <w:t>Forbes.</w:t>
      </w:r>
      <w:r>
        <w:rPr>
          <w:rFonts w:eastAsia="Arial" w:cs="Arial" w:ascii="Arial" w:hAnsi="Arial"/>
          <w:sz w:val="24"/>
          <w:szCs w:val="24"/>
          <w:lang w:val="en-GB"/>
        </w:rPr>
        <w:t xml:space="preserve"> Available at: </w:t>
      </w:r>
      <w:hyperlink r:id="rId14">
        <w:r>
          <w:rPr>
            <w:rStyle w:val="InternetLink"/>
            <w:rFonts w:eastAsia="Arial" w:cs="Arial" w:ascii="Arial" w:hAnsi="Arial"/>
            <w:sz w:val="24"/>
            <w:szCs w:val="24"/>
            <w:lang w:val="en-GB"/>
          </w:rPr>
          <w:t>Implementing Sustainability Into The Hospitality Industry (forbes.com)</w:t>
        </w:r>
      </w:hyperlink>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Modica, P.D., Altinay, L., Farmaki, A., Gursoy, D. and Zenga, M., 2020. Consumer perceptions towards sustainable supply chain practices in the hospitality industry. </w:t>
      </w:r>
      <w:r>
        <w:rPr>
          <w:rFonts w:eastAsia="Arial" w:cs="Arial" w:ascii="Arial" w:hAnsi="Arial"/>
          <w:i/>
          <w:iCs/>
          <w:sz w:val="24"/>
          <w:szCs w:val="24"/>
          <w:lang w:val="en-GB"/>
        </w:rPr>
        <w:t>Current Issues in Tourism</w:t>
      </w:r>
      <w:r>
        <w:rPr>
          <w:rFonts w:eastAsia="Arial" w:cs="Arial" w:ascii="Arial" w:hAnsi="Arial"/>
          <w:sz w:val="24"/>
          <w:szCs w:val="24"/>
          <w:lang w:val="en-GB"/>
        </w:rPr>
        <w:t xml:space="preserve">, </w:t>
      </w:r>
      <w:r>
        <w:rPr>
          <w:rFonts w:eastAsia="Arial" w:cs="Arial" w:ascii="Arial" w:hAnsi="Arial"/>
          <w:i/>
          <w:iCs/>
          <w:sz w:val="24"/>
          <w:szCs w:val="24"/>
          <w:lang w:val="en-GB"/>
        </w:rPr>
        <w:t>23</w:t>
      </w:r>
      <w:r>
        <w:rPr>
          <w:rFonts w:eastAsia="Arial" w:cs="Arial" w:ascii="Arial" w:hAnsi="Arial"/>
          <w:sz w:val="24"/>
          <w:szCs w:val="24"/>
          <w:lang w:val="en-GB"/>
        </w:rPr>
        <w:t xml:space="preserve">(3), pp.358-375. Available at: </w:t>
      </w:r>
      <w:hyperlink r:id="rId15">
        <w:r>
          <w:rPr>
            <w:rStyle w:val="InternetLink"/>
            <w:rFonts w:eastAsia="Arial" w:cs="Arial" w:ascii="Arial" w:hAnsi="Arial"/>
            <w:sz w:val="24"/>
            <w:szCs w:val="24"/>
            <w:lang w:val="en-GB"/>
          </w:rPr>
          <w:t>Consumers on sustainability in hospitality - 2018 - Modica Altinay Farmaki Gursoy Zenga.pdf (brookes.ac.uk)</w:t>
        </w:r>
      </w:hyperlink>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Olya, H., Altinay, L., Farmaki, A., Kenebayeva, A. and Gursoy, D., 2021. Hotels’ sustainability practices and guests’ familiarity, attitudes and behaviours. </w:t>
      </w:r>
      <w:r>
        <w:rPr>
          <w:rFonts w:eastAsia="Arial" w:cs="Arial" w:ascii="Arial" w:hAnsi="Arial"/>
          <w:i/>
          <w:iCs/>
          <w:sz w:val="24"/>
          <w:szCs w:val="24"/>
          <w:lang w:val="en-GB"/>
        </w:rPr>
        <w:t>Journal of Sustainable Tourism</w:t>
      </w:r>
      <w:r>
        <w:rPr>
          <w:rFonts w:eastAsia="Arial" w:cs="Arial" w:ascii="Arial" w:hAnsi="Arial"/>
          <w:sz w:val="24"/>
          <w:szCs w:val="24"/>
          <w:lang w:val="en-GB"/>
        </w:rPr>
        <w:t xml:space="preserve">, </w:t>
      </w:r>
      <w:r>
        <w:rPr>
          <w:rFonts w:eastAsia="Arial" w:cs="Arial" w:ascii="Arial" w:hAnsi="Arial"/>
          <w:i/>
          <w:iCs/>
          <w:sz w:val="24"/>
          <w:szCs w:val="24"/>
          <w:lang w:val="en-GB"/>
        </w:rPr>
        <w:t>29</w:t>
      </w:r>
      <w:r>
        <w:rPr>
          <w:rFonts w:eastAsia="Arial" w:cs="Arial" w:ascii="Arial" w:hAnsi="Arial"/>
          <w:sz w:val="24"/>
          <w:szCs w:val="24"/>
          <w:lang w:val="en-GB"/>
        </w:rPr>
        <w:t xml:space="preserve">(7), pp.1063-1081. Available at: </w:t>
      </w:r>
      <w:hyperlink r:id="rId16">
        <w:r>
          <w:rPr>
            <w:rStyle w:val="InternetLink"/>
            <w:rFonts w:eastAsia="Arial" w:cs="Arial" w:ascii="Arial" w:hAnsi="Arial"/>
            <w:sz w:val="24"/>
            <w:szCs w:val="24"/>
            <w:lang w:val="en-GB"/>
          </w:rPr>
          <w:t>White Rose Research Online - Maintenance</w:t>
        </w:r>
      </w:hyperlink>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Pereira-Moliner, J., López-Gamero, M.D., Font, X., Molina-Azorín, J.F., Tarí, J.J. and Pertusa-Ortega, E.M., 2021. Sustainability, competitive advantages and performance in the hotel industry: A synergistic relationship. </w:t>
      </w:r>
      <w:r>
        <w:rPr>
          <w:rFonts w:eastAsia="Arial" w:cs="Arial" w:ascii="Arial" w:hAnsi="Arial"/>
          <w:i/>
          <w:iCs/>
          <w:sz w:val="24"/>
          <w:szCs w:val="24"/>
          <w:lang w:val="en-GB"/>
        </w:rPr>
        <w:t>Journal of Tourism and Services</w:t>
      </w:r>
      <w:r>
        <w:rPr>
          <w:rFonts w:eastAsia="Arial" w:cs="Arial" w:ascii="Arial" w:hAnsi="Arial"/>
          <w:sz w:val="24"/>
          <w:szCs w:val="24"/>
          <w:lang w:val="en-GB"/>
        </w:rPr>
        <w:t xml:space="preserve">, </w:t>
      </w:r>
      <w:r>
        <w:rPr>
          <w:rFonts w:eastAsia="Arial" w:cs="Arial" w:ascii="Arial" w:hAnsi="Arial"/>
          <w:i/>
          <w:iCs/>
          <w:sz w:val="24"/>
          <w:szCs w:val="24"/>
          <w:lang w:val="en-GB"/>
        </w:rPr>
        <w:t>12</w:t>
      </w:r>
      <w:r>
        <w:rPr>
          <w:rFonts w:eastAsia="Arial" w:cs="Arial" w:ascii="Arial" w:hAnsi="Arial"/>
          <w:sz w:val="24"/>
          <w:szCs w:val="24"/>
          <w:lang w:val="en-GB"/>
        </w:rPr>
        <w:t xml:space="preserve">(23), pp.132-149. Available at: </w:t>
      </w:r>
      <w:hyperlink r:id="rId17">
        <w:r>
          <w:rPr>
            <w:rStyle w:val="InternetLink"/>
            <w:rFonts w:eastAsia="Arial" w:cs="Arial" w:ascii="Arial" w:hAnsi="Arial"/>
            <w:sz w:val="24"/>
            <w:szCs w:val="24"/>
            <w:lang w:val="en-GB"/>
          </w:rPr>
          <w:t>(PDF) Sustainability, Competitive Advantages and Performance in the Hotel Industry: A Synergistic Relationship: Reference: Pereira-Moliner, J., López-Gamero, M.D., Font, X., Molina-Azorín, J.F., Tarí, J.J. &amp; Pertusa-Ortega, E.M. (2021). Sustainability, Competitive Advantages and Performance in the Hotel Industry: A Synergistic Relationship. Journal of Tourism and Services, 23(12), 132-149. doi: 10.29036/jots.v12i23.282 (researchgate.net)</w:t>
        </w:r>
      </w:hyperlink>
      <w:r>
        <w:rPr>
          <w:rFonts w:eastAsia="Arial" w:cs="Arial" w:ascii="Arial" w:hAnsi="Arial"/>
          <w:sz w:val="24"/>
          <w:szCs w:val="24"/>
          <w:lang w:val="en-GB"/>
        </w:rPr>
        <w:t xml:space="preserve"> (Accessed: 25.10.2023) </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Philip, N. 2022. Improving sustainability in tourism and hospitality. </w:t>
      </w:r>
      <w:r>
        <w:rPr>
          <w:rFonts w:eastAsia="Arial" w:cs="Arial" w:ascii="Arial" w:hAnsi="Arial"/>
          <w:i/>
          <w:iCs/>
          <w:sz w:val="24"/>
          <w:szCs w:val="24"/>
          <w:lang w:val="en-GB"/>
        </w:rPr>
        <w:t>Accenture</w:t>
      </w:r>
      <w:r>
        <w:rPr>
          <w:rFonts w:eastAsia="Arial" w:cs="Arial" w:ascii="Arial" w:hAnsi="Arial"/>
          <w:sz w:val="24"/>
          <w:szCs w:val="24"/>
          <w:lang w:val="en-GB"/>
        </w:rPr>
        <w:t xml:space="preserve">.  Available at: </w:t>
      </w:r>
      <w:hyperlink r:id="rId18">
        <w:r>
          <w:rPr>
            <w:rStyle w:val="InternetLink"/>
            <w:rFonts w:eastAsia="Arial" w:cs="Arial" w:ascii="Arial" w:hAnsi="Arial"/>
            <w:sz w:val="24"/>
            <w:szCs w:val="24"/>
            <w:lang w:val="en-GB"/>
          </w:rPr>
          <w:t>https://www.accenture.com/us-en/insights/travel/sustainability-hospitality</w:t>
        </w:r>
      </w:hyperlink>
      <w:r>
        <w:rPr>
          <w:rFonts w:eastAsia="Arial" w:cs="Arial" w:ascii="Arial" w:hAnsi="Arial"/>
          <w:sz w:val="24"/>
          <w:szCs w:val="24"/>
          <w:lang w:val="en-GB"/>
        </w:rPr>
        <w:t xml:space="preserve">   (Accessed: 25.10.2023)</w:t>
      </w:r>
    </w:p>
    <w:p>
      <w:pPr>
        <w:pStyle w:val="Normal"/>
        <w:keepNext w:val="false"/>
        <w:keepLines w:val="false"/>
        <w:widowControl w:val="false"/>
        <w:bidi w:val="0"/>
        <w:spacing w:lineRule="auto" w:line="360" w:beforeAutospacing="0" w:before="24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r>
    </w:p>
    <w:p>
      <w:pPr>
        <w:pStyle w:val="Normal"/>
        <w:keepNext w:val="false"/>
        <w:keepLines w:val="false"/>
        <w:widowControl w:val="false"/>
        <w:bidi w:val="0"/>
        <w:spacing w:lineRule="auto" w:line="360" w:beforeAutospacing="0" w:before="0" w:afterAutospacing="0" w:after="16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Randolph, R.V., Memili, E., Koç, B., Young, S.L., Yildirim-Öktem, Ö. and Sönmez, S., 2022. Innovativeness and corporate social responsibility in hospitality and tourism family firms: The role of family firm psychological capital. </w:t>
      </w:r>
      <w:r>
        <w:rPr>
          <w:rFonts w:eastAsia="Arial" w:cs="Arial" w:ascii="Arial" w:hAnsi="Arial"/>
          <w:i/>
          <w:iCs/>
          <w:sz w:val="24"/>
          <w:szCs w:val="24"/>
          <w:lang w:val="en-GB"/>
        </w:rPr>
        <w:t>International Journal of Hospitality Management</w:t>
      </w:r>
      <w:r>
        <w:rPr>
          <w:rFonts w:eastAsia="Arial" w:cs="Arial" w:ascii="Arial" w:hAnsi="Arial"/>
          <w:sz w:val="24"/>
          <w:szCs w:val="24"/>
          <w:lang w:val="en-GB"/>
        </w:rPr>
        <w:t xml:space="preserve">, </w:t>
      </w:r>
      <w:r>
        <w:rPr>
          <w:rFonts w:eastAsia="Arial" w:cs="Arial" w:ascii="Arial" w:hAnsi="Arial"/>
          <w:i/>
          <w:iCs/>
          <w:sz w:val="24"/>
          <w:szCs w:val="24"/>
          <w:lang w:val="en-GB"/>
        </w:rPr>
        <w:t>101</w:t>
      </w:r>
      <w:r>
        <w:rPr>
          <w:rFonts w:eastAsia="Arial" w:cs="Arial" w:ascii="Arial" w:hAnsi="Arial"/>
          <w:sz w:val="24"/>
          <w:szCs w:val="24"/>
          <w:lang w:val="en-GB"/>
        </w:rPr>
        <w:t xml:space="preserve">, p.103128. Available at: </w:t>
      </w:r>
      <w:hyperlink r:id="rId19">
        <w:r>
          <w:rPr>
            <w:rStyle w:val="InternetLink"/>
            <w:rFonts w:eastAsia="Arial" w:cs="Arial" w:ascii="Arial" w:hAnsi="Arial"/>
            <w:sz w:val="24"/>
            <w:szCs w:val="24"/>
            <w:lang w:val="en-GB"/>
          </w:rPr>
          <w:t>https://doi.org/10.1016/j.ijhm.2021.103128</w:t>
        </w:r>
      </w:hyperlink>
      <w:r>
        <w:rPr>
          <w:rFonts w:eastAsia="Arial" w:cs="Arial" w:ascii="Arial" w:hAnsi="Arial"/>
          <w:sz w:val="24"/>
          <w:szCs w:val="24"/>
          <w:lang w:val="en-GB"/>
        </w:rPr>
        <w:t xml:space="preserve">  (Accessed: 25.10.2023) </w:t>
      </w:r>
    </w:p>
    <w:p>
      <w:pPr>
        <w:pStyle w:val="Normal"/>
        <w:keepNext w:val="false"/>
        <w:keepLines w:val="false"/>
        <w:widowControl w:val="false"/>
        <w:spacing w:lineRule="auto" w:line="360" w:before="0" w:afterAutospacing="0" w:after="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keepNext w:val="false"/>
        <w:keepLines w:val="false"/>
        <w:widowControl w:val="false"/>
        <w:spacing w:lineRule="auto" w:line="360" w:beforeAutospacing="0" w:before="0" w:afterAutospacing="0" w:after="0"/>
        <w:ind w:left="0" w:hanging="0"/>
        <w:jc w:val="both"/>
        <w:rPr>
          <w:rFonts w:ascii="Arial" w:hAnsi="Arial" w:eastAsia="Arial" w:cs="Arial"/>
          <w:sz w:val="24"/>
          <w:szCs w:val="24"/>
          <w:lang w:val="en-GB"/>
        </w:rPr>
      </w:pPr>
      <w:r>
        <w:rPr>
          <w:rFonts w:eastAsia="Arial" w:cs="Arial" w:ascii="Arial" w:hAnsi="Arial"/>
          <w:sz w:val="24"/>
          <w:szCs w:val="24"/>
          <w:lang w:val="en-GB"/>
        </w:rPr>
        <w:t xml:space="preserve">Sorrell, E. and Bovia, H, 2021. Sustainability in the hospitality industry. </w:t>
      </w:r>
      <w:r>
        <w:rPr>
          <w:rFonts w:eastAsia="Arial" w:cs="Arial" w:ascii="Arial" w:hAnsi="Arial"/>
          <w:i/>
          <w:iCs/>
          <w:sz w:val="24"/>
          <w:szCs w:val="24"/>
          <w:lang w:val="en-GB"/>
        </w:rPr>
        <w:t>Cumming</w:t>
      </w:r>
      <w:r>
        <w:rPr>
          <w:rFonts w:eastAsia="Arial" w:cs="Arial" w:ascii="Arial" w:hAnsi="Arial"/>
          <w:sz w:val="24"/>
          <w:szCs w:val="24"/>
          <w:lang w:val="en-GB"/>
        </w:rPr>
        <w:t xml:space="preserve">. </w:t>
      </w:r>
    </w:p>
    <w:p>
      <w:pPr>
        <w:pStyle w:val="Normal"/>
        <w:keepNext w:val="false"/>
        <w:keepLines w:val="false"/>
        <w:widowControl w:val="false"/>
        <w:spacing w:lineRule="auto" w:line="360" w:beforeAutospacing="0" w:before="0" w:afterAutospacing="0" w:after="16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Available at: </w:t>
      </w:r>
      <w:hyperlink r:id="rId20">
        <w:r>
          <w:rPr>
            <w:rStyle w:val="InternetLink"/>
            <w:rFonts w:eastAsia="Arial" w:cs="Arial" w:ascii="Arial" w:hAnsi="Arial"/>
            <w:sz w:val="24"/>
            <w:szCs w:val="24"/>
            <w:lang w:val="en-GB"/>
          </w:rPr>
          <w:t>Cumming-White-Paper-Sustainability.pdf (ahla.com)</w:t>
        </w:r>
      </w:hyperlink>
      <w:r>
        <w:rPr>
          <w:rFonts w:eastAsia="Arial" w:cs="Arial" w:ascii="Arial" w:hAnsi="Arial"/>
          <w:sz w:val="24"/>
          <w:szCs w:val="24"/>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 xml:space="preserve">(Accessed: 25.10.2023) </w:t>
      </w:r>
    </w:p>
    <w:p>
      <w:pPr>
        <w:pStyle w:val="Normal"/>
        <w:keepNext w:val="false"/>
        <w:keepLines w:val="false"/>
        <w:widowControl w:val="false"/>
        <w:spacing w:lineRule="auto" w:line="360" w:beforeAutospacing="0" w:before="0" w:afterAutospacing="0" w:after="16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Teixeira, R. A., Korres, A. M. N., Borges, R. M., Rabello, L. L., Ribeiro, I. C., &amp; Bringhenti, J. R. 2020. Sustainable practices for the organic waste management generated in an educational institution restaurant. In </w:t>
      </w:r>
      <w:r>
        <w:rPr>
          <w:rFonts w:eastAsia="Arial" w:cs="Arial" w:ascii="Arial" w:hAnsi="Arial"/>
          <w:i/>
          <w:iCs/>
          <w:sz w:val="24"/>
          <w:szCs w:val="24"/>
          <w:lang w:val="en-GB"/>
        </w:rPr>
        <w:t>Universities as living labs for sustainable development</w:t>
      </w:r>
      <w:r>
        <w:rPr>
          <w:rFonts w:eastAsia="Arial" w:cs="Arial" w:ascii="Arial" w:hAnsi="Arial"/>
          <w:sz w:val="24"/>
          <w:szCs w:val="24"/>
          <w:lang w:val="en-GB"/>
        </w:rPr>
        <w:t>, pp. 803–820 Available at:</w:t>
      </w:r>
      <w:r>
        <w:rPr>
          <w:rFonts w:eastAsia="Arial" w:cs="Arial" w:ascii="Arial" w:hAnsi="Arial"/>
          <w:b w:val="false"/>
          <w:bCs w:val="false"/>
          <w:i w:val="false"/>
          <w:iCs w:val="false"/>
          <w:caps w:val="false"/>
          <w:smallCaps w:val="false"/>
          <w:color w:val="555555"/>
          <w:sz w:val="24"/>
          <w:szCs w:val="24"/>
          <w:lang w:val="en-GB"/>
        </w:rPr>
        <w:t xml:space="preserve"> DOI:</w:t>
      </w:r>
      <w:hyperlink r:id="rId21">
        <w:r>
          <w:rPr>
            <w:rStyle w:val="InternetLink"/>
            <w:rFonts w:eastAsia="Arial" w:cs="Arial" w:ascii="Arial" w:hAnsi="Arial"/>
            <w:b w:val="false"/>
            <w:bCs w:val="false"/>
            <w:i w:val="false"/>
            <w:iCs w:val="false"/>
            <w:caps w:val="false"/>
            <w:smallCaps w:val="false"/>
            <w:strike w:val="false"/>
            <w:dstrike w:val="false"/>
            <w:sz w:val="24"/>
            <w:szCs w:val="24"/>
            <w:u w:val="single"/>
            <w:lang w:val="en-GB"/>
          </w:rPr>
          <w:t>10.1007/978-3-030-15604-6_49</w:t>
        </w:r>
      </w:hyperlink>
      <w:r>
        <w:rPr>
          <w:rFonts w:eastAsia="Arial" w:cs="Arial" w:ascii="Arial" w:hAnsi="Arial"/>
          <w:b w:val="false"/>
          <w:bCs w:val="false"/>
          <w:i w:val="false"/>
          <w:iCs w:val="false"/>
          <w:caps w:val="false"/>
          <w:smallCaps w:val="false"/>
          <w:strike w:val="false"/>
          <w:dstrike w:val="false"/>
          <w:sz w:val="24"/>
          <w:szCs w:val="24"/>
          <w:u w:val="single"/>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 xml:space="preserve">(Accessed: 25.10.2023) </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keepNext w:val="false"/>
        <w:keepLines w:val="false"/>
        <w:widowControl w:val="false"/>
        <w:spacing w:lineRule="auto" w:line="360"/>
        <w:jc w:val="both"/>
        <w:rPr>
          <w:rFonts w:ascii="Arial" w:hAnsi="Arial" w:eastAsia="Arial" w:cs="Arial"/>
          <w:sz w:val="24"/>
          <w:szCs w:val="24"/>
          <w:lang w:val="en-GB"/>
        </w:rPr>
      </w:pPr>
      <w:r>
        <w:rPr>
          <w:rFonts w:eastAsia="Arial" w:cs="Arial" w:ascii="Arial" w:hAnsi="Arial"/>
          <w:sz w:val="24"/>
          <w:szCs w:val="24"/>
          <w:lang w:val="en-GB"/>
        </w:rPr>
        <w:t xml:space="preserve">TM, A., Kaur, P., Ferraris, A. and Dhir, A., 2021. What motivates the adoption of green restaurant products and services? A systematic review and future research agenda. </w:t>
      </w:r>
      <w:r>
        <w:rPr>
          <w:rFonts w:eastAsia="Arial" w:cs="Arial" w:ascii="Arial" w:hAnsi="Arial"/>
          <w:i/>
          <w:iCs/>
          <w:sz w:val="24"/>
          <w:szCs w:val="24"/>
          <w:lang w:val="en-GB"/>
        </w:rPr>
        <w:t>Business Strategy and the Environment</w:t>
      </w:r>
      <w:r>
        <w:rPr>
          <w:rFonts w:eastAsia="Arial" w:cs="Arial" w:ascii="Arial" w:hAnsi="Arial"/>
          <w:sz w:val="24"/>
          <w:szCs w:val="24"/>
          <w:lang w:val="en-GB"/>
        </w:rPr>
        <w:t xml:space="preserve">, </w:t>
      </w:r>
      <w:r>
        <w:rPr>
          <w:rFonts w:eastAsia="Arial" w:cs="Arial" w:ascii="Arial" w:hAnsi="Arial"/>
          <w:i/>
          <w:iCs/>
          <w:sz w:val="24"/>
          <w:szCs w:val="24"/>
          <w:lang w:val="en-GB"/>
        </w:rPr>
        <w:t>30</w:t>
      </w:r>
      <w:r>
        <w:rPr>
          <w:rFonts w:eastAsia="Arial" w:cs="Arial" w:ascii="Arial" w:hAnsi="Arial"/>
          <w:sz w:val="24"/>
          <w:szCs w:val="24"/>
          <w:lang w:val="en-GB"/>
        </w:rPr>
        <w:t xml:space="preserve">(4), pp.2224-2240. Available at: </w:t>
      </w:r>
    </w:p>
    <w:p>
      <w:pPr>
        <w:pStyle w:val="Normal"/>
        <w:keepNext w:val="false"/>
        <w:keepLines w:val="false"/>
        <w:widowControl w:val="false"/>
        <w:spacing w:lineRule="auto" w:line="360" w:beforeAutospacing="0" w:before="0" w:afterAutospacing="0" w:after="16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hyperlink r:id="rId22">
        <w:r>
          <w:rPr>
            <w:rStyle w:val="InternetLink"/>
            <w:rFonts w:eastAsia="Arial" w:cs="Arial" w:ascii="Arial" w:hAnsi="Arial"/>
            <w:b/>
            <w:bCs/>
            <w:i w:val="false"/>
            <w:iCs w:val="false"/>
            <w:caps w:val="false"/>
            <w:smallCaps w:val="false"/>
            <w:strike w:val="false"/>
            <w:dstrike w:val="false"/>
            <w:color w:val="767676"/>
            <w:sz w:val="24"/>
            <w:szCs w:val="24"/>
            <w:u w:val="none"/>
            <w:lang w:val="en-GB"/>
          </w:rPr>
          <w:t>https://doi.org/10.1002/bse.2755</w:t>
        </w:r>
      </w:hyperlink>
      <w:r>
        <w:rPr>
          <w:rFonts w:eastAsia="Arial" w:cs="Arial" w:ascii="Arial" w:hAnsi="Arial"/>
          <w:b/>
          <w:bCs/>
          <w:i w:val="false"/>
          <w:iCs w:val="false"/>
          <w:caps w:val="false"/>
          <w:smallCaps w:val="false"/>
          <w:strike w:val="false"/>
          <w:dstrike w:val="false"/>
          <w:color w:val="767676"/>
          <w:sz w:val="24"/>
          <w:szCs w:val="24"/>
          <w:u w:val="none"/>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 xml:space="preserve">(Accessed: 25.10.2023) </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United Nations (2023). Take action for the sustainable development goals. UN. Available at: </w:t>
      </w:r>
      <w:hyperlink r:id="rId23">
        <w:r>
          <w:rPr>
            <w:rStyle w:val="InternetLink"/>
            <w:rFonts w:eastAsia="Arial" w:cs="Arial" w:ascii="Arial" w:hAnsi="Arial"/>
            <w:sz w:val="24"/>
            <w:szCs w:val="24"/>
            <w:lang w:val="en-GB"/>
          </w:rPr>
          <w:t>https://www.un.org/sustainabledevelopment/sustainable-development-goals/</w:t>
        </w:r>
      </w:hyperlink>
      <w:r>
        <w:rPr>
          <w:rFonts w:eastAsia="Arial" w:cs="Arial" w:ascii="Arial" w:hAnsi="Arial"/>
          <w:b w:val="false"/>
          <w:bCs w:val="false"/>
          <w:i w:val="false"/>
          <w:iCs w:val="false"/>
          <w:caps w:val="false"/>
          <w:smallCaps w:val="false"/>
          <w:strike w:val="false"/>
          <w:dstrike w:val="false"/>
          <w:color w:val="auto"/>
          <w:sz w:val="24"/>
          <w:szCs w:val="24"/>
          <w:u w:val="none"/>
          <w:lang w:val="en-GB"/>
        </w:rPr>
        <w:t xml:space="preserve"> (Accessed: 25.10.2023)</w:t>
      </w:r>
    </w:p>
    <w:p>
      <w:pPr>
        <w:pStyle w:val="Normal"/>
        <w:keepNext w:val="false"/>
        <w:keepLines w:val="false"/>
        <w:widowControl w:val="false"/>
        <w:spacing w:lineRule="auto" w:line="360" w:beforeAutospacing="0" w:before="0" w:afterAutospacing="0" w:after="160"/>
        <w:ind w:left="0" w:hanging="0"/>
        <w:jc w:val="both"/>
        <w:rPr>
          <w:rFonts w:ascii="Arial" w:hAnsi="Arial" w:eastAsia="Arial" w:cs="Arial"/>
          <w:sz w:val="24"/>
          <w:szCs w:val="24"/>
          <w:lang w:val="en-GB"/>
        </w:rPr>
      </w:pPr>
      <w:r>
        <w:rPr>
          <w:rFonts w:eastAsia="Arial" w:cs="Arial" w:ascii="Arial" w:hAnsi="Arial"/>
          <w:sz w:val="24"/>
          <w:szCs w:val="24"/>
          <w:lang w:val="en-GB"/>
        </w:rPr>
      </w:r>
    </w:p>
    <w:p>
      <w:pPr>
        <w:pStyle w:val="Normal"/>
        <w:keepNext w:val="false"/>
        <w:keepLines w:val="false"/>
        <w:widowControl w:val="false"/>
        <w:spacing w:lineRule="auto" w:line="360" w:beforeAutospacing="0" w:before="0" w:afterAutospacing="0" w:after="16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University of Central Florida. 2022. Sustainability in hospitality: Why it is important and how industry leaders can help. UCF.  Available at:  </w:t>
      </w:r>
      <w:hyperlink r:id="rId24">
        <w:r>
          <w:rPr>
            <w:rStyle w:val="InternetLink"/>
            <w:rFonts w:eastAsia="Arial" w:cs="Arial" w:ascii="Arial" w:hAnsi="Arial"/>
            <w:sz w:val="24"/>
            <w:szCs w:val="24"/>
            <w:lang w:val="en-GB"/>
          </w:rPr>
          <w:t>Sustainability in Hospitality: How Industry Leaders Can Help | UCF Online</w:t>
        </w:r>
      </w:hyperlink>
      <w:r>
        <w:rPr>
          <w:rFonts w:eastAsia="Arial" w:cs="Arial" w:ascii="Arial" w:hAnsi="Arial"/>
          <w:sz w:val="24"/>
          <w:szCs w:val="24"/>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(Accessed: 25.10.2023)</w:t>
      </w:r>
    </w:p>
    <w:p>
      <w:pPr>
        <w:pStyle w:val="Normal"/>
        <w:keepNext w:val="false"/>
        <w:keepLines w:val="false"/>
        <w:widowControl w:val="false"/>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sz w:val="24"/>
          <w:szCs w:val="24"/>
          <w:lang w:val="en-GB"/>
        </w:rPr>
        <w:t xml:space="preserve">Zhang, L., Ye, F., Yang, L. and Zhou, G., 2019. Impact of political connections on corporate environmental performance: From a green development perspective. </w:t>
      </w:r>
      <w:r>
        <w:rPr>
          <w:rFonts w:eastAsia="Arial" w:cs="Arial" w:ascii="Arial" w:hAnsi="Arial"/>
          <w:i/>
          <w:iCs/>
          <w:sz w:val="24"/>
          <w:szCs w:val="24"/>
          <w:lang w:val="en-GB"/>
        </w:rPr>
        <w:t>Sustainability</w:t>
      </w:r>
      <w:r>
        <w:rPr>
          <w:rFonts w:eastAsia="Arial" w:cs="Arial" w:ascii="Arial" w:hAnsi="Arial"/>
          <w:sz w:val="24"/>
          <w:szCs w:val="24"/>
          <w:lang w:val="en-GB"/>
        </w:rPr>
        <w:t xml:space="preserve">, </w:t>
      </w:r>
      <w:r>
        <w:rPr>
          <w:rFonts w:eastAsia="Arial" w:cs="Arial" w:ascii="Arial" w:hAnsi="Arial"/>
          <w:i/>
          <w:iCs/>
          <w:sz w:val="24"/>
          <w:szCs w:val="24"/>
          <w:lang w:val="en-GB"/>
        </w:rPr>
        <w:t>11</w:t>
      </w:r>
      <w:r>
        <w:rPr>
          <w:rFonts w:eastAsia="Arial" w:cs="Arial" w:ascii="Arial" w:hAnsi="Arial"/>
          <w:sz w:val="24"/>
          <w:szCs w:val="24"/>
          <w:lang w:val="en-GB"/>
        </w:rPr>
        <w:t xml:space="preserve">(5), p.1317. Available at: </w:t>
      </w:r>
      <w:hyperlink r:id="rId25">
        <w:r>
          <w:rPr>
            <w:rStyle w:val="InternetLink"/>
            <w:rFonts w:eastAsia="Arial" w:cs="Arial" w:ascii="Arial" w:hAnsi="Arial"/>
            <w:b/>
            <w:bCs/>
            <w:i w:val="false"/>
            <w:iCs w:val="false"/>
            <w:caps w:val="false"/>
            <w:smallCaps w:val="false"/>
            <w:strike w:val="false"/>
            <w:dstrike w:val="false"/>
            <w:color w:val="4F5671"/>
            <w:sz w:val="24"/>
            <w:szCs w:val="24"/>
            <w:u w:val="single"/>
            <w:lang w:val="en-GB"/>
          </w:rPr>
          <w:t>https://doi.org/10.3390/su11051317</w:t>
        </w:r>
      </w:hyperlink>
      <w:r>
        <w:rPr>
          <w:rFonts w:eastAsia="Arial" w:cs="Arial" w:ascii="Arial" w:hAnsi="Arial"/>
          <w:b/>
          <w:bCs/>
          <w:i w:val="false"/>
          <w:iCs w:val="false"/>
          <w:caps w:val="false"/>
          <w:smallCaps w:val="false"/>
          <w:strike w:val="false"/>
          <w:dstrike w:val="false"/>
          <w:color w:val="4F5671"/>
          <w:sz w:val="24"/>
          <w:szCs w:val="24"/>
          <w:u w:val="single"/>
          <w:lang w:val="en-GB"/>
        </w:rPr>
        <w:t xml:space="preserve"> </w:t>
      </w:r>
      <w:r>
        <w:rPr>
          <w:rFonts w:eastAsia="Arial" w:cs="Arial" w:ascii="Arial" w:hAnsi="Arial"/>
          <w:b w:val="false"/>
          <w:bCs w:val="false"/>
          <w:i w:val="false"/>
          <w:iCs w:val="false"/>
          <w:caps w:val="false"/>
          <w:smallCaps w:val="false"/>
          <w:strike w:val="false"/>
          <w:dstrike w:val="false"/>
          <w:color w:val="auto"/>
          <w:sz w:val="24"/>
          <w:szCs w:val="24"/>
          <w:u w:val="none"/>
          <w:lang w:val="en-GB"/>
        </w:rPr>
        <w:t xml:space="preserve">(Accessed: 25.10.2023) </w:t>
      </w:r>
    </w:p>
    <w:p>
      <w:pPr>
        <w:pStyle w:val="Normal"/>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spacing w:lineRule="auto" w:line="360" w:beforeAutospacing="0" w:before="240" w:afterAutospacing="0" w:after="0"/>
        <w:ind w:left="0" w:hanging="0"/>
        <w:jc w:val="both"/>
        <w:rPr>
          <w:rFonts w:ascii="Arial" w:hAnsi="Arial" w:eastAsia="Arial" w:cs="Arial"/>
          <w:b w:val="false"/>
          <w:b w:val="false"/>
          <w:bCs w:val="false"/>
          <w:i w:val="false"/>
          <w:i w:val="false"/>
          <w:iCs w:val="false"/>
          <w:caps w:val="false"/>
          <w:smallCaps w:val="false"/>
          <w:strike w:val="false"/>
          <w:dstrike w:val="false"/>
          <w:color w:val="auto"/>
          <w:sz w:val="24"/>
          <w:szCs w:val="24"/>
          <w:u w:val="none"/>
          <w:lang w:val="en-GB"/>
        </w:rPr>
      </w:pPr>
      <w:r>
        <w:rPr>
          <w:rFonts w:eastAsia="Arial" w:cs="Arial" w:ascii="Arial" w:hAnsi="Arial"/>
          <w:b w:val="false"/>
          <w:bCs w:val="false"/>
          <w:i w:val="false"/>
          <w:iCs w:val="false"/>
          <w:caps w:val="false"/>
          <w:smallCaps w:val="false"/>
          <w:strike w:val="false"/>
          <w:dstrike w:val="false"/>
          <w:color w:val="auto"/>
          <w:sz w:val="24"/>
          <w:szCs w:val="24"/>
          <w:u w:val="none"/>
          <w:lang w:val="en-GB"/>
        </w:rPr>
      </w:r>
    </w:p>
    <w:p>
      <w:pPr>
        <w:pStyle w:val="Normal"/>
        <w:spacing w:lineRule="auto" w:line="360"/>
        <w:jc w:val="both"/>
        <w:rPr>
          <w:rFonts w:ascii="Open Sans" w:hAnsi="Open Sans" w:eastAsia="Open Sans" w:cs="Open Sans"/>
          <w:b w:val="false"/>
          <w:b w:val="false"/>
          <w:bCs w:val="false"/>
          <w:i w:val="false"/>
          <w:i w:val="false"/>
          <w:iCs w:val="false"/>
          <w:caps w:val="false"/>
          <w:smallCaps w:val="false"/>
          <w:strike w:val="false"/>
          <w:dstrike w:val="false"/>
          <w:color w:val="auto"/>
          <w:sz w:val="24"/>
          <w:szCs w:val="24"/>
          <w:u w:val="none"/>
          <w:lang w:val="en-GB"/>
        </w:rPr>
      </w:pPr>
      <w:r>
        <w:rPr>
          <w:rFonts w:eastAsia="Open Sans" w:cs="Open Sans" w:ascii="Open Sans" w:hAnsi="Open Sans"/>
          <w:b w:val="false"/>
          <w:bCs w:val="false"/>
          <w:i w:val="false"/>
          <w:iCs w:val="false"/>
          <w:caps w:val="false"/>
          <w:smallCaps w:val="false"/>
          <w:strike w:val="false"/>
          <w:dstrike w:val="false"/>
          <w:color w:val="auto"/>
          <w:sz w:val="24"/>
          <w:szCs w:val="24"/>
          <w:u w:val="none"/>
          <w:lang w:val="en-GB"/>
        </w:rPr>
      </w:r>
    </w:p>
    <w:p>
      <w:pPr>
        <w:pStyle w:val="Normal"/>
        <w:spacing w:lineRule="auto" w:line="240"/>
        <w:jc w:val="left"/>
        <w:rPr>
          <w:rFonts w:ascii="Open Sans" w:hAnsi="Open Sans" w:eastAsia="Open Sans" w:cs="Open Sans"/>
          <w:b w:val="false"/>
          <w:b w:val="false"/>
          <w:bCs w:val="false"/>
          <w:i w:val="false"/>
          <w:i w:val="false"/>
          <w:iCs w:val="false"/>
          <w:caps w:val="false"/>
          <w:smallCaps w:val="false"/>
          <w:strike w:val="false"/>
          <w:dstrike w:val="false"/>
          <w:color w:val="auto"/>
          <w:sz w:val="24"/>
          <w:szCs w:val="24"/>
          <w:u w:val="none"/>
          <w:lang w:val="en-GB"/>
        </w:rPr>
      </w:pPr>
      <w:r>
        <w:rPr>
          <w:rFonts w:eastAsia="Open Sans" w:cs="Open Sans" w:ascii="Open Sans" w:hAnsi="Open Sans"/>
          <w:b w:val="false"/>
          <w:bCs w:val="false"/>
          <w:i w:val="false"/>
          <w:iCs w:val="false"/>
          <w:caps w:val="false"/>
          <w:smallCaps w:val="false"/>
          <w:strike w:val="false"/>
          <w:dstrike w:val="false"/>
          <w:color w:val="auto"/>
          <w:sz w:val="24"/>
          <w:szCs w:val="24"/>
          <w:u w:val="none"/>
          <w:lang w:val="en-GB"/>
        </w:rPr>
      </w:r>
    </w:p>
    <w:p>
      <w:pPr>
        <w:pStyle w:val="Normal"/>
        <w:spacing w:lineRule="auto" w:line="240" w:beforeAutospacing="0" w:before="0" w:afterAutospacing="0" w:after="0"/>
        <w:jc w:val="left"/>
        <w:rPr>
          <w:rFonts w:ascii="Open Sans" w:hAnsi="Open Sans" w:eastAsia="Open Sans" w:cs="Open Sans"/>
          <w:b w:val="false"/>
          <w:b w:val="false"/>
          <w:bCs w:val="false"/>
          <w:i w:val="false"/>
          <w:i w:val="false"/>
          <w:iCs w:val="false"/>
          <w:caps w:val="false"/>
          <w:smallCaps w:val="false"/>
          <w:strike w:val="false"/>
          <w:dstrike w:val="false"/>
          <w:color w:val="auto"/>
          <w:sz w:val="24"/>
          <w:szCs w:val="24"/>
          <w:u w:val="none"/>
          <w:lang w:val="en-GB"/>
        </w:rPr>
      </w:pPr>
      <w:r>
        <w:rPr>
          <w:rFonts w:eastAsia="Open Sans" w:cs="Open Sans" w:ascii="Open Sans" w:hAnsi="Open Sans"/>
          <w:b w:val="false"/>
          <w:bCs w:val="false"/>
          <w:i w:val="false"/>
          <w:iCs w:val="false"/>
          <w:caps w:val="false"/>
          <w:smallCaps w:val="false"/>
          <w:strike w:val="false"/>
          <w:dstrike w:val="false"/>
          <w:color w:val="auto"/>
          <w:sz w:val="24"/>
          <w:szCs w:val="24"/>
          <w:u w:val="none"/>
          <w:lang w:val="en-GB"/>
        </w:rPr>
      </w:r>
    </w:p>
    <w:p>
      <w:pPr>
        <w:pStyle w:val="Normal"/>
        <w:spacing w:lineRule="auto" w:line="480" w:beforeAutospacing="0" w:before="240" w:afterAutospacing="0" w:after="0"/>
        <w:ind w:left="720" w:hanging="720"/>
        <w:jc w:val="left"/>
        <w:rPr>
          <w:rFonts w:ascii="Times New Roman" w:hAnsi="Times New Roman" w:eastAsia="Times New Roman" w:cs="Times New Roman"/>
          <w:sz w:val="24"/>
          <w:szCs w:val="24"/>
          <w:lang w:val="en-GB"/>
        </w:rPr>
      </w:pPr>
      <w:r>
        <w:rPr>
          <w:rFonts w:eastAsia="Times New Roman" w:cs="Times New Roman" w:ascii="Times New Roman" w:hAnsi="Times New Roman"/>
          <w:sz w:val="24"/>
          <w:szCs w:val="24"/>
          <w:lang w:val="en-GB"/>
        </w:rPr>
        <w:t xml:space="preserve"> </w:t>
      </w:r>
    </w:p>
    <w:p>
      <w:pPr>
        <w:pStyle w:val="Normal"/>
        <w:widowControl/>
        <w:bidi w:val="0"/>
        <w:spacing w:lineRule="auto" w:line="259" w:before="0" w:after="160"/>
        <w:jc w:val="left"/>
        <w:rPr/>
      </w:pPr>
      <w:r>
        <w:rPr/>
      </w:r>
    </w:p>
    <w:sectPr>
      <w:type w:val="nextPage"/>
      <w:pgSz w:w="11906" w:h="16838"/>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swiss"/>
    <w:pitch w:val="variable"/>
  </w:font>
  <w:font w:name="Arial">
    <w:charset w:val="00"/>
    <w:family w:val="roman"/>
    <w:pitch w:val="variable"/>
  </w:font>
  <w:font w:name="Open Sans">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unhideWhenUsed/>
    <w:qFormat/>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qFormat/>
    <w:rPr>
      <w:rFonts w:ascii="Calibri Light" w:hAnsi="Calibri Light" w:eastAsia="" w:cs="" w:asciiTheme="majorHAnsi" w:cstheme="majorBidi" w:eastAsiaTheme="majorEastAsia" w:hAnsiTheme="majorHAnsi"/>
      <w:color w:val="2E74B5" w:themeColor="accent1" w:themeShade="bf"/>
      <w:sz w:val="32"/>
      <w:szCs w:val="32"/>
    </w:rPr>
  </w:style>
  <w:style w:type="character" w:styleId="Heading2Char" w:customStyle="1">
    <w:name w:val="Heading 2 Char"/>
    <w:basedOn w:val="DefaultParagraphFont"/>
    <w:link w:val="Heading2"/>
    <w:uiPriority w:val="9"/>
    <w:qFormat/>
    <w:rPr>
      <w:rFonts w:ascii="Calibri Light" w:hAnsi="Calibri Light" w:eastAsia="" w:cs="" w:asciiTheme="majorHAnsi" w:cstheme="majorBidi" w:eastAsiaTheme="majorEastAsia" w:hAnsiTheme="majorHAnsi"/>
      <w:color w:val="2E74B5" w:themeColor="accent1" w:themeShade="bf"/>
      <w:sz w:val="26"/>
      <w:szCs w:val="26"/>
    </w:rPr>
  </w:style>
  <w:style w:type="character" w:styleId="Heading3Char" w:customStyle="1">
    <w:name w:val="Heading 3 Char"/>
    <w:basedOn w:val="DefaultParagraphFont"/>
    <w:link w:val="Heading3"/>
    <w:uiPriority w:val="9"/>
    <w:qFormat/>
    <w:rPr>
      <w:rFonts w:ascii="Calibri Light" w:hAnsi="Calibri Light" w:eastAsia="" w:cs="" w:asciiTheme="majorHAnsi" w:cstheme="majorBidi" w:eastAsiaTheme="majorEastAsia" w:hAnsiTheme="majorHAnsi"/>
      <w:color w:val="1F4D78" w:themeColor="accent1" w:themeShade="7f"/>
      <w:sz w:val="24"/>
      <w:szCs w:val="24"/>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Contents1">
    <w:name w:val="TOC 1"/>
    <w:basedOn w:val="Normal"/>
    <w:next w:val="Normal"/>
    <w:autoRedefine/>
    <w:uiPriority w:val="39"/>
    <w:unhideWhenUsed/>
    <w:pPr>
      <w:spacing w:before="0" w:after="100"/>
    </w:pPr>
    <w:rPr/>
  </w:style>
  <w:style w:type="paragraph" w:styleId="Contents2">
    <w:name w:val="TOC 2"/>
    <w:basedOn w:val="Normal"/>
    <w:next w:val="Normal"/>
    <w:autoRedefine/>
    <w:uiPriority w:val="39"/>
    <w:unhideWhenUsed/>
    <w:pPr>
      <w:spacing w:before="0" w:after="100"/>
      <w:ind w:left="220" w:hanging="0"/>
    </w:pPr>
    <w:rPr/>
  </w:style>
  <w:style w:type="paragraph" w:styleId="Contents3">
    <w:name w:val="TOC 3"/>
    <w:basedOn w:val="Normal"/>
    <w:next w:val="Normal"/>
    <w:autoRedefine/>
    <w:uiPriority w:val="39"/>
    <w:unhideWhenUsed/>
    <w:pPr>
      <w:spacing w:before="0" w:after="100"/>
      <w:ind w:left="440"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3390/su12229624" TargetMode="External"/><Relationship Id="rId3" Type="http://schemas.openxmlformats.org/officeDocument/2006/relationships/hyperlink" Target="https://doi.org/10.35335/enrichment.v12i2.447" TargetMode="External"/><Relationship Id="rId4" Type="http://schemas.openxmlformats.org/officeDocument/2006/relationships/hyperlink" Target="https://sustainablefuturenews.com/policy-and-regulation/2023-guide-to-esg-regulation/" TargetMode="External"/><Relationship Id="rId5" Type="http://schemas.openxmlformats.org/officeDocument/2006/relationships/hyperlink" Target="https://doi.org/10.1051/e3sconf/202130708002" TargetMode="External"/><Relationship Id="rId6" Type="http://schemas.openxmlformats.org/officeDocument/2006/relationships/hyperlink" Target="https://www2.deloitte.com/ce/en/pages/about-deloitte/articles/key-regulations-in-the-area-of-sustainable-development.html" TargetMode="External"/><Relationship Id="rId7" Type="http://schemas.openxmlformats.org/officeDocument/2006/relationships/hyperlink" Target="https://doi.org/10.1002/sd.2304" TargetMode="External"/><Relationship Id="rId8" Type="http://schemas.openxmlformats.org/officeDocument/2006/relationships/hyperlink" Target="https://doi.org/10.1080/09669582.2021.1903019" TargetMode="External"/><Relationship Id="rId9" Type="http://schemas.openxmlformats.org/officeDocument/2006/relationships/hyperlink" Target="https://esg.hilton.com/wp-content/uploads/sites/4/2023/04/Hilton-2022-Environmental-Social-and-Governance-Report.pdf" TargetMode="External"/><Relationship Id="rId10" Type="http://schemas.openxmlformats.org/officeDocument/2006/relationships/hyperlink" Target="http://dx.doi.org/10.5465/amd.2019.0275" TargetMode="External"/><Relationship Id="rId11" Type="http://schemas.openxmlformats.org/officeDocument/2006/relationships/hyperlink" Target="https://www.semanticscholar.org/paper/A-PESTEL-and-SWOT-impact-analysis-on-renewable-in-Kansongue-Njuguna/bd2fc9ab4b33c8d8a8f0282eb44c01721cf9023c" TargetMode="External"/><Relationship Id="rId12" Type="http://schemas.openxmlformats.org/officeDocument/2006/relationships/hyperlink" Target="https://doi.org/10.3390/su11061594" TargetMode="External"/><Relationship Id="rId13" Type="http://schemas.openxmlformats.org/officeDocument/2006/relationships/hyperlink" Target="https://doi.org/10.3390/su12093761" TargetMode="External"/><Relationship Id="rId14" Type="http://schemas.openxmlformats.org/officeDocument/2006/relationships/hyperlink" Target="https://www.forbes.com/sites/forbesbusinesscouncil/2022/09/29/implementing-sustainability-into-the-hospitality-industry/?sh=32f5b3c16c30" TargetMode="External"/><Relationship Id="rId15" Type="http://schemas.openxmlformats.org/officeDocument/2006/relationships/hyperlink" Target="https://radar.brookes.ac.uk/radar/file/7461366e-9eb1-4cb5-b42b-07cbdd942d3f/1/Consumers on sustainability in hospitality - 2018 - Modica Altinay Farmaki Gursoy Zenga.pdf" TargetMode="External"/><Relationship Id="rId16" Type="http://schemas.openxmlformats.org/officeDocument/2006/relationships/hyperlink" Target="https://eprints.whiterose.ac.uk/161790/1/Sustainability-Olya.pdf" TargetMode="External"/><Relationship Id="rId17" Type="http://schemas.openxmlformats.org/officeDocument/2006/relationships/hyperlink" Target="https://www.researchgate.net/publication/357258936_Sustainability_Competitive_Advantages_and_Performance_in_the_Hotel_Industry_A_Synergistic_Relationship_Reference_Pereira-Moliner_J_Lopez-Gamero_MD_Font_X_Molina-Azorin_JF_Tari_JJ_Pertusa-Ortega_EM_202" TargetMode="External"/><Relationship Id="rId18" Type="http://schemas.openxmlformats.org/officeDocument/2006/relationships/hyperlink" Target="https://www.accenture.com/us-en/insights/travel/sustainability-hospitality" TargetMode="External"/><Relationship Id="rId19" Type="http://schemas.openxmlformats.org/officeDocument/2006/relationships/hyperlink" Target="https://doi.org/10.1016/j.ijhm.2021.103128" TargetMode="External"/><Relationship Id="rId20" Type="http://schemas.openxmlformats.org/officeDocument/2006/relationships/hyperlink" Target="https://www.ahla.com/sites/default/files/Cumming-White-Paper-Sustainability.pdf" TargetMode="External"/><Relationship Id="rId21" Type="http://schemas.openxmlformats.org/officeDocument/2006/relationships/hyperlink" Target="http://dx.doi.org/10.1007/978-3-030-15604-6_49" TargetMode="External"/><Relationship Id="rId22" Type="http://schemas.openxmlformats.org/officeDocument/2006/relationships/hyperlink" Target="https://doi.org/10.1002/bse.2755" TargetMode="External"/><Relationship Id="rId23" Type="http://schemas.openxmlformats.org/officeDocument/2006/relationships/hyperlink" Target="https://www.un.org/sustainabledevelopment/sustainable-development-goals/" TargetMode="External"/><Relationship Id="rId24" Type="http://schemas.openxmlformats.org/officeDocument/2006/relationships/hyperlink" Target="https://www.ucf.edu/online/hospitality/news/sustainability-in-hospitality-why-it-is-important-and-how-industry-leaders-can-help/" TargetMode="External"/><Relationship Id="rId25" Type="http://schemas.openxmlformats.org/officeDocument/2006/relationships/hyperlink" Target="https://doi.org/10.3390/su11051317" TargetMode="Externa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Relationship Id="rId29" Type="http://schemas.openxmlformats.org/officeDocument/2006/relationships/glossaryDocument" Target="glossary/document.xml"/>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b3562af-5330-4782-87e0-4c93c441f569}"/>
      </w:docPartPr>
      <w:docPartBody>
        <w:p w14:paraId="508A020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LibreOffice/7.0.1.2$Windows_X86_64 LibreOffice_project/7cbcfc562f6eb6708b5ff7d7397325de9e764452</Application>
  <Pages>15</Pages>
  <Words>3604</Words>
  <Characters>23306</Characters>
  <CharactersWithSpaces>26870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2023-10-25T19:20:22Z</dcterms:created>
  <dc:creator>Zsanett Babos</dc:creator>
  <dc:description/>
  <dc:language>en-GB</dc:language>
  <cp:lastModifiedBy/>
  <dcterms:modified xsi:type="dcterms:W3CDTF">2023-10-26T23:27:08Z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