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7B0" w:rsidRDefault="004115FD">
      <w:pPr>
        <w:spacing w:line="276" w:lineRule="auto"/>
        <w:jc w:val="left"/>
        <w:rPr>
          <w:lang w:val="en-GB"/>
        </w:rPr>
      </w:pPr>
      <w:r>
        <w:rPr>
          <w:noProof/>
        </w:rPr>
        <w:drawing>
          <wp:inline distT="0" distB="0" distL="0" distR="0">
            <wp:extent cx="1816100" cy="600075"/>
            <wp:effectExtent l="0" t="0" r="0" b="9525"/>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pic:nvPicPr>
                  <pic:blipFill>
                    <a:blip r:embed="rId9" cstate="print"/>
                    <a:stretch>
                      <a:fillRect/>
                    </a:stretch>
                  </pic:blipFill>
                  <pic:spPr>
                    <a:xfrm>
                      <a:off x="0" y="0"/>
                      <a:ext cx="1816100" cy="600075"/>
                    </a:xfrm>
                    <a:prstGeom prst="rect">
                      <a:avLst/>
                    </a:prstGeom>
                  </pic:spPr>
                </pic:pic>
              </a:graphicData>
            </a:graphic>
          </wp:inline>
        </w:drawing>
      </w:r>
    </w:p>
    <w:tbl>
      <w:tblPr>
        <w:tblW w:w="9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0"/>
        <w:gridCol w:w="3829"/>
        <w:gridCol w:w="1985"/>
        <w:gridCol w:w="2381"/>
      </w:tblGrid>
      <w:tr w:rsidR="00876C83" w:rsidTr="002D67B0">
        <w:trPr>
          <w:trHeight w:val="494"/>
        </w:trPr>
        <w:tc>
          <w:tcPr>
            <w:tcW w:w="1730"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spacing w:before="120" w:line="360" w:lineRule="auto"/>
              <w:ind w:left="107"/>
              <w:rPr>
                <w:rFonts w:asciiTheme="majorHAnsi" w:hAnsiTheme="majorHAnsi"/>
                <w:b/>
                <w:sz w:val="24"/>
                <w:szCs w:val="24"/>
              </w:rPr>
            </w:pPr>
            <w:r w:rsidRPr="002D67B0">
              <w:rPr>
                <w:rFonts w:asciiTheme="majorHAnsi" w:hAnsiTheme="majorHAnsi"/>
                <w:b/>
                <w:sz w:val="24"/>
                <w:szCs w:val="24"/>
              </w:rPr>
              <w:t>Programme:</w:t>
            </w:r>
          </w:p>
        </w:tc>
        <w:tc>
          <w:tcPr>
            <w:tcW w:w="8195" w:type="dxa"/>
            <w:gridSpan w:val="3"/>
            <w:tcBorders>
              <w:top w:val="single" w:sz="4" w:space="0" w:color="000000"/>
              <w:left w:val="single" w:sz="4" w:space="0" w:color="000000"/>
              <w:bottom w:val="single" w:sz="4" w:space="0" w:color="000000"/>
              <w:right w:val="single" w:sz="4" w:space="0" w:color="000000"/>
            </w:tcBorders>
            <w:hideMark/>
          </w:tcPr>
          <w:p w:rsidR="002D67B0" w:rsidRPr="002D67B0" w:rsidRDefault="004115FD" w:rsidP="002D67B0">
            <w:pPr>
              <w:pStyle w:val="TableParagraph"/>
              <w:spacing w:before="120" w:line="360" w:lineRule="auto"/>
              <w:ind w:left="108"/>
              <w:rPr>
                <w:rFonts w:asciiTheme="majorHAnsi" w:hAnsiTheme="majorHAnsi"/>
                <w:b/>
                <w:sz w:val="24"/>
                <w:szCs w:val="24"/>
              </w:rPr>
            </w:pPr>
            <w:r w:rsidRPr="002D67B0">
              <w:rPr>
                <w:rFonts w:asciiTheme="majorHAnsi" w:hAnsiTheme="majorHAnsi"/>
                <w:b/>
                <w:sz w:val="24"/>
                <w:szCs w:val="24"/>
              </w:rPr>
              <w:t>BA Business</w:t>
            </w:r>
            <w:r w:rsidRPr="002D67B0">
              <w:rPr>
                <w:rFonts w:asciiTheme="majorHAnsi" w:hAnsiTheme="majorHAnsi"/>
                <w:b/>
                <w:spacing w:val="-4"/>
                <w:sz w:val="24"/>
                <w:szCs w:val="24"/>
              </w:rPr>
              <w:t xml:space="preserve"> </w:t>
            </w:r>
            <w:r w:rsidRPr="002D67B0">
              <w:rPr>
                <w:rFonts w:asciiTheme="majorHAnsi" w:hAnsiTheme="majorHAnsi"/>
                <w:b/>
                <w:sz w:val="24"/>
                <w:szCs w:val="24"/>
              </w:rPr>
              <w:t>Management</w:t>
            </w:r>
          </w:p>
        </w:tc>
      </w:tr>
      <w:tr w:rsidR="00876C83" w:rsidTr="002D67B0">
        <w:trPr>
          <w:trHeight w:val="491"/>
        </w:trPr>
        <w:tc>
          <w:tcPr>
            <w:tcW w:w="1730"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spacing w:before="120" w:line="360" w:lineRule="auto"/>
              <w:ind w:left="107"/>
              <w:rPr>
                <w:rFonts w:asciiTheme="majorHAnsi" w:hAnsiTheme="majorHAnsi"/>
                <w:b/>
                <w:sz w:val="24"/>
                <w:szCs w:val="24"/>
              </w:rPr>
            </w:pPr>
            <w:r w:rsidRPr="002D67B0">
              <w:rPr>
                <w:rFonts w:asciiTheme="majorHAnsi" w:hAnsiTheme="majorHAnsi"/>
                <w:b/>
                <w:sz w:val="24"/>
                <w:szCs w:val="24"/>
              </w:rPr>
              <w:t>Module:</w:t>
            </w:r>
          </w:p>
        </w:tc>
        <w:tc>
          <w:tcPr>
            <w:tcW w:w="8195" w:type="dxa"/>
            <w:gridSpan w:val="3"/>
            <w:tcBorders>
              <w:top w:val="single" w:sz="4" w:space="0" w:color="000000"/>
              <w:left w:val="single" w:sz="4" w:space="0" w:color="000000"/>
              <w:bottom w:val="single" w:sz="4" w:space="0" w:color="000000"/>
              <w:right w:val="single" w:sz="4" w:space="0" w:color="000000"/>
            </w:tcBorders>
            <w:hideMark/>
          </w:tcPr>
          <w:p w:rsidR="002D67B0" w:rsidRPr="002D67B0" w:rsidRDefault="004115FD" w:rsidP="002D67B0">
            <w:pPr>
              <w:pStyle w:val="TableParagraph"/>
              <w:spacing w:before="120" w:line="360" w:lineRule="auto"/>
              <w:ind w:left="108"/>
              <w:rPr>
                <w:rFonts w:asciiTheme="majorHAnsi" w:hAnsiTheme="majorHAnsi"/>
                <w:b/>
                <w:sz w:val="24"/>
                <w:szCs w:val="24"/>
              </w:rPr>
            </w:pPr>
            <w:r w:rsidRPr="002D67B0">
              <w:rPr>
                <w:rFonts w:asciiTheme="majorHAnsi" w:hAnsiTheme="majorHAnsi"/>
                <w:b/>
                <w:sz w:val="24"/>
                <w:szCs w:val="24"/>
              </w:rPr>
              <w:t>Strategic</w:t>
            </w:r>
            <w:r w:rsidRPr="002D67B0">
              <w:rPr>
                <w:rFonts w:asciiTheme="majorHAnsi" w:hAnsiTheme="majorHAnsi"/>
                <w:b/>
                <w:spacing w:val="-4"/>
                <w:sz w:val="24"/>
                <w:szCs w:val="24"/>
              </w:rPr>
              <w:t xml:space="preserve"> </w:t>
            </w:r>
            <w:r w:rsidRPr="002D67B0">
              <w:rPr>
                <w:rFonts w:asciiTheme="majorHAnsi" w:hAnsiTheme="majorHAnsi"/>
                <w:b/>
                <w:sz w:val="24"/>
                <w:szCs w:val="24"/>
              </w:rPr>
              <w:t>Management</w:t>
            </w:r>
            <w:r w:rsidRPr="002D67B0">
              <w:rPr>
                <w:rFonts w:asciiTheme="majorHAnsi" w:hAnsiTheme="majorHAnsi"/>
                <w:b/>
                <w:spacing w:val="-2"/>
                <w:sz w:val="24"/>
                <w:szCs w:val="24"/>
              </w:rPr>
              <w:t xml:space="preserve"> </w:t>
            </w:r>
            <w:r w:rsidRPr="002D67B0">
              <w:rPr>
                <w:rFonts w:asciiTheme="majorHAnsi" w:hAnsiTheme="majorHAnsi"/>
                <w:b/>
                <w:sz w:val="24"/>
                <w:szCs w:val="24"/>
              </w:rPr>
              <w:t>and</w:t>
            </w:r>
            <w:r w:rsidRPr="002D67B0">
              <w:rPr>
                <w:rFonts w:asciiTheme="majorHAnsi" w:hAnsiTheme="majorHAnsi"/>
                <w:b/>
                <w:spacing w:val="-2"/>
                <w:sz w:val="24"/>
                <w:szCs w:val="24"/>
              </w:rPr>
              <w:t xml:space="preserve"> </w:t>
            </w:r>
            <w:r w:rsidRPr="002D67B0">
              <w:rPr>
                <w:rFonts w:asciiTheme="majorHAnsi" w:hAnsiTheme="majorHAnsi"/>
                <w:b/>
                <w:sz w:val="24"/>
                <w:szCs w:val="24"/>
              </w:rPr>
              <w:t>Sustainability</w:t>
            </w:r>
          </w:p>
        </w:tc>
      </w:tr>
      <w:tr w:rsidR="00876C83" w:rsidTr="002D67B0">
        <w:trPr>
          <w:trHeight w:val="761"/>
        </w:trPr>
        <w:tc>
          <w:tcPr>
            <w:tcW w:w="1730"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spacing w:before="122" w:line="360" w:lineRule="auto"/>
              <w:ind w:left="107"/>
              <w:rPr>
                <w:rFonts w:asciiTheme="majorHAnsi" w:hAnsiTheme="majorHAnsi"/>
                <w:b/>
                <w:sz w:val="24"/>
                <w:szCs w:val="24"/>
              </w:rPr>
            </w:pPr>
            <w:r w:rsidRPr="002D67B0">
              <w:rPr>
                <w:rFonts w:asciiTheme="majorHAnsi" w:hAnsiTheme="majorHAnsi"/>
                <w:b/>
                <w:sz w:val="24"/>
                <w:szCs w:val="24"/>
              </w:rPr>
              <w:t>Module</w:t>
            </w:r>
            <w:r w:rsidRPr="002D67B0">
              <w:rPr>
                <w:rFonts w:asciiTheme="majorHAnsi" w:hAnsiTheme="majorHAnsi"/>
                <w:b/>
                <w:spacing w:val="-2"/>
                <w:sz w:val="24"/>
                <w:szCs w:val="24"/>
              </w:rPr>
              <w:t xml:space="preserve"> </w:t>
            </w:r>
            <w:r w:rsidRPr="002D67B0">
              <w:rPr>
                <w:rFonts w:asciiTheme="majorHAnsi" w:hAnsiTheme="majorHAnsi"/>
                <w:b/>
                <w:sz w:val="24"/>
                <w:szCs w:val="24"/>
              </w:rPr>
              <w:t>code:</w:t>
            </w:r>
          </w:p>
        </w:tc>
        <w:tc>
          <w:tcPr>
            <w:tcW w:w="3829" w:type="dxa"/>
            <w:tcBorders>
              <w:top w:val="single" w:sz="4" w:space="0" w:color="000000"/>
              <w:left w:val="single" w:sz="4" w:space="0" w:color="000000"/>
              <w:bottom w:val="single" w:sz="4" w:space="0" w:color="000000"/>
              <w:right w:val="single" w:sz="4" w:space="0" w:color="000000"/>
            </w:tcBorders>
          </w:tcPr>
          <w:p w:rsidR="002D67B0" w:rsidRPr="002D67B0" w:rsidRDefault="002D67B0" w:rsidP="002D67B0">
            <w:pPr>
              <w:pStyle w:val="TableParagraph"/>
              <w:spacing w:before="1" w:line="360" w:lineRule="auto"/>
              <w:rPr>
                <w:rFonts w:asciiTheme="majorHAnsi" w:hAnsiTheme="majorHAnsi"/>
                <w:b/>
                <w:sz w:val="24"/>
                <w:szCs w:val="24"/>
              </w:rPr>
            </w:pPr>
          </w:p>
          <w:p w:rsidR="002D67B0" w:rsidRPr="002D67B0" w:rsidRDefault="004115FD" w:rsidP="002D67B0">
            <w:pPr>
              <w:pStyle w:val="TableParagraph"/>
              <w:spacing w:line="360" w:lineRule="auto"/>
              <w:ind w:left="108"/>
              <w:rPr>
                <w:rFonts w:asciiTheme="majorHAnsi" w:hAnsiTheme="majorHAnsi"/>
                <w:b/>
                <w:sz w:val="24"/>
                <w:szCs w:val="24"/>
              </w:rPr>
            </w:pPr>
            <w:r w:rsidRPr="002D67B0">
              <w:rPr>
                <w:rFonts w:asciiTheme="majorHAnsi" w:hAnsiTheme="majorHAnsi"/>
                <w:b/>
                <w:sz w:val="24"/>
                <w:szCs w:val="24"/>
              </w:rPr>
              <w:t>LCBB6004</w:t>
            </w:r>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spacing w:line="360" w:lineRule="auto"/>
              <w:ind w:left="108" w:right="94"/>
              <w:jc w:val="both"/>
              <w:rPr>
                <w:rFonts w:asciiTheme="majorHAnsi" w:hAnsiTheme="majorHAnsi"/>
                <w:b/>
                <w:sz w:val="24"/>
                <w:szCs w:val="24"/>
              </w:rPr>
            </w:pPr>
            <w:r w:rsidRPr="002D67B0">
              <w:rPr>
                <w:rFonts w:asciiTheme="majorHAnsi" w:hAnsiTheme="majorHAnsi"/>
                <w:b/>
                <w:sz w:val="24"/>
                <w:szCs w:val="24"/>
              </w:rPr>
              <w:t>Contribution</w:t>
            </w:r>
            <w:r w:rsidRPr="002D67B0">
              <w:rPr>
                <w:rFonts w:asciiTheme="majorHAnsi" w:hAnsiTheme="majorHAnsi"/>
                <w:b/>
                <w:spacing w:val="1"/>
                <w:sz w:val="24"/>
                <w:szCs w:val="24"/>
              </w:rPr>
              <w:t xml:space="preserve"> </w:t>
            </w:r>
            <w:r w:rsidRPr="002D67B0">
              <w:rPr>
                <w:rFonts w:asciiTheme="majorHAnsi" w:hAnsiTheme="majorHAnsi"/>
                <w:b/>
                <w:sz w:val="24"/>
                <w:szCs w:val="24"/>
              </w:rPr>
              <w:t>to</w:t>
            </w:r>
            <w:r w:rsidRPr="002D67B0">
              <w:rPr>
                <w:rFonts w:asciiTheme="majorHAnsi" w:hAnsiTheme="majorHAnsi"/>
                <w:b/>
                <w:spacing w:val="1"/>
                <w:sz w:val="24"/>
                <w:szCs w:val="24"/>
              </w:rPr>
              <w:t xml:space="preserve"> </w:t>
            </w:r>
            <w:r w:rsidRPr="002D67B0">
              <w:rPr>
                <w:rFonts w:asciiTheme="majorHAnsi" w:hAnsiTheme="majorHAnsi"/>
                <w:b/>
                <w:sz w:val="24"/>
                <w:szCs w:val="24"/>
              </w:rPr>
              <w:t>Overall</w:t>
            </w:r>
            <w:r w:rsidRPr="002D67B0">
              <w:rPr>
                <w:rFonts w:asciiTheme="majorHAnsi" w:hAnsiTheme="majorHAnsi"/>
                <w:b/>
                <w:spacing w:val="1"/>
                <w:sz w:val="24"/>
                <w:szCs w:val="24"/>
              </w:rPr>
              <w:t xml:space="preserve"> </w:t>
            </w:r>
            <w:r w:rsidRPr="002D67B0">
              <w:rPr>
                <w:rFonts w:asciiTheme="majorHAnsi" w:hAnsiTheme="majorHAnsi"/>
                <w:b/>
                <w:sz w:val="24"/>
                <w:szCs w:val="24"/>
              </w:rPr>
              <w:t>Module</w:t>
            </w:r>
            <w:r w:rsidRPr="002D67B0">
              <w:rPr>
                <w:rFonts w:asciiTheme="majorHAnsi" w:hAnsiTheme="majorHAnsi"/>
                <w:b/>
                <w:spacing w:val="1"/>
                <w:sz w:val="24"/>
                <w:szCs w:val="24"/>
              </w:rPr>
              <w:t xml:space="preserve"> </w:t>
            </w:r>
            <w:r w:rsidRPr="002D67B0">
              <w:rPr>
                <w:rFonts w:asciiTheme="majorHAnsi" w:hAnsiTheme="majorHAnsi"/>
                <w:b/>
                <w:spacing w:val="-1"/>
                <w:sz w:val="24"/>
                <w:szCs w:val="24"/>
              </w:rPr>
              <w:t>Assessment</w:t>
            </w:r>
            <w:r w:rsidRPr="002D67B0">
              <w:rPr>
                <w:rFonts w:asciiTheme="majorHAnsi" w:hAnsiTheme="majorHAnsi"/>
                <w:b/>
                <w:spacing w:val="-9"/>
                <w:sz w:val="24"/>
                <w:szCs w:val="24"/>
              </w:rPr>
              <w:t xml:space="preserve"> </w:t>
            </w:r>
            <w:r w:rsidRPr="002D67B0">
              <w:rPr>
                <w:rFonts w:asciiTheme="majorHAnsi" w:hAnsiTheme="majorHAnsi"/>
                <w:b/>
                <w:sz w:val="24"/>
                <w:szCs w:val="24"/>
              </w:rPr>
              <w:t>(%):</w:t>
            </w:r>
          </w:p>
        </w:tc>
        <w:tc>
          <w:tcPr>
            <w:tcW w:w="2381" w:type="dxa"/>
            <w:tcBorders>
              <w:top w:val="single" w:sz="4" w:space="0" w:color="000000"/>
              <w:left w:val="single" w:sz="4" w:space="0" w:color="000000"/>
              <w:bottom w:val="single" w:sz="4" w:space="0" w:color="000000"/>
              <w:right w:val="single" w:sz="4" w:space="0" w:color="000000"/>
            </w:tcBorders>
          </w:tcPr>
          <w:p w:rsidR="002D67B0" w:rsidRPr="002D67B0" w:rsidRDefault="002D67B0" w:rsidP="002D67B0">
            <w:pPr>
              <w:pStyle w:val="TableParagraph"/>
              <w:spacing w:before="1" w:line="360" w:lineRule="auto"/>
              <w:rPr>
                <w:rFonts w:asciiTheme="majorHAnsi" w:hAnsiTheme="majorHAnsi"/>
                <w:b/>
                <w:sz w:val="24"/>
                <w:szCs w:val="24"/>
              </w:rPr>
            </w:pPr>
          </w:p>
          <w:p w:rsidR="002D67B0" w:rsidRPr="002D67B0" w:rsidRDefault="004115FD" w:rsidP="002D67B0">
            <w:pPr>
              <w:pStyle w:val="TableParagraph"/>
              <w:spacing w:line="360" w:lineRule="auto"/>
              <w:ind w:left="106"/>
              <w:rPr>
                <w:rFonts w:asciiTheme="majorHAnsi" w:hAnsiTheme="majorHAnsi"/>
                <w:b/>
                <w:sz w:val="24"/>
                <w:szCs w:val="24"/>
              </w:rPr>
            </w:pPr>
            <w:r w:rsidRPr="002D67B0">
              <w:rPr>
                <w:rFonts w:asciiTheme="majorHAnsi" w:hAnsiTheme="majorHAnsi"/>
                <w:b/>
                <w:sz w:val="24"/>
                <w:szCs w:val="24"/>
              </w:rPr>
              <w:t>50%</w:t>
            </w:r>
          </w:p>
        </w:tc>
      </w:tr>
      <w:tr w:rsidR="00876C83" w:rsidTr="002D67B0">
        <w:trPr>
          <w:trHeight w:val="745"/>
        </w:trPr>
        <w:tc>
          <w:tcPr>
            <w:tcW w:w="1730"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spacing w:before="120" w:line="360" w:lineRule="auto"/>
              <w:ind w:left="107" w:right="334"/>
              <w:rPr>
                <w:rFonts w:asciiTheme="majorHAnsi" w:hAnsiTheme="majorHAnsi"/>
                <w:b/>
                <w:sz w:val="24"/>
                <w:szCs w:val="24"/>
              </w:rPr>
            </w:pPr>
            <w:r w:rsidRPr="002D67B0">
              <w:rPr>
                <w:rFonts w:asciiTheme="majorHAnsi" w:hAnsiTheme="majorHAnsi"/>
                <w:b/>
                <w:sz w:val="24"/>
                <w:szCs w:val="24"/>
              </w:rPr>
              <w:t>Module</w:t>
            </w:r>
            <w:r w:rsidRPr="002D67B0">
              <w:rPr>
                <w:rFonts w:asciiTheme="majorHAnsi" w:hAnsiTheme="majorHAnsi"/>
                <w:b/>
                <w:spacing w:val="1"/>
                <w:sz w:val="24"/>
                <w:szCs w:val="24"/>
              </w:rPr>
              <w:t xml:space="preserve"> </w:t>
            </w:r>
            <w:r w:rsidRPr="002D67B0">
              <w:rPr>
                <w:rFonts w:asciiTheme="majorHAnsi" w:hAnsiTheme="majorHAnsi"/>
                <w:b/>
                <w:sz w:val="24"/>
                <w:szCs w:val="24"/>
              </w:rPr>
              <w:t>Coordinator</w:t>
            </w:r>
          </w:p>
        </w:tc>
        <w:tc>
          <w:tcPr>
            <w:tcW w:w="3829" w:type="dxa"/>
            <w:tcBorders>
              <w:top w:val="single" w:sz="4" w:space="0" w:color="000000"/>
              <w:left w:val="single" w:sz="4" w:space="0" w:color="000000"/>
              <w:bottom w:val="single" w:sz="4" w:space="0" w:color="000000"/>
              <w:right w:val="single" w:sz="4" w:space="0" w:color="000000"/>
            </w:tcBorders>
          </w:tcPr>
          <w:p w:rsidR="002D67B0" w:rsidRPr="002D67B0" w:rsidRDefault="002D67B0" w:rsidP="002D67B0">
            <w:pPr>
              <w:pStyle w:val="TableParagraph"/>
              <w:spacing w:before="5" w:line="360" w:lineRule="auto"/>
              <w:rPr>
                <w:rFonts w:asciiTheme="majorHAnsi" w:hAnsiTheme="majorHAnsi"/>
                <w:b/>
                <w:noProof/>
                <w:sz w:val="24"/>
                <w:szCs w:val="24"/>
              </w:rPr>
            </w:pPr>
          </w:p>
          <w:p w:rsidR="002D67B0" w:rsidRPr="002D67B0" w:rsidRDefault="004115FD" w:rsidP="002D67B0">
            <w:pPr>
              <w:pStyle w:val="TableParagraph"/>
              <w:spacing w:line="360" w:lineRule="auto"/>
              <w:ind w:left="108"/>
              <w:rPr>
                <w:rFonts w:asciiTheme="majorHAnsi" w:hAnsiTheme="majorHAnsi"/>
                <w:b/>
                <w:noProof/>
                <w:sz w:val="24"/>
                <w:szCs w:val="24"/>
              </w:rPr>
            </w:pPr>
            <w:r w:rsidRPr="002D67B0">
              <w:rPr>
                <w:rFonts w:asciiTheme="majorHAnsi" w:hAnsiTheme="majorHAnsi"/>
                <w:b/>
                <w:noProof/>
                <w:sz w:val="24"/>
                <w:szCs w:val="24"/>
              </w:rPr>
              <w:t>Dr Hossein</w:t>
            </w:r>
            <w:r w:rsidRPr="002D67B0">
              <w:rPr>
                <w:rFonts w:asciiTheme="majorHAnsi" w:hAnsiTheme="majorHAnsi"/>
                <w:b/>
                <w:noProof/>
                <w:spacing w:val="-3"/>
                <w:sz w:val="24"/>
                <w:szCs w:val="24"/>
              </w:rPr>
              <w:t xml:space="preserve"> </w:t>
            </w:r>
            <w:r w:rsidRPr="002D67B0">
              <w:rPr>
                <w:rFonts w:asciiTheme="majorHAnsi" w:hAnsiTheme="majorHAnsi"/>
                <w:b/>
                <w:noProof/>
                <w:sz w:val="24"/>
                <w:szCs w:val="24"/>
              </w:rPr>
              <w:t>Shokri</w:t>
            </w:r>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spacing w:before="120" w:line="360" w:lineRule="auto"/>
              <w:ind w:left="108"/>
              <w:rPr>
                <w:rFonts w:asciiTheme="majorHAnsi" w:hAnsiTheme="majorHAnsi"/>
                <w:b/>
                <w:noProof/>
                <w:sz w:val="24"/>
                <w:szCs w:val="24"/>
              </w:rPr>
            </w:pPr>
            <w:r w:rsidRPr="002D67B0">
              <w:rPr>
                <w:rFonts w:asciiTheme="majorHAnsi" w:hAnsiTheme="majorHAnsi"/>
                <w:b/>
                <w:noProof/>
                <w:sz w:val="24"/>
                <w:szCs w:val="24"/>
              </w:rPr>
              <w:t>Internal</w:t>
            </w:r>
            <w:r w:rsidRPr="002D67B0">
              <w:rPr>
                <w:rFonts w:asciiTheme="majorHAnsi" w:hAnsiTheme="majorHAnsi"/>
                <w:b/>
                <w:noProof/>
                <w:spacing w:val="-1"/>
                <w:sz w:val="24"/>
                <w:szCs w:val="24"/>
              </w:rPr>
              <w:t xml:space="preserve"> </w:t>
            </w:r>
            <w:r w:rsidRPr="002D67B0">
              <w:rPr>
                <w:rFonts w:asciiTheme="majorHAnsi" w:hAnsiTheme="majorHAnsi"/>
                <w:b/>
                <w:noProof/>
                <w:sz w:val="24"/>
                <w:szCs w:val="24"/>
              </w:rPr>
              <w:t>Verifier:</w:t>
            </w:r>
          </w:p>
        </w:tc>
        <w:tc>
          <w:tcPr>
            <w:tcW w:w="2381" w:type="dxa"/>
            <w:tcBorders>
              <w:top w:val="single" w:sz="4" w:space="0" w:color="000000"/>
              <w:left w:val="single" w:sz="4" w:space="0" w:color="000000"/>
              <w:bottom w:val="single" w:sz="4" w:space="0" w:color="000000"/>
              <w:right w:val="single" w:sz="4" w:space="0" w:color="000000"/>
            </w:tcBorders>
            <w:hideMark/>
          </w:tcPr>
          <w:p w:rsidR="002D67B0" w:rsidRPr="002D67B0" w:rsidRDefault="004115FD" w:rsidP="002D67B0">
            <w:pPr>
              <w:pStyle w:val="TableParagraph"/>
              <w:spacing w:before="120" w:line="360" w:lineRule="auto"/>
              <w:ind w:left="106" w:right="1059"/>
              <w:rPr>
                <w:rFonts w:asciiTheme="majorHAnsi" w:hAnsiTheme="majorHAnsi"/>
                <w:b/>
                <w:noProof/>
                <w:sz w:val="24"/>
                <w:szCs w:val="24"/>
              </w:rPr>
            </w:pPr>
            <w:r w:rsidRPr="002D67B0">
              <w:rPr>
                <w:rFonts w:asciiTheme="majorHAnsi" w:hAnsiTheme="majorHAnsi"/>
                <w:b/>
                <w:noProof/>
                <w:sz w:val="24"/>
                <w:szCs w:val="24"/>
              </w:rPr>
              <w:t>Dr Anupam</w:t>
            </w:r>
            <w:r w:rsidRPr="002D67B0">
              <w:rPr>
                <w:rFonts w:asciiTheme="majorHAnsi" w:hAnsiTheme="majorHAnsi"/>
                <w:b/>
                <w:noProof/>
                <w:spacing w:val="-59"/>
                <w:sz w:val="24"/>
                <w:szCs w:val="24"/>
              </w:rPr>
              <w:t xml:space="preserve"> </w:t>
            </w:r>
            <w:r w:rsidRPr="002D67B0">
              <w:rPr>
                <w:rFonts w:asciiTheme="majorHAnsi" w:hAnsiTheme="majorHAnsi"/>
                <w:b/>
                <w:noProof/>
                <w:sz w:val="24"/>
                <w:szCs w:val="24"/>
              </w:rPr>
              <w:t>Mazumdar</w:t>
            </w:r>
          </w:p>
        </w:tc>
      </w:tr>
      <w:tr w:rsidR="00876C83" w:rsidTr="002D67B0">
        <w:trPr>
          <w:trHeight w:val="746"/>
        </w:trPr>
        <w:tc>
          <w:tcPr>
            <w:tcW w:w="1730"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spacing w:before="120" w:line="360" w:lineRule="auto"/>
              <w:ind w:left="107" w:right="333"/>
              <w:rPr>
                <w:rFonts w:asciiTheme="majorHAnsi" w:hAnsiTheme="majorHAnsi"/>
                <w:b/>
                <w:sz w:val="24"/>
                <w:szCs w:val="24"/>
              </w:rPr>
            </w:pPr>
            <w:r w:rsidRPr="002D67B0">
              <w:rPr>
                <w:rFonts w:asciiTheme="majorHAnsi" w:hAnsiTheme="majorHAnsi"/>
                <w:b/>
                <w:sz w:val="24"/>
                <w:szCs w:val="24"/>
              </w:rPr>
              <w:t>Assignment</w:t>
            </w:r>
            <w:r w:rsidRPr="002D67B0">
              <w:rPr>
                <w:rFonts w:asciiTheme="majorHAnsi" w:hAnsiTheme="majorHAnsi"/>
                <w:b/>
                <w:spacing w:val="-59"/>
                <w:sz w:val="24"/>
                <w:szCs w:val="24"/>
              </w:rPr>
              <w:t xml:space="preserve"> </w:t>
            </w:r>
            <w:r w:rsidRPr="002D67B0">
              <w:rPr>
                <w:rFonts w:asciiTheme="majorHAnsi" w:hAnsiTheme="majorHAnsi"/>
                <w:b/>
                <w:sz w:val="24"/>
                <w:szCs w:val="24"/>
              </w:rPr>
              <w:t>Title:</w:t>
            </w:r>
          </w:p>
        </w:tc>
        <w:tc>
          <w:tcPr>
            <w:tcW w:w="3829" w:type="dxa"/>
            <w:tcBorders>
              <w:top w:val="single" w:sz="4" w:space="0" w:color="000000"/>
              <w:left w:val="single" w:sz="4" w:space="0" w:color="000000"/>
              <w:bottom w:val="single" w:sz="4" w:space="0" w:color="000000"/>
              <w:right w:val="single" w:sz="4" w:space="0" w:color="000000"/>
            </w:tcBorders>
          </w:tcPr>
          <w:p w:rsidR="002D67B0" w:rsidRPr="002D67B0" w:rsidRDefault="002D67B0" w:rsidP="002D67B0">
            <w:pPr>
              <w:pStyle w:val="TableParagraph"/>
              <w:spacing w:before="5" w:line="360" w:lineRule="auto"/>
              <w:rPr>
                <w:rFonts w:asciiTheme="majorHAnsi" w:hAnsiTheme="majorHAnsi"/>
                <w:b/>
                <w:sz w:val="24"/>
                <w:szCs w:val="24"/>
              </w:rPr>
            </w:pPr>
          </w:p>
          <w:p w:rsidR="002D67B0" w:rsidRPr="002D67B0" w:rsidRDefault="004115FD" w:rsidP="002D67B0">
            <w:pPr>
              <w:pStyle w:val="TableParagraph"/>
              <w:spacing w:line="360" w:lineRule="auto"/>
              <w:ind w:left="108"/>
              <w:rPr>
                <w:rFonts w:asciiTheme="majorHAnsi" w:hAnsiTheme="majorHAnsi"/>
                <w:b/>
                <w:sz w:val="24"/>
                <w:szCs w:val="24"/>
              </w:rPr>
            </w:pPr>
            <w:r w:rsidRPr="002D67B0">
              <w:rPr>
                <w:rFonts w:asciiTheme="majorHAnsi" w:hAnsiTheme="majorHAnsi"/>
                <w:b/>
                <w:sz w:val="24"/>
                <w:szCs w:val="24"/>
              </w:rPr>
              <w:t>Coursework:</w:t>
            </w:r>
            <w:r w:rsidRPr="002D67B0">
              <w:rPr>
                <w:rFonts w:asciiTheme="majorHAnsi" w:hAnsiTheme="majorHAnsi"/>
                <w:b/>
                <w:spacing w:val="-2"/>
                <w:sz w:val="24"/>
                <w:szCs w:val="24"/>
              </w:rPr>
              <w:t xml:space="preserve"> </w:t>
            </w:r>
            <w:r w:rsidRPr="002D67B0">
              <w:rPr>
                <w:rFonts w:asciiTheme="majorHAnsi" w:hAnsiTheme="majorHAnsi"/>
                <w:b/>
                <w:sz w:val="24"/>
                <w:szCs w:val="24"/>
              </w:rPr>
              <w:t>Written</w:t>
            </w:r>
            <w:r w:rsidRPr="002D67B0">
              <w:rPr>
                <w:rFonts w:asciiTheme="majorHAnsi" w:hAnsiTheme="majorHAnsi"/>
                <w:b/>
                <w:spacing w:val="-4"/>
                <w:sz w:val="24"/>
                <w:szCs w:val="24"/>
              </w:rPr>
              <w:t xml:space="preserve"> </w:t>
            </w:r>
            <w:r w:rsidRPr="002D67B0">
              <w:rPr>
                <w:rFonts w:asciiTheme="majorHAnsi" w:hAnsiTheme="majorHAnsi"/>
                <w:b/>
                <w:sz w:val="24"/>
                <w:szCs w:val="24"/>
              </w:rPr>
              <w:t>Report</w:t>
            </w:r>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spacing w:before="120" w:line="360" w:lineRule="auto"/>
              <w:ind w:left="108"/>
              <w:rPr>
                <w:rFonts w:asciiTheme="majorHAnsi" w:hAnsiTheme="majorHAnsi"/>
                <w:b/>
                <w:sz w:val="24"/>
                <w:szCs w:val="24"/>
              </w:rPr>
            </w:pPr>
            <w:r w:rsidRPr="002D67B0">
              <w:rPr>
                <w:rFonts w:asciiTheme="majorHAnsi" w:hAnsiTheme="majorHAnsi"/>
                <w:b/>
                <w:sz w:val="24"/>
                <w:szCs w:val="24"/>
              </w:rPr>
              <w:t>Word</w:t>
            </w:r>
            <w:r w:rsidRPr="002D67B0">
              <w:rPr>
                <w:rFonts w:asciiTheme="majorHAnsi" w:hAnsiTheme="majorHAnsi"/>
                <w:b/>
                <w:spacing w:val="29"/>
                <w:sz w:val="24"/>
                <w:szCs w:val="24"/>
              </w:rPr>
              <w:t xml:space="preserve"> </w:t>
            </w:r>
            <w:r w:rsidRPr="002D67B0">
              <w:rPr>
                <w:rFonts w:asciiTheme="majorHAnsi" w:hAnsiTheme="majorHAnsi"/>
                <w:b/>
                <w:sz w:val="24"/>
                <w:szCs w:val="24"/>
              </w:rPr>
              <w:t>count</w:t>
            </w:r>
            <w:r w:rsidRPr="002D67B0">
              <w:rPr>
                <w:rFonts w:asciiTheme="majorHAnsi" w:hAnsiTheme="majorHAnsi"/>
                <w:b/>
                <w:spacing w:val="28"/>
                <w:sz w:val="24"/>
                <w:szCs w:val="24"/>
              </w:rPr>
              <w:t xml:space="preserve"> </w:t>
            </w:r>
            <w:r w:rsidRPr="002D67B0">
              <w:rPr>
                <w:rFonts w:asciiTheme="majorHAnsi" w:hAnsiTheme="majorHAnsi"/>
                <w:b/>
                <w:sz w:val="24"/>
                <w:szCs w:val="24"/>
              </w:rPr>
              <w:t>(or</w:t>
            </w:r>
            <w:r w:rsidRPr="002D67B0">
              <w:rPr>
                <w:rFonts w:asciiTheme="majorHAnsi" w:hAnsiTheme="majorHAnsi"/>
                <w:b/>
                <w:spacing w:val="-59"/>
                <w:sz w:val="24"/>
                <w:szCs w:val="24"/>
              </w:rPr>
              <w:t xml:space="preserve"> </w:t>
            </w:r>
            <w:r w:rsidRPr="002D67B0">
              <w:rPr>
                <w:rFonts w:asciiTheme="majorHAnsi" w:hAnsiTheme="majorHAnsi"/>
                <w:b/>
                <w:sz w:val="24"/>
                <w:szCs w:val="24"/>
              </w:rPr>
              <w:t>equivalent):</w:t>
            </w:r>
          </w:p>
        </w:tc>
        <w:tc>
          <w:tcPr>
            <w:tcW w:w="2381" w:type="dxa"/>
            <w:tcBorders>
              <w:top w:val="single" w:sz="4" w:space="0" w:color="000000"/>
              <w:left w:val="single" w:sz="4" w:space="0" w:color="000000"/>
              <w:bottom w:val="single" w:sz="4" w:space="0" w:color="000000"/>
              <w:right w:val="single" w:sz="4" w:space="0" w:color="000000"/>
            </w:tcBorders>
            <w:hideMark/>
          </w:tcPr>
          <w:p w:rsidR="002D67B0" w:rsidRPr="002D67B0" w:rsidRDefault="004115FD" w:rsidP="002D67B0">
            <w:pPr>
              <w:pStyle w:val="TableParagraph"/>
              <w:spacing w:before="120" w:line="360" w:lineRule="auto"/>
              <w:ind w:left="106"/>
              <w:rPr>
                <w:rFonts w:asciiTheme="majorHAnsi" w:hAnsiTheme="majorHAnsi"/>
                <w:b/>
                <w:sz w:val="24"/>
                <w:szCs w:val="24"/>
              </w:rPr>
            </w:pPr>
            <w:r w:rsidRPr="002D67B0">
              <w:rPr>
                <w:rFonts w:asciiTheme="majorHAnsi" w:hAnsiTheme="majorHAnsi"/>
                <w:b/>
                <w:sz w:val="24"/>
                <w:szCs w:val="24"/>
              </w:rPr>
              <w:t>2500 words</w:t>
            </w:r>
            <w:r w:rsidRPr="002D67B0">
              <w:rPr>
                <w:rFonts w:asciiTheme="majorHAnsi" w:hAnsiTheme="majorHAnsi"/>
                <w:b/>
                <w:spacing w:val="-1"/>
                <w:sz w:val="24"/>
                <w:szCs w:val="24"/>
              </w:rPr>
              <w:t xml:space="preserve"> </w:t>
            </w:r>
            <w:r w:rsidRPr="002D67B0">
              <w:rPr>
                <w:rFonts w:asciiTheme="majorHAnsi" w:hAnsiTheme="majorHAnsi"/>
                <w:b/>
                <w:sz w:val="24"/>
                <w:szCs w:val="24"/>
              </w:rPr>
              <w:t>(+/-</w:t>
            </w:r>
          </w:p>
          <w:p w:rsidR="002D67B0" w:rsidRPr="002D67B0" w:rsidRDefault="004115FD" w:rsidP="002D67B0">
            <w:pPr>
              <w:pStyle w:val="TableParagraph"/>
              <w:spacing w:line="360" w:lineRule="auto"/>
              <w:ind w:left="106"/>
              <w:rPr>
                <w:rFonts w:asciiTheme="majorHAnsi" w:hAnsiTheme="majorHAnsi"/>
                <w:b/>
                <w:sz w:val="24"/>
                <w:szCs w:val="24"/>
              </w:rPr>
            </w:pPr>
            <w:r w:rsidRPr="002D67B0">
              <w:rPr>
                <w:rFonts w:asciiTheme="majorHAnsi" w:hAnsiTheme="majorHAnsi"/>
                <w:b/>
                <w:sz w:val="24"/>
                <w:szCs w:val="24"/>
              </w:rPr>
              <w:t>10%)</w:t>
            </w:r>
          </w:p>
        </w:tc>
      </w:tr>
      <w:tr w:rsidR="00876C83" w:rsidTr="002D67B0">
        <w:trPr>
          <w:trHeight w:val="1158"/>
        </w:trPr>
        <w:tc>
          <w:tcPr>
            <w:tcW w:w="1730"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spacing w:before="120" w:line="360" w:lineRule="auto"/>
              <w:ind w:left="107" w:right="346"/>
              <w:rPr>
                <w:rFonts w:asciiTheme="majorHAnsi" w:hAnsiTheme="majorHAnsi"/>
                <w:b/>
                <w:sz w:val="24"/>
                <w:szCs w:val="24"/>
              </w:rPr>
            </w:pPr>
            <w:r w:rsidRPr="002D67B0">
              <w:rPr>
                <w:rFonts w:asciiTheme="majorHAnsi" w:hAnsiTheme="majorHAnsi"/>
                <w:b/>
                <w:sz w:val="24"/>
                <w:szCs w:val="24"/>
              </w:rPr>
              <w:t>Submission</w:t>
            </w:r>
            <w:r w:rsidRPr="002D67B0">
              <w:rPr>
                <w:rFonts w:asciiTheme="majorHAnsi" w:hAnsiTheme="majorHAnsi"/>
                <w:b/>
                <w:spacing w:val="-59"/>
                <w:sz w:val="24"/>
                <w:szCs w:val="24"/>
              </w:rPr>
              <w:t xml:space="preserve"> </w:t>
            </w:r>
            <w:r w:rsidRPr="002D67B0">
              <w:rPr>
                <w:rFonts w:asciiTheme="majorHAnsi" w:hAnsiTheme="majorHAnsi"/>
                <w:b/>
                <w:sz w:val="24"/>
                <w:szCs w:val="24"/>
              </w:rPr>
              <w:t>Deadline</w:t>
            </w:r>
          </w:p>
        </w:tc>
        <w:tc>
          <w:tcPr>
            <w:tcW w:w="3829" w:type="dxa"/>
            <w:tcBorders>
              <w:top w:val="single" w:sz="4" w:space="0" w:color="000000"/>
              <w:left w:val="single" w:sz="4" w:space="0" w:color="000000"/>
              <w:bottom w:val="single" w:sz="4" w:space="0" w:color="000000"/>
              <w:right w:val="single" w:sz="4" w:space="0" w:color="000000"/>
            </w:tcBorders>
          </w:tcPr>
          <w:p w:rsidR="002D67B0" w:rsidRPr="002D67B0" w:rsidRDefault="002D67B0" w:rsidP="002D67B0">
            <w:pPr>
              <w:pStyle w:val="TableParagraph"/>
              <w:spacing w:before="1" w:line="360" w:lineRule="auto"/>
              <w:rPr>
                <w:rFonts w:asciiTheme="majorHAnsi" w:hAnsiTheme="majorHAnsi"/>
                <w:b/>
                <w:sz w:val="24"/>
                <w:szCs w:val="24"/>
              </w:rPr>
            </w:pPr>
          </w:p>
          <w:p w:rsidR="002D67B0" w:rsidRPr="002D67B0" w:rsidRDefault="004115FD" w:rsidP="002D67B0">
            <w:pPr>
              <w:pStyle w:val="TableParagraph"/>
              <w:spacing w:line="360" w:lineRule="auto"/>
              <w:ind w:left="108" w:right="284"/>
              <w:rPr>
                <w:rFonts w:asciiTheme="majorHAnsi" w:hAnsiTheme="majorHAnsi"/>
                <w:b/>
                <w:sz w:val="24"/>
                <w:szCs w:val="24"/>
              </w:rPr>
            </w:pPr>
            <w:r w:rsidRPr="002D67B0">
              <w:rPr>
                <w:rFonts w:asciiTheme="majorHAnsi" w:hAnsiTheme="majorHAnsi"/>
                <w:b/>
                <w:color w:val="FF0000"/>
                <w:sz w:val="24"/>
                <w:szCs w:val="24"/>
              </w:rPr>
              <w:t>Weekday: 25/08/2023 @ 14:00:00</w:t>
            </w:r>
            <w:r w:rsidRPr="002D67B0">
              <w:rPr>
                <w:rFonts w:asciiTheme="majorHAnsi" w:hAnsiTheme="majorHAnsi"/>
                <w:b/>
                <w:color w:val="FF0000"/>
                <w:spacing w:val="-59"/>
                <w:sz w:val="24"/>
                <w:szCs w:val="24"/>
              </w:rPr>
              <w:t xml:space="preserve"> </w:t>
            </w:r>
            <w:r w:rsidRPr="002D67B0">
              <w:rPr>
                <w:rFonts w:asciiTheme="majorHAnsi" w:hAnsiTheme="majorHAnsi"/>
                <w:b/>
                <w:color w:val="FF0000"/>
                <w:sz w:val="24"/>
                <w:szCs w:val="24"/>
              </w:rPr>
              <w:t>Weekend:</w:t>
            </w:r>
            <w:r w:rsidRPr="002D67B0">
              <w:rPr>
                <w:rFonts w:asciiTheme="majorHAnsi" w:hAnsiTheme="majorHAnsi"/>
                <w:b/>
                <w:color w:val="FF0000"/>
                <w:spacing w:val="-5"/>
                <w:sz w:val="24"/>
                <w:szCs w:val="24"/>
              </w:rPr>
              <w:t xml:space="preserve"> </w:t>
            </w:r>
            <w:r w:rsidRPr="002D67B0">
              <w:rPr>
                <w:rFonts w:asciiTheme="majorHAnsi" w:hAnsiTheme="majorHAnsi"/>
                <w:b/>
                <w:color w:val="FF0000"/>
                <w:sz w:val="24"/>
                <w:szCs w:val="24"/>
              </w:rPr>
              <w:t>27/08/2023</w:t>
            </w:r>
            <w:r w:rsidRPr="002D67B0">
              <w:rPr>
                <w:rFonts w:asciiTheme="majorHAnsi" w:hAnsiTheme="majorHAnsi"/>
                <w:b/>
                <w:color w:val="FF0000"/>
                <w:spacing w:val="-5"/>
                <w:sz w:val="24"/>
                <w:szCs w:val="24"/>
              </w:rPr>
              <w:t xml:space="preserve"> </w:t>
            </w:r>
            <w:r w:rsidRPr="002D67B0">
              <w:rPr>
                <w:rFonts w:asciiTheme="majorHAnsi" w:hAnsiTheme="majorHAnsi"/>
                <w:b/>
                <w:color w:val="FF0000"/>
                <w:sz w:val="24"/>
                <w:szCs w:val="24"/>
              </w:rPr>
              <w:t>@</w:t>
            </w:r>
            <w:r w:rsidRPr="002D67B0">
              <w:rPr>
                <w:rFonts w:asciiTheme="majorHAnsi" w:hAnsiTheme="majorHAnsi"/>
                <w:b/>
                <w:color w:val="FF0000"/>
                <w:spacing w:val="-2"/>
                <w:sz w:val="24"/>
                <w:szCs w:val="24"/>
              </w:rPr>
              <w:t xml:space="preserve"> </w:t>
            </w:r>
            <w:r w:rsidRPr="002D67B0">
              <w:rPr>
                <w:rFonts w:asciiTheme="majorHAnsi" w:hAnsiTheme="majorHAnsi"/>
                <w:b/>
                <w:color w:val="FF0000"/>
                <w:sz w:val="24"/>
                <w:szCs w:val="24"/>
              </w:rPr>
              <w:t>14:00:00</w:t>
            </w:r>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rsidR="002D67B0" w:rsidRPr="002D67B0" w:rsidRDefault="004115FD" w:rsidP="002D67B0">
            <w:pPr>
              <w:pStyle w:val="TableParagraph"/>
              <w:tabs>
                <w:tab w:val="left" w:pos="1219"/>
              </w:tabs>
              <w:spacing w:before="119" w:line="360" w:lineRule="auto"/>
              <w:ind w:left="108" w:right="98"/>
              <w:jc w:val="both"/>
              <w:rPr>
                <w:rFonts w:asciiTheme="majorHAnsi" w:hAnsiTheme="majorHAnsi"/>
                <w:b/>
                <w:sz w:val="24"/>
                <w:szCs w:val="24"/>
              </w:rPr>
            </w:pPr>
            <w:r w:rsidRPr="002D67B0">
              <w:rPr>
                <w:rFonts w:asciiTheme="majorHAnsi" w:hAnsiTheme="majorHAnsi"/>
                <w:b/>
                <w:sz w:val="24"/>
                <w:szCs w:val="24"/>
              </w:rPr>
              <w:t>Return</w:t>
            </w:r>
            <w:r w:rsidRPr="002D67B0">
              <w:rPr>
                <w:rFonts w:asciiTheme="majorHAnsi" w:hAnsiTheme="majorHAnsi"/>
                <w:b/>
                <w:spacing w:val="1"/>
                <w:sz w:val="24"/>
                <w:szCs w:val="24"/>
              </w:rPr>
              <w:t xml:space="preserve"> </w:t>
            </w:r>
            <w:r w:rsidRPr="002D67B0">
              <w:rPr>
                <w:rFonts w:asciiTheme="majorHAnsi" w:hAnsiTheme="majorHAnsi"/>
                <w:b/>
                <w:sz w:val="24"/>
                <w:szCs w:val="24"/>
              </w:rPr>
              <w:t>date</w:t>
            </w:r>
            <w:r w:rsidRPr="002D67B0">
              <w:rPr>
                <w:rFonts w:asciiTheme="majorHAnsi" w:hAnsiTheme="majorHAnsi"/>
                <w:b/>
                <w:spacing w:val="1"/>
                <w:sz w:val="24"/>
                <w:szCs w:val="24"/>
              </w:rPr>
              <w:t xml:space="preserve"> </w:t>
            </w:r>
            <w:r w:rsidRPr="002D67B0">
              <w:rPr>
                <w:rFonts w:asciiTheme="majorHAnsi" w:hAnsiTheme="majorHAnsi"/>
                <w:b/>
                <w:sz w:val="24"/>
                <w:szCs w:val="24"/>
              </w:rPr>
              <w:t>of</w:t>
            </w:r>
            <w:r w:rsidRPr="002D67B0">
              <w:rPr>
                <w:rFonts w:asciiTheme="majorHAnsi" w:hAnsiTheme="majorHAnsi"/>
                <w:b/>
                <w:spacing w:val="1"/>
                <w:sz w:val="24"/>
                <w:szCs w:val="24"/>
              </w:rPr>
              <w:t xml:space="preserve"> </w:t>
            </w:r>
            <w:r w:rsidRPr="002D67B0">
              <w:rPr>
                <w:rFonts w:asciiTheme="majorHAnsi" w:hAnsiTheme="majorHAnsi"/>
                <w:b/>
                <w:sz w:val="24"/>
                <w:szCs w:val="24"/>
              </w:rPr>
              <w:t>provisional marks</w:t>
            </w:r>
            <w:r w:rsidRPr="002D67B0">
              <w:rPr>
                <w:rFonts w:asciiTheme="majorHAnsi" w:hAnsiTheme="majorHAnsi"/>
                <w:b/>
                <w:spacing w:val="1"/>
                <w:sz w:val="24"/>
                <w:szCs w:val="24"/>
              </w:rPr>
              <w:t xml:space="preserve"> </w:t>
            </w:r>
            <w:r w:rsidRPr="002D67B0">
              <w:rPr>
                <w:rFonts w:asciiTheme="majorHAnsi" w:hAnsiTheme="majorHAnsi"/>
                <w:b/>
                <w:sz w:val="24"/>
                <w:szCs w:val="24"/>
              </w:rPr>
              <w:t>&amp;</w:t>
            </w:r>
            <w:r w:rsidRPr="002D67B0">
              <w:rPr>
                <w:rFonts w:asciiTheme="majorHAnsi" w:hAnsiTheme="majorHAnsi"/>
                <w:b/>
                <w:sz w:val="24"/>
                <w:szCs w:val="24"/>
              </w:rPr>
              <w:tab/>
            </w:r>
            <w:r w:rsidRPr="002D67B0">
              <w:rPr>
                <w:rFonts w:asciiTheme="majorHAnsi" w:hAnsiTheme="majorHAnsi"/>
                <w:b/>
                <w:spacing w:val="-1"/>
                <w:sz w:val="24"/>
                <w:szCs w:val="24"/>
              </w:rPr>
              <w:t>written</w:t>
            </w:r>
          </w:p>
          <w:p w:rsidR="002D67B0" w:rsidRPr="002D67B0" w:rsidRDefault="004115FD" w:rsidP="002D67B0">
            <w:pPr>
              <w:pStyle w:val="TableParagraph"/>
              <w:spacing w:line="360" w:lineRule="auto"/>
              <w:ind w:left="108"/>
              <w:rPr>
                <w:rFonts w:asciiTheme="majorHAnsi" w:hAnsiTheme="majorHAnsi"/>
                <w:b/>
                <w:sz w:val="24"/>
                <w:szCs w:val="24"/>
              </w:rPr>
            </w:pPr>
            <w:r w:rsidRPr="002D67B0">
              <w:rPr>
                <w:rFonts w:asciiTheme="majorHAnsi" w:hAnsiTheme="majorHAnsi"/>
                <w:b/>
                <w:sz w:val="24"/>
                <w:szCs w:val="24"/>
              </w:rPr>
              <w:t>feedback:</w:t>
            </w:r>
          </w:p>
        </w:tc>
        <w:tc>
          <w:tcPr>
            <w:tcW w:w="2381" w:type="dxa"/>
            <w:tcBorders>
              <w:top w:val="single" w:sz="4" w:space="0" w:color="000000"/>
              <w:left w:val="single" w:sz="4" w:space="0" w:color="000000"/>
              <w:bottom w:val="single" w:sz="4" w:space="0" w:color="000000"/>
              <w:right w:val="single" w:sz="4" w:space="0" w:color="000000"/>
            </w:tcBorders>
          </w:tcPr>
          <w:p w:rsidR="002D67B0" w:rsidRPr="002D67B0" w:rsidRDefault="002D67B0" w:rsidP="002D67B0">
            <w:pPr>
              <w:pStyle w:val="TableParagraph"/>
              <w:spacing w:before="2" w:line="360" w:lineRule="auto"/>
              <w:rPr>
                <w:rFonts w:asciiTheme="majorHAnsi" w:hAnsiTheme="majorHAnsi"/>
                <w:b/>
                <w:sz w:val="24"/>
                <w:szCs w:val="24"/>
              </w:rPr>
            </w:pPr>
          </w:p>
          <w:p w:rsidR="002D67B0" w:rsidRPr="002D67B0" w:rsidRDefault="004115FD" w:rsidP="002D67B0">
            <w:pPr>
              <w:pStyle w:val="TableParagraph"/>
              <w:spacing w:line="360" w:lineRule="auto"/>
              <w:ind w:left="106" w:right="477"/>
              <w:rPr>
                <w:rFonts w:asciiTheme="majorHAnsi" w:hAnsiTheme="majorHAnsi"/>
                <w:b/>
                <w:sz w:val="24"/>
                <w:szCs w:val="24"/>
              </w:rPr>
            </w:pPr>
            <w:r w:rsidRPr="002D67B0">
              <w:rPr>
                <w:rFonts w:asciiTheme="majorHAnsi" w:hAnsiTheme="majorHAnsi"/>
                <w:b/>
                <w:color w:val="FF0000"/>
                <w:sz w:val="24"/>
                <w:szCs w:val="24"/>
              </w:rPr>
              <w:t>Weekday: 15/09/23</w:t>
            </w:r>
            <w:r w:rsidRPr="002D67B0">
              <w:rPr>
                <w:rFonts w:asciiTheme="majorHAnsi" w:hAnsiTheme="majorHAnsi"/>
                <w:b/>
                <w:color w:val="FF0000"/>
                <w:spacing w:val="-53"/>
                <w:sz w:val="24"/>
                <w:szCs w:val="24"/>
              </w:rPr>
              <w:t xml:space="preserve"> </w:t>
            </w:r>
            <w:r w:rsidRPr="002D67B0">
              <w:rPr>
                <w:rFonts w:asciiTheme="majorHAnsi" w:hAnsiTheme="majorHAnsi"/>
                <w:b/>
                <w:color w:val="FF0000"/>
                <w:spacing w:val="-1"/>
                <w:sz w:val="24"/>
                <w:szCs w:val="24"/>
              </w:rPr>
              <w:t>Weekend:</w:t>
            </w:r>
            <w:r w:rsidRPr="002D67B0">
              <w:rPr>
                <w:rFonts w:asciiTheme="majorHAnsi" w:hAnsiTheme="majorHAnsi"/>
                <w:b/>
                <w:color w:val="FF0000"/>
                <w:spacing w:val="-10"/>
                <w:sz w:val="24"/>
                <w:szCs w:val="24"/>
              </w:rPr>
              <w:t xml:space="preserve"> </w:t>
            </w:r>
            <w:r w:rsidRPr="002D67B0">
              <w:rPr>
                <w:rFonts w:asciiTheme="majorHAnsi" w:hAnsiTheme="majorHAnsi"/>
                <w:b/>
                <w:color w:val="FF0000"/>
                <w:sz w:val="24"/>
                <w:szCs w:val="24"/>
              </w:rPr>
              <w:t>15/09/23</w:t>
            </w:r>
          </w:p>
        </w:tc>
      </w:tr>
    </w:tbl>
    <w:p w:rsidR="002D67B0" w:rsidRDefault="004115FD">
      <w:pPr>
        <w:spacing w:line="276" w:lineRule="auto"/>
        <w:jc w:val="left"/>
        <w:rPr>
          <w:rFonts w:eastAsiaTheme="majorEastAsia" w:cstheme="majorBidi"/>
          <w:b/>
          <w:bCs/>
          <w:color w:val="365F91" w:themeColor="accent1" w:themeShade="BF"/>
          <w:sz w:val="28"/>
          <w:szCs w:val="28"/>
          <w:lang w:val="en-GB"/>
        </w:rPr>
      </w:pPr>
      <w:r>
        <w:rPr>
          <w:lang w:val="en-GB"/>
        </w:rPr>
        <w:br w:type="page"/>
      </w:r>
    </w:p>
    <w:sdt>
      <w:sdtPr>
        <w:rPr>
          <w:rFonts w:eastAsiaTheme="minorHAnsi" w:cstheme="minorBidi"/>
          <w:b w:val="0"/>
          <w:bCs w:val="0"/>
          <w:color w:val="auto"/>
          <w:sz w:val="24"/>
          <w:szCs w:val="22"/>
          <w:lang w:eastAsia="en-US"/>
        </w:rPr>
        <w:id w:val="1162514055"/>
        <w:docPartObj>
          <w:docPartGallery w:val="Table of Contents"/>
          <w:docPartUnique/>
        </w:docPartObj>
      </w:sdtPr>
      <w:sdtEndPr>
        <w:rPr>
          <w:noProof/>
        </w:rPr>
      </w:sdtEndPr>
      <w:sdtContent>
        <w:p w:rsidR="002D67B0" w:rsidRDefault="004115FD" w:rsidP="002D67B0">
          <w:pPr>
            <w:pStyle w:val="TOCHeading"/>
            <w:spacing w:line="360" w:lineRule="auto"/>
          </w:pPr>
          <w:r>
            <w:t>Table of Contents</w:t>
          </w:r>
        </w:p>
        <w:p w:rsidR="002D67B0" w:rsidRDefault="004115F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2497522" w:history="1">
            <w:r w:rsidRPr="003F4891">
              <w:rPr>
                <w:rStyle w:val="Hyperlink"/>
                <w:noProof/>
                <w:lang w:val="en-GB"/>
              </w:rPr>
              <w:t>Introduction</w:t>
            </w:r>
            <w:r>
              <w:rPr>
                <w:noProof/>
                <w:webHidden/>
              </w:rPr>
              <w:tab/>
            </w:r>
            <w:r>
              <w:rPr>
                <w:noProof/>
                <w:webHidden/>
              </w:rPr>
              <w:fldChar w:fldCharType="begin"/>
            </w:r>
            <w:r>
              <w:rPr>
                <w:noProof/>
                <w:webHidden/>
              </w:rPr>
              <w:instrText xml:space="preserve"> PAGEREF _Toc142497522 \h </w:instrText>
            </w:r>
            <w:r>
              <w:rPr>
                <w:noProof/>
                <w:webHidden/>
              </w:rPr>
            </w:r>
            <w:r>
              <w:rPr>
                <w:noProof/>
                <w:webHidden/>
              </w:rPr>
              <w:fldChar w:fldCharType="separate"/>
            </w:r>
            <w:r>
              <w:rPr>
                <w:noProof/>
                <w:webHidden/>
              </w:rPr>
              <w:t>3</w:t>
            </w:r>
            <w:r>
              <w:rPr>
                <w:noProof/>
                <w:webHidden/>
              </w:rPr>
              <w:fldChar w:fldCharType="end"/>
            </w:r>
          </w:hyperlink>
        </w:p>
        <w:p w:rsidR="002D67B0" w:rsidRDefault="004115FD">
          <w:pPr>
            <w:pStyle w:val="TOC1"/>
            <w:tabs>
              <w:tab w:val="right" w:leader="dot" w:pos="9350"/>
            </w:tabs>
            <w:rPr>
              <w:rFonts w:asciiTheme="minorHAnsi" w:eastAsiaTheme="minorEastAsia" w:hAnsiTheme="minorHAnsi"/>
              <w:noProof/>
              <w:sz w:val="22"/>
            </w:rPr>
          </w:pPr>
          <w:hyperlink w:anchor="_Toc142497523" w:history="1">
            <w:r w:rsidRPr="003F4891">
              <w:rPr>
                <w:rStyle w:val="Hyperlink"/>
                <w:noProof/>
                <w:lang w:val="en-GB"/>
              </w:rPr>
              <w:t>Business Strategies of VW over the Past Five Years and Discussion</w:t>
            </w:r>
            <w:r>
              <w:rPr>
                <w:noProof/>
                <w:webHidden/>
              </w:rPr>
              <w:tab/>
            </w:r>
            <w:r>
              <w:rPr>
                <w:noProof/>
                <w:webHidden/>
              </w:rPr>
              <w:fldChar w:fldCharType="begin"/>
            </w:r>
            <w:r>
              <w:rPr>
                <w:noProof/>
                <w:webHidden/>
              </w:rPr>
              <w:instrText xml:space="preserve"> PAGEREF _Toc142497523 \h </w:instrText>
            </w:r>
            <w:r>
              <w:rPr>
                <w:noProof/>
                <w:webHidden/>
              </w:rPr>
            </w:r>
            <w:r>
              <w:rPr>
                <w:noProof/>
                <w:webHidden/>
              </w:rPr>
              <w:fldChar w:fldCharType="separate"/>
            </w:r>
            <w:r>
              <w:rPr>
                <w:noProof/>
                <w:webHidden/>
              </w:rPr>
              <w:t>4</w:t>
            </w:r>
            <w:r>
              <w:rPr>
                <w:noProof/>
                <w:webHidden/>
              </w:rPr>
              <w:fldChar w:fldCharType="end"/>
            </w:r>
          </w:hyperlink>
        </w:p>
        <w:p w:rsidR="002D67B0" w:rsidRDefault="004115FD">
          <w:pPr>
            <w:pStyle w:val="TOC1"/>
            <w:tabs>
              <w:tab w:val="right" w:leader="dot" w:pos="9350"/>
            </w:tabs>
            <w:rPr>
              <w:rFonts w:asciiTheme="minorHAnsi" w:eastAsiaTheme="minorEastAsia" w:hAnsiTheme="minorHAnsi"/>
              <w:noProof/>
              <w:sz w:val="22"/>
            </w:rPr>
          </w:pPr>
          <w:hyperlink w:anchor="_Toc142497524" w:history="1">
            <w:r w:rsidRPr="003F4891">
              <w:rPr>
                <w:rStyle w:val="Hyperlink"/>
                <w:noProof/>
                <w:lang w:val="en-GB"/>
              </w:rPr>
              <w:t>Resources and Capabilities of VW Over the Past Five Years and its Alignment with Business Strategies</w:t>
            </w:r>
            <w:r>
              <w:rPr>
                <w:noProof/>
                <w:webHidden/>
              </w:rPr>
              <w:tab/>
            </w:r>
            <w:r>
              <w:rPr>
                <w:noProof/>
                <w:webHidden/>
              </w:rPr>
              <w:fldChar w:fldCharType="begin"/>
            </w:r>
            <w:r>
              <w:rPr>
                <w:noProof/>
                <w:webHidden/>
              </w:rPr>
              <w:instrText xml:space="preserve"> PAGEREF _Toc142497524 \h </w:instrText>
            </w:r>
            <w:r>
              <w:rPr>
                <w:noProof/>
                <w:webHidden/>
              </w:rPr>
            </w:r>
            <w:r>
              <w:rPr>
                <w:noProof/>
                <w:webHidden/>
              </w:rPr>
              <w:fldChar w:fldCharType="separate"/>
            </w:r>
            <w:r>
              <w:rPr>
                <w:noProof/>
                <w:webHidden/>
              </w:rPr>
              <w:t>6</w:t>
            </w:r>
            <w:r>
              <w:rPr>
                <w:noProof/>
                <w:webHidden/>
              </w:rPr>
              <w:fldChar w:fldCharType="end"/>
            </w:r>
          </w:hyperlink>
        </w:p>
        <w:p w:rsidR="002D67B0" w:rsidRDefault="004115FD">
          <w:pPr>
            <w:pStyle w:val="TOC1"/>
            <w:tabs>
              <w:tab w:val="right" w:leader="dot" w:pos="9350"/>
            </w:tabs>
            <w:rPr>
              <w:rFonts w:asciiTheme="minorHAnsi" w:eastAsiaTheme="minorEastAsia" w:hAnsiTheme="minorHAnsi"/>
              <w:noProof/>
              <w:sz w:val="22"/>
            </w:rPr>
          </w:pPr>
          <w:hyperlink w:anchor="_Toc142497525" w:history="1">
            <w:r w:rsidRPr="003F4891">
              <w:rPr>
                <w:rStyle w:val="Hyperlink"/>
                <w:noProof/>
                <w:lang w:val="en-GB"/>
              </w:rPr>
              <w:t>Evaluation of How VW Become More Competitive While Considering Sustainability and the Environment</w:t>
            </w:r>
            <w:r>
              <w:rPr>
                <w:noProof/>
                <w:webHidden/>
              </w:rPr>
              <w:tab/>
            </w:r>
            <w:r>
              <w:rPr>
                <w:noProof/>
                <w:webHidden/>
              </w:rPr>
              <w:fldChar w:fldCharType="begin"/>
            </w:r>
            <w:r>
              <w:rPr>
                <w:noProof/>
                <w:webHidden/>
              </w:rPr>
              <w:instrText xml:space="preserve"> PAGEREF _Toc142497525 \h </w:instrText>
            </w:r>
            <w:r>
              <w:rPr>
                <w:noProof/>
                <w:webHidden/>
              </w:rPr>
            </w:r>
            <w:r>
              <w:rPr>
                <w:noProof/>
                <w:webHidden/>
              </w:rPr>
              <w:fldChar w:fldCharType="separate"/>
            </w:r>
            <w:r>
              <w:rPr>
                <w:noProof/>
                <w:webHidden/>
              </w:rPr>
              <w:t>8</w:t>
            </w:r>
            <w:r>
              <w:rPr>
                <w:noProof/>
                <w:webHidden/>
              </w:rPr>
              <w:fldChar w:fldCharType="end"/>
            </w:r>
          </w:hyperlink>
        </w:p>
        <w:p w:rsidR="002D67B0" w:rsidRDefault="004115FD">
          <w:pPr>
            <w:pStyle w:val="TOC1"/>
            <w:tabs>
              <w:tab w:val="right" w:leader="dot" w:pos="9350"/>
            </w:tabs>
            <w:rPr>
              <w:rFonts w:asciiTheme="minorHAnsi" w:eastAsiaTheme="minorEastAsia" w:hAnsiTheme="minorHAnsi"/>
              <w:noProof/>
              <w:sz w:val="22"/>
            </w:rPr>
          </w:pPr>
          <w:hyperlink w:anchor="_Toc142497526" w:history="1">
            <w:r w:rsidRPr="003F4891">
              <w:rPr>
                <w:rStyle w:val="Hyperlink"/>
                <w:noProof/>
                <w:lang w:val="en-GB"/>
              </w:rPr>
              <w:t xml:space="preserve">Recommendations for </w:t>
            </w:r>
            <w:r w:rsidRPr="003F4891">
              <w:rPr>
                <w:rStyle w:val="Hyperlink"/>
                <w:noProof/>
                <w:lang w:val="en-GB"/>
              </w:rPr>
              <w:t>Further Sustainability Practices to Develop Competitive Advantage in the Future</w:t>
            </w:r>
            <w:r>
              <w:rPr>
                <w:noProof/>
                <w:webHidden/>
              </w:rPr>
              <w:tab/>
            </w:r>
            <w:r>
              <w:rPr>
                <w:noProof/>
                <w:webHidden/>
              </w:rPr>
              <w:fldChar w:fldCharType="begin"/>
            </w:r>
            <w:r>
              <w:rPr>
                <w:noProof/>
                <w:webHidden/>
              </w:rPr>
              <w:instrText xml:space="preserve"> PAGEREF _Toc142497526 \h </w:instrText>
            </w:r>
            <w:r>
              <w:rPr>
                <w:noProof/>
                <w:webHidden/>
              </w:rPr>
            </w:r>
            <w:r>
              <w:rPr>
                <w:noProof/>
                <w:webHidden/>
              </w:rPr>
              <w:fldChar w:fldCharType="separate"/>
            </w:r>
            <w:r>
              <w:rPr>
                <w:noProof/>
                <w:webHidden/>
              </w:rPr>
              <w:t>10</w:t>
            </w:r>
            <w:r>
              <w:rPr>
                <w:noProof/>
                <w:webHidden/>
              </w:rPr>
              <w:fldChar w:fldCharType="end"/>
            </w:r>
          </w:hyperlink>
        </w:p>
        <w:p w:rsidR="002D67B0" w:rsidRDefault="004115FD">
          <w:pPr>
            <w:pStyle w:val="TOC1"/>
            <w:tabs>
              <w:tab w:val="right" w:leader="dot" w:pos="9350"/>
            </w:tabs>
            <w:rPr>
              <w:rFonts w:asciiTheme="minorHAnsi" w:eastAsiaTheme="minorEastAsia" w:hAnsiTheme="minorHAnsi"/>
              <w:noProof/>
              <w:sz w:val="22"/>
            </w:rPr>
          </w:pPr>
          <w:hyperlink w:anchor="_Toc142497527" w:history="1">
            <w:r w:rsidRPr="003F4891">
              <w:rPr>
                <w:rStyle w:val="Hyperlink"/>
                <w:noProof/>
                <w:lang w:val="en-GB"/>
              </w:rPr>
              <w:t>Conclusion</w:t>
            </w:r>
            <w:r>
              <w:rPr>
                <w:noProof/>
                <w:webHidden/>
              </w:rPr>
              <w:tab/>
            </w:r>
            <w:r>
              <w:rPr>
                <w:noProof/>
                <w:webHidden/>
              </w:rPr>
              <w:fldChar w:fldCharType="begin"/>
            </w:r>
            <w:r>
              <w:rPr>
                <w:noProof/>
                <w:webHidden/>
              </w:rPr>
              <w:instrText xml:space="preserve"> PAGEREF _Toc142497527 \h </w:instrText>
            </w:r>
            <w:r>
              <w:rPr>
                <w:noProof/>
                <w:webHidden/>
              </w:rPr>
            </w:r>
            <w:r>
              <w:rPr>
                <w:noProof/>
                <w:webHidden/>
              </w:rPr>
              <w:fldChar w:fldCharType="separate"/>
            </w:r>
            <w:r>
              <w:rPr>
                <w:noProof/>
                <w:webHidden/>
              </w:rPr>
              <w:t>12</w:t>
            </w:r>
            <w:r>
              <w:rPr>
                <w:noProof/>
                <w:webHidden/>
              </w:rPr>
              <w:fldChar w:fldCharType="end"/>
            </w:r>
          </w:hyperlink>
        </w:p>
        <w:p w:rsidR="002D67B0" w:rsidRDefault="004115FD">
          <w:pPr>
            <w:pStyle w:val="TOC1"/>
            <w:tabs>
              <w:tab w:val="right" w:leader="dot" w:pos="9350"/>
            </w:tabs>
            <w:rPr>
              <w:rFonts w:asciiTheme="minorHAnsi" w:eastAsiaTheme="minorEastAsia" w:hAnsiTheme="minorHAnsi"/>
              <w:noProof/>
              <w:sz w:val="22"/>
            </w:rPr>
          </w:pPr>
          <w:hyperlink w:anchor="_Toc142497528" w:history="1">
            <w:r w:rsidRPr="003F4891">
              <w:rPr>
                <w:rStyle w:val="Hyperlink"/>
                <w:noProof/>
                <w:lang w:val="en-GB"/>
              </w:rPr>
              <w:t>Reference List</w:t>
            </w:r>
            <w:r>
              <w:rPr>
                <w:noProof/>
                <w:webHidden/>
              </w:rPr>
              <w:tab/>
            </w:r>
            <w:r>
              <w:rPr>
                <w:noProof/>
                <w:webHidden/>
              </w:rPr>
              <w:fldChar w:fldCharType="begin"/>
            </w:r>
            <w:r>
              <w:rPr>
                <w:noProof/>
                <w:webHidden/>
              </w:rPr>
              <w:instrText xml:space="preserve"> PAGEREF _Toc142497528 \h </w:instrText>
            </w:r>
            <w:r>
              <w:rPr>
                <w:noProof/>
                <w:webHidden/>
              </w:rPr>
            </w:r>
            <w:r>
              <w:rPr>
                <w:noProof/>
                <w:webHidden/>
              </w:rPr>
              <w:fldChar w:fldCharType="separate"/>
            </w:r>
            <w:r>
              <w:rPr>
                <w:noProof/>
                <w:webHidden/>
              </w:rPr>
              <w:t>13</w:t>
            </w:r>
            <w:r>
              <w:rPr>
                <w:noProof/>
                <w:webHidden/>
              </w:rPr>
              <w:fldChar w:fldCharType="end"/>
            </w:r>
          </w:hyperlink>
        </w:p>
        <w:p w:rsidR="002D67B0" w:rsidRDefault="004115FD">
          <w:pPr>
            <w:pStyle w:val="TOC1"/>
            <w:tabs>
              <w:tab w:val="right" w:leader="dot" w:pos="9350"/>
            </w:tabs>
            <w:rPr>
              <w:rFonts w:asciiTheme="minorHAnsi" w:eastAsiaTheme="minorEastAsia" w:hAnsiTheme="minorHAnsi"/>
              <w:noProof/>
              <w:sz w:val="22"/>
            </w:rPr>
          </w:pPr>
          <w:hyperlink w:anchor="_Toc142497529" w:history="1">
            <w:r w:rsidRPr="003F4891">
              <w:rPr>
                <w:rStyle w:val="Hyperlink"/>
                <w:noProof/>
                <w:lang w:val="en-GB"/>
              </w:rPr>
              <w:t>Appendices</w:t>
            </w:r>
            <w:r>
              <w:rPr>
                <w:noProof/>
                <w:webHidden/>
              </w:rPr>
              <w:tab/>
            </w:r>
            <w:r>
              <w:rPr>
                <w:noProof/>
                <w:webHidden/>
              </w:rPr>
              <w:fldChar w:fldCharType="begin"/>
            </w:r>
            <w:r>
              <w:rPr>
                <w:noProof/>
                <w:webHidden/>
              </w:rPr>
              <w:instrText xml:space="preserve"> PAGEREF _Toc142497529 \h </w:instrText>
            </w:r>
            <w:r>
              <w:rPr>
                <w:noProof/>
                <w:webHidden/>
              </w:rPr>
            </w:r>
            <w:r>
              <w:rPr>
                <w:noProof/>
                <w:webHidden/>
              </w:rPr>
              <w:fldChar w:fldCharType="separate"/>
            </w:r>
            <w:r>
              <w:rPr>
                <w:noProof/>
                <w:webHidden/>
              </w:rPr>
              <w:t>15</w:t>
            </w:r>
            <w:r>
              <w:rPr>
                <w:noProof/>
                <w:webHidden/>
              </w:rPr>
              <w:fldChar w:fldCharType="end"/>
            </w:r>
          </w:hyperlink>
        </w:p>
        <w:p w:rsidR="002D67B0" w:rsidRDefault="004115FD">
          <w:pPr>
            <w:pStyle w:val="TOC2"/>
            <w:tabs>
              <w:tab w:val="right" w:leader="dot" w:pos="9350"/>
            </w:tabs>
            <w:rPr>
              <w:rFonts w:asciiTheme="minorHAnsi" w:eastAsiaTheme="minorEastAsia" w:hAnsiTheme="minorHAnsi"/>
              <w:noProof/>
              <w:sz w:val="22"/>
            </w:rPr>
          </w:pPr>
          <w:hyperlink w:anchor="_Toc142497530" w:history="1">
            <w:r w:rsidRPr="003F4891">
              <w:rPr>
                <w:rStyle w:val="Hyperlink"/>
                <w:noProof/>
                <w:lang w:val="en-GB"/>
              </w:rPr>
              <w:t xml:space="preserve">Appendix 1 – SWOT </w:t>
            </w:r>
            <w:r w:rsidRPr="003F4891">
              <w:rPr>
                <w:rStyle w:val="Hyperlink"/>
                <w:noProof/>
                <w:lang w:val="en-GB"/>
              </w:rPr>
              <w:t>Analysis</w:t>
            </w:r>
            <w:r>
              <w:rPr>
                <w:noProof/>
                <w:webHidden/>
              </w:rPr>
              <w:tab/>
            </w:r>
            <w:r>
              <w:rPr>
                <w:noProof/>
                <w:webHidden/>
              </w:rPr>
              <w:fldChar w:fldCharType="begin"/>
            </w:r>
            <w:r>
              <w:rPr>
                <w:noProof/>
                <w:webHidden/>
              </w:rPr>
              <w:instrText xml:space="preserve"> PAGEREF _Toc142497530 \h </w:instrText>
            </w:r>
            <w:r>
              <w:rPr>
                <w:noProof/>
                <w:webHidden/>
              </w:rPr>
            </w:r>
            <w:r>
              <w:rPr>
                <w:noProof/>
                <w:webHidden/>
              </w:rPr>
              <w:fldChar w:fldCharType="separate"/>
            </w:r>
            <w:r>
              <w:rPr>
                <w:noProof/>
                <w:webHidden/>
              </w:rPr>
              <w:t>15</w:t>
            </w:r>
            <w:r>
              <w:rPr>
                <w:noProof/>
                <w:webHidden/>
              </w:rPr>
              <w:fldChar w:fldCharType="end"/>
            </w:r>
          </w:hyperlink>
        </w:p>
        <w:p w:rsidR="002D67B0" w:rsidRDefault="004115FD">
          <w:pPr>
            <w:pStyle w:val="TOC2"/>
            <w:tabs>
              <w:tab w:val="right" w:leader="dot" w:pos="9350"/>
            </w:tabs>
            <w:rPr>
              <w:rFonts w:asciiTheme="minorHAnsi" w:eastAsiaTheme="minorEastAsia" w:hAnsiTheme="minorHAnsi"/>
              <w:noProof/>
              <w:sz w:val="22"/>
            </w:rPr>
          </w:pPr>
          <w:hyperlink w:anchor="_Toc142497531" w:history="1">
            <w:r w:rsidRPr="003F4891">
              <w:rPr>
                <w:rStyle w:val="Hyperlink"/>
                <w:noProof/>
                <w:lang w:val="en-GB"/>
              </w:rPr>
              <w:t>Appendix 2 – Porter’s 5 Forces Model</w:t>
            </w:r>
            <w:r>
              <w:rPr>
                <w:noProof/>
                <w:webHidden/>
              </w:rPr>
              <w:tab/>
            </w:r>
            <w:r>
              <w:rPr>
                <w:noProof/>
                <w:webHidden/>
              </w:rPr>
              <w:fldChar w:fldCharType="begin"/>
            </w:r>
            <w:r>
              <w:rPr>
                <w:noProof/>
                <w:webHidden/>
              </w:rPr>
              <w:instrText xml:space="preserve"> PAGEREF _Toc142497531 \h </w:instrText>
            </w:r>
            <w:r>
              <w:rPr>
                <w:noProof/>
                <w:webHidden/>
              </w:rPr>
            </w:r>
            <w:r>
              <w:rPr>
                <w:noProof/>
                <w:webHidden/>
              </w:rPr>
              <w:fldChar w:fldCharType="separate"/>
            </w:r>
            <w:r>
              <w:rPr>
                <w:noProof/>
                <w:webHidden/>
              </w:rPr>
              <w:t>16</w:t>
            </w:r>
            <w:r>
              <w:rPr>
                <w:noProof/>
                <w:webHidden/>
              </w:rPr>
              <w:fldChar w:fldCharType="end"/>
            </w:r>
          </w:hyperlink>
        </w:p>
        <w:p w:rsidR="002D67B0" w:rsidRDefault="004115FD">
          <w:pPr>
            <w:pStyle w:val="TOC2"/>
            <w:tabs>
              <w:tab w:val="right" w:leader="dot" w:pos="9350"/>
            </w:tabs>
            <w:rPr>
              <w:rFonts w:asciiTheme="minorHAnsi" w:eastAsiaTheme="minorEastAsia" w:hAnsiTheme="minorHAnsi"/>
              <w:noProof/>
              <w:sz w:val="22"/>
            </w:rPr>
          </w:pPr>
          <w:hyperlink w:anchor="_Toc142497532" w:history="1">
            <w:r w:rsidRPr="003F4891">
              <w:rPr>
                <w:rStyle w:val="Hyperlink"/>
                <w:noProof/>
                <w:lang w:val="en-GB"/>
              </w:rPr>
              <w:t>Appendix 3 – PESTEL Analysis</w:t>
            </w:r>
            <w:r>
              <w:rPr>
                <w:noProof/>
                <w:webHidden/>
              </w:rPr>
              <w:tab/>
            </w:r>
            <w:r>
              <w:rPr>
                <w:noProof/>
                <w:webHidden/>
              </w:rPr>
              <w:fldChar w:fldCharType="begin"/>
            </w:r>
            <w:r>
              <w:rPr>
                <w:noProof/>
                <w:webHidden/>
              </w:rPr>
              <w:instrText xml:space="preserve"> PAGEREF _Toc142497532 \h </w:instrText>
            </w:r>
            <w:r>
              <w:rPr>
                <w:noProof/>
                <w:webHidden/>
              </w:rPr>
            </w:r>
            <w:r>
              <w:rPr>
                <w:noProof/>
                <w:webHidden/>
              </w:rPr>
              <w:fldChar w:fldCharType="separate"/>
            </w:r>
            <w:r>
              <w:rPr>
                <w:noProof/>
                <w:webHidden/>
              </w:rPr>
              <w:t>17</w:t>
            </w:r>
            <w:r>
              <w:rPr>
                <w:noProof/>
                <w:webHidden/>
              </w:rPr>
              <w:fldChar w:fldCharType="end"/>
            </w:r>
          </w:hyperlink>
        </w:p>
        <w:p w:rsidR="002D67B0" w:rsidRDefault="004115FD" w:rsidP="002D67B0">
          <w:r>
            <w:rPr>
              <w:b/>
              <w:bCs/>
              <w:noProof/>
            </w:rPr>
            <w:fldChar w:fldCharType="end"/>
          </w:r>
        </w:p>
      </w:sdtContent>
    </w:sdt>
    <w:p w:rsidR="002D67B0" w:rsidRDefault="004115FD">
      <w:pPr>
        <w:spacing w:line="276" w:lineRule="auto"/>
        <w:jc w:val="left"/>
        <w:rPr>
          <w:rFonts w:eastAsiaTheme="majorEastAsia" w:cstheme="majorBidi"/>
          <w:b/>
          <w:bCs/>
          <w:color w:val="365F91" w:themeColor="accent1" w:themeShade="BF"/>
          <w:sz w:val="28"/>
          <w:szCs w:val="28"/>
          <w:lang w:val="en-GB"/>
        </w:rPr>
      </w:pPr>
      <w:r>
        <w:rPr>
          <w:lang w:val="en-GB"/>
        </w:rPr>
        <w:br w:type="page"/>
      </w:r>
    </w:p>
    <w:p w:rsidR="002D05CB" w:rsidRPr="00550DA9" w:rsidRDefault="004115FD" w:rsidP="00550DA9">
      <w:pPr>
        <w:pStyle w:val="Heading1"/>
        <w:rPr>
          <w:lang w:val="en-GB"/>
        </w:rPr>
      </w:pPr>
      <w:bookmarkStart w:id="0" w:name="_Toc142497522"/>
      <w:r w:rsidRPr="00550DA9">
        <w:rPr>
          <w:lang w:val="en-GB"/>
        </w:rPr>
        <w:lastRenderedPageBreak/>
        <w:t>Introduction</w:t>
      </w:r>
      <w:bookmarkEnd w:id="0"/>
    </w:p>
    <w:p w:rsidR="00A13C12" w:rsidRDefault="004115FD" w:rsidP="00550DA9">
      <w:pPr>
        <w:rPr>
          <w:lang w:val="en-GB"/>
        </w:rPr>
      </w:pPr>
      <w:r w:rsidRPr="00550DA9">
        <w:rPr>
          <w:lang w:val="en-GB"/>
        </w:rPr>
        <w:t>This</w:t>
      </w:r>
      <w:r>
        <w:rPr>
          <w:lang w:val="en-GB"/>
        </w:rPr>
        <w:t xml:space="preserve"> case study</w:t>
      </w:r>
      <w:r w:rsidRPr="00550DA9">
        <w:rPr>
          <w:lang w:val="en-GB"/>
        </w:rPr>
        <w:t xml:space="preserve"> report aims to analyse </w:t>
      </w:r>
      <w:r>
        <w:rPr>
          <w:lang w:val="en-GB"/>
        </w:rPr>
        <w:t>the strategic management and sustainability strategies of Volkswagen</w:t>
      </w:r>
      <w:r w:rsidR="00965DFD">
        <w:rPr>
          <w:lang w:val="en-GB"/>
        </w:rPr>
        <w:t xml:space="preserve"> (VW)</w:t>
      </w:r>
      <w:r>
        <w:rPr>
          <w:lang w:val="en-GB"/>
        </w:rPr>
        <w:t xml:space="preserve"> Group which is a German multinational automobile company headquartered in Wolfsburg, Germany. The company was founded in the year 1937 by Adolf Hitler and German Labour Front. The company operates in different parts of the world and offers exceptional veh</w:t>
      </w:r>
      <w:r>
        <w:rPr>
          <w:lang w:val="en-GB"/>
        </w:rPr>
        <w:t>icles including Volkswagen Ameo, Apollo, Atlantic and C-Trek</w:t>
      </w:r>
      <w:r w:rsidR="00965DFD" w:rsidRPr="00965DFD">
        <w:rPr>
          <w:noProof/>
          <w:lang w:val="en-GB"/>
        </w:rPr>
        <w:t xml:space="preserve"> </w:t>
      </w:r>
      <w:r w:rsidR="00965DFD">
        <w:rPr>
          <w:noProof/>
          <w:lang w:val="en-GB"/>
        </w:rPr>
        <w:t>(Volkswagen Newsroom, 2023)</w:t>
      </w:r>
      <w:r>
        <w:rPr>
          <w:lang w:val="en-GB"/>
        </w:rPr>
        <w:t>. However, the German automobile manufacturer was accused of installing emissions-cheating devices in its vehicles. These devices involve software or mechanism that cha</w:t>
      </w:r>
      <w:r>
        <w:rPr>
          <w:lang w:val="en-GB"/>
        </w:rPr>
        <w:t>nge the emission level of the vehicle and mask its true pollution levels. The company is required to pay £193 million to more than 90000 drivers in Wales and England and also apologised to customers. Now, Volkswagen Group is required to rebuild the trust a</w:t>
      </w:r>
      <w:r>
        <w:rPr>
          <w:lang w:val="en-GB"/>
        </w:rPr>
        <w:t>mong its customers and needs to implement an effective sustainable strategy which can help it in gaining a competitive advantage</w:t>
      </w:r>
      <w:r w:rsidRPr="00A13C12">
        <w:rPr>
          <w:noProof/>
          <w:lang w:val="en-GB"/>
        </w:rPr>
        <w:t xml:space="preserve"> </w:t>
      </w:r>
      <w:r>
        <w:rPr>
          <w:noProof/>
          <w:lang w:val="en-GB"/>
        </w:rPr>
        <w:t>(BBC, 2022)</w:t>
      </w:r>
      <w:r>
        <w:rPr>
          <w:lang w:val="en-GB"/>
        </w:rPr>
        <w:t xml:space="preserve">. </w:t>
      </w:r>
    </w:p>
    <w:p w:rsidR="00550DA9" w:rsidRDefault="004115FD" w:rsidP="00550DA9">
      <w:pPr>
        <w:rPr>
          <w:lang w:val="en-GB"/>
        </w:rPr>
      </w:pPr>
      <w:r>
        <w:rPr>
          <w:lang w:val="en-GB"/>
        </w:rPr>
        <w:t>Based on this, the report identifies the key business strategies of Volkswagen over the past five years, the capa</w:t>
      </w:r>
      <w:r>
        <w:rPr>
          <w:lang w:val="en-GB"/>
        </w:rPr>
        <w:t>bilities and resources of the company and to what extent it is aligned with its current business strategy. It shall also evaluate the efforts of the company to become more competitive while considering sustainability and the environment. Finally, some reco</w:t>
      </w:r>
      <w:r>
        <w:rPr>
          <w:lang w:val="en-GB"/>
        </w:rPr>
        <w:t xml:space="preserve">mmendations shall be provided on how sustainability practices can help the company to gain a competitive advantage in the future.  </w:t>
      </w:r>
    </w:p>
    <w:p w:rsidR="002D67B0" w:rsidRDefault="004115FD">
      <w:pPr>
        <w:spacing w:line="276" w:lineRule="auto"/>
        <w:jc w:val="left"/>
        <w:rPr>
          <w:rFonts w:eastAsiaTheme="majorEastAsia" w:cstheme="majorBidi"/>
          <w:b/>
          <w:bCs/>
          <w:color w:val="365F91" w:themeColor="accent1" w:themeShade="BF"/>
          <w:sz w:val="28"/>
          <w:szCs w:val="28"/>
          <w:lang w:val="en-GB"/>
        </w:rPr>
      </w:pPr>
      <w:r>
        <w:rPr>
          <w:lang w:val="en-GB"/>
        </w:rPr>
        <w:br w:type="page"/>
      </w:r>
    </w:p>
    <w:p w:rsidR="00965DFD" w:rsidRDefault="004115FD" w:rsidP="004032F5">
      <w:pPr>
        <w:pStyle w:val="Heading1"/>
        <w:rPr>
          <w:lang w:val="en-GB"/>
        </w:rPr>
      </w:pPr>
      <w:bookmarkStart w:id="1" w:name="_Toc142497523"/>
      <w:r>
        <w:rPr>
          <w:lang w:val="en-GB"/>
        </w:rPr>
        <w:lastRenderedPageBreak/>
        <w:t>Business Strategies of VW over the Past Five Years</w:t>
      </w:r>
      <w:r w:rsidR="009C22EB">
        <w:rPr>
          <w:lang w:val="en-GB"/>
        </w:rPr>
        <w:t xml:space="preserve"> and Discussion</w:t>
      </w:r>
      <w:bookmarkEnd w:id="1"/>
      <w:r w:rsidR="009C22EB">
        <w:rPr>
          <w:lang w:val="en-GB"/>
        </w:rPr>
        <w:t xml:space="preserve"> </w:t>
      </w:r>
    </w:p>
    <w:p w:rsidR="0040320E" w:rsidRDefault="004115FD" w:rsidP="003C68F5">
      <w:pPr>
        <w:rPr>
          <w:lang w:val="en-GB"/>
        </w:rPr>
      </w:pPr>
      <w:r>
        <w:rPr>
          <w:lang w:val="en-GB"/>
        </w:rPr>
        <w:t>To identify and analyse the key business strategies tha</w:t>
      </w:r>
      <w:r>
        <w:rPr>
          <w:lang w:val="en-GB"/>
        </w:rPr>
        <w:t>t are considered by Volkswagen Group over the past five years, some strategic analysis frameworks such as SWOT analysis, PESTEL Analysis and Porter'</w:t>
      </w:r>
      <w:r w:rsidR="00E03906">
        <w:rPr>
          <w:lang w:val="en-GB"/>
        </w:rPr>
        <w:t xml:space="preserve">s 5 forces model have been used. </w:t>
      </w:r>
    </w:p>
    <w:p w:rsidR="009C22EB" w:rsidRDefault="004115FD" w:rsidP="003C68F5">
      <w:pPr>
        <w:rPr>
          <w:lang w:val="en-GB"/>
        </w:rPr>
      </w:pPr>
      <w:r w:rsidRPr="009C22EB">
        <w:rPr>
          <w:b/>
          <w:lang w:val="en-GB"/>
        </w:rPr>
        <w:t xml:space="preserve">Entry </w:t>
      </w:r>
      <w:r>
        <w:rPr>
          <w:b/>
          <w:lang w:val="en-GB"/>
        </w:rPr>
        <w:t>to E</w:t>
      </w:r>
      <w:r w:rsidRPr="009C22EB">
        <w:rPr>
          <w:b/>
          <w:lang w:val="en-GB"/>
        </w:rPr>
        <w:t>lectric Vehicle Market</w:t>
      </w:r>
      <w:r>
        <w:rPr>
          <w:lang w:val="en-GB"/>
        </w:rPr>
        <w:t xml:space="preserve">- With the help of PESTEL and SWOT </w:t>
      </w:r>
      <w:r>
        <w:rPr>
          <w:lang w:val="en-GB"/>
        </w:rPr>
        <w:t>framework, it is analysed that th</w:t>
      </w:r>
      <w:r w:rsidR="00E03906">
        <w:rPr>
          <w:lang w:val="en-GB"/>
        </w:rPr>
        <w:t>e electric vehicle market offers</w:t>
      </w:r>
      <w:r>
        <w:rPr>
          <w:lang w:val="en-GB"/>
        </w:rPr>
        <w:t xml:space="preserve"> huge</w:t>
      </w:r>
      <w:r w:rsidR="00E03906">
        <w:rPr>
          <w:lang w:val="en-GB"/>
        </w:rPr>
        <w:t xml:space="preserve"> growth</w:t>
      </w:r>
      <w:r>
        <w:rPr>
          <w:lang w:val="en-GB"/>
        </w:rPr>
        <w:t xml:space="preserve"> opportunities to the companies</w:t>
      </w:r>
      <w:r w:rsidR="00E03906">
        <w:rPr>
          <w:lang w:val="en-GB"/>
        </w:rPr>
        <w:t>.</w:t>
      </w:r>
      <w:r>
        <w:rPr>
          <w:lang w:val="en-GB"/>
        </w:rPr>
        <w:t xml:space="preserve"> </w:t>
      </w:r>
      <w:r w:rsidR="00E03906">
        <w:rPr>
          <w:lang w:val="en-GB"/>
        </w:rPr>
        <w:t>It is</w:t>
      </w:r>
      <w:r>
        <w:rPr>
          <w:lang w:val="en-GB"/>
        </w:rPr>
        <w:t xml:space="preserve"> also encouraged by the UK government to reduce the number</w:t>
      </w:r>
      <w:r w:rsidR="00E03906">
        <w:rPr>
          <w:lang w:val="en-GB"/>
        </w:rPr>
        <w:t xml:space="preserve"> of petrol and diesel vehicles to reduce pollution. By expanding its services in the electric vehicle market, Volkswagen has significantly increased its market share. This strategy is mainly pursued to satisfy the growing demands of consumers for sustainable and eco-friendly transport. This can make Volkswagen a market leader in terms of environmental consciousness</w:t>
      </w:r>
      <w:r w:rsidR="00E03906" w:rsidRPr="00E03906">
        <w:rPr>
          <w:noProof/>
        </w:rPr>
        <w:t xml:space="preserve"> </w:t>
      </w:r>
      <w:r w:rsidR="00E03906">
        <w:rPr>
          <w:noProof/>
        </w:rPr>
        <w:t>(</w:t>
      </w:r>
      <w:r w:rsidR="00E03906" w:rsidRPr="00E03906">
        <w:rPr>
          <w:noProof/>
        </w:rPr>
        <w:t>Venugop</w:t>
      </w:r>
      <w:r w:rsidR="00E03906">
        <w:rPr>
          <w:noProof/>
        </w:rPr>
        <w:t>al, Haes Alhelou,</w:t>
      </w:r>
      <w:r w:rsidR="00E03906" w:rsidRPr="00E03906">
        <w:rPr>
          <w:noProof/>
        </w:rPr>
        <w:t xml:space="preserve"> A</w:t>
      </w:r>
      <w:r w:rsidR="00E03906">
        <w:rPr>
          <w:noProof/>
        </w:rPr>
        <w:t>l-Hinai and Siano, 2022)</w:t>
      </w:r>
      <w:r w:rsidR="00E03906">
        <w:rPr>
          <w:lang w:val="en-GB"/>
        </w:rPr>
        <w:t xml:space="preserve">. </w:t>
      </w:r>
    </w:p>
    <w:p w:rsidR="00B966A3" w:rsidRDefault="004115FD" w:rsidP="003C68F5">
      <w:pPr>
        <w:rPr>
          <w:lang w:val="en-GB"/>
        </w:rPr>
      </w:pPr>
      <w:r>
        <w:rPr>
          <w:b/>
          <w:lang w:val="en-GB"/>
        </w:rPr>
        <w:t xml:space="preserve">Implementation of </w:t>
      </w:r>
      <w:r w:rsidRPr="0040320E">
        <w:rPr>
          <w:b/>
          <w:lang w:val="en-GB"/>
        </w:rPr>
        <w:t>Modular Electric Drive Matrix</w:t>
      </w:r>
      <w:r>
        <w:rPr>
          <w:b/>
          <w:lang w:val="en-GB"/>
        </w:rPr>
        <w:t xml:space="preserve"> Platform</w:t>
      </w:r>
      <w:r>
        <w:rPr>
          <w:lang w:val="en-GB"/>
        </w:rPr>
        <w:t xml:space="preserve">- </w:t>
      </w:r>
      <w:r w:rsidR="005137BF">
        <w:rPr>
          <w:lang w:val="en-GB"/>
        </w:rPr>
        <w:t>Volkswagen Group has developed the MEB platform with the help of its effective engineering capabilities and economies of scale. This strategy aims to develop a standardised electric vehicle platform which significantly helped the organisation to reduce costs, streamline its production operations and increase its competitiveness in a rapidly growing electric car market. This strategy was pursued by the company to increase its competitiveness and focus on adaptation of new and emerging technologies</w:t>
      </w:r>
      <w:r w:rsidRPr="00B966A3">
        <w:rPr>
          <w:noProof/>
        </w:rPr>
        <w:t xml:space="preserve"> </w:t>
      </w:r>
      <w:r>
        <w:rPr>
          <w:noProof/>
        </w:rPr>
        <w:t>(Barreto, 2019)</w:t>
      </w:r>
      <w:r w:rsidR="005137BF">
        <w:rPr>
          <w:lang w:val="en-GB"/>
        </w:rPr>
        <w:t>.</w:t>
      </w:r>
    </w:p>
    <w:p w:rsidR="00B966A3" w:rsidRDefault="004115FD" w:rsidP="003C68F5">
      <w:pPr>
        <w:rPr>
          <w:lang w:val="en-GB"/>
        </w:rPr>
      </w:pPr>
      <w:r w:rsidRPr="00B966A3">
        <w:rPr>
          <w:b/>
          <w:lang w:val="en-GB"/>
        </w:rPr>
        <w:t>Global Expansion</w:t>
      </w:r>
      <w:r>
        <w:rPr>
          <w:lang w:val="en-GB"/>
        </w:rPr>
        <w:t xml:space="preserve">- Volkswagen’s global expansion can be </w:t>
      </w:r>
      <w:r w:rsidR="00E069C0">
        <w:rPr>
          <w:lang w:val="en-GB"/>
        </w:rPr>
        <w:t xml:space="preserve">analysed through Porter's 5 forces model. From the analysis, it is identified that the establishment of manufacturing plants in countries like North America and China helps the company to reduce its dependencies on suppliers. It also helped in lowering the costs of production. This reduced the bargaining power of suppliers as well as the threat of new entrants within the industry. The reason for pursuing this strategy is to create a strong international presence and mitigate regional market risks </w:t>
      </w:r>
      <w:r w:rsidR="00E069C0">
        <w:rPr>
          <w:noProof/>
        </w:rPr>
        <w:t>(Gonçalves, 2019)</w:t>
      </w:r>
      <w:r w:rsidR="00E069C0">
        <w:rPr>
          <w:lang w:val="en-GB"/>
        </w:rPr>
        <w:t xml:space="preserve">. </w:t>
      </w:r>
    </w:p>
    <w:p w:rsidR="00E069C0" w:rsidRDefault="004115FD" w:rsidP="003C68F5">
      <w:pPr>
        <w:rPr>
          <w:lang w:val="en-GB"/>
        </w:rPr>
      </w:pPr>
      <w:r w:rsidRPr="00E069C0">
        <w:rPr>
          <w:b/>
          <w:lang w:val="en-GB"/>
        </w:rPr>
        <w:t>Revitalisation of Brand Image</w:t>
      </w:r>
      <w:r>
        <w:rPr>
          <w:lang w:val="en-GB"/>
        </w:rPr>
        <w:t>- From the SWO</w:t>
      </w:r>
      <w:r>
        <w:rPr>
          <w:lang w:val="en-GB"/>
        </w:rPr>
        <w:t xml:space="preserve">T model, it is analysed that the Dieselgate scandal has significantly damaged the brand image and customer trust of Volkswagen </w:t>
      </w:r>
      <w:r>
        <w:rPr>
          <w:lang w:val="en-GB"/>
        </w:rPr>
        <w:lastRenderedPageBreak/>
        <w:t>Group. The company is continuously putting efforts to enhance its brand image and has undertaken strategies like entering the ele</w:t>
      </w:r>
      <w:r>
        <w:rPr>
          <w:lang w:val="en-GB"/>
        </w:rPr>
        <w:t>ctric vehicle market and utilising its effective engineering and R&amp;D capabilities. This approach aims to restore the reputation of the company as a reliable and innovative brand and rebuild the trust of potential consumers</w:t>
      </w:r>
      <w:r w:rsidR="00462D5C" w:rsidRPr="00462D5C">
        <w:rPr>
          <w:noProof/>
        </w:rPr>
        <w:t xml:space="preserve"> </w:t>
      </w:r>
      <w:r w:rsidR="00462D5C">
        <w:rPr>
          <w:noProof/>
        </w:rPr>
        <w:t>(Welch, 2019)</w:t>
      </w:r>
      <w:r>
        <w:rPr>
          <w:lang w:val="en-GB"/>
        </w:rPr>
        <w:t xml:space="preserve">. </w:t>
      </w:r>
    </w:p>
    <w:p w:rsidR="00462D5C" w:rsidRDefault="004115FD" w:rsidP="003C68F5">
      <w:pPr>
        <w:rPr>
          <w:lang w:val="en-GB"/>
        </w:rPr>
      </w:pPr>
      <w:r w:rsidRPr="00462D5C">
        <w:rPr>
          <w:b/>
          <w:lang w:val="en-GB"/>
        </w:rPr>
        <w:t>Digital Transform</w:t>
      </w:r>
      <w:r w:rsidRPr="00462D5C">
        <w:rPr>
          <w:b/>
          <w:lang w:val="en-GB"/>
        </w:rPr>
        <w:t>ation</w:t>
      </w:r>
      <w:r w:rsidR="00494FB2">
        <w:rPr>
          <w:lang w:val="en-GB"/>
        </w:rPr>
        <w:t xml:space="preserve">- Volkswagen Group significantly focuses on continuous digital transformation to create an innovative brand image among consumers. From the PESTEL framework, it is analysed that it has optimised its existing operations, implemented a new business model and expanded to new markets. </w:t>
      </w:r>
      <w:r w:rsidR="009C22EB">
        <w:rPr>
          <w:lang w:val="en-GB"/>
        </w:rPr>
        <w:t>Also, it has implemented some digital initiatives such as mobility solutions and connectivity features which can positively influence customers to make a buying decision</w:t>
      </w:r>
      <w:r w:rsidR="009C22EB" w:rsidRPr="009C22EB">
        <w:rPr>
          <w:noProof/>
        </w:rPr>
        <w:t xml:space="preserve"> </w:t>
      </w:r>
      <w:r w:rsidR="009C22EB">
        <w:rPr>
          <w:noProof/>
        </w:rPr>
        <w:t>(Trovao, 2020)</w:t>
      </w:r>
      <w:r w:rsidR="009C22EB">
        <w:rPr>
          <w:lang w:val="en-GB"/>
        </w:rPr>
        <w:t xml:space="preserve">. </w:t>
      </w:r>
    </w:p>
    <w:p w:rsidR="00E03906" w:rsidRDefault="004115FD" w:rsidP="003C68F5">
      <w:pPr>
        <w:rPr>
          <w:lang w:val="en-GB"/>
        </w:rPr>
      </w:pPr>
      <w:r>
        <w:rPr>
          <w:lang w:val="en-GB"/>
        </w:rPr>
        <w:t>Thus, the key business strategies of Volkswagen show a combination of internal and market-focused approaches. Strategies such as digital transformation, MEB platforms, electric vehicles, revitalisation of brand image and global expansion align with its str</w:t>
      </w:r>
      <w:r>
        <w:rPr>
          <w:lang w:val="en-GB"/>
        </w:rPr>
        <w:t xml:space="preserve">ategic success goals and objectives. It also shows the high adaptability level of the company and its dedication towards customer needs and preferences which can significantly help it in gaining a competitive advantage. </w:t>
      </w:r>
    </w:p>
    <w:p w:rsidR="002D67B0" w:rsidRDefault="004115FD">
      <w:pPr>
        <w:spacing w:line="276" w:lineRule="auto"/>
        <w:jc w:val="left"/>
        <w:rPr>
          <w:rFonts w:eastAsiaTheme="majorEastAsia" w:cstheme="majorBidi"/>
          <w:b/>
          <w:bCs/>
          <w:color w:val="365F91" w:themeColor="accent1" w:themeShade="BF"/>
          <w:sz w:val="28"/>
          <w:szCs w:val="28"/>
          <w:lang w:val="en-GB"/>
        </w:rPr>
      </w:pPr>
      <w:r>
        <w:rPr>
          <w:lang w:val="en-GB"/>
        </w:rPr>
        <w:br w:type="page"/>
      </w:r>
    </w:p>
    <w:p w:rsidR="00B866A1" w:rsidRDefault="004115FD" w:rsidP="007B2F86">
      <w:pPr>
        <w:pStyle w:val="Heading1"/>
        <w:rPr>
          <w:lang w:val="en-GB"/>
        </w:rPr>
      </w:pPr>
      <w:bookmarkStart w:id="2" w:name="_Toc142497524"/>
      <w:r>
        <w:rPr>
          <w:lang w:val="en-GB"/>
        </w:rPr>
        <w:lastRenderedPageBreak/>
        <w:t xml:space="preserve">Resources and Capabilities of VW </w:t>
      </w:r>
      <w:r>
        <w:rPr>
          <w:lang w:val="en-GB"/>
        </w:rPr>
        <w:t xml:space="preserve">Over the Past Five Years and </w:t>
      </w:r>
      <w:r w:rsidR="007B2F86">
        <w:rPr>
          <w:lang w:val="en-GB"/>
        </w:rPr>
        <w:t>its Alignment with Business Strategies</w:t>
      </w:r>
      <w:bookmarkEnd w:id="2"/>
      <w:r w:rsidR="007B2F86">
        <w:rPr>
          <w:lang w:val="en-GB"/>
        </w:rPr>
        <w:t xml:space="preserve"> </w:t>
      </w:r>
    </w:p>
    <w:p w:rsidR="007B2F86" w:rsidRDefault="004115FD" w:rsidP="007B2F86">
      <w:pPr>
        <w:rPr>
          <w:lang w:val="en-GB"/>
        </w:rPr>
      </w:pPr>
      <w:r>
        <w:rPr>
          <w:lang w:val="en-GB"/>
        </w:rPr>
        <w:t>The key resources and capabilities of Volkswagen Group over the past five years include a strong brand portfolio, effective research and development strategy, global manufacturing facilit</w:t>
      </w:r>
      <w:r>
        <w:rPr>
          <w:lang w:val="en-GB"/>
        </w:rPr>
        <w:t xml:space="preserve">ies, financial resources and a skilled workforce that significantly help the German brand to align with the strategic business objectives. </w:t>
      </w:r>
    </w:p>
    <w:p w:rsidR="007B2F86" w:rsidRDefault="004115FD" w:rsidP="007B2F86">
      <w:pPr>
        <w:rPr>
          <w:lang w:val="en-GB"/>
        </w:rPr>
      </w:pPr>
      <w:r w:rsidRPr="007B2F86">
        <w:rPr>
          <w:b/>
          <w:lang w:val="en-GB"/>
        </w:rPr>
        <w:t>Strong Brand Portfolio</w:t>
      </w:r>
      <w:r>
        <w:rPr>
          <w:lang w:val="en-GB"/>
        </w:rPr>
        <w:t>-</w:t>
      </w:r>
      <w:r w:rsidR="00AB1261">
        <w:rPr>
          <w:lang w:val="en-GB"/>
        </w:rPr>
        <w:t xml:space="preserve"> The company has a strong brand portfolio which involves some well-known brands including Volkswagen, Porsche and Audi. This offers a unique and diverse presence to the company in the market which can significantly satisfy the needs of different customer segments</w:t>
      </w:r>
      <w:r w:rsidR="00893A8F" w:rsidRPr="00893A8F">
        <w:rPr>
          <w:noProof/>
          <w:lang w:val="en-GB"/>
        </w:rPr>
        <w:t xml:space="preserve"> </w:t>
      </w:r>
      <w:r w:rsidR="00893A8F">
        <w:rPr>
          <w:noProof/>
          <w:lang w:val="en-GB"/>
        </w:rPr>
        <w:t>(Volkswagen Newsroom, 2023)</w:t>
      </w:r>
      <w:r w:rsidR="00AB1261">
        <w:rPr>
          <w:lang w:val="en-GB"/>
        </w:rPr>
        <w:t xml:space="preserve">. </w:t>
      </w:r>
    </w:p>
    <w:p w:rsidR="00AB1261" w:rsidRDefault="004115FD" w:rsidP="007B2F86">
      <w:pPr>
        <w:rPr>
          <w:lang w:val="en-GB"/>
        </w:rPr>
      </w:pPr>
      <w:r w:rsidRPr="00AB1261">
        <w:rPr>
          <w:b/>
          <w:lang w:val="en-GB"/>
        </w:rPr>
        <w:t>Research and Development</w:t>
      </w:r>
      <w:r>
        <w:rPr>
          <w:lang w:val="en-GB"/>
        </w:rPr>
        <w:t>- The company creates huge inve</w:t>
      </w:r>
      <w:r>
        <w:rPr>
          <w:lang w:val="en-GB"/>
        </w:rPr>
        <w:t xml:space="preserve">stments in its research and development strategy which results in the implementation of innovative technologies such as autonomous and electric vehicles. This capability of VW is enhancing its position in the industry and shifting it towards a sustainable </w:t>
      </w:r>
      <w:r>
        <w:rPr>
          <w:lang w:val="en-GB"/>
        </w:rPr>
        <w:t>approach</w:t>
      </w:r>
      <w:r w:rsidR="00893A8F" w:rsidRPr="00893A8F">
        <w:rPr>
          <w:noProof/>
        </w:rPr>
        <w:t xml:space="preserve"> </w:t>
      </w:r>
      <w:r w:rsidR="00893A8F">
        <w:rPr>
          <w:noProof/>
        </w:rPr>
        <w:t>(</w:t>
      </w:r>
      <w:r w:rsidR="00893A8F" w:rsidRPr="00893A8F">
        <w:rPr>
          <w:noProof/>
        </w:rPr>
        <w:t>Hertenstein</w:t>
      </w:r>
      <w:r w:rsidR="00893A8F">
        <w:rPr>
          <w:noProof/>
        </w:rPr>
        <w:t xml:space="preserve"> and Williamson, 2018)</w:t>
      </w:r>
      <w:r>
        <w:rPr>
          <w:lang w:val="en-GB"/>
        </w:rPr>
        <w:t xml:space="preserve">. </w:t>
      </w:r>
    </w:p>
    <w:p w:rsidR="00893A8F" w:rsidRDefault="004115FD" w:rsidP="007B2F86">
      <w:pPr>
        <w:rPr>
          <w:lang w:val="en-GB"/>
        </w:rPr>
      </w:pPr>
      <w:r w:rsidRPr="00893A8F">
        <w:rPr>
          <w:b/>
          <w:lang w:val="en-GB"/>
        </w:rPr>
        <w:t>Global Manufacturing Facilities</w:t>
      </w:r>
      <w:r>
        <w:rPr>
          <w:lang w:val="en-GB"/>
        </w:rPr>
        <w:t xml:space="preserve">- Volkswagen has global manufacturing facilities which help it to produce a broad range of vehicles effectively and efficiently. Recently, it has established manufacturing plants </w:t>
      </w:r>
      <w:r>
        <w:rPr>
          <w:lang w:val="en-GB"/>
        </w:rPr>
        <w:t xml:space="preserve">in countries like North America and China which increases the availability of vehicles and creates production operations efficient </w:t>
      </w:r>
      <w:r>
        <w:rPr>
          <w:noProof/>
        </w:rPr>
        <w:t>(Gonçalves, 2019)</w:t>
      </w:r>
      <w:r>
        <w:rPr>
          <w:lang w:val="en-GB"/>
        </w:rPr>
        <w:t xml:space="preserve">. </w:t>
      </w:r>
    </w:p>
    <w:p w:rsidR="00893A8F" w:rsidRDefault="004115FD" w:rsidP="007B2F86">
      <w:pPr>
        <w:rPr>
          <w:lang w:val="en-GB"/>
        </w:rPr>
      </w:pPr>
      <w:r w:rsidRPr="00893A8F">
        <w:rPr>
          <w:b/>
          <w:lang w:val="en-GB"/>
        </w:rPr>
        <w:t>Financial Resources</w:t>
      </w:r>
      <w:r>
        <w:rPr>
          <w:lang w:val="en-GB"/>
        </w:rPr>
        <w:t>- Despite the challenges of the dieselgate scandal and compensation to more than 90000</w:t>
      </w:r>
      <w:r>
        <w:rPr>
          <w:lang w:val="en-GB"/>
        </w:rPr>
        <w:t xml:space="preserve"> drivers across Wales and England, Volkswagen shows good financial stability and strong streams of revenue which allows it to undertake strategic expansions and other considerable initiatives </w:t>
      </w:r>
      <w:r>
        <w:rPr>
          <w:noProof/>
          <w:lang w:val="en-GB"/>
        </w:rPr>
        <w:t>(BBC, 2022)</w:t>
      </w:r>
      <w:r>
        <w:rPr>
          <w:lang w:val="en-GB"/>
        </w:rPr>
        <w:t xml:space="preserve">.  </w:t>
      </w:r>
    </w:p>
    <w:p w:rsidR="00893A8F" w:rsidRDefault="004115FD" w:rsidP="007B2F86">
      <w:pPr>
        <w:rPr>
          <w:b/>
          <w:lang w:val="en-GB"/>
        </w:rPr>
      </w:pPr>
      <w:r w:rsidRPr="00702D28">
        <w:rPr>
          <w:b/>
          <w:lang w:val="en-GB"/>
        </w:rPr>
        <w:t xml:space="preserve">Alignment of Resources and Capabilities to </w:t>
      </w:r>
      <w:r w:rsidRPr="00702D28">
        <w:rPr>
          <w:b/>
          <w:lang w:val="en-GB"/>
        </w:rPr>
        <w:t>Current Business Strategies</w:t>
      </w:r>
    </w:p>
    <w:p w:rsidR="00702D28" w:rsidRDefault="004115FD" w:rsidP="00DA50E7">
      <w:pPr>
        <w:pStyle w:val="ListParagraph"/>
        <w:numPr>
          <w:ilvl w:val="0"/>
          <w:numId w:val="5"/>
        </w:numPr>
        <w:rPr>
          <w:lang w:val="en-GB"/>
        </w:rPr>
      </w:pPr>
      <w:r>
        <w:rPr>
          <w:lang w:val="en-GB"/>
        </w:rPr>
        <w:t xml:space="preserve">Enhanced Digital Transformation- The capabilities of the company such as research and development and financial resources allow it to implement digital </w:t>
      </w:r>
      <w:r>
        <w:rPr>
          <w:lang w:val="en-GB"/>
        </w:rPr>
        <w:lastRenderedPageBreak/>
        <w:t xml:space="preserve">transformations such as digital interfaces and connected car technologies. This aligns with the strategy of huge customer experience and innovation. </w:t>
      </w:r>
    </w:p>
    <w:p w:rsidR="00DA50E7" w:rsidRDefault="004115FD" w:rsidP="00DA50E7">
      <w:pPr>
        <w:pStyle w:val="ListParagraph"/>
        <w:numPr>
          <w:ilvl w:val="0"/>
          <w:numId w:val="5"/>
        </w:numPr>
        <w:rPr>
          <w:lang w:val="en-GB"/>
        </w:rPr>
      </w:pPr>
      <w:r>
        <w:rPr>
          <w:lang w:val="en-GB"/>
        </w:rPr>
        <w:t>Sustainability- The research and development efforts of the company have significantly increased the manuf</w:t>
      </w:r>
      <w:r>
        <w:rPr>
          <w:lang w:val="en-GB"/>
        </w:rPr>
        <w:t xml:space="preserve">acturing of hybrid and electric vehicles which reflect the company's alignment with sustainability goals. VW's investments in eco-friendly solutions showcase its strategy to reduce carbon footprints. </w:t>
      </w:r>
    </w:p>
    <w:p w:rsidR="00DA50E7" w:rsidRDefault="004115FD" w:rsidP="00DA50E7">
      <w:pPr>
        <w:pStyle w:val="ListParagraph"/>
        <w:numPr>
          <w:ilvl w:val="0"/>
          <w:numId w:val="5"/>
        </w:numPr>
        <w:rPr>
          <w:lang w:val="en-GB"/>
        </w:rPr>
      </w:pPr>
      <w:r>
        <w:rPr>
          <w:lang w:val="en-GB"/>
        </w:rPr>
        <w:t>Focus on E-Mobility- The Financial Resources of the com</w:t>
      </w:r>
      <w:r>
        <w:rPr>
          <w:lang w:val="en-GB"/>
        </w:rPr>
        <w:t xml:space="preserve">pany allows it to follow the market trends. It has widely focused on electric vehicles and launched ID.series and invested in charging infrastructure and battery technology so that the needs of the customers can be satisfied </w:t>
      </w:r>
      <w:r>
        <w:rPr>
          <w:noProof/>
        </w:rPr>
        <w:t>(</w:t>
      </w:r>
      <w:r w:rsidRPr="00E03906">
        <w:rPr>
          <w:noProof/>
        </w:rPr>
        <w:t>Venugop</w:t>
      </w:r>
      <w:r>
        <w:rPr>
          <w:noProof/>
        </w:rPr>
        <w:t>al, Haes Alhelou,</w:t>
      </w:r>
      <w:r w:rsidRPr="00E03906">
        <w:rPr>
          <w:noProof/>
        </w:rPr>
        <w:t xml:space="preserve"> A</w:t>
      </w:r>
      <w:r>
        <w:rPr>
          <w:noProof/>
        </w:rPr>
        <w:t>l-Hi</w:t>
      </w:r>
      <w:r>
        <w:rPr>
          <w:noProof/>
        </w:rPr>
        <w:t>nai and Siano, 2022)</w:t>
      </w:r>
      <w:r>
        <w:rPr>
          <w:lang w:val="en-GB"/>
        </w:rPr>
        <w:t xml:space="preserve">. </w:t>
      </w:r>
    </w:p>
    <w:p w:rsidR="00BF6067" w:rsidRDefault="004115FD" w:rsidP="00DA50E7">
      <w:pPr>
        <w:pStyle w:val="ListParagraph"/>
        <w:numPr>
          <w:ilvl w:val="0"/>
          <w:numId w:val="5"/>
        </w:numPr>
        <w:rPr>
          <w:lang w:val="en-GB"/>
        </w:rPr>
      </w:pPr>
      <w:r>
        <w:rPr>
          <w:lang w:val="en-GB"/>
        </w:rPr>
        <w:t>Portfolio Diversification- The global manufacturing capabilities of Volkswagen allow it to promote its products and services efficiently. This aligns with the strategy of satisfying the needs of different customer segments and increa</w:t>
      </w:r>
      <w:r>
        <w:rPr>
          <w:lang w:val="en-GB"/>
        </w:rPr>
        <w:t xml:space="preserve">sing the awareness of products, from autonomous to electric vehicles </w:t>
      </w:r>
      <w:r>
        <w:rPr>
          <w:noProof/>
        </w:rPr>
        <w:t>(Gonçalves, 2019)</w:t>
      </w:r>
      <w:r>
        <w:rPr>
          <w:lang w:val="en-GB"/>
        </w:rPr>
        <w:t xml:space="preserve">. </w:t>
      </w:r>
    </w:p>
    <w:p w:rsidR="00BF6067" w:rsidRDefault="004115FD" w:rsidP="00DA50E7">
      <w:pPr>
        <w:pStyle w:val="ListParagraph"/>
        <w:numPr>
          <w:ilvl w:val="0"/>
          <w:numId w:val="5"/>
        </w:numPr>
        <w:rPr>
          <w:lang w:val="en-GB"/>
        </w:rPr>
      </w:pPr>
      <w:r>
        <w:rPr>
          <w:lang w:val="en-GB"/>
        </w:rPr>
        <w:t>Market Expansion- The capabilities and resources of Volkswagen are used to expand its operations into emerging markets including India, North America and China. This e</w:t>
      </w:r>
      <w:r>
        <w:rPr>
          <w:lang w:val="en-GB"/>
        </w:rPr>
        <w:t xml:space="preserve">xpansion helps the company to increase its customer base as well as market share </w:t>
      </w:r>
      <w:r>
        <w:rPr>
          <w:noProof/>
        </w:rPr>
        <w:t>(Gonçalves, 2019)</w:t>
      </w:r>
      <w:r>
        <w:rPr>
          <w:lang w:val="en-GB"/>
        </w:rPr>
        <w:t xml:space="preserve">. </w:t>
      </w:r>
    </w:p>
    <w:p w:rsidR="002D67B0" w:rsidRDefault="004115FD">
      <w:pPr>
        <w:spacing w:line="276" w:lineRule="auto"/>
        <w:jc w:val="left"/>
        <w:rPr>
          <w:rFonts w:eastAsiaTheme="majorEastAsia" w:cstheme="majorBidi"/>
          <w:b/>
          <w:bCs/>
          <w:color w:val="365F91" w:themeColor="accent1" w:themeShade="BF"/>
          <w:sz w:val="28"/>
          <w:szCs w:val="28"/>
          <w:lang w:val="en-GB"/>
        </w:rPr>
      </w:pPr>
      <w:r>
        <w:rPr>
          <w:lang w:val="en-GB"/>
        </w:rPr>
        <w:br w:type="page"/>
      </w:r>
    </w:p>
    <w:p w:rsidR="00873E1F" w:rsidRDefault="004115FD" w:rsidP="00873E1F">
      <w:pPr>
        <w:pStyle w:val="Heading1"/>
        <w:rPr>
          <w:lang w:val="en-GB"/>
        </w:rPr>
      </w:pPr>
      <w:bookmarkStart w:id="3" w:name="_Toc142497525"/>
      <w:r>
        <w:rPr>
          <w:lang w:val="en-GB"/>
        </w:rPr>
        <w:lastRenderedPageBreak/>
        <w:t>Evaluation of How VW Become More Competitive While Considering Sustainability and the Environment</w:t>
      </w:r>
      <w:bookmarkEnd w:id="3"/>
      <w:r>
        <w:rPr>
          <w:lang w:val="en-GB"/>
        </w:rPr>
        <w:t xml:space="preserve"> </w:t>
      </w:r>
    </w:p>
    <w:p w:rsidR="00F51D07" w:rsidRDefault="004115FD" w:rsidP="00F51D07">
      <w:pPr>
        <w:rPr>
          <w:lang w:val="en-GB"/>
        </w:rPr>
      </w:pPr>
      <w:r>
        <w:rPr>
          <w:lang w:val="en-GB"/>
        </w:rPr>
        <w:t>Volkswagen Group has considered effective strategies t</w:t>
      </w:r>
      <w:r>
        <w:rPr>
          <w:lang w:val="en-GB"/>
        </w:rPr>
        <w:t xml:space="preserve">o enhance its competitiveness while prioritising environmental responsibility and sustainability. The company has implemented many innovative practices and strategies after the dieselgate scandal in 2015 as this event significantly affected its reputation </w:t>
      </w:r>
      <w:r>
        <w:rPr>
          <w:lang w:val="en-GB"/>
        </w:rPr>
        <w:t xml:space="preserve">and market position. </w:t>
      </w:r>
      <w:r w:rsidR="007039F6">
        <w:rPr>
          <w:lang w:val="en-GB"/>
        </w:rPr>
        <w:t>One of the most important steps that were considered by VW was a strategic shift towards electric vehicles. The company has recognised the importance of cleaner and sustainable transportation and invested greatly in adopting EV technology. This move significantly helped the company to align with its sustainability goals and satisfy the needs of environmentally-conscious consumers. After the implementation of EV technology, the company has developed various EV models such as ID.3 and ID.4 which positioned itself as one of the frontrunners in the race for electric mobility</w:t>
      </w:r>
      <w:r w:rsidR="00D80C76" w:rsidRPr="00D80C76">
        <w:rPr>
          <w:noProof/>
        </w:rPr>
        <w:t xml:space="preserve"> </w:t>
      </w:r>
      <w:r w:rsidR="00D80C76">
        <w:rPr>
          <w:noProof/>
        </w:rPr>
        <w:t>(Volkswagen Group, 2022)</w:t>
      </w:r>
      <w:r w:rsidR="007039F6">
        <w:rPr>
          <w:lang w:val="en-GB"/>
        </w:rPr>
        <w:t xml:space="preserve">. </w:t>
      </w:r>
    </w:p>
    <w:p w:rsidR="007039F6" w:rsidRDefault="004115FD" w:rsidP="00F51D07">
      <w:pPr>
        <w:rPr>
          <w:lang w:val="en-GB"/>
        </w:rPr>
      </w:pPr>
      <w:r>
        <w:rPr>
          <w:lang w:val="en-GB"/>
        </w:rPr>
        <w:t>Other than this, the company emphasised increasing its transparency level to rebuild consumer and stakeholder trust and increase reliability a</w:t>
      </w:r>
      <w:r>
        <w:rPr>
          <w:lang w:val="en-GB"/>
        </w:rPr>
        <w:t>fter the Dieselgate scandal of 2015. For this, the company started showing its sustainability metrics including carbon f</w:t>
      </w:r>
      <w:r w:rsidR="00D80C76">
        <w:rPr>
          <w:lang w:val="en-GB"/>
        </w:rPr>
        <w:t>ootprints and carbon emissions so that it can showcase its commitment towards sustainability and the environment.</w:t>
      </w:r>
      <w:r w:rsidR="008E15D9">
        <w:rPr>
          <w:lang w:val="en-GB"/>
        </w:rPr>
        <w:t xml:space="preserve"> This openness and transparency helped the company to get strategic partnerships with stakeholders and NGOs which increased the capability of VW to address the environmental challenges collectively and effectively </w:t>
      </w:r>
      <w:r w:rsidR="008E15D9">
        <w:rPr>
          <w:noProof/>
        </w:rPr>
        <w:t>(Volkswagen Group, 2022)</w:t>
      </w:r>
      <w:r w:rsidR="008E15D9">
        <w:rPr>
          <w:lang w:val="en-GB"/>
        </w:rPr>
        <w:t xml:space="preserve">.  </w:t>
      </w:r>
    </w:p>
    <w:p w:rsidR="008E15D9" w:rsidRDefault="004115FD" w:rsidP="00F51D07">
      <w:pPr>
        <w:rPr>
          <w:lang w:val="en-GB"/>
        </w:rPr>
      </w:pPr>
      <w:r>
        <w:rPr>
          <w:lang w:val="en-GB"/>
        </w:rPr>
        <w:t>Furthermore, the company promoted the</w:t>
      </w:r>
      <w:r>
        <w:rPr>
          <w:lang w:val="en-GB"/>
        </w:rPr>
        <w:t xml:space="preserve"> principles of circular economy according to which it is continuously putting efforts to maximise the use of resources and reduce wastes. The company also initiated some recycling programs to utilise the materials of old vehicles and minimise the cost of p</w:t>
      </w:r>
      <w:r>
        <w:rPr>
          <w:lang w:val="en-GB"/>
        </w:rPr>
        <w:t xml:space="preserve">roduction. This sustainable approach is significantly helping the company to enhance its brand image and </w:t>
      </w:r>
      <w:r w:rsidR="00E14257">
        <w:rPr>
          <w:lang w:val="en-GB"/>
        </w:rPr>
        <w:t>attract more environment-friendly consumers</w:t>
      </w:r>
      <w:r w:rsidR="00E14257" w:rsidRPr="00E14257">
        <w:rPr>
          <w:noProof/>
        </w:rPr>
        <w:t xml:space="preserve"> </w:t>
      </w:r>
      <w:r w:rsidR="00E14257">
        <w:rPr>
          <w:noProof/>
        </w:rPr>
        <w:t>(Stahel, 2019)</w:t>
      </w:r>
      <w:r w:rsidR="00E14257">
        <w:rPr>
          <w:lang w:val="en-GB"/>
        </w:rPr>
        <w:t xml:space="preserve">. </w:t>
      </w:r>
    </w:p>
    <w:p w:rsidR="00E14257" w:rsidRDefault="004115FD" w:rsidP="00F51D07">
      <w:pPr>
        <w:rPr>
          <w:lang w:val="en-GB"/>
        </w:rPr>
      </w:pPr>
      <w:r>
        <w:rPr>
          <w:lang w:val="en-GB"/>
        </w:rPr>
        <w:t xml:space="preserve">Other than this, the company explored and implemented the approach of smart manufacturing and digitalisation which significantly helped in streamlining production cost </w:t>
      </w:r>
      <w:r>
        <w:rPr>
          <w:lang w:val="en-GB"/>
        </w:rPr>
        <w:lastRenderedPageBreak/>
        <w:t>and processes, maximising efficiency and minimising resource wastage. Manufacturing meth</w:t>
      </w:r>
      <w:r>
        <w:rPr>
          <w:lang w:val="en-GB"/>
        </w:rPr>
        <w:t>ods optimised through digital technologies align with the sustainability goals of VW and also position itself as a tech-savvy organisation within the automobile industry the company has initialised many of its operations through renewable sources of energy</w:t>
      </w:r>
      <w:r>
        <w:rPr>
          <w:lang w:val="en-GB"/>
        </w:rPr>
        <w:t xml:space="preserve">. It has adopted wind and solar power and minimised its carbon footprints as well as energy expenses. These initiatives can significantly help the company to capture long-term financial benefits and enhance its overall competitiveness within the market </w:t>
      </w:r>
      <w:r>
        <w:rPr>
          <w:noProof/>
        </w:rPr>
        <w:t>(Vo</w:t>
      </w:r>
      <w:r>
        <w:rPr>
          <w:noProof/>
        </w:rPr>
        <w:t>lkswagen Group, 2022)</w:t>
      </w:r>
      <w:r>
        <w:rPr>
          <w:lang w:val="en-GB"/>
        </w:rPr>
        <w:t xml:space="preserve">. </w:t>
      </w:r>
    </w:p>
    <w:p w:rsidR="002E50BD" w:rsidRDefault="004115FD" w:rsidP="00F51D07">
      <w:pPr>
        <w:rPr>
          <w:lang w:val="en-GB"/>
        </w:rPr>
      </w:pPr>
      <w:r>
        <w:rPr>
          <w:lang w:val="en-GB"/>
        </w:rPr>
        <w:t>Expansion into emerging markets is one of the most important strategies of Volkswagen which showcase its competitiveness and adaptability even after being hit by the dieselgate scandal. The company has introduced flexible, efficient</w:t>
      </w:r>
      <w:r>
        <w:rPr>
          <w:lang w:val="en-GB"/>
        </w:rPr>
        <w:t xml:space="preserve"> and affordable models that can meet the needs of those markets while aligning the objectives of sustainability. These models due to their efficient design and smaller size help the company to minimise its carbon footprints and reduce the adverse impacts o</w:t>
      </w:r>
      <w:r>
        <w:rPr>
          <w:lang w:val="en-GB"/>
        </w:rPr>
        <w:t>n the environment and planet. Along with the strategy of global expansion, the company focused on marketing to increase the awareness of eco-friendly products among consumers. It has developed some environmentally-focused advertising campaigns which reflec</w:t>
      </w:r>
      <w:r>
        <w:rPr>
          <w:lang w:val="en-GB"/>
        </w:rPr>
        <w:t xml:space="preserve">t its commitment to a healthy environment and planet. This approach positively enhanced the brand perception and boosted the sales of hybrid and electric vehicles </w:t>
      </w:r>
      <w:r>
        <w:rPr>
          <w:noProof/>
        </w:rPr>
        <w:t>(Volkswagen Group, 2022)</w:t>
      </w:r>
      <w:r>
        <w:rPr>
          <w:lang w:val="en-GB"/>
        </w:rPr>
        <w:t xml:space="preserve">. </w:t>
      </w:r>
    </w:p>
    <w:p w:rsidR="002D67B0" w:rsidRDefault="004115FD">
      <w:pPr>
        <w:spacing w:line="276" w:lineRule="auto"/>
        <w:jc w:val="left"/>
        <w:rPr>
          <w:rFonts w:eastAsiaTheme="majorEastAsia" w:cstheme="majorBidi"/>
          <w:b/>
          <w:bCs/>
          <w:color w:val="365F91" w:themeColor="accent1" w:themeShade="BF"/>
          <w:sz w:val="28"/>
          <w:szCs w:val="28"/>
          <w:lang w:val="en-GB"/>
        </w:rPr>
      </w:pPr>
      <w:r>
        <w:rPr>
          <w:lang w:val="en-GB"/>
        </w:rPr>
        <w:br w:type="page"/>
      </w:r>
    </w:p>
    <w:p w:rsidR="002E50BD" w:rsidRDefault="004115FD" w:rsidP="00D851D7">
      <w:pPr>
        <w:pStyle w:val="Heading1"/>
        <w:rPr>
          <w:lang w:val="en-GB"/>
        </w:rPr>
      </w:pPr>
      <w:bookmarkStart w:id="4" w:name="_Toc142497526"/>
      <w:r>
        <w:rPr>
          <w:lang w:val="en-GB"/>
        </w:rPr>
        <w:lastRenderedPageBreak/>
        <w:t xml:space="preserve">Recommendations for Further Sustainability Practices to Develop </w:t>
      </w:r>
      <w:r>
        <w:rPr>
          <w:lang w:val="en-GB"/>
        </w:rPr>
        <w:t>Competitive Advantage in the Future</w:t>
      </w:r>
      <w:bookmarkEnd w:id="4"/>
      <w:r>
        <w:rPr>
          <w:lang w:val="en-GB"/>
        </w:rPr>
        <w:t xml:space="preserve"> </w:t>
      </w:r>
    </w:p>
    <w:p w:rsidR="00D851D7" w:rsidRDefault="004115FD" w:rsidP="00D851D7">
      <w:pPr>
        <w:rPr>
          <w:lang w:val="en-GB"/>
        </w:rPr>
      </w:pPr>
      <w:r>
        <w:rPr>
          <w:lang w:val="en-GB"/>
        </w:rPr>
        <w:t>Volkswagen Group's commitment towards sustainability has enhanced its position and reputation in the market. However, the Dieselgate scandal in 2015 has negatively affected transparency and minimised the trust levels of</w:t>
      </w:r>
      <w:r>
        <w:rPr>
          <w:lang w:val="en-GB"/>
        </w:rPr>
        <w:t xml:space="preserve"> consumers. </w:t>
      </w:r>
      <w:r w:rsidR="002D05CB">
        <w:rPr>
          <w:lang w:val="en-GB"/>
        </w:rPr>
        <w:t>Due to this, it is required by the company to further enhance its sustainable practices to develop a competitive advantage in the future. Some of the strategies that can be considered include:</w:t>
      </w:r>
    </w:p>
    <w:p w:rsidR="002D05CB" w:rsidRDefault="004115FD" w:rsidP="00D851D7">
      <w:pPr>
        <w:rPr>
          <w:lang w:val="en-GB"/>
        </w:rPr>
      </w:pPr>
      <w:r>
        <w:rPr>
          <w:b/>
          <w:lang w:val="en-GB"/>
        </w:rPr>
        <w:t>Integration of Various R</w:t>
      </w:r>
      <w:r w:rsidRPr="002D05CB">
        <w:rPr>
          <w:b/>
          <w:lang w:val="en-GB"/>
        </w:rPr>
        <w:t>enewable Energy</w:t>
      </w:r>
      <w:r>
        <w:rPr>
          <w:lang w:val="en-GB"/>
        </w:rPr>
        <w:t>- Volkswagen</w:t>
      </w:r>
      <w:r>
        <w:rPr>
          <w:lang w:val="en-GB"/>
        </w:rPr>
        <w:t xml:space="preserve"> already utilises renewable sources of energy such as solar and wind power. However, it can expand this approach and invest in the on-site generation of energy. This can be done by installing solar panels and wind turbines at manufacturing plants to reduce</w:t>
      </w:r>
      <w:r>
        <w:rPr>
          <w:lang w:val="en-GB"/>
        </w:rPr>
        <w:t xml:space="preserve"> operational costs and minimise carbon footprints</w:t>
      </w:r>
      <w:r w:rsidRPr="002D05CB">
        <w:rPr>
          <w:noProof/>
        </w:rPr>
        <w:t xml:space="preserve"> </w:t>
      </w:r>
      <w:r>
        <w:rPr>
          <w:noProof/>
        </w:rPr>
        <w:t>(Longo,</w:t>
      </w:r>
      <w:r w:rsidRPr="002D05CB">
        <w:rPr>
          <w:noProof/>
        </w:rPr>
        <w:t xml:space="preserve"> Fo</w:t>
      </w:r>
      <w:r>
        <w:rPr>
          <w:noProof/>
        </w:rPr>
        <w:t>iadelli and Yaïci, 2018)</w:t>
      </w:r>
      <w:r>
        <w:rPr>
          <w:lang w:val="en-GB"/>
        </w:rPr>
        <w:t>.</w:t>
      </w:r>
    </w:p>
    <w:p w:rsidR="002D05CB" w:rsidRDefault="004115FD" w:rsidP="00D851D7">
      <w:pPr>
        <w:rPr>
          <w:lang w:val="en-GB"/>
        </w:rPr>
      </w:pPr>
      <w:r>
        <w:rPr>
          <w:b/>
          <w:lang w:val="en-GB"/>
        </w:rPr>
        <w:t>Investment in S</w:t>
      </w:r>
      <w:r w:rsidRPr="002D05CB">
        <w:rPr>
          <w:b/>
          <w:lang w:val="en-GB"/>
        </w:rPr>
        <w:t>ustainable Materials</w:t>
      </w:r>
      <w:r>
        <w:rPr>
          <w:lang w:val="en-GB"/>
        </w:rPr>
        <w:t>- Volkswagen can explore substitute sustainable materials that can be utilised in vehicle production. This can involve recyclable plast</w:t>
      </w:r>
      <w:r>
        <w:rPr>
          <w:lang w:val="en-GB"/>
        </w:rPr>
        <w:t>ics, bio-based materials and many others. These materials can help in appealing to environmentally-conscious consumers and reduce the utilisation of non-renewable resources</w:t>
      </w:r>
      <w:r w:rsidRPr="0082672C">
        <w:rPr>
          <w:noProof/>
        </w:rPr>
        <w:t xml:space="preserve"> </w:t>
      </w:r>
      <w:r>
        <w:rPr>
          <w:noProof/>
        </w:rPr>
        <w:t>(Staniszewska,</w:t>
      </w:r>
      <w:r w:rsidRPr="0082672C">
        <w:rPr>
          <w:noProof/>
        </w:rPr>
        <w:t xml:space="preserve"> Klimecka-</w:t>
      </w:r>
      <w:r>
        <w:rPr>
          <w:noProof/>
        </w:rPr>
        <w:t>Tatar and Obrecht, 2020)</w:t>
      </w:r>
      <w:r>
        <w:rPr>
          <w:lang w:val="en-GB"/>
        </w:rPr>
        <w:t xml:space="preserve">. </w:t>
      </w:r>
    </w:p>
    <w:p w:rsidR="0082672C" w:rsidRDefault="004115FD" w:rsidP="00D851D7">
      <w:pPr>
        <w:rPr>
          <w:lang w:val="en-GB"/>
        </w:rPr>
      </w:pPr>
      <w:r w:rsidRPr="0082672C">
        <w:rPr>
          <w:b/>
          <w:lang w:val="en-GB"/>
        </w:rPr>
        <w:t>Battery Technology Innovation</w:t>
      </w:r>
      <w:r>
        <w:rPr>
          <w:lang w:val="en-GB"/>
        </w:rPr>
        <w:t>- A</w:t>
      </w:r>
      <w:r>
        <w:rPr>
          <w:lang w:val="en-GB"/>
        </w:rPr>
        <w:t>s the automobile industry is highly focused on electric vehicles, the enhancements in battery technology can significantly help in increasing the range, performance and environmental impact. The company can make more investments in research and development</w:t>
      </w:r>
      <w:r>
        <w:rPr>
          <w:lang w:val="en-GB"/>
        </w:rPr>
        <w:t xml:space="preserve"> and create long-lasting, recyclable and more efficient batteries. This could help in attracting more customers to the company</w:t>
      </w:r>
      <w:r w:rsidRPr="0082672C">
        <w:rPr>
          <w:noProof/>
          <w:lang w:val="en-GB"/>
        </w:rPr>
        <w:t xml:space="preserve"> </w:t>
      </w:r>
      <w:r>
        <w:rPr>
          <w:noProof/>
          <w:lang w:val="en-GB"/>
        </w:rPr>
        <w:t>(</w:t>
      </w:r>
      <w:r w:rsidRPr="0082672C">
        <w:rPr>
          <w:noProof/>
          <w:lang w:val="en-GB"/>
        </w:rPr>
        <w:t>R</w:t>
      </w:r>
      <w:r>
        <w:rPr>
          <w:noProof/>
          <w:lang w:val="en-GB"/>
        </w:rPr>
        <w:t>einhardt, Christodoulou,</w:t>
      </w:r>
      <w:r w:rsidRPr="0082672C">
        <w:rPr>
          <w:noProof/>
          <w:lang w:val="en-GB"/>
        </w:rPr>
        <w:t xml:space="preserve"> Gassó-Dom</w:t>
      </w:r>
      <w:r>
        <w:rPr>
          <w:noProof/>
          <w:lang w:val="en-GB"/>
        </w:rPr>
        <w:t>ingo and García, 2019)</w:t>
      </w:r>
      <w:r>
        <w:rPr>
          <w:lang w:val="en-GB"/>
        </w:rPr>
        <w:t xml:space="preserve">. </w:t>
      </w:r>
    </w:p>
    <w:p w:rsidR="0082672C" w:rsidRDefault="004115FD" w:rsidP="00D851D7">
      <w:pPr>
        <w:rPr>
          <w:lang w:val="en-GB"/>
        </w:rPr>
      </w:pPr>
      <w:r w:rsidRPr="0082672C">
        <w:rPr>
          <w:b/>
          <w:lang w:val="en-GB"/>
        </w:rPr>
        <w:t>Solutions for Second-Life Batteries</w:t>
      </w:r>
      <w:r w:rsidR="00E230CC">
        <w:rPr>
          <w:lang w:val="en-GB"/>
        </w:rPr>
        <w:t>- Due to the increase in electric vehicle adoption among consumers, a large number of used batteries can be available to Volkswagen. Through this, the company can identify the repurpose of those batteries and extend their lifecycle. This will show the company's commitment towards sustainability and meet the demands of the consumers</w:t>
      </w:r>
      <w:r w:rsidR="00E230CC" w:rsidRPr="00E230CC">
        <w:rPr>
          <w:noProof/>
        </w:rPr>
        <w:t xml:space="preserve"> </w:t>
      </w:r>
      <w:r w:rsidR="00E230CC">
        <w:rPr>
          <w:noProof/>
        </w:rPr>
        <w:t>(</w:t>
      </w:r>
      <w:r w:rsidR="00E230CC" w:rsidRPr="00E230CC">
        <w:rPr>
          <w:noProof/>
        </w:rPr>
        <w:t>Col</w:t>
      </w:r>
      <w:r w:rsidR="00E230CC">
        <w:rPr>
          <w:noProof/>
        </w:rPr>
        <w:t>arullo and Thakur, 2022)</w:t>
      </w:r>
      <w:r w:rsidR="00E230CC">
        <w:rPr>
          <w:lang w:val="en-GB"/>
        </w:rPr>
        <w:t xml:space="preserve">. </w:t>
      </w:r>
    </w:p>
    <w:p w:rsidR="00E230CC" w:rsidRDefault="004115FD" w:rsidP="00D851D7">
      <w:pPr>
        <w:rPr>
          <w:lang w:val="en-GB"/>
        </w:rPr>
      </w:pPr>
      <w:r w:rsidRPr="00E230CC">
        <w:rPr>
          <w:b/>
          <w:lang w:val="en-GB"/>
        </w:rPr>
        <w:lastRenderedPageBreak/>
        <w:t>Partnerships to Foster Innovation</w:t>
      </w:r>
      <w:r>
        <w:rPr>
          <w:lang w:val="en-GB"/>
        </w:rPr>
        <w:t>- To enhance its competitiveness, Volkswagen can create partnerships with tech companies, startup companies and research institutions to focus widely on aspects like mobility and sustainability. This will enhance the innovativeness of the company and provi</w:t>
      </w:r>
      <w:r>
        <w:rPr>
          <w:lang w:val="en-GB"/>
        </w:rPr>
        <w:t xml:space="preserve">des a competitive advantage over rivals. </w:t>
      </w:r>
    </w:p>
    <w:p w:rsidR="00E230CC" w:rsidRDefault="004115FD" w:rsidP="00D851D7">
      <w:pPr>
        <w:rPr>
          <w:lang w:val="en-GB"/>
        </w:rPr>
      </w:pPr>
      <w:r w:rsidRPr="00E230CC">
        <w:rPr>
          <w:b/>
          <w:lang w:val="en-GB"/>
        </w:rPr>
        <w:t>Stimulating Circular Models of Business</w:t>
      </w:r>
      <w:r w:rsidR="006A23E1">
        <w:rPr>
          <w:lang w:val="en-GB"/>
        </w:rPr>
        <w:t>- The existing circular economy practices of Volkswagen are highly effective. However, the company can take further steps in designing vehicles. Also, the development of closed-loop systems in which the materials can be recycled and reused can help VW to establish a unique selling proposition</w:t>
      </w:r>
      <w:r w:rsidR="00A45405">
        <w:rPr>
          <w:lang w:val="en-GB"/>
        </w:rPr>
        <w:t xml:space="preserve"> </w:t>
      </w:r>
      <w:r w:rsidR="00A45405">
        <w:rPr>
          <w:noProof/>
        </w:rPr>
        <w:t>(Stahel, 2019)</w:t>
      </w:r>
      <w:r w:rsidR="006A23E1">
        <w:rPr>
          <w:lang w:val="en-GB"/>
        </w:rPr>
        <w:t xml:space="preserve">. </w:t>
      </w:r>
    </w:p>
    <w:p w:rsidR="00845427" w:rsidRDefault="004115FD" w:rsidP="00D851D7">
      <w:pPr>
        <w:rPr>
          <w:lang w:val="en-GB"/>
        </w:rPr>
      </w:pPr>
      <w:r>
        <w:rPr>
          <w:b/>
          <w:lang w:val="en-GB"/>
        </w:rPr>
        <w:t>Transparency in S</w:t>
      </w:r>
      <w:r w:rsidRPr="00845427">
        <w:rPr>
          <w:b/>
          <w:lang w:val="en-GB"/>
        </w:rPr>
        <w:t>upply Chains</w:t>
      </w:r>
      <w:r>
        <w:rPr>
          <w:lang w:val="en-GB"/>
        </w:rPr>
        <w:t>- To show its commitment to sustainability, Volkswagen can collaborate with suppliers to en</w:t>
      </w:r>
      <w:r>
        <w:rPr>
          <w:lang w:val="en-GB"/>
        </w:rPr>
        <w:t>sure sustainable and ethical practices within the supply chain. This will help the company to establish a more positive image of the brand. Also, consumers should be provided with detailed information about the source of components and materials to develop</w:t>
      </w:r>
      <w:r>
        <w:rPr>
          <w:lang w:val="en-GB"/>
        </w:rPr>
        <w:t xml:space="preserve"> trust and transparency. </w:t>
      </w:r>
    </w:p>
    <w:p w:rsidR="001E1C46" w:rsidRDefault="004115FD" w:rsidP="00D851D7">
      <w:pPr>
        <w:rPr>
          <w:lang w:val="en-GB"/>
        </w:rPr>
      </w:pPr>
      <w:r w:rsidRPr="00A45405">
        <w:rPr>
          <w:b/>
          <w:lang w:val="en-GB"/>
        </w:rPr>
        <w:t>Enhancement of Digital Connectivity</w:t>
      </w:r>
      <w:r>
        <w:rPr>
          <w:lang w:val="en-GB"/>
        </w:rPr>
        <w:t>- Volkswagen can enhance the integration of smart technologies and gather real-time data and create more efficient patterns of driving. This will increase the interest of consumers and their sati</w:t>
      </w:r>
      <w:r>
        <w:rPr>
          <w:lang w:val="en-GB"/>
        </w:rPr>
        <w:t xml:space="preserve">sfaction level. Also, it will contribute to resource optimisation and reduce the adverse impacts on the environment </w:t>
      </w:r>
      <w:r>
        <w:rPr>
          <w:noProof/>
        </w:rPr>
        <w:t>(Trovao, 2020)</w:t>
      </w:r>
      <w:r>
        <w:rPr>
          <w:lang w:val="en-GB"/>
        </w:rPr>
        <w:t>.</w:t>
      </w:r>
    </w:p>
    <w:p w:rsidR="002D67B0" w:rsidRDefault="004115FD">
      <w:pPr>
        <w:spacing w:line="276" w:lineRule="auto"/>
        <w:jc w:val="left"/>
        <w:rPr>
          <w:rFonts w:eastAsiaTheme="majorEastAsia" w:cstheme="majorBidi"/>
          <w:b/>
          <w:bCs/>
          <w:color w:val="365F91" w:themeColor="accent1" w:themeShade="BF"/>
          <w:sz w:val="28"/>
          <w:szCs w:val="28"/>
          <w:lang w:val="en-GB"/>
        </w:rPr>
      </w:pPr>
      <w:r>
        <w:rPr>
          <w:lang w:val="en-GB"/>
        </w:rPr>
        <w:br w:type="page"/>
      </w:r>
    </w:p>
    <w:p w:rsidR="00A45405" w:rsidRDefault="004115FD" w:rsidP="001E1C46">
      <w:pPr>
        <w:pStyle w:val="Heading1"/>
        <w:rPr>
          <w:lang w:val="en-GB"/>
        </w:rPr>
      </w:pPr>
      <w:bookmarkStart w:id="5" w:name="_Toc142497527"/>
      <w:r>
        <w:rPr>
          <w:lang w:val="en-GB"/>
        </w:rPr>
        <w:lastRenderedPageBreak/>
        <w:t>Conclusion</w:t>
      </w:r>
      <w:bookmarkEnd w:id="5"/>
      <w:r>
        <w:rPr>
          <w:lang w:val="en-GB"/>
        </w:rPr>
        <w:t xml:space="preserve">  </w:t>
      </w:r>
    </w:p>
    <w:p w:rsidR="001E1C46" w:rsidRDefault="004115FD" w:rsidP="001E1C46">
      <w:pPr>
        <w:rPr>
          <w:lang w:val="en-GB"/>
        </w:rPr>
      </w:pPr>
      <w:r>
        <w:rPr>
          <w:lang w:val="en-GB"/>
        </w:rPr>
        <w:t>In conclusion, Volkswagen Group is continuously putting efforts to increase its competitiveness and reputation among consumers. After the Dieselgate scandal, the reputation and market position of the company was affected negatively and created an unsustain</w:t>
      </w:r>
      <w:r>
        <w:rPr>
          <w:lang w:val="en-GB"/>
        </w:rPr>
        <w:t>able brand image within the industry. Besides this, the company has considered sustainability and the environment and shifted towards approaches like electric mobility, renewable energy, circular business model, market expansion, digitalisation and custome</w:t>
      </w:r>
      <w:r>
        <w:rPr>
          <w:lang w:val="en-GB"/>
        </w:rPr>
        <w:t xml:space="preserve">r transparency which offered significant benefits including huge sales and profitability. Through this, VW has restored its reputation and trust and positioned itself as an innovative and sustainable brand within the automotive industry. </w:t>
      </w:r>
    </w:p>
    <w:p w:rsidR="001E1C46" w:rsidRPr="001E1C46" w:rsidRDefault="004115FD" w:rsidP="001E1C46">
      <w:pPr>
        <w:rPr>
          <w:lang w:val="en-GB"/>
        </w:rPr>
      </w:pPr>
      <w:r>
        <w:rPr>
          <w:lang w:val="en-GB"/>
        </w:rPr>
        <w:t xml:space="preserve">To continue with </w:t>
      </w:r>
      <w:r>
        <w:rPr>
          <w:lang w:val="en-GB"/>
        </w:rPr>
        <w:t xml:space="preserve">the same approach, it is recommended to Volkswagen Group expand its renewable source energy integration, supply chain transparency, </w:t>
      </w:r>
      <w:r w:rsidR="002D67B0">
        <w:rPr>
          <w:lang w:val="en-GB"/>
        </w:rPr>
        <w:t xml:space="preserve">investments in sustainable materials, development of second-life battery solutions and promotion of circular business models. This shall help the brand to solidify its position and align with the sustainability goals and objectives. This shall provide long-term success to the brand and increase its competitiveness in the market. </w:t>
      </w:r>
    </w:p>
    <w:p w:rsidR="001E1C46" w:rsidRDefault="001E1C46" w:rsidP="00D851D7">
      <w:pPr>
        <w:rPr>
          <w:lang w:val="en-GB"/>
        </w:rPr>
      </w:pPr>
    </w:p>
    <w:p w:rsidR="00A45405" w:rsidRDefault="00A45405" w:rsidP="00D851D7">
      <w:pPr>
        <w:rPr>
          <w:lang w:val="en-GB"/>
        </w:rPr>
      </w:pPr>
    </w:p>
    <w:p w:rsidR="00E230CC" w:rsidRDefault="00E230CC" w:rsidP="00D851D7">
      <w:pPr>
        <w:rPr>
          <w:lang w:val="en-GB"/>
        </w:rPr>
      </w:pPr>
    </w:p>
    <w:p w:rsidR="00E230CC" w:rsidRDefault="00E230CC" w:rsidP="00D851D7">
      <w:pPr>
        <w:rPr>
          <w:lang w:val="en-GB"/>
        </w:rPr>
      </w:pPr>
    </w:p>
    <w:p w:rsidR="0082672C" w:rsidRDefault="0082672C" w:rsidP="00D851D7">
      <w:pPr>
        <w:rPr>
          <w:lang w:val="en-GB"/>
        </w:rPr>
      </w:pPr>
    </w:p>
    <w:p w:rsidR="0082672C" w:rsidRDefault="0082672C" w:rsidP="00D851D7">
      <w:pPr>
        <w:rPr>
          <w:lang w:val="en-GB"/>
        </w:rPr>
      </w:pPr>
    </w:p>
    <w:p w:rsidR="002D05CB" w:rsidRDefault="004115FD" w:rsidP="00D851D7">
      <w:pPr>
        <w:rPr>
          <w:lang w:val="en-GB"/>
        </w:rPr>
      </w:pPr>
      <w:r>
        <w:rPr>
          <w:lang w:val="en-GB"/>
        </w:rPr>
        <w:t xml:space="preserve"> </w:t>
      </w:r>
    </w:p>
    <w:p w:rsidR="002D05CB" w:rsidRDefault="002D05CB" w:rsidP="00D851D7">
      <w:pPr>
        <w:rPr>
          <w:lang w:val="en-GB"/>
        </w:rPr>
      </w:pPr>
    </w:p>
    <w:p w:rsidR="002D67B0" w:rsidRDefault="002D67B0" w:rsidP="002D67B0">
      <w:pPr>
        <w:rPr>
          <w:lang w:val="en-GB"/>
        </w:rPr>
      </w:pPr>
    </w:p>
    <w:p w:rsidR="00A13C12" w:rsidRPr="002D67B0" w:rsidRDefault="004115FD" w:rsidP="002D67B0">
      <w:pPr>
        <w:pStyle w:val="Heading1"/>
        <w:rPr>
          <w:rFonts w:eastAsiaTheme="minorHAnsi" w:cstheme="minorBidi"/>
          <w:color w:val="auto"/>
          <w:sz w:val="24"/>
          <w:szCs w:val="22"/>
          <w:lang w:val="en-GB"/>
        </w:rPr>
      </w:pPr>
      <w:bookmarkStart w:id="6" w:name="_Toc142497528"/>
      <w:r>
        <w:rPr>
          <w:lang w:val="en-GB"/>
        </w:rPr>
        <w:lastRenderedPageBreak/>
        <w:t>Reference List</w:t>
      </w:r>
      <w:bookmarkEnd w:id="6"/>
      <w:r>
        <w:rPr>
          <w:lang w:val="en-GB"/>
        </w:rPr>
        <w:t xml:space="preserve"> </w:t>
      </w:r>
    </w:p>
    <w:p w:rsidR="002D67B0" w:rsidRDefault="004115FD" w:rsidP="00A13C12">
      <w:pPr>
        <w:rPr>
          <w:noProof/>
        </w:rPr>
      </w:pPr>
      <w:r>
        <w:rPr>
          <w:noProof/>
        </w:rPr>
        <w:t>Barreto, B.S.M. (2019)</w:t>
      </w:r>
      <w:r w:rsidRPr="00B966A3">
        <w:rPr>
          <w:noProof/>
        </w:rPr>
        <w:t> </w:t>
      </w:r>
      <w:r w:rsidRPr="00B966A3">
        <w:rPr>
          <w:i/>
          <w:iCs/>
          <w:noProof/>
        </w:rPr>
        <w:t>The VW e-Race</w:t>
      </w:r>
      <w:r w:rsidRPr="00B966A3">
        <w:rPr>
          <w:noProof/>
        </w:rPr>
        <w:t> (Doctoral dissertation).</w:t>
      </w:r>
    </w:p>
    <w:p w:rsidR="002D67B0" w:rsidRDefault="004115FD" w:rsidP="00A13C12">
      <w:pPr>
        <w:rPr>
          <w:noProof/>
          <w:lang w:val="en-GB"/>
        </w:rPr>
      </w:pPr>
      <w:r>
        <w:rPr>
          <w:noProof/>
          <w:lang w:val="en-GB"/>
        </w:rPr>
        <w:t xml:space="preserve">BBC (2022) </w:t>
      </w:r>
      <w:r w:rsidRPr="00A13C12">
        <w:rPr>
          <w:i/>
          <w:noProof/>
          <w:lang w:val="en-GB"/>
        </w:rPr>
        <w:t>Volkswagen to pay out £193m in ‘dieselgate’ settlement</w:t>
      </w:r>
      <w:r>
        <w:rPr>
          <w:noProof/>
          <w:lang w:val="en-GB"/>
        </w:rPr>
        <w:t xml:space="preserve">. BBC [online]. Available from : </w:t>
      </w:r>
      <w:hyperlink r:id="rId10" w:history="1">
        <w:r w:rsidRPr="006420F8">
          <w:rPr>
            <w:rStyle w:val="Hyperlink"/>
            <w:noProof/>
            <w:lang w:val="en-GB"/>
          </w:rPr>
          <w:t>https://www.bbc.com/news/business-61581251</w:t>
        </w:r>
      </w:hyperlink>
      <w:r>
        <w:rPr>
          <w:noProof/>
          <w:lang w:val="en-GB"/>
        </w:rPr>
        <w:t xml:space="preserve"> [Accessed 4/8/23</w:t>
      </w:r>
      <w:r>
        <w:rPr>
          <w:noProof/>
          <w:lang w:val="en-GB"/>
        </w:rPr>
        <w:t xml:space="preserve">]. </w:t>
      </w:r>
    </w:p>
    <w:p w:rsidR="002D67B0" w:rsidRDefault="004115FD" w:rsidP="00A13C12">
      <w:pPr>
        <w:rPr>
          <w:noProof/>
        </w:rPr>
      </w:pPr>
      <w:r w:rsidRPr="00494FB2">
        <w:rPr>
          <w:noProof/>
        </w:rPr>
        <w:t>Calv</w:t>
      </w:r>
      <w:r>
        <w:rPr>
          <w:noProof/>
        </w:rPr>
        <w:t>illo, C.F. and Turner, K. (2020)</w:t>
      </w:r>
      <w:r w:rsidRPr="00494FB2">
        <w:rPr>
          <w:noProof/>
        </w:rPr>
        <w:t xml:space="preserve"> Analysing the impacts of a large-scale EV rollout in the UK–how can we better inform environmental and climate policy?. </w:t>
      </w:r>
      <w:r w:rsidRPr="00494FB2">
        <w:rPr>
          <w:i/>
          <w:iCs/>
          <w:noProof/>
        </w:rPr>
        <w:t>Energy Strategy Reviews</w:t>
      </w:r>
      <w:r w:rsidRPr="00494FB2">
        <w:rPr>
          <w:noProof/>
        </w:rPr>
        <w:t>, </w:t>
      </w:r>
      <w:r w:rsidRPr="00494FB2">
        <w:rPr>
          <w:i/>
          <w:iCs/>
          <w:noProof/>
        </w:rPr>
        <w:t>30</w:t>
      </w:r>
      <w:r w:rsidRPr="00494FB2">
        <w:rPr>
          <w:noProof/>
        </w:rPr>
        <w:t>, p.100497.</w:t>
      </w:r>
    </w:p>
    <w:p w:rsidR="002D67B0" w:rsidRDefault="004115FD" w:rsidP="00A13C12">
      <w:pPr>
        <w:rPr>
          <w:noProof/>
        </w:rPr>
      </w:pPr>
      <w:r>
        <w:rPr>
          <w:noProof/>
        </w:rPr>
        <w:t>Chen, J. and Zhong, M. (2022)</w:t>
      </w:r>
      <w:r w:rsidRPr="00925C07">
        <w:rPr>
          <w:noProof/>
        </w:rPr>
        <w:t xml:space="preserve"> Research on Volkswagen’s D</w:t>
      </w:r>
      <w:r w:rsidRPr="00925C07">
        <w:rPr>
          <w:noProof/>
        </w:rPr>
        <w:t>evelopment Strategy During Covid-19. In </w:t>
      </w:r>
      <w:r w:rsidRPr="00925C07">
        <w:rPr>
          <w:i/>
          <w:iCs/>
          <w:noProof/>
        </w:rPr>
        <w:t>2022 7th International Conference on Social Sciences and Economic Development (ICSSED 2022)</w:t>
      </w:r>
      <w:r w:rsidRPr="00925C07">
        <w:rPr>
          <w:noProof/>
        </w:rPr>
        <w:t> (pp. 705-710). Atlantis Press.</w:t>
      </w:r>
    </w:p>
    <w:p w:rsidR="002D67B0" w:rsidRDefault="004115FD" w:rsidP="00A13C12">
      <w:pPr>
        <w:rPr>
          <w:noProof/>
          <w:lang w:val="en-GB"/>
        </w:rPr>
      </w:pPr>
      <w:r w:rsidRPr="00E230CC">
        <w:rPr>
          <w:noProof/>
        </w:rPr>
        <w:t>Col</w:t>
      </w:r>
      <w:r>
        <w:rPr>
          <w:noProof/>
        </w:rPr>
        <w:t>arullo, L. and Thakur, J. (2022)</w:t>
      </w:r>
      <w:r w:rsidRPr="00E230CC">
        <w:rPr>
          <w:noProof/>
        </w:rPr>
        <w:t xml:space="preserve"> Second-life EV batteries for stationary storage applicati</w:t>
      </w:r>
      <w:r w:rsidRPr="00E230CC">
        <w:rPr>
          <w:noProof/>
        </w:rPr>
        <w:t>ons in Local Energy Communities. </w:t>
      </w:r>
      <w:r w:rsidRPr="00E230CC">
        <w:rPr>
          <w:i/>
          <w:iCs/>
          <w:noProof/>
        </w:rPr>
        <w:t>Renewable and Sustainable Energy Reviews</w:t>
      </w:r>
      <w:r w:rsidRPr="00E230CC">
        <w:rPr>
          <w:noProof/>
        </w:rPr>
        <w:t>, </w:t>
      </w:r>
      <w:r w:rsidRPr="00E230CC">
        <w:rPr>
          <w:i/>
          <w:iCs/>
          <w:noProof/>
        </w:rPr>
        <w:t>169</w:t>
      </w:r>
      <w:r w:rsidRPr="00E230CC">
        <w:rPr>
          <w:noProof/>
        </w:rPr>
        <w:t>, p.112913.</w:t>
      </w:r>
    </w:p>
    <w:p w:rsidR="002D67B0" w:rsidRDefault="004115FD" w:rsidP="00A13C12">
      <w:pPr>
        <w:rPr>
          <w:noProof/>
        </w:rPr>
      </w:pPr>
      <w:r>
        <w:rPr>
          <w:noProof/>
        </w:rPr>
        <w:t>Gonçalves, R.E.M. (2019)</w:t>
      </w:r>
      <w:r w:rsidRPr="003A682A">
        <w:rPr>
          <w:noProof/>
        </w:rPr>
        <w:t> </w:t>
      </w:r>
      <w:r w:rsidRPr="003A682A">
        <w:rPr>
          <w:i/>
          <w:iCs/>
          <w:noProof/>
        </w:rPr>
        <w:t>Valuation of Volkswagen AG</w:t>
      </w:r>
      <w:r w:rsidRPr="003A682A">
        <w:rPr>
          <w:noProof/>
        </w:rPr>
        <w:t> (Master's thesis).</w:t>
      </w:r>
    </w:p>
    <w:p w:rsidR="002D67B0" w:rsidRDefault="004115FD" w:rsidP="00A13C12">
      <w:pPr>
        <w:rPr>
          <w:noProof/>
        </w:rPr>
      </w:pPr>
      <w:r w:rsidRPr="00494FB2">
        <w:rPr>
          <w:noProof/>
        </w:rPr>
        <w:t>Hab</w:t>
      </w:r>
      <w:r>
        <w:rPr>
          <w:noProof/>
        </w:rPr>
        <w:t>ib, A.R.R. and Butler, K. (2022)</w:t>
      </w:r>
      <w:r w:rsidRPr="00494FB2">
        <w:rPr>
          <w:noProof/>
        </w:rPr>
        <w:t xml:space="preserve"> Environmental and economic comparison of hydrogen fuel cell and battery electric vehicles. </w:t>
      </w:r>
      <w:r w:rsidRPr="00494FB2">
        <w:rPr>
          <w:i/>
          <w:iCs/>
          <w:noProof/>
        </w:rPr>
        <w:t>Future Technology</w:t>
      </w:r>
      <w:r w:rsidRPr="00494FB2">
        <w:rPr>
          <w:noProof/>
        </w:rPr>
        <w:t>, </w:t>
      </w:r>
      <w:r w:rsidRPr="00494FB2">
        <w:rPr>
          <w:i/>
          <w:iCs/>
          <w:noProof/>
        </w:rPr>
        <w:t>1</w:t>
      </w:r>
      <w:r w:rsidRPr="00494FB2">
        <w:rPr>
          <w:noProof/>
        </w:rPr>
        <w:t>(2), pp.25-33.</w:t>
      </w:r>
    </w:p>
    <w:p w:rsidR="002D67B0" w:rsidRDefault="004115FD" w:rsidP="00A13C12">
      <w:pPr>
        <w:rPr>
          <w:noProof/>
        </w:rPr>
      </w:pPr>
      <w:r w:rsidRPr="00893A8F">
        <w:rPr>
          <w:noProof/>
        </w:rPr>
        <w:t>Hertenstein</w:t>
      </w:r>
      <w:r>
        <w:rPr>
          <w:noProof/>
        </w:rPr>
        <w:t>, P. and Williamson, P.J. (2018)</w:t>
      </w:r>
      <w:r w:rsidRPr="00893A8F">
        <w:rPr>
          <w:noProof/>
        </w:rPr>
        <w:t xml:space="preserve"> The role of suppliers in enabling differing innovation strategies of competing multin</w:t>
      </w:r>
      <w:r w:rsidRPr="00893A8F">
        <w:rPr>
          <w:noProof/>
        </w:rPr>
        <w:t>ationals from emerging and advanced economies: German and Chinese automotive firms compared. </w:t>
      </w:r>
      <w:r w:rsidRPr="00893A8F">
        <w:rPr>
          <w:i/>
          <w:iCs/>
          <w:noProof/>
        </w:rPr>
        <w:t>Technovation</w:t>
      </w:r>
      <w:r w:rsidRPr="00893A8F">
        <w:rPr>
          <w:noProof/>
        </w:rPr>
        <w:t>, </w:t>
      </w:r>
      <w:r w:rsidRPr="00893A8F">
        <w:rPr>
          <w:i/>
          <w:iCs/>
          <w:noProof/>
        </w:rPr>
        <w:t>70</w:t>
      </w:r>
      <w:r w:rsidRPr="00893A8F">
        <w:rPr>
          <w:noProof/>
        </w:rPr>
        <w:t>, pp.46-58.</w:t>
      </w:r>
    </w:p>
    <w:p w:rsidR="002D67B0" w:rsidRDefault="004115FD" w:rsidP="00A13C12">
      <w:pPr>
        <w:rPr>
          <w:noProof/>
        </w:rPr>
      </w:pPr>
      <w:r w:rsidRPr="002D05CB">
        <w:rPr>
          <w:noProof/>
        </w:rPr>
        <w:t>Longo, M., Fo</w:t>
      </w:r>
      <w:r>
        <w:rPr>
          <w:noProof/>
        </w:rPr>
        <w:t>iadelli, F. and Yaïci, W. (2018)</w:t>
      </w:r>
      <w:r w:rsidRPr="002D05CB">
        <w:rPr>
          <w:noProof/>
        </w:rPr>
        <w:t xml:space="preserve"> Electric vehicles integrated with renewable energy sources for sustainable mobility. </w:t>
      </w:r>
      <w:r w:rsidRPr="002D05CB">
        <w:rPr>
          <w:i/>
          <w:iCs/>
          <w:noProof/>
        </w:rPr>
        <w:t xml:space="preserve">New </w:t>
      </w:r>
      <w:r w:rsidRPr="002D05CB">
        <w:rPr>
          <w:i/>
          <w:iCs/>
          <w:noProof/>
        </w:rPr>
        <w:t>trends in electrical vehicle powertrains</w:t>
      </w:r>
      <w:r w:rsidRPr="002D05CB">
        <w:rPr>
          <w:noProof/>
        </w:rPr>
        <w:t>, </w:t>
      </w:r>
      <w:r w:rsidRPr="002D05CB">
        <w:rPr>
          <w:i/>
          <w:iCs/>
          <w:noProof/>
        </w:rPr>
        <w:t>10</w:t>
      </w:r>
      <w:r w:rsidRPr="002D05CB">
        <w:rPr>
          <w:noProof/>
        </w:rPr>
        <w:t>, pp.203-223.</w:t>
      </w:r>
    </w:p>
    <w:p w:rsidR="002D67B0" w:rsidRDefault="004115FD" w:rsidP="00A13C12">
      <w:pPr>
        <w:rPr>
          <w:noProof/>
        </w:rPr>
      </w:pPr>
      <w:r w:rsidRPr="00494FB2">
        <w:rPr>
          <w:noProof/>
        </w:rPr>
        <w:t>Lotze, C., Marszal, P., S</w:t>
      </w:r>
      <w:r>
        <w:rPr>
          <w:noProof/>
        </w:rPr>
        <w:t>chröder, M. and Timme, M. (2022)</w:t>
      </w:r>
      <w:r w:rsidRPr="00494FB2">
        <w:rPr>
          <w:noProof/>
        </w:rPr>
        <w:t xml:space="preserve"> Dynamic stop pooling for flexible and sustainable ride sharing. </w:t>
      </w:r>
      <w:r w:rsidRPr="00494FB2">
        <w:rPr>
          <w:i/>
          <w:iCs/>
          <w:noProof/>
        </w:rPr>
        <w:t>New Journal of Physics</w:t>
      </w:r>
      <w:r w:rsidRPr="00494FB2">
        <w:rPr>
          <w:noProof/>
        </w:rPr>
        <w:t>, </w:t>
      </w:r>
      <w:r w:rsidRPr="00494FB2">
        <w:rPr>
          <w:i/>
          <w:iCs/>
          <w:noProof/>
        </w:rPr>
        <w:t>24</w:t>
      </w:r>
      <w:r w:rsidRPr="00494FB2">
        <w:rPr>
          <w:noProof/>
        </w:rPr>
        <w:t>(2), p.023034.</w:t>
      </w:r>
    </w:p>
    <w:p w:rsidR="002D67B0" w:rsidRDefault="004115FD" w:rsidP="00A13C12">
      <w:pPr>
        <w:rPr>
          <w:noProof/>
          <w:lang w:val="en-GB"/>
        </w:rPr>
      </w:pPr>
      <w:r w:rsidRPr="0082672C">
        <w:rPr>
          <w:noProof/>
          <w:lang w:val="en-GB"/>
        </w:rPr>
        <w:lastRenderedPageBreak/>
        <w:t>Reinhardt, R., Christodoulou, I., G</w:t>
      </w:r>
      <w:r w:rsidRPr="0082672C">
        <w:rPr>
          <w:noProof/>
          <w:lang w:val="en-GB"/>
        </w:rPr>
        <w:t>assó-Dom</w:t>
      </w:r>
      <w:r>
        <w:rPr>
          <w:noProof/>
          <w:lang w:val="en-GB"/>
        </w:rPr>
        <w:t>ingo, S. and García, B.A. (2019)</w:t>
      </w:r>
      <w:r w:rsidRPr="0082672C">
        <w:rPr>
          <w:noProof/>
          <w:lang w:val="en-GB"/>
        </w:rPr>
        <w:t xml:space="preserve"> Towards sustainable business models for electric vehicle battery second use: A critical review. Journal of environmental management, 245, pp.432-446.</w:t>
      </w:r>
    </w:p>
    <w:p w:rsidR="002D67B0" w:rsidRDefault="004115FD" w:rsidP="00A13C12">
      <w:pPr>
        <w:rPr>
          <w:noProof/>
        </w:rPr>
      </w:pPr>
      <w:r>
        <w:rPr>
          <w:noProof/>
        </w:rPr>
        <w:t>Stahel, W.R. (2019)</w:t>
      </w:r>
      <w:r w:rsidRPr="00E14257">
        <w:rPr>
          <w:noProof/>
        </w:rPr>
        <w:t> </w:t>
      </w:r>
      <w:r w:rsidRPr="00E14257">
        <w:rPr>
          <w:i/>
          <w:iCs/>
          <w:noProof/>
        </w:rPr>
        <w:t>The circular economy: A user's guide</w:t>
      </w:r>
      <w:r w:rsidRPr="00E14257">
        <w:rPr>
          <w:noProof/>
        </w:rPr>
        <w:t>. Routled</w:t>
      </w:r>
      <w:r w:rsidRPr="00E14257">
        <w:rPr>
          <w:noProof/>
        </w:rPr>
        <w:t>ge.</w:t>
      </w:r>
    </w:p>
    <w:p w:rsidR="002D67B0" w:rsidRDefault="004115FD" w:rsidP="00A13C12">
      <w:pPr>
        <w:rPr>
          <w:noProof/>
        </w:rPr>
      </w:pPr>
      <w:r w:rsidRPr="0082672C">
        <w:rPr>
          <w:noProof/>
        </w:rPr>
        <w:t>Staniszewska, E., Klimecka-</w:t>
      </w:r>
      <w:r>
        <w:rPr>
          <w:noProof/>
        </w:rPr>
        <w:t>Tatar, D. and Obrecht, M. (2020)</w:t>
      </w:r>
      <w:r w:rsidRPr="0082672C">
        <w:rPr>
          <w:noProof/>
        </w:rPr>
        <w:t xml:space="preserve"> Eco-design processes in the automotive industry. </w:t>
      </w:r>
      <w:r w:rsidRPr="0082672C">
        <w:rPr>
          <w:i/>
          <w:iCs/>
          <w:noProof/>
        </w:rPr>
        <w:t>Production Engineering Archives</w:t>
      </w:r>
      <w:r w:rsidRPr="0082672C">
        <w:rPr>
          <w:noProof/>
        </w:rPr>
        <w:t>, </w:t>
      </w:r>
      <w:r w:rsidRPr="0082672C">
        <w:rPr>
          <w:i/>
          <w:iCs/>
          <w:noProof/>
        </w:rPr>
        <w:t>26</w:t>
      </w:r>
      <w:r w:rsidRPr="0082672C">
        <w:rPr>
          <w:noProof/>
        </w:rPr>
        <w:t>.</w:t>
      </w:r>
    </w:p>
    <w:p w:rsidR="002D67B0" w:rsidRDefault="004115FD" w:rsidP="00A13C12">
      <w:pPr>
        <w:rPr>
          <w:noProof/>
        </w:rPr>
      </w:pPr>
      <w:r>
        <w:rPr>
          <w:noProof/>
        </w:rPr>
        <w:t>Trovao, J.P. (2020)</w:t>
      </w:r>
      <w:r w:rsidRPr="009C22EB">
        <w:rPr>
          <w:noProof/>
        </w:rPr>
        <w:t xml:space="preserve"> Digital transformation, systemic design, and automotive electronics [automotive electronics]. </w:t>
      </w:r>
      <w:r w:rsidRPr="009C22EB">
        <w:rPr>
          <w:i/>
          <w:iCs/>
          <w:noProof/>
        </w:rPr>
        <w:t>IEEE Vehicular Technology Magazine</w:t>
      </w:r>
      <w:r w:rsidRPr="009C22EB">
        <w:rPr>
          <w:noProof/>
        </w:rPr>
        <w:t>, </w:t>
      </w:r>
      <w:r w:rsidRPr="009C22EB">
        <w:rPr>
          <w:i/>
          <w:iCs/>
          <w:noProof/>
        </w:rPr>
        <w:t>15</w:t>
      </w:r>
      <w:r w:rsidRPr="009C22EB">
        <w:rPr>
          <w:noProof/>
        </w:rPr>
        <w:t>(2), pp.149-159.</w:t>
      </w:r>
    </w:p>
    <w:p w:rsidR="002D67B0" w:rsidRDefault="004115FD" w:rsidP="00A13C12">
      <w:pPr>
        <w:rPr>
          <w:noProof/>
        </w:rPr>
      </w:pPr>
      <w:r w:rsidRPr="00E03906">
        <w:rPr>
          <w:noProof/>
        </w:rPr>
        <w:t>Venugopal, P., V, R., Haes Alhelou, H., A</w:t>
      </w:r>
      <w:r>
        <w:rPr>
          <w:noProof/>
        </w:rPr>
        <w:t>l-Hinai, A. and Siano, P. (2022)</w:t>
      </w:r>
      <w:r w:rsidRPr="00E03906">
        <w:rPr>
          <w:noProof/>
        </w:rPr>
        <w:t xml:space="preserve"> Analysis of electric vehicles with an economic perspective for the future electric market. </w:t>
      </w:r>
      <w:r w:rsidRPr="00E03906">
        <w:rPr>
          <w:i/>
          <w:iCs/>
          <w:noProof/>
        </w:rPr>
        <w:t>Future Internet</w:t>
      </w:r>
      <w:r w:rsidRPr="00E03906">
        <w:rPr>
          <w:noProof/>
        </w:rPr>
        <w:t>, </w:t>
      </w:r>
      <w:r w:rsidRPr="00E03906">
        <w:rPr>
          <w:i/>
          <w:iCs/>
          <w:noProof/>
        </w:rPr>
        <w:t>14</w:t>
      </w:r>
      <w:r w:rsidRPr="00E03906">
        <w:rPr>
          <w:noProof/>
        </w:rPr>
        <w:t>(6), p.172.</w:t>
      </w:r>
    </w:p>
    <w:p w:rsidR="002D67B0" w:rsidRDefault="004115FD" w:rsidP="00A13C12">
      <w:pPr>
        <w:rPr>
          <w:noProof/>
        </w:rPr>
      </w:pPr>
      <w:r>
        <w:rPr>
          <w:noProof/>
        </w:rPr>
        <w:t xml:space="preserve">Volkswagen Group (2022) </w:t>
      </w:r>
      <w:r w:rsidRPr="00D80C76">
        <w:rPr>
          <w:i/>
          <w:noProof/>
        </w:rPr>
        <w:t>Sustainability</w:t>
      </w:r>
      <w:r>
        <w:rPr>
          <w:noProof/>
        </w:rPr>
        <w:t xml:space="preserve">. Volkswagen Group [online]. Available from : </w:t>
      </w:r>
      <w:hyperlink r:id="rId11" w:history="1">
        <w:r w:rsidRPr="006420F8">
          <w:rPr>
            <w:rStyle w:val="Hyperlink"/>
            <w:noProof/>
          </w:rPr>
          <w:t>https://annualreport2022.volkswagenag.com/group-management-report/sustainable-value-enhancement/sustainability.html</w:t>
        </w:r>
      </w:hyperlink>
      <w:r>
        <w:rPr>
          <w:noProof/>
        </w:rPr>
        <w:t xml:space="preserve"> [Accessed 4/8/23]. </w:t>
      </w:r>
    </w:p>
    <w:p w:rsidR="002D67B0" w:rsidRDefault="004115FD" w:rsidP="00A13C12">
      <w:pPr>
        <w:rPr>
          <w:noProof/>
          <w:lang w:val="en-GB"/>
        </w:rPr>
      </w:pPr>
      <w:r>
        <w:rPr>
          <w:noProof/>
          <w:lang w:val="en-GB"/>
        </w:rPr>
        <w:t xml:space="preserve">Volkswagen Newsroom (2023) </w:t>
      </w:r>
      <w:r w:rsidRPr="00A13C12">
        <w:rPr>
          <w:i/>
          <w:noProof/>
          <w:lang w:val="en-GB"/>
        </w:rPr>
        <w:t>Company</w:t>
      </w:r>
      <w:r>
        <w:rPr>
          <w:noProof/>
          <w:lang w:val="en-GB"/>
        </w:rPr>
        <w:t>. V</w:t>
      </w:r>
      <w:r>
        <w:rPr>
          <w:noProof/>
          <w:lang w:val="en-GB"/>
        </w:rPr>
        <w:t xml:space="preserve">olkswagen Newsroom [online]. Available from : </w:t>
      </w:r>
      <w:r w:rsidRPr="00A13C12">
        <w:t xml:space="preserve"> </w:t>
      </w:r>
      <w:hyperlink r:id="rId12" w:history="1">
        <w:r w:rsidRPr="006420F8">
          <w:rPr>
            <w:rStyle w:val="Hyperlink"/>
            <w:noProof/>
            <w:lang w:val="en-GB"/>
          </w:rPr>
          <w:t>https://www.volkswagen-newsroom.com/en/company-3688</w:t>
        </w:r>
      </w:hyperlink>
      <w:r>
        <w:rPr>
          <w:noProof/>
          <w:lang w:val="en-GB"/>
        </w:rPr>
        <w:t xml:space="preserve"> [Accessed 3/8/23]. </w:t>
      </w:r>
    </w:p>
    <w:p w:rsidR="002D67B0" w:rsidRDefault="004115FD" w:rsidP="00A13C12">
      <w:pPr>
        <w:rPr>
          <w:noProof/>
        </w:rPr>
      </w:pPr>
      <w:r>
        <w:rPr>
          <w:noProof/>
        </w:rPr>
        <w:t>Welch, J. (2019)</w:t>
      </w:r>
      <w:r w:rsidRPr="00462D5C">
        <w:rPr>
          <w:noProof/>
        </w:rPr>
        <w:t xml:space="preserve"> The Volkswagen recovery: leaving scandal in the dust</w:t>
      </w:r>
      <w:r w:rsidRPr="00462D5C">
        <w:rPr>
          <w:noProof/>
        </w:rPr>
        <w:t>. </w:t>
      </w:r>
      <w:r w:rsidRPr="00462D5C">
        <w:rPr>
          <w:i/>
          <w:iCs/>
          <w:noProof/>
        </w:rPr>
        <w:t>Journal of Business Strategy</w:t>
      </w:r>
      <w:r w:rsidRPr="00462D5C">
        <w:rPr>
          <w:noProof/>
        </w:rPr>
        <w:t>, </w:t>
      </w:r>
      <w:r w:rsidRPr="00462D5C">
        <w:rPr>
          <w:i/>
          <w:iCs/>
          <w:noProof/>
        </w:rPr>
        <w:t>40</w:t>
      </w:r>
      <w:r w:rsidRPr="00462D5C">
        <w:rPr>
          <w:noProof/>
        </w:rPr>
        <w:t>(2), pp.3-13.</w:t>
      </w:r>
    </w:p>
    <w:p w:rsidR="004032F5" w:rsidRDefault="004115FD">
      <w:pPr>
        <w:spacing w:line="276" w:lineRule="auto"/>
        <w:jc w:val="left"/>
        <w:rPr>
          <w:rFonts w:eastAsiaTheme="majorEastAsia" w:cstheme="majorBidi"/>
          <w:b/>
          <w:bCs/>
          <w:noProof/>
          <w:color w:val="365F91" w:themeColor="accent1" w:themeShade="BF"/>
          <w:sz w:val="28"/>
          <w:szCs w:val="28"/>
          <w:lang w:val="en-GB"/>
        </w:rPr>
      </w:pPr>
      <w:r>
        <w:rPr>
          <w:noProof/>
          <w:lang w:val="en-GB"/>
        </w:rPr>
        <w:br w:type="page"/>
      </w:r>
    </w:p>
    <w:p w:rsidR="004032F5" w:rsidRDefault="004115FD" w:rsidP="004032F5">
      <w:pPr>
        <w:pStyle w:val="Heading1"/>
        <w:rPr>
          <w:noProof/>
          <w:lang w:val="en-GB"/>
        </w:rPr>
      </w:pPr>
      <w:bookmarkStart w:id="7" w:name="_Toc142497529"/>
      <w:r>
        <w:rPr>
          <w:noProof/>
          <w:lang w:val="en-GB"/>
        </w:rPr>
        <w:lastRenderedPageBreak/>
        <w:t>Appendices</w:t>
      </w:r>
      <w:bookmarkEnd w:id="7"/>
      <w:r>
        <w:rPr>
          <w:noProof/>
          <w:lang w:val="en-GB"/>
        </w:rPr>
        <w:t xml:space="preserve"> </w:t>
      </w:r>
    </w:p>
    <w:p w:rsidR="004032F5" w:rsidRDefault="004115FD" w:rsidP="004032F5">
      <w:pPr>
        <w:pStyle w:val="Heading2"/>
        <w:rPr>
          <w:lang w:val="en-GB"/>
        </w:rPr>
      </w:pPr>
      <w:bookmarkStart w:id="8" w:name="_Toc142497530"/>
      <w:r>
        <w:rPr>
          <w:lang w:val="en-GB"/>
        </w:rPr>
        <w:t>Appendix 1 – SWOT Analysis</w:t>
      </w:r>
      <w:bookmarkEnd w:id="8"/>
      <w:r>
        <w:rPr>
          <w:lang w:val="en-GB"/>
        </w:rPr>
        <w:t xml:space="preserve"> </w:t>
      </w:r>
    </w:p>
    <w:tbl>
      <w:tblPr>
        <w:tblStyle w:val="TableGrid"/>
        <w:tblW w:w="0" w:type="auto"/>
        <w:tblLook w:val="04A0" w:firstRow="1" w:lastRow="0" w:firstColumn="1" w:lastColumn="0" w:noHBand="0" w:noVBand="1"/>
      </w:tblPr>
      <w:tblGrid>
        <w:gridCol w:w="4788"/>
        <w:gridCol w:w="4788"/>
      </w:tblGrid>
      <w:tr w:rsidR="00876C83" w:rsidTr="004032F5">
        <w:tc>
          <w:tcPr>
            <w:tcW w:w="4788" w:type="dxa"/>
          </w:tcPr>
          <w:p w:rsidR="004032F5" w:rsidRDefault="004115FD" w:rsidP="004032F5">
            <w:pPr>
              <w:jc w:val="center"/>
              <w:rPr>
                <w:b/>
                <w:lang w:val="en-GB"/>
              </w:rPr>
            </w:pPr>
            <w:r w:rsidRPr="004032F5">
              <w:rPr>
                <w:b/>
                <w:lang w:val="en-GB"/>
              </w:rPr>
              <w:t>Strengths</w:t>
            </w:r>
          </w:p>
          <w:p w:rsidR="004032F5" w:rsidRPr="003C68F5" w:rsidRDefault="004115FD" w:rsidP="004032F5">
            <w:pPr>
              <w:pStyle w:val="ListParagraph"/>
              <w:numPr>
                <w:ilvl w:val="0"/>
                <w:numId w:val="1"/>
              </w:numPr>
              <w:rPr>
                <w:b/>
                <w:lang w:val="en-GB"/>
              </w:rPr>
            </w:pPr>
            <w:r>
              <w:rPr>
                <w:lang w:val="en-GB"/>
              </w:rPr>
              <w:t xml:space="preserve">The engineering capabilities of VW </w:t>
            </w:r>
            <w:r w:rsidR="003C68F5">
              <w:rPr>
                <w:lang w:val="en-GB"/>
              </w:rPr>
              <w:t xml:space="preserve">helped in strengthening its expansion to North America. </w:t>
            </w:r>
          </w:p>
          <w:p w:rsidR="003C68F5" w:rsidRPr="004032F5" w:rsidRDefault="004115FD" w:rsidP="004032F5">
            <w:pPr>
              <w:pStyle w:val="ListParagraph"/>
              <w:numPr>
                <w:ilvl w:val="0"/>
                <w:numId w:val="1"/>
              </w:numPr>
              <w:rPr>
                <w:b/>
                <w:lang w:val="en-GB"/>
              </w:rPr>
            </w:pPr>
            <w:r>
              <w:rPr>
                <w:lang w:val="en-GB"/>
              </w:rPr>
              <w:t>The R&amp;D capabilities of the company help in meeting the specific</w:t>
            </w:r>
            <w:r>
              <w:rPr>
                <w:lang w:val="en-GB"/>
              </w:rPr>
              <w:t xml:space="preserve"> market needs</w:t>
            </w:r>
            <w:r w:rsidR="00925C07">
              <w:rPr>
                <w:lang w:val="en-GB"/>
              </w:rPr>
              <w:t xml:space="preserve"> </w:t>
            </w:r>
            <w:r w:rsidR="00925C07">
              <w:rPr>
                <w:noProof/>
              </w:rPr>
              <w:t>(Chen and Zhong, 2022)</w:t>
            </w:r>
            <w:r>
              <w:rPr>
                <w:lang w:val="en-GB"/>
              </w:rPr>
              <w:t xml:space="preserve">. </w:t>
            </w:r>
          </w:p>
        </w:tc>
        <w:tc>
          <w:tcPr>
            <w:tcW w:w="4788" w:type="dxa"/>
          </w:tcPr>
          <w:p w:rsidR="004032F5" w:rsidRDefault="004115FD" w:rsidP="004032F5">
            <w:pPr>
              <w:jc w:val="center"/>
              <w:rPr>
                <w:b/>
                <w:lang w:val="en-GB"/>
              </w:rPr>
            </w:pPr>
            <w:r w:rsidRPr="004032F5">
              <w:rPr>
                <w:b/>
                <w:lang w:val="en-GB"/>
              </w:rPr>
              <w:t>Weaknesses</w:t>
            </w:r>
          </w:p>
          <w:p w:rsidR="003C68F5" w:rsidRDefault="004115FD" w:rsidP="003C68F5">
            <w:pPr>
              <w:pStyle w:val="ListParagraph"/>
              <w:numPr>
                <w:ilvl w:val="0"/>
                <w:numId w:val="2"/>
              </w:numPr>
              <w:rPr>
                <w:lang w:val="en-GB"/>
              </w:rPr>
            </w:pPr>
            <w:r>
              <w:rPr>
                <w:lang w:val="en-GB"/>
              </w:rPr>
              <w:t xml:space="preserve">The Dieselgate scandal has damaged the public trust and the reputation of VW. </w:t>
            </w:r>
          </w:p>
          <w:p w:rsidR="003C68F5" w:rsidRPr="003C68F5" w:rsidRDefault="004115FD" w:rsidP="003C68F5">
            <w:pPr>
              <w:pStyle w:val="ListParagraph"/>
              <w:numPr>
                <w:ilvl w:val="0"/>
                <w:numId w:val="2"/>
              </w:numPr>
              <w:rPr>
                <w:lang w:val="en-GB"/>
              </w:rPr>
            </w:pPr>
            <w:r>
              <w:rPr>
                <w:lang w:val="en-GB"/>
              </w:rPr>
              <w:t>The market share in the USA is low for automotive companies</w:t>
            </w:r>
            <w:r w:rsidR="00925C07">
              <w:rPr>
                <w:noProof/>
                <w:lang w:val="en-GB"/>
              </w:rPr>
              <w:t xml:space="preserve"> (BBC, 2022)</w:t>
            </w:r>
            <w:r>
              <w:rPr>
                <w:lang w:val="en-GB"/>
              </w:rPr>
              <w:t xml:space="preserve">. </w:t>
            </w:r>
          </w:p>
        </w:tc>
      </w:tr>
      <w:tr w:rsidR="00876C83" w:rsidTr="004032F5">
        <w:tc>
          <w:tcPr>
            <w:tcW w:w="4788" w:type="dxa"/>
          </w:tcPr>
          <w:p w:rsidR="004032F5" w:rsidRDefault="004115FD" w:rsidP="004032F5">
            <w:pPr>
              <w:jc w:val="center"/>
              <w:rPr>
                <w:b/>
                <w:lang w:val="en-GB"/>
              </w:rPr>
            </w:pPr>
            <w:r w:rsidRPr="004032F5">
              <w:rPr>
                <w:b/>
                <w:lang w:val="en-GB"/>
              </w:rPr>
              <w:t>Opportunities</w:t>
            </w:r>
          </w:p>
          <w:p w:rsidR="003C68F5" w:rsidRDefault="004115FD" w:rsidP="003C68F5">
            <w:pPr>
              <w:pStyle w:val="ListParagraph"/>
              <w:numPr>
                <w:ilvl w:val="0"/>
                <w:numId w:val="3"/>
              </w:numPr>
              <w:rPr>
                <w:lang w:val="en-GB"/>
              </w:rPr>
            </w:pPr>
            <w:r>
              <w:rPr>
                <w:lang w:val="en-GB"/>
              </w:rPr>
              <w:t xml:space="preserve">The growing market of electric vehicles can help the company to increase its sales. </w:t>
            </w:r>
          </w:p>
          <w:p w:rsidR="003C68F5" w:rsidRPr="003C68F5" w:rsidRDefault="004115FD" w:rsidP="003C68F5">
            <w:pPr>
              <w:pStyle w:val="ListParagraph"/>
              <w:numPr>
                <w:ilvl w:val="0"/>
                <w:numId w:val="3"/>
              </w:numPr>
              <w:rPr>
                <w:lang w:val="en-GB"/>
              </w:rPr>
            </w:pPr>
            <w:r>
              <w:rPr>
                <w:lang w:val="en-GB"/>
              </w:rPr>
              <w:t xml:space="preserve">As an innovative brand, it helps in increasing the reliability and trust of consumers. </w:t>
            </w:r>
          </w:p>
        </w:tc>
        <w:tc>
          <w:tcPr>
            <w:tcW w:w="4788" w:type="dxa"/>
          </w:tcPr>
          <w:p w:rsidR="004032F5" w:rsidRDefault="004115FD" w:rsidP="004032F5">
            <w:pPr>
              <w:jc w:val="center"/>
              <w:rPr>
                <w:b/>
                <w:lang w:val="en-GB"/>
              </w:rPr>
            </w:pPr>
            <w:r w:rsidRPr="004032F5">
              <w:rPr>
                <w:b/>
                <w:lang w:val="en-GB"/>
              </w:rPr>
              <w:t>Threats</w:t>
            </w:r>
          </w:p>
          <w:p w:rsidR="003C68F5" w:rsidRDefault="004115FD" w:rsidP="003C68F5">
            <w:pPr>
              <w:pStyle w:val="ListParagraph"/>
              <w:numPr>
                <w:ilvl w:val="0"/>
                <w:numId w:val="4"/>
              </w:numPr>
              <w:rPr>
                <w:lang w:val="en-GB"/>
              </w:rPr>
            </w:pPr>
            <w:r>
              <w:rPr>
                <w:lang w:val="en-GB"/>
              </w:rPr>
              <w:t>Government regulations on pollution and sustainability are increasing</w:t>
            </w:r>
            <w:r w:rsidR="00925C07">
              <w:rPr>
                <w:noProof/>
              </w:rPr>
              <w:t xml:space="preserve"> (Chen and Zhong, 2022)</w:t>
            </w:r>
            <w:r>
              <w:rPr>
                <w:lang w:val="en-GB"/>
              </w:rPr>
              <w:t xml:space="preserve">. </w:t>
            </w:r>
          </w:p>
          <w:p w:rsidR="003C68F5" w:rsidRPr="003C68F5" w:rsidRDefault="004115FD" w:rsidP="003C68F5">
            <w:pPr>
              <w:pStyle w:val="ListParagraph"/>
              <w:numPr>
                <w:ilvl w:val="0"/>
                <w:numId w:val="4"/>
              </w:numPr>
              <w:rPr>
                <w:lang w:val="en-GB"/>
              </w:rPr>
            </w:pPr>
            <w:r>
              <w:rPr>
                <w:lang w:val="en-GB"/>
              </w:rPr>
              <w:t xml:space="preserve">Intense competition in various markets can affect the competitiveness of the company. </w:t>
            </w:r>
          </w:p>
        </w:tc>
      </w:tr>
    </w:tbl>
    <w:p w:rsidR="004032F5" w:rsidRDefault="004032F5" w:rsidP="004032F5">
      <w:pPr>
        <w:rPr>
          <w:lang w:val="en-GB"/>
        </w:rPr>
      </w:pPr>
    </w:p>
    <w:p w:rsidR="00494FB2" w:rsidRDefault="004115FD">
      <w:pPr>
        <w:spacing w:line="276" w:lineRule="auto"/>
        <w:jc w:val="left"/>
        <w:rPr>
          <w:rFonts w:eastAsiaTheme="majorEastAsia" w:cstheme="majorBidi"/>
          <w:b/>
          <w:bCs/>
          <w:color w:val="4F81BD" w:themeColor="accent1"/>
          <w:sz w:val="26"/>
          <w:szCs w:val="26"/>
          <w:lang w:val="en-GB"/>
        </w:rPr>
      </w:pPr>
      <w:r>
        <w:rPr>
          <w:lang w:val="en-GB"/>
        </w:rPr>
        <w:br w:type="page"/>
      </w:r>
    </w:p>
    <w:p w:rsidR="00925C07" w:rsidRDefault="004115FD" w:rsidP="00925C07">
      <w:pPr>
        <w:pStyle w:val="Heading2"/>
        <w:rPr>
          <w:lang w:val="en-GB"/>
        </w:rPr>
      </w:pPr>
      <w:bookmarkStart w:id="9" w:name="_Toc142497531"/>
      <w:r>
        <w:rPr>
          <w:lang w:val="en-GB"/>
        </w:rPr>
        <w:lastRenderedPageBreak/>
        <w:t>Appendix 2 – Porter’s 5 Forces Model</w:t>
      </w:r>
      <w:bookmarkEnd w:id="9"/>
      <w:r>
        <w:rPr>
          <w:lang w:val="en-GB"/>
        </w:rPr>
        <w:t xml:space="preserve"> </w:t>
      </w:r>
    </w:p>
    <w:tbl>
      <w:tblPr>
        <w:tblStyle w:val="TableGrid"/>
        <w:tblW w:w="0" w:type="auto"/>
        <w:tblLook w:val="04A0" w:firstRow="1" w:lastRow="0" w:firstColumn="1" w:lastColumn="0" w:noHBand="0" w:noVBand="1"/>
      </w:tblPr>
      <w:tblGrid>
        <w:gridCol w:w="3618"/>
        <w:gridCol w:w="5958"/>
      </w:tblGrid>
      <w:tr w:rsidR="00876C83" w:rsidTr="00925C07">
        <w:tc>
          <w:tcPr>
            <w:tcW w:w="3618" w:type="dxa"/>
          </w:tcPr>
          <w:p w:rsidR="00925C07" w:rsidRPr="00925C07" w:rsidRDefault="004115FD" w:rsidP="00925C07">
            <w:pPr>
              <w:rPr>
                <w:b/>
                <w:lang w:val="en-GB"/>
              </w:rPr>
            </w:pPr>
            <w:r w:rsidRPr="00925C07">
              <w:rPr>
                <w:b/>
                <w:lang w:val="en-GB"/>
              </w:rPr>
              <w:t>Threat of New Entrants</w:t>
            </w:r>
            <w:r>
              <w:rPr>
                <w:b/>
                <w:lang w:val="en-GB"/>
              </w:rPr>
              <w:t xml:space="preserve"> (low)</w:t>
            </w:r>
          </w:p>
        </w:tc>
        <w:tc>
          <w:tcPr>
            <w:tcW w:w="5958" w:type="dxa"/>
          </w:tcPr>
          <w:p w:rsidR="00925C07" w:rsidRDefault="004115FD" w:rsidP="00925C07">
            <w:pPr>
              <w:rPr>
                <w:lang w:val="en-GB"/>
              </w:rPr>
            </w:pPr>
            <w:r>
              <w:rPr>
                <w:lang w:val="en-GB"/>
              </w:rPr>
              <w:t xml:space="preserve">Operations in regions like China and North America have enhanced the market position of VW which reduced the threat of new entrants in a complicated industry. </w:t>
            </w:r>
          </w:p>
        </w:tc>
      </w:tr>
      <w:tr w:rsidR="00876C83" w:rsidTr="00925C07">
        <w:tc>
          <w:tcPr>
            <w:tcW w:w="3618" w:type="dxa"/>
          </w:tcPr>
          <w:p w:rsidR="00925C07" w:rsidRPr="00925C07" w:rsidRDefault="004115FD" w:rsidP="00925C07">
            <w:pPr>
              <w:rPr>
                <w:b/>
                <w:lang w:val="en-GB"/>
              </w:rPr>
            </w:pPr>
            <w:r>
              <w:rPr>
                <w:b/>
                <w:lang w:val="en-GB"/>
              </w:rPr>
              <w:t>Threat of Substitute Products (high)</w:t>
            </w:r>
          </w:p>
        </w:tc>
        <w:tc>
          <w:tcPr>
            <w:tcW w:w="5958" w:type="dxa"/>
          </w:tcPr>
          <w:p w:rsidR="00925C07" w:rsidRDefault="004115FD" w:rsidP="00925C07">
            <w:pPr>
              <w:rPr>
                <w:lang w:val="en-GB"/>
              </w:rPr>
            </w:pPr>
            <w:r>
              <w:rPr>
                <w:lang w:val="en-GB"/>
              </w:rPr>
              <w:t xml:space="preserve">Due to high competition in the industry, other options work as alternatives to VW products. </w:t>
            </w:r>
          </w:p>
        </w:tc>
      </w:tr>
      <w:tr w:rsidR="00876C83" w:rsidTr="00925C07">
        <w:tc>
          <w:tcPr>
            <w:tcW w:w="3618" w:type="dxa"/>
          </w:tcPr>
          <w:p w:rsidR="00925C07" w:rsidRPr="00925C07" w:rsidRDefault="004115FD" w:rsidP="00925C07">
            <w:pPr>
              <w:rPr>
                <w:b/>
                <w:lang w:val="en-GB"/>
              </w:rPr>
            </w:pPr>
            <w:r w:rsidRPr="00925C07">
              <w:rPr>
                <w:b/>
                <w:lang w:val="en-GB"/>
              </w:rPr>
              <w:t>Bargaining Power of Suppliers</w:t>
            </w:r>
            <w:r>
              <w:rPr>
                <w:b/>
                <w:lang w:val="en-GB"/>
              </w:rPr>
              <w:t xml:space="preserve"> (low)</w:t>
            </w:r>
          </w:p>
        </w:tc>
        <w:tc>
          <w:tcPr>
            <w:tcW w:w="5958" w:type="dxa"/>
          </w:tcPr>
          <w:p w:rsidR="00925C07" w:rsidRDefault="004115FD" w:rsidP="00925C07">
            <w:pPr>
              <w:rPr>
                <w:lang w:val="en-GB"/>
              </w:rPr>
            </w:pPr>
            <w:r>
              <w:rPr>
                <w:lang w:val="en-GB"/>
              </w:rPr>
              <w:t xml:space="preserve">The establishment of manufacturing plants in regions like North </w:t>
            </w:r>
            <w:r w:rsidR="003A682A">
              <w:rPr>
                <w:lang w:val="en-GB"/>
              </w:rPr>
              <w:t>America</w:t>
            </w:r>
            <w:r>
              <w:rPr>
                <w:lang w:val="en-GB"/>
              </w:rPr>
              <w:t xml:space="preserve"> and China helped the company to reduce its dependency </w:t>
            </w:r>
            <w:r>
              <w:rPr>
                <w:lang w:val="en-GB"/>
              </w:rPr>
              <w:t>on suppliers</w:t>
            </w:r>
            <w:r w:rsidR="003A682A">
              <w:rPr>
                <w:lang w:val="en-GB"/>
              </w:rPr>
              <w:t xml:space="preserve"> </w:t>
            </w:r>
            <w:r w:rsidR="003A682A">
              <w:rPr>
                <w:noProof/>
              </w:rPr>
              <w:t>(Gonçalves, 2019)</w:t>
            </w:r>
            <w:r>
              <w:rPr>
                <w:lang w:val="en-GB"/>
              </w:rPr>
              <w:t xml:space="preserve">. </w:t>
            </w:r>
          </w:p>
        </w:tc>
      </w:tr>
      <w:tr w:rsidR="00876C83" w:rsidTr="00925C07">
        <w:tc>
          <w:tcPr>
            <w:tcW w:w="3618" w:type="dxa"/>
          </w:tcPr>
          <w:p w:rsidR="00925C07" w:rsidRPr="00925C07" w:rsidRDefault="004115FD" w:rsidP="00925C07">
            <w:pPr>
              <w:rPr>
                <w:b/>
                <w:lang w:val="en-GB"/>
              </w:rPr>
            </w:pPr>
            <w:r w:rsidRPr="00925C07">
              <w:rPr>
                <w:b/>
                <w:lang w:val="en-GB"/>
              </w:rPr>
              <w:t>Bargaining Power of Buyers</w:t>
            </w:r>
            <w:r w:rsidR="003A682A">
              <w:rPr>
                <w:b/>
                <w:lang w:val="en-GB"/>
              </w:rPr>
              <w:t xml:space="preserve"> (medium)</w:t>
            </w:r>
          </w:p>
        </w:tc>
        <w:tc>
          <w:tcPr>
            <w:tcW w:w="5958" w:type="dxa"/>
          </w:tcPr>
          <w:p w:rsidR="00925C07" w:rsidRDefault="004115FD" w:rsidP="00925C07">
            <w:pPr>
              <w:rPr>
                <w:lang w:val="en-GB"/>
              </w:rPr>
            </w:pPr>
            <w:r>
              <w:rPr>
                <w:lang w:val="en-GB"/>
              </w:rPr>
              <w:t>The bargaining power of buyers has increased due to several options available in the market. Evaluation of quality, fuel efficiency, safety and environmental-friendliness are the aspects</w:t>
            </w:r>
            <w:r>
              <w:rPr>
                <w:lang w:val="en-GB"/>
              </w:rPr>
              <w:t xml:space="preserve"> that are closely analysed by the customers. </w:t>
            </w:r>
          </w:p>
        </w:tc>
      </w:tr>
      <w:tr w:rsidR="00876C83" w:rsidTr="00925C07">
        <w:tc>
          <w:tcPr>
            <w:tcW w:w="3618" w:type="dxa"/>
          </w:tcPr>
          <w:p w:rsidR="00925C07" w:rsidRPr="00925C07" w:rsidRDefault="004115FD" w:rsidP="00925C07">
            <w:pPr>
              <w:rPr>
                <w:b/>
                <w:lang w:val="en-GB"/>
              </w:rPr>
            </w:pPr>
            <w:r w:rsidRPr="00925C07">
              <w:rPr>
                <w:b/>
                <w:lang w:val="en-GB"/>
              </w:rPr>
              <w:t>Competitive Rivalry</w:t>
            </w:r>
            <w:r w:rsidR="003A682A">
              <w:rPr>
                <w:b/>
                <w:lang w:val="en-GB"/>
              </w:rPr>
              <w:t xml:space="preserve"> (high)</w:t>
            </w:r>
          </w:p>
        </w:tc>
        <w:tc>
          <w:tcPr>
            <w:tcW w:w="5958" w:type="dxa"/>
          </w:tcPr>
          <w:p w:rsidR="00925C07" w:rsidRDefault="004115FD" w:rsidP="00925C07">
            <w:pPr>
              <w:rPr>
                <w:lang w:val="en-GB"/>
              </w:rPr>
            </w:pPr>
            <w:r>
              <w:rPr>
                <w:lang w:val="en-GB"/>
              </w:rPr>
              <w:t>The increasing demand for automobile creates a lot of opportunities for companies which increase competitive rivalry</w:t>
            </w:r>
            <w:r>
              <w:rPr>
                <w:noProof/>
              </w:rPr>
              <w:t xml:space="preserve"> (Gonçalves, 2019)</w:t>
            </w:r>
            <w:r>
              <w:rPr>
                <w:lang w:val="en-GB"/>
              </w:rPr>
              <w:t xml:space="preserve">. </w:t>
            </w:r>
          </w:p>
        </w:tc>
      </w:tr>
    </w:tbl>
    <w:p w:rsidR="00925C07" w:rsidRPr="00925C07" w:rsidRDefault="00925C07" w:rsidP="00925C07">
      <w:pPr>
        <w:rPr>
          <w:lang w:val="en-GB"/>
        </w:rPr>
      </w:pPr>
    </w:p>
    <w:p w:rsidR="00494FB2" w:rsidRDefault="004115FD">
      <w:pPr>
        <w:spacing w:line="276" w:lineRule="auto"/>
        <w:jc w:val="left"/>
        <w:rPr>
          <w:rFonts w:eastAsiaTheme="majorEastAsia" w:cstheme="majorBidi"/>
          <w:b/>
          <w:bCs/>
          <w:color w:val="4F81BD" w:themeColor="accent1"/>
          <w:sz w:val="26"/>
          <w:szCs w:val="26"/>
          <w:lang w:val="en-GB"/>
        </w:rPr>
      </w:pPr>
      <w:r>
        <w:rPr>
          <w:lang w:val="en-GB"/>
        </w:rPr>
        <w:br w:type="page"/>
      </w:r>
    </w:p>
    <w:p w:rsidR="00A13C12" w:rsidRDefault="004115FD" w:rsidP="003A682A">
      <w:pPr>
        <w:pStyle w:val="Heading2"/>
        <w:rPr>
          <w:lang w:val="en-GB"/>
        </w:rPr>
      </w:pPr>
      <w:bookmarkStart w:id="10" w:name="_Toc142497532"/>
      <w:r>
        <w:rPr>
          <w:lang w:val="en-GB"/>
        </w:rPr>
        <w:lastRenderedPageBreak/>
        <w:t>Appendix 3 – PESTEL Analysis</w:t>
      </w:r>
      <w:bookmarkEnd w:id="10"/>
      <w:r>
        <w:rPr>
          <w:lang w:val="en-GB"/>
        </w:rPr>
        <w:t xml:space="preserve"> </w:t>
      </w:r>
    </w:p>
    <w:tbl>
      <w:tblPr>
        <w:tblStyle w:val="TableGrid"/>
        <w:tblW w:w="0" w:type="auto"/>
        <w:tblLook w:val="04A0" w:firstRow="1" w:lastRow="0" w:firstColumn="1" w:lastColumn="0" w:noHBand="0" w:noVBand="1"/>
      </w:tblPr>
      <w:tblGrid>
        <w:gridCol w:w="1908"/>
        <w:gridCol w:w="7668"/>
      </w:tblGrid>
      <w:tr w:rsidR="00876C83" w:rsidTr="00462D5C">
        <w:tc>
          <w:tcPr>
            <w:tcW w:w="1908" w:type="dxa"/>
          </w:tcPr>
          <w:p w:rsidR="00462D5C" w:rsidRPr="00462D5C" w:rsidRDefault="004115FD" w:rsidP="00462D5C">
            <w:pPr>
              <w:rPr>
                <w:b/>
                <w:lang w:val="en-GB"/>
              </w:rPr>
            </w:pPr>
            <w:r w:rsidRPr="00462D5C">
              <w:rPr>
                <w:b/>
                <w:lang w:val="en-GB"/>
              </w:rPr>
              <w:t>Political</w:t>
            </w:r>
          </w:p>
        </w:tc>
        <w:tc>
          <w:tcPr>
            <w:tcW w:w="7668" w:type="dxa"/>
          </w:tcPr>
          <w:p w:rsidR="00462D5C" w:rsidRDefault="004115FD" w:rsidP="00462D5C">
            <w:pPr>
              <w:rPr>
                <w:lang w:val="en-GB"/>
              </w:rPr>
            </w:pPr>
            <w:r>
              <w:rPr>
                <w:lang w:val="en-GB"/>
              </w:rPr>
              <w:t>T</w:t>
            </w:r>
            <w:r>
              <w:rPr>
                <w:lang w:val="en-GB"/>
              </w:rPr>
              <w:t>he street to zero policy implemented by the UK government encouraged automobile companies to reduce diesel and petrol vehicles and focus on electric vehicles. VW has already launched electric vehicles which increased the number of vehicles in the market</w:t>
            </w:r>
            <w:r w:rsidR="00494FB2" w:rsidRPr="00494FB2">
              <w:rPr>
                <w:noProof/>
              </w:rPr>
              <w:t xml:space="preserve"> </w:t>
            </w:r>
            <w:r w:rsidR="00494FB2">
              <w:rPr>
                <w:noProof/>
              </w:rPr>
              <w:t>(</w:t>
            </w:r>
            <w:r w:rsidR="00494FB2" w:rsidRPr="00494FB2">
              <w:rPr>
                <w:noProof/>
              </w:rPr>
              <w:t>Calv</w:t>
            </w:r>
            <w:r w:rsidR="00494FB2">
              <w:rPr>
                <w:noProof/>
              </w:rPr>
              <w:t>illo and Turner, 2020)</w:t>
            </w:r>
            <w:r>
              <w:rPr>
                <w:lang w:val="en-GB"/>
              </w:rPr>
              <w:t xml:space="preserve">. </w:t>
            </w:r>
          </w:p>
        </w:tc>
      </w:tr>
      <w:tr w:rsidR="00876C83" w:rsidTr="00462D5C">
        <w:tc>
          <w:tcPr>
            <w:tcW w:w="1908" w:type="dxa"/>
          </w:tcPr>
          <w:p w:rsidR="00462D5C" w:rsidRPr="00462D5C" w:rsidRDefault="004115FD" w:rsidP="00462D5C">
            <w:pPr>
              <w:rPr>
                <w:b/>
                <w:lang w:val="en-GB"/>
              </w:rPr>
            </w:pPr>
            <w:r w:rsidRPr="00462D5C">
              <w:rPr>
                <w:b/>
                <w:lang w:val="en-GB"/>
              </w:rPr>
              <w:t>Economic</w:t>
            </w:r>
          </w:p>
        </w:tc>
        <w:tc>
          <w:tcPr>
            <w:tcW w:w="7668" w:type="dxa"/>
          </w:tcPr>
          <w:p w:rsidR="00462D5C" w:rsidRDefault="004115FD" w:rsidP="00462D5C">
            <w:pPr>
              <w:rPr>
                <w:lang w:val="en-GB"/>
              </w:rPr>
            </w:pPr>
            <w:r>
              <w:rPr>
                <w:lang w:val="en-GB"/>
              </w:rPr>
              <w:t xml:space="preserve">The consumer spending scale is rising </w:t>
            </w:r>
            <w:r w:rsidR="008D020D">
              <w:rPr>
                <w:lang w:val="en-GB"/>
              </w:rPr>
              <w:t xml:space="preserve">which is helping the company to increase its customer base of upper classes and middle classes who prefer semi-luxury and luxury vehicles. </w:t>
            </w:r>
          </w:p>
        </w:tc>
      </w:tr>
      <w:tr w:rsidR="00876C83" w:rsidTr="00462D5C">
        <w:tc>
          <w:tcPr>
            <w:tcW w:w="1908" w:type="dxa"/>
          </w:tcPr>
          <w:p w:rsidR="00462D5C" w:rsidRPr="00462D5C" w:rsidRDefault="004115FD" w:rsidP="00462D5C">
            <w:pPr>
              <w:rPr>
                <w:b/>
                <w:lang w:val="en-GB"/>
              </w:rPr>
            </w:pPr>
            <w:r w:rsidRPr="00462D5C">
              <w:rPr>
                <w:b/>
                <w:lang w:val="en-GB"/>
              </w:rPr>
              <w:t>Social</w:t>
            </w:r>
          </w:p>
        </w:tc>
        <w:tc>
          <w:tcPr>
            <w:tcW w:w="7668" w:type="dxa"/>
          </w:tcPr>
          <w:p w:rsidR="00462D5C" w:rsidRDefault="004115FD" w:rsidP="00462D5C">
            <w:pPr>
              <w:rPr>
                <w:lang w:val="en-GB"/>
              </w:rPr>
            </w:pPr>
            <w:r>
              <w:rPr>
                <w:lang w:val="en-GB"/>
              </w:rPr>
              <w:t xml:space="preserve">The increasing trend of </w:t>
            </w:r>
            <w:r>
              <w:rPr>
                <w:lang w:val="en-GB"/>
              </w:rPr>
              <w:t xml:space="preserve">ride-sharing among the young generation is encouraging the brand to launch </w:t>
            </w:r>
            <w:bookmarkStart w:id="11" w:name="_GoBack"/>
            <w:bookmarkEnd w:id="11"/>
            <w:r>
              <w:rPr>
                <w:lang w:val="en-GB"/>
              </w:rPr>
              <w:t>products that can satisfy the needs of the customers</w:t>
            </w:r>
            <w:r w:rsidR="00494FB2" w:rsidRPr="00494FB2">
              <w:rPr>
                <w:noProof/>
              </w:rPr>
              <w:t xml:space="preserve"> </w:t>
            </w:r>
            <w:r w:rsidR="00494FB2">
              <w:rPr>
                <w:noProof/>
              </w:rPr>
              <w:t>(Lotze, Marszal,</w:t>
            </w:r>
            <w:r w:rsidR="00494FB2" w:rsidRPr="00494FB2">
              <w:rPr>
                <w:noProof/>
              </w:rPr>
              <w:t xml:space="preserve"> S</w:t>
            </w:r>
            <w:r w:rsidR="00494FB2">
              <w:rPr>
                <w:noProof/>
              </w:rPr>
              <w:t>chröder and Timme, 2022)</w:t>
            </w:r>
            <w:r>
              <w:rPr>
                <w:lang w:val="en-GB"/>
              </w:rPr>
              <w:t xml:space="preserve">. </w:t>
            </w:r>
          </w:p>
        </w:tc>
      </w:tr>
      <w:tr w:rsidR="00876C83" w:rsidTr="00462D5C">
        <w:tc>
          <w:tcPr>
            <w:tcW w:w="1908" w:type="dxa"/>
          </w:tcPr>
          <w:p w:rsidR="00462D5C" w:rsidRPr="00462D5C" w:rsidRDefault="004115FD" w:rsidP="00462D5C">
            <w:pPr>
              <w:rPr>
                <w:b/>
                <w:lang w:val="en-GB"/>
              </w:rPr>
            </w:pPr>
            <w:r w:rsidRPr="00462D5C">
              <w:rPr>
                <w:b/>
                <w:lang w:val="en-GB"/>
              </w:rPr>
              <w:t>Technological</w:t>
            </w:r>
          </w:p>
        </w:tc>
        <w:tc>
          <w:tcPr>
            <w:tcW w:w="7668" w:type="dxa"/>
          </w:tcPr>
          <w:p w:rsidR="00462D5C" w:rsidRDefault="004115FD" w:rsidP="00462D5C">
            <w:pPr>
              <w:rPr>
                <w:lang w:val="en-GB"/>
              </w:rPr>
            </w:pPr>
            <w:r>
              <w:rPr>
                <w:lang w:val="en-GB"/>
              </w:rPr>
              <w:t>The company has considered some digital initiatives including mobili</w:t>
            </w:r>
            <w:r>
              <w:rPr>
                <w:lang w:val="en-GB"/>
              </w:rPr>
              <w:t xml:space="preserve">ty solutions and connectivity features which </w:t>
            </w:r>
            <w:r w:rsidR="009C22EB">
              <w:rPr>
                <w:lang w:val="en-GB"/>
              </w:rPr>
              <w:t>are</w:t>
            </w:r>
            <w:r>
              <w:rPr>
                <w:lang w:val="en-GB"/>
              </w:rPr>
              <w:t xml:space="preserve"> helping them to meet the changing demand of the consumers.  </w:t>
            </w:r>
          </w:p>
        </w:tc>
      </w:tr>
      <w:tr w:rsidR="00876C83" w:rsidTr="00462D5C">
        <w:tc>
          <w:tcPr>
            <w:tcW w:w="1908" w:type="dxa"/>
          </w:tcPr>
          <w:p w:rsidR="00462D5C" w:rsidRPr="00462D5C" w:rsidRDefault="004115FD" w:rsidP="00462D5C">
            <w:pPr>
              <w:rPr>
                <w:b/>
                <w:lang w:val="en-GB"/>
              </w:rPr>
            </w:pPr>
            <w:r w:rsidRPr="00462D5C">
              <w:rPr>
                <w:b/>
                <w:lang w:val="en-GB"/>
              </w:rPr>
              <w:t>Environmental</w:t>
            </w:r>
          </w:p>
        </w:tc>
        <w:tc>
          <w:tcPr>
            <w:tcW w:w="7668" w:type="dxa"/>
          </w:tcPr>
          <w:p w:rsidR="00462D5C" w:rsidRDefault="004115FD" w:rsidP="00462D5C">
            <w:pPr>
              <w:rPr>
                <w:lang w:val="en-GB"/>
              </w:rPr>
            </w:pPr>
            <w:r>
              <w:rPr>
                <w:lang w:val="en-GB"/>
              </w:rPr>
              <w:t>The production of electric vehicles, hybrid cars and hydrogen fuel batteries is increasing the position of the brand as a sustainab</w:t>
            </w:r>
            <w:r>
              <w:rPr>
                <w:lang w:val="en-GB"/>
              </w:rPr>
              <w:t>le brand that satisfies the needs of environmentally conscious customers</w:t>
            </w:r>
            <w:r w:rsidR="00494FB2" w:rsidRPr="00494FB2">
              <w:rPr>
                <w:noProof/>
              </w:rPr>
              <w:t xml:space="preserve"> </w:t>
            </w:r>
            <w:r w:rsidR="00494FB2">
              <w:rPr>
                <w:noProof/>
              </w:rPr>
              <w:t>(</w:t>
            </w:r>
            <w:r w:rsidR="00494FB2" w:rsidRPr="00494FB2">
              <w:rPr>
                <w:noProof/>
              </w:rPr>
              <w:t>Hab</w:t>
            </w:r>
            <w:r w:rsidR="00494FB2">
              <w:rPr>
                <w:noProof/>
              </w:rPr>
              <w:t>ib and Butler, 2022)</w:t>
            </w:r>
            <w:r>
              <w:rPr>
                <w:lang w:val="en-GB"/>
              </w:rPr>
              <w:t xml:space="preserve">. </w:t>
            </w:r>
          </w:p>
        </w:tc>
      </w:tr>
      <w:tr w:rsidR="00876C83" w:rsidTr="00462D5C">
        <w:tc>
          <w:tcPr>
            <w:tcW w:w="1908" w:type="dxa"/>
          </w:tcPr>
          <w:p w:rsidR="00462D5C" w:rsidRPr="00462D5C" w:rsidRDefault="004115FD" w:rsidP="00462D5C">
            <w:pPr>
              <w:rPr>
                <w:b/>
                <w:lang w:val="en-GB"/>
              </w:rPr>
            </w:pPr>
            <w:r w:rsidRPr="00462D5C">
              <w:rPr>
                <w:b/>
                <w:lang w:val="en-GB"/>
              </w:rPr>
              <w:t>Legal</w:t>
            </w:r>
          </w:p>
        </w:tc>
        <w:tc>
          <w:tcPr>
            <w:tcW w:w="7668" w:type="dxa"/>
          </w:tcPr>
          <w:p w:rsidR="00462D5C" w:rsidRDefault="004115FD" w:rsidP="008D020D">
            <w:pPr>
              <w:rPr>
                <w:lang w:val="en-GB"/>
              </w:rPr>
            </w:pPr>
            <w:r>
              <w:rPr>
                <w:lang w:val="en-GB"/>
              </w:rPr>
              <w:t xml:space="preserve">The Dieselgate scandal of false carbon emission test has significantly affected the brand reputation and customer trust for the brand </w:t>
            </w:r>
            <w:r>
              <w:rPr>
                <w:noProof/>
                <w:lang w:val="en-GB"/>
              </w:rPr>
              <w:t>(BBC, 2022)</w:t>
            </w:r>
            <w:r>
              <w:rPr>
                <w:lang w:val="en-GB"/>
              </w:rPr>
              <w:t xml:space="preserve">. </w:t>
            </w:r>
          </w:p>
        </w:tc>
      </w:tr>
    </w:tbl>
    <w:p w:rsidR="00462D5C" w:rsidRPr="00462D5C" w:rsidRDefault="00462D5C" w:rsidP="00462D5C">
      <w:pPr>
        <w:rPr>
          <w:lang w:val="en-GB"/>
        </w:rPr>
      </w:pPr>
    </w:p>
    <w:p w:rsidR="003A682A" w:rsidRPr="003A682A" w:rsidRDefault="003A682A" w:rsidP="003A682A">
      <w:pPr>
        <w:rPr>
          <w:lang w:val="en-GB"/>
        </w:rPr>
      </w:pPr>
    </w:p>
    <w:sectPr w:rsidR="003A682A" w:rsidRPr="003A682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5FD" w:rsidRDefault="004115FD">
      <w:pPr>
        <w:spacing w:after="0" w:line="240" w:lineRule="auto"/>
      </w:pPr>
      <w:r>
        <w:separator/>
      </w:r>
    </w:p>
  </w:endnote>
  <w:endnote w:type="continuationSeparator" w:id="0">
    <w:p w:rsidR="004115FD" w:rsidRDefault="00411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3553683"/>
      <w:docPartObj>
        <w:docPartGallery w:val="Page Numbers (Bottom of Page)"/>
        <w:docPartUnique/>
      </w:docPartObj>
    </w:sdtPr>
    <w:sdtEndPr/>
    <w:sdtContent>
      <w:p w:rsidR="002D67B0" w:rsidRDefault="004115FD">
        <w:pPr>
          <w:pStyle w:val="Footer"/>
          <w:jc w:val="center"/>
        </w:pPr>
        <w:r>
          <w:t>[</w:t>
        </w:r>
        <w:r>
          <w:fldChar w:fldCharType="begin"/>
        </w:r>
        <w:r>
          <w:instrText xml:space="preserve"> PAGE   \* MERGEFORMAT </w:instrText>
        </w:r>
        <w:r>
          <w:fldChar w:fldCharType="separate"/>
        </w:r>
        <w:r w:rsidR="006D7321">
          <w:rPr>
            <w:noProof/>
          </w:rPr>
          <w:t>12</w:t>
        </w:r>
        <w:r>
          <w:rPr>
            <w:noProof/>
          </w:rPr>
          <w:fldChar w:fldCharType="end"/>
        </w:r>
        <w:r>
          <w:t>]</w:t>
        </w:r>
      </w:p>
    </w:sdtContent>
  </w:sdt>
  <w:p w:rsidR="002D67B0" w:rsidRDefault="002D67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5FD" w:rsidRDefault="004115FD">
      <w:pPr>
        <w:spacing w:after="0" w:line="240" w:lineRule="auto"/>
      </w:pPr>
      <w:r>
        <w:separator/>
      </w:r>
    </w:p>
  </w:footnote>
  <w:footnote w:type="continuationSeparator" w:id="0">
    <w:p w:rsidR="004115FD" w:rsidRDefault="004115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63F15"/>
    <w:multiLevelType w:val="hybridMultilevel"/>
    <w:tmpl w:val="AAF4E7C2"/>
    <w:lvl w:ilvl="0" w:tplc="891677EE">
      <w:start w:val="1"/>
      <w:numFmt w:val="bullet"/>
      <w:lvlText w:val=""/>
      <w:lvlJc w:val="left"/>
      <w:pPr>
        <w:ind w:left="720" w:hanging="360"/>
      </w:pPr>
      <w:rPr>
        <w:rFonts w:ascii="Symbol" w:hAnsi="Symbol" w:hint="default"/>
      </w:rPr>
    </w:lvl>
    <w:lvl w:ilvl="1" w:tplc="883E4650" w:tentative="1">
      <w:start w:val="1"/>
      <w:numFmt w:val="bullet"/>
      <w:lvlText w:val="o"/>
      <w:lvlJc w:val="left"/>
      <w:pPr>
        <w:ind w:left="1440" w:hanging="360"/>
      </w:pPr>
      <w:rPr>
        <w:rFonts w:ascii="Courier New" w:hAnsi="Courier New" w:cs="Courier New" w:hint="default"/>
      </w:rPr>
    </w:lvl>
    <w:lvl w:ilvl="2" w:tplc="F26E1A8E" w:tentative="1">
      <w:start w:val="1"/>
      <w:numFmt w:val="bullet"/>
      <w:lvlText w:val=""/>
      <w:lvlJc w:val="left"/>
      <w:pPr>
        <w:ind w:left="2160" w:hanging="360"/>
      </w:pPr>
      <w:rPr>
        <w:rFonts w:ascii="Wingdings" w:hAnsi="Wingdings" w:hint="default"/>
      </w:rPr>
    </w:lvl>
    <w:lvl w:ilvl="3" w:tplc="1CE02D82" w:tentative="1">
      <w:start w:val="1"/>
      <w:numFmt w:val="bullet"/>
      <w:lvlText w:val=""/>
      <w:lvlJc w:val="left"/>
      <w:pPr>
        <w:ind w:left="2880" w:hanging="360"/>
      </w:pPr>
      <w:rPr>
        <w:rFonts w:ascii="Symbol" w:hAnsi="Symbol" w:hint="default"/>
      </w:rPr>
    </w:lvl>
    <w:lvl w:ilvl="4" w:tplc="290C3C1E" w:tentative="1">
      <w:start w:val="1"/>
      <w:numFmt w:val="bullet"/>
      <w:lvlText w:val="o"/>
      <w:lvlJc w:val="left"/>
      <w:pPr>
        <w:ind w:left="3600" w:hanging="360"/>
      </w:pPr>
      <w:rPr>
        <w:rFonts w:ascii="Courier New" w:hAnsi="Courier New" w:cs="Courier New" w:hint="default"/>
      </w:rPr>
    </w:lvl>
    <w:lvl w:ilvl="5" w:tplc="D4FC6DE6" w:tentative="1">
      <w:start w:val="1"/>
      <w:numFmt w:val="bullet"/>
      <w:lvlText w:val=""/>
      <w:lvlJc w:val="left"/>
      <w:pPr>
        <w:ind w:left="4320" w:hanging="360"/>
      </w:pPr>
      <w:rPr>
        <w:rFonts w:ascii="Wingdings" w:hAnsi="Wingdings" w:hint="default"/>
      </w:rPr>
    </w:lvl>
    <w:lvl w:ilvl="6" w:tplc="B1220DE6" w:tentative="1">
      <w:start w:val="1"/>
      <w:numFmt w:val="bullet"/>
      <w:lvlText w:val=""/>
      <w:lvlJc w:val="left"/>
      <w:pPr>
        <w:ind w:left="5040" w:hanging="360"/>
      </w:pPr>
      <w:rPr>
        <w:rFonts w:ascii="Symbol" w:hAnsi="Symbol" w:hint="default"/>
      </w:rPr>
    </w:lvl>
    <w:lvl w:ilvl="7" w:tplc="AF6411DC" w:tentative="1">
      <w:start w:val="1"/>
      <w:numFmt w:val="bullet"/>
      <w:lvlText w:val="o"/>
      <w:lvlJc w:val="left"/>
      <w:pPr>
        <w:ind w:left="5760" w:hanging="360"/>
      </w:pPr>
      <w:rPr>
        <w:rFonts w:ascii="Courier New" w:hAnsi="Courier New" w:cs="Courier New" w:hint="default"/>
      </w:rPr>
    </w:lvl>
    <w:lvl w:ilvl="8" w:tplc="64C677B8" w:tentative="1">
      <w:start w:val="1"/>
      <w:numFmt w:val="bullet"/>
      <w:lvlText w:val=""/>
      <w:lvlJc w:val="left"/>
      <w:pPr>
        <w:ind w:left="6480" w:hanging="360"/>
      </w:pPr>
      <w:rPr>
        <w:rFonts w:ascii="Wingdings" w:hAnsi="Wingdings" w:hint="default"/>
      </w:rPr>
    </w:lvl>
  </w:abstractNum>
  <w:abstractNum w:abstractNumId="1">
    <w:nsid w:val="4B80312B"/>
    <w:multiLevelType w:val="hybridMultilevel"/>
    <w:tmpl w:val="10803DA6"/>
    <w:lvl w:ilvl="0" w:tplc="D5B06882">
      <w:start w:val="1"/>
      <w:numFmt w:val="bullet"/>
      <w:lvlText w:val=""/>
      <w:lvlJc w:val="left"/>
      <w:pPr>
        <w:ind w:left="720" w:hanging="360"/>
      </w:pPr>
      <w:rPr>
        <w:rFonts w:ascii="Symbol" w:hAnsi="Symbol" w:hint="default"/>
      </w:rPr>
    </w:lvl>
    <w:lvl w:ilvl="1" w:tplc="C4769ACA" w:tentative="1">
      <w:start w:val="1"/>
      <w:numFmt w:val="bullet"/>
      <w:lvlText w:val="o"/>
      <w:lvlJc w:val="left"/>
      <w:pPr>
        <w:ind w:left="1440" w:hanging="360"/>
      </w:pPr>
      <w:rPr>
        <w:rFonts w:ascii="Courier New" w:hAnsi="Courier New" w:cs="Courier New" w:hint="default"/>
      </w:rPr>
    </w:lvl>
    <w:lvl w:ilvl="2" w:tplc="AA82C01C" w:tentative="1">
      <w:start w:val="1"/>
      <w:numFmt w:val="bullet"/>
      <w:lvlText w:val=""/>
      <w:lvlJc w:val="left"/>
      <w:pPr>
        <w:ind w:left="2160" w:hanging="360"/>
      </w:pPr>
      <w:rPr>
        <w:rFonts w:ascii="Wingdings" w:hAnsi="Wingdings" w:hint="default"/>
      </w:rPr>
    </w:lvl>
    <w:lvl w:ilvl="3" w:tplc="6C4072F6" w:tentative="1">
      <w:start w:val="1"/>
      <w:numFmt w:val="bullet"/>
      <w:lvlText w:val=""/>
      <w:lvlJc w:val="left"/>
      <w:pPr>
        <w:ind w:left="2880" w:hanging="360"/>
      </w:pPr>
      <w:rPr>
        <w:rFonts w:ascii="Symbol" w:hAnsi="Symbol" w:hint="default"/>
      </w:rPr>
    </w:lvl>
    <w:lvl w:ilvl="4" w:tplc="BED0C890" w:tentative="1">
      <w:start w:val="1"/>
      <w:numFmt w:val="bullet"/>
      <w:lvlText w:val="o"/>
      <w:lvlJc w:val="left"/>
      <w:pPr>
        <w:ind w:left="3600" w:hanging="360"/>
      </w:pPr>
      <w:rPr>
        <w:rFonts w:ascii="Courier New" w:hAnsi="Courier New" w:cs="Courier New" w:hint="default"/>
      </w:rPr>
    </w:lvl>
    <w:lvl w:ilvl="5" w:tplc="E2463CE4" w:tentative="1">
      <w:start w:val="1"/>
      <w:numFmt w:val="bullet"/>
      <w:lvlText w:val=""/>
      <w:lvlJc w:val="left"/>
      <w:pPr>
        <w:ind w:left="4320" w:hanging="360"/>
      </w:pPr>
      <w:rPr>
        <w:rFonts w:ascii="Wingdings" w:hAnsi="Wingdings" w:hint="default"/>
      </w:rPr>
    </w:lvl>
    <w:lvl w:ilvl="6" w:tplc="44780236" w:tentative="1">
      <w:start w:val="1"/>
      <w:numFmt w:val="bullet"/>
      <w:lvlText w:val=""/>
      <w:lvlJc w:val="left"/>
      <w:pPr>
        <w:ind w:left="5040" w:hanging="360"/>
      </w:pPr>
      <w:rPr>
        <w:rFonts w:ascii="Symbol" w:hAnsi="Symbol" w:hint="default"/>
      </w:rPr>
    </w:lvl>
    <w:lvl w:ilvl="7" w:tplc="0B5C39D2" w:tentative="1">
      <w:start w:val="1"/>
      <w:numFmt w:val="bullet"/>
      <w:lvlText w:val="o"/>
      <w:lvlJc w:val="left"/>
      <w:pPr>
        <w:ind w:left="5760" w:hanging="360"/>
      </w:pPr>
      <w:rPr>
        <w:rFonts w:ascii="Courier New" w:hAnsi="Courier New" w:cs="Courier New" w:hint="default"/>
      </w:rPr>
    </w:lvl>
    <w:lvl w:ilvl="8" w:tplc="C09A60D8" w:tentative="1">
      <w:start w:val="1"/>
      <w:numFmt w:val="bullet"/>
      <w:lvlText w:val=""/>
      <w:lvlJc w:val="left"/>
      <w:pPr>
        <w:ind w:left="6480" w:hanging="360"/>
      </w:pPr>
      <w:rPr>
        <w:rFonts w:ascii="Wingdings" w:hAnsi="Wingdings" w:hint="default"/>
      </w:rPr>
    </w:lvl>
  </w:abstractNum>
  <w:abstractNum w:abstractNumId="2">
    <w:nsid w:val="557F2F4C"/>
    <w:multiLevelType w:val="hybridMultilevel"/>
    <w:tmpl w:val="47620480"/>
    <w:lvl w:ilvl="0" w:tplc="6CDA4966">
      <w:start w:val="1"/>
      <w:numFmt w:val="bullet"/>
      <w:lvlText w:val=""/>
      <w:lvlJc w:val="left"/>
      <w:pPr>
        <w:ind w:left="720" w:hanging="360"/>
      </w:pPr>
      <w:rPr>
        <w:rFonts w:ascii="Symbol" w:hAnsi="Symbol" w:hint="default"/>
      </w:rPr>
    </w:lvl>
    <w:lvl w:ilvl="1" w:tplc="4FC801D4" w:tentative="1">
      <w:start w:val="1"/>
      <w:numFmt w:val="bullet"/>
      <w:lvlText w:val="o"/>
      <w:lvlJc w:val="left"/>
      <w:pPr>
        <w:ind w:left="1440" w:hanging="360"/>
      </w:pPr>
      <w:rPr>
        <w:rFonts w:ascii="Courier New" w:hAnsi="Courier New" w:cs="Courier New" w:hint="default"/>
      </w:rPr>
    </w:lvl>
    <w:lvl w:ilvl="2" w:tplc="88940A26" w:tentative="1">
      <w:start w:val="1"/>
      <w:numFmt w:val="bullet"/>
      <w:lvlText w:val=""/>
      <w:lvlJc w:val="left"/>
      <w:pPr>
        <w:ind w:left="2160" w:hanging="360"/>
      </w:pPr>
      <w:rPr>
        <w:rFonts w:ascii="Wingdings" w:hAnsi="Wingdings" w:hint="default"/>
      </w:rPr>
    </w:lvl>
    <w:lvl w:ilvl="3" w:tplc="D5AE22A2" w:tentative="1">
      <w:start w:val="1"/>
      <w:numFmt w:val="bullet"/>
      <w:lvlText w:val=""/>
      <w:lvlJc w:val="left"/>
      <w:pPr>
        <w:ind w:left="2880" w:hanging="360"/>
      </w:pPr>
      <w:rPr>
        <w:rFonts w:ascii="Symbol" w:hAnsi="Symbol" w:hint="default"/>
      </w:rPr>
    </w:lvl>
    <w:lvl w:ilvl="4" w:tplc="E8688A20" w:tentative="1">
      <w:start w:val="1"/>
      <w:numFmt w:val="bullet"/>
      <w:lvlText w:val="o"/>
      <w:lvlJc w:val="left"/>
      <w:pPr>
        <w:ind w:left="3600" w:hanging="360"/>
      </w:pPr>
      <w:rPr>
        <w:rFonts w:ascii="Courier New" w:hAnsi="Courier New" w:cs="Courier New" w:hint="default"/>
      </w:rPr>
    </w:lvl>
    <w:lvl w:ilvl="5" w:tplc="502C1B6A" w:tentative="1">
      <w:start w:val="1"/>
      <w:numFmt w:val="bullet"/>
      <w:lvlText w:val=""/>
      <w:lvlJc w:val="left"/>
      <w:pPr>
        <w:ind w:left="4320" w:hanging="360"/>
      </w:pPr>
      <w:rPr>
        <w:rFonts w:ascii="Wingdings" w:hAnsi="Wingdings" w:hint="default"/>
      </w:rPr>
    </w:lvl>
    <w:lvl w:ilvl="6" w:tplc="37D8ABEE" w:tentative="1">
      <w:start w:val="1"/>
      <w:numFmt w:val="bullet"/>
      <w:lvlText w:val=""/>
      <w:lvlJc w:val="left"/>
      <w:pPr>
        <w:ind w:left="5040" w:hanging="360"/>
      </w:pPr>
      <w:rPr>
        <w:rFonts w:ascii="Symbol" w:hAnsi="Symbol" w:hint="default"/>
      </w:rPr>
    </w:lvl>
    <w:lvl w:ilvl="7" w:tplc="39549A92" w:tentative="1">
      <w:start w:val="1"/>
      <w:numFmt w:val="bullet"/>
      <w:lvlText w:val="o"/>
      <w:lvlJc w:val="left"/>
      <w:pPr>
        <w:ind w:left="5760" w:hanging="360"/>
      </w:pPr>
      <w:rPr>
        <w:rFonts w:ascii="Courier New" w:hAnsi="Courier New" w:cs="Courier New" w:hint="default"/>
      </w:rPr>
    </w:lvl>
    <w:lvl w:ilvl="8" w:tplc="7F708180" w:tentative="1">
      <w:start w:val="1"/>
      <w:numFmt w:val="bullet"/>
      <w:lvlText w:val=""/>
      <w:lvlJc w:val="left"/>
      <w:pPr>
        <w:ind w:left="6480" w:hanging="360"/>
      </w:pPr>
      <w:rPr>
        <w:rFonts w:ascii="Wingdings" w:hAnsi="Wingdings" w:hint="default"/>
      </w:rPr>
    </w:lvl>
  </w:abstractNum>
  <w:abstractNum w:abstractNumId="3">
    <w:nsid w:val="602F4880"/>
    <w:multiLevelType w:val="hybridMultilevel"/>
    <w:tmpl w:val="185ABB8A"/>
    <w:lvl w:ilvl="0" w:tplc="149057BC">
      <w:start w:val="1"/>
      <w:numFmt w:val="bullet"/>
      <w:lvlText w:val=""/>
      <w:lvlJc w:val="left"/>
      <w:pPr>
        <w:ind w:left="720" w:hanging="360"/>
      </w:pPr>
      <w:rPr>
        <w:rFonts w:ascii="Symbol" w:hAnsi="Symbol" w:hint="default"/>
      </w:rPr>
    </w:lvl>
    <w:lvl w:ilvl="1" w:tplc="3DAC6E88" w:tentative="1">
      <w:start w:val="1"/>
      <w:numFmt w:val="bullet"/>
      <w:lvlText w:val="o"/>
      <w:lvlJc w:val="left"/>
      <w:pPr>
        <w:ind w:left="1440" w:hanging="360"/>
      </w:pPr>
      <w:rPr>
        <w:rFonts w:ascii="Courier New" w:hAnsi="Courier New" w:cs="Courier New" w:hint="default"/>
      </w:rPr>
    </w:lvl>
    <w:lvl w:ilvl="2" w:tplc="E09E99CC" w:tentative="1">
      <w:start w:val="1"/>
      <w:numFmt w:val="bullet"/>
      <w:lvlText w:val=""/>
      <w:lvlJc w:val="left"/>
      <w:pPr>
        <w:ind w:left="2160" w:hanging="360"/>
      </w:pPr>
      <w:rPr>
        <w:rFonts w:ascii="Wingdings" w:hAnsi="Wingdings" w:hint="default"/>
      </w:rPr>
    </w:lvl>
    <w:lvl w:ilvl="3" w:tplc="B61254E2" w:tentative="1">
      <w:start w:val="1"/>
      <w:numFmt w:val="bullet"/>
      <w:lvlText w:val=""/>
      <w:lvlJc w:val="left"/>
      <w:pPr>
        <w:ind w:left="2880" w:hanging="360"/>
      </w:pPr>
      <w:rPr>
        <w:rFonts w:ascii="Symbol" w:hAnsi="Symbol" w:hint="default"/>
      </w:rPr>
    </w:lvl>
    <w:lvl w:ilvl="4" w:tplc="C8AE688A" w:tentative="1">
      <w:start w:val="1"/>
      <w:numFmt w:val="bullet"/>
      <w:lvlText w:val="o"/>
      <w:lvlJc w:val="left"/>
      <w:pPr>
        <w:ind w:left="3600" w:hanging="360"/>
      </w:pPr>
      <w:rPr>
        <w:rFonts w:ascii="Courier New" w:hAnsi="Courier New" w:cs="Courier New" w:hint="default"/>
      </w:rPr>
    </w:lvl>
    <w:lvl w:ilvl="5" w:tplc="02E8F764" w:tentative="1">
      <w:start w:val="1"/>
      <w:numFmt w:val="bullet"/>
      <w:lvlText w:val=""/>
      <w:lvlJc w:val="left"/>
      <w:pPr>
        <w:ind w:left="4320" w:hanging="360"/>
      </w:pPr>
      <w:rPr>
        <w:rFonts w:ascii="Wingdings" w:hAnsi="Wingdings" w:hint="default"/>
      </w:rPr>
    </w:lvl>
    <w:lvl w:ilvl="6" w:tplc="6D086252" w:tentative="1">
      <w:start w:val="1"/>
      <w:numFmt w:val="bullet"/>
      <w:lvlText w:val=""/>
      <w:lvlJc w:val="left"/>
      <w:pPr>
        <w:ind w:left="5040" w:hanging="360"/>
      </w:pPr>
      <w:rPr>
        <w:rFonts w:ascii="Symbol" w:hAnsi="Symbol" w:hint="default"/>
      </w:rPr>
    </w:lvl>
    <w:lvl w:ilvl="7" w:tplc="7E644794" w:tentative="1">
      <w:start w:val="1"/>
      <w:numFmt w:val="bullet"/>
      <w:lvlText w:val="o"/>
      <w:lvlJc w:val="left"/>
      <w:pPr>
        <w:ind w:left="5760" w:hanging="360"/>
      </w:pPr>
      <w:rPr>
        <w:rFonts w:ascii="Courier New" w:hAnsi="Courier New" w:cs="Courier New" w:hint="default"/>
      </w:rPr>
    </w:lvl>
    <w:lvl w:ilvl="8" w:tplc="7BDAF5BE" w:tentative="1">
      <w:start w:val="1"/>
      <w:numFmt w:val="bullet"/>
      <w:lvlText w:val=""/>
      <w:lvlJc w:val="left"/>
      <w:pPr>
        <w:ind w:left="6480" w:hanging="360"/>
      </w:pPr>
      <w:rPr>
        <w:rFonts w:ascii="Wingdings" w:hAnsi="Wingdings" w:hint="default"/>
      </w:rPr>
    </w:lvl>
  </w:abstractNum>
  <w:abstractNum w:abstractNumId="4">
    <w:nsid w:val="792A1787"/>
    <w:multiLevelType w:val="hybridMultilevel"/>
    <w:tmpl w:val="B45EEF34"/>
    <w:lvl w:ilvl="0" w:tplc="9A60D8CC">
      <w:start w:val="1"/>
      <w:numFmt w:val="bullet"/>
      <w:lvlText w:val=""/>
      <w:lvlJc w:val="left"/>
      <w:pPr>
        <w:ind w:left="720" w:hanging="360"/>
      </w:pPr>
      <w:rPr>
        <w:rFonts w:ascii="Symbol" w:hAnsi="Symbol" w:hint="default"/>
      </w:rPr>
    </w:lvl>
    <w:lvl w:ilvl="1" w:tplc="ABD47E0A" w:tentative="1">
      <w:start w:val="1"/>
      <w:numFmt w:val="bullet"/>
      <w:lvlText w:val="o"/>
      <w:lvlJc w:val="left"/>
      <w:pPr>
        <w:ind w:left="1440" w:hanging="360"/>
      </w:pPr>
      <w:rPr>
        <w:rFonts w:ascii="Courier New" w:hAnsi="Courier New" w:cs="Courier New" w:hint="default"/>
      </w:rPr>
    </w:lvl>
    <w:lvl w:ilvl="2" w:tplc="D44C1B8E" w:tentative="1">
      <w:start w:val="1"/>
      <w:numFmt w:val="bullet"/>
      <w:lvlText w:val=""/>
      <w:lvlJc w:val="left"/>
      <w:pPr>
        <w:ind w:left="2160" w:hanging="360"/>
      </w:pPr>
      <w:rPr>
        <w:rFonts w:ascii="Wingdings" w:hAnsi="Wingdings" w:hint="default"/>
      </w:rPr>
    </w:lvl>
    <w:lvl w:ilvl="3" w:tplc="9B3E0A2C" w:tentative="1">
      <w:start w:val="1"/>
      <w:numFmt w:val="bullet"/>
      <w:lvlText w:val=""/>
      <w:lvlJc w:val="left"/>
      <w:pPr>
        <w:ind w:left="2880" w:hanging="360"/>
      </w:pPr>
      <w:rPr>
        <w:rFonts w:ascii="Symbol" w:hAnsi="Symbol" w:hint="default"/>
      </w:rPr>
    </w:lvl>
    <w:lvl w:ilvl="4" w:tplc="862AA2FC" w:tentative="1">
      <w:start w:val="1"/>
      <w:numFmt w:val="bullet"/>
      <w:lvlText w:val="o"/>
      <w:lvlJc w:val="left"/>
      <w:pPr>
        <w:ind w:left="3600" w:hanging="360"/>
      </w:pPr>
      <w:rPr>
        <w:rFonts w:ascii="Courier New" w:hAnsi="Courier New" w:cs="Courier New" w:hint="default"/>
      </w:rPr>
    </w:lvl>
    <w:lvl w:ilvl="5" w:tplc="1E5E7B3A" w:tentative="1">
      <w:start w:val="1"/>
      <w:numFmt w:val="bullet"/>
      <w:lvlText w:val=""/>
      <w:lvlJc w:val="left"/>
      <w:pPr>
        <w:ind w:left="4320" w:hanging="360"/>
      </w:pPr>
      <w:rPr>
        <w:rFonts w:ascii="Wingdings" w:hAnsi="Wingdings" w:hint="default"/>
      </w:rPr>
    </w:lvl>
    <w:lvl w:ilvl="6" w:tplc="DD489546" w:tentative="1">
      <w:start w:val="1"/>
      <w:numFmt w:val="bullet"/>
      <w:lvlText w:val=""/>
      <w:lvlJc w:val="left"/>
      <w:pPr>
        <w:ind w:left="5040" w:hanging="360"/>
      </w:pPr>
      <w:rPr>
        <w:rFonts w:ascii="Symbol" w:hAnsi="Symbol" w:hint="default"/>
      </w:rPr>
    </w:lvl>
    <w:lvl w:ilvl="7" w:tplc="22AA16FC" w:tentative="1">
      <w:start w:val="1"/>
      <w:numFmt w:val="bullet"/>
      <w:lvlText w:val="o"/>
      <w:lvlJc w:val="left"/>
      <w:pPr>
        <w:ind w:left="5760" w:hanging="360"/>
      </w:pPr>
      <w:rPr>
        <w:rFonts w:ascii="Courier New" w:hAnsi="Courier New" w:cs="Courier New" w:hint="default"/>
      </w:rPr>
    </w:lvl>
    <w:lvl w:ilvl="8" w:tplc="15721E06"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A9"/>
    <w:rsid w:val="00021C43"/>
    <w:rsid w:val="00167652"/>
    <w:rsid w:val="001B2D9A"/>
    <w:rsid w:val="001B4F3B"/>
    <w:rsid w:val="001C18D6"/>
    <w:rsid w:val="001E1C46"/>
    <w:rsid w:val="00244B84"/>
    <w:rsid w:val="002753B4"/>
    <w:rsid w:val="002D05CB"/>
    <w:rsid w:val="002D67B0"/>
    <w:rsid w:val="002E50BD"/>
    <w:rsid w:val="0031509F"/>
    <w:rsid w:val="00360F0E"/>
    <w:rsid w:val="003A682A"/>
    <w:rsid w:val="003C68F5"/>
    <w:rsid w:val="003F4891"/>
    <w:rsid w:val="0040320E"/>
    <w:rsid w:val="004032F5"/>
    <w:rsid w:val="004115FD"/>
    <w:rsid w:val="00462D5C"/>
    <w:rsid w:val="00486182"/>
    <w:rsid w:val="00494FB2"/>
    <w:rsid w:val="005137BF"/>
    <w:rsid w:val="00514C94"/>
    <w:rsid w:val="005419DE"/>
    <w:rsid w:val="00550DA9"/>
    <w:rsid w:val="00624AB5"/>
    <w:rsid w:val="006420F8"/>
    <w:rsid w:val="006A23E1"/>
    <w:rsid w:val="006D7321"/>
    <w:rsid w:val="007015EC"/>
    <w:rsid w:val="00702D28"/>
    <w:rsid w:val="007039F6"/>
    <w:rsid w:val="007B2F86"/>
    <w:rsid w:val="0082672C"/>
    <w:rsid w:val="00845427"/>
    <w:rsid w:val="00873E1F"/>
    <w:rsid w:val="00876C83"/>
    <w:rsid w:val="00882399"/>
    <w:rsid w:val="00893A8F"/>
    <w:rsid w:val="008D020D"/>
    <w:rsid w:val="008E15D9"/>
    <w:rsid w:val="00925C07"/>
    <w:rsid w:val="00965DFD"/>
    <w:rsid w:val="00970760"/>
    <w:rsid w:val="009C22EB"/>
    <w:rsid w:val="00A13C12"/>
    <w:rsid w:val="00A45405"/>
    <w:rsid w:val="00AB1261"/>
    <w:rsid w:val="00B866A1"/>
    <w:rsid w:val="00B966A3"/>
    <w:rsid w:val="00BF6067"/>
    <w:rsid w:val="00C76D51"/>
    <w:rsid w:val="00CA2CAA"/>
    <w:rsid w:val="00D80C76"/>
    <w:rsid w:val="00D851D7"/>
    <w:rsid w:val="00DA50E7"/>
    <w:rsid w:val="00DC5C21"/>
    <w:rsid w:val="00E03906"/>
    <w:rsid w:val="00E069C0"/>
    <w:rsid w:val="00E14257"/>
    <w:rsid w:val="00E230CC"/>
    <w:rsid w:val="00E8597F"/>
    <w:rsid w:val="00F51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DA9"/>
    <w:pPr>
      <w:spacing w:line="360" w:lineRule="auto"/>
      <w:jc w:val="both"/>
    </w:pPr>
    <w:rPr>
      <w:rFonts w:asciiTheme="majorHAnsi" w:hAnsiTheme="majorHAnsi"/>
      <w:sz w:val="24"/>
    </w:rPr>
  </w:style>
  <w:style w:type="paragraph" w:styleId="Heading1">
    <w:name w:val="heading 1"/>
    <w:basedOn w:val="Normal"/>
    <w:next w:val="Normal"/>
    <w:link w:val="Heading1Char"/>
    <w:uiPriority w:val="9"/>
    <w:qFormat/>
    <w:rsid w:val="00550DA9"/>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32F5"/>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DA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13C12"/>
    <w:rPr>
      <w:color w:val="0000FF" w:themeColor="hyperlink"/>
      <w:u w:val="single"/>
    </w:rPr>
  </w:style>
  <w:style w:type="character" w:customStyle="1" w:styleId="Heading2Char">
    <w:name w:val="Heading 2 Char"/>
    <w:basedOn w:val="DefaultParagraphFont"/>
    <w:link w:val="Heading2"/>
    <w:uiPriority w:val="9"/>
    <w:rsid w:val="004032F5"/>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4032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32F5"/>
    <w:pPr>
      <w:ind w:left="720"/>
      <w:contextualSpacing/>
    </w:pPr>
  </w:style>
  <w:style w:type="paragraph" w:styleId="BalloonText">
    <w:name w:val="Balloon Text"/>
    <w:basedOn w:val="Normal"/>
    <w:link w:val="BalloonTextChar"/>
    <w:uiPriority w:val="99"/>
    <w:semiHidden/>
    <w:unhideWhenUsed/>
    <w:rsid w:val="002D67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7B0"/>
    <w:rPr>
      <w:rFonts w:ascii="Tahoma" w:hAnsi="Tahoma" w:cs="Tahoma"/>
      <w:sz w:val="16"/>
      <w:szCs w:val="16"/>
    </w:rPr>
  </w:style>
  <w:style w:type="paragraph" w:customStyle="1" w:styleId="TableParagraph">
    <w:name w:val="Table Paragraph"/>
    <w:basedOn w:val="Normal"/>
    <w:uiPriority w:val="1"/>
    <w:qFormat/>
    <w:rsid w:val="002D67B0"/>
    <w:pPr>
      <w:widowControl w:val="0"/>
      <w:autoSpaceDE w:val="0"/>
      <w:autoSpaceDN w:val="0"/>
      <w:spacing w:after="0" w:line="240" w:lineRule="auto"/>
      <w:jc w:val="left"/>
    </w:pPr>
    <w:rPr>
      <w:rFonts w:ascii="Arial MT" w:eastAsia="Arial MT" w:hAnsi="Arial MT" w:cs="Arial MT"/>
      <w:sz w:val="22"/>
    </w:rPr>
  </w:style>
  <w:style w:type="paragraph" w:styleId="TOCHeading">
    <w:name w:val="TOC Heading"/>
    <w:basedOn w:val="Heading1"/>
    <w:next w:val="Normal"/>
    <w:uiPriority w:val="39"/>
    <w:semiHidden/>
    <w:unhideWhenUsed/>
    <w:qFormat/>
    <w:rsid w:val="002D67B0"/>
    <w:pPr>
      <w:spacing w:line="276" w:lineRule="auto"/>
      <w:jc w:val="left"/>
      <w:outlineLvl w:val="9"/>
    </w:pPr>
    <w:rPr>
      <w:lang w:eastAsia="ja-JP"/>
    </w:rPr>
  </w:style>
  <w:style w:type="paragraph" w:styleId="TOC1">
    <w:name w:val="toc 1"/>
    <w:basedOn w:val="Normal"/>
    <w:next w:val="Normal"/>
    <w:autoRedefine/>
    <w:uiPriority w:val="39"/>
    <w:unhideWhenUsed/>
    <w:rsid w:val="002D67B0"/>
    <w:pPr>
      <w:spacing w:after="100"/>
    </w:pPr>
  </w:style>
  <w:style w:type="paragraph" w:styleId="TOC2">
    <w:name w:val="toc 2"/>
    <w:basedOn w:val="Normal"/>
    <w:next w:val="Normal"/>
    <w:autoRedefine/>
    <w:uiPriority w:val="39"/>
    <w:unhideWhenUsed/>
    <w:rsid w:val="002D67B0"/>
    <w:pPr>
      <w:spacing w:after="100"/>
      <w:ind w:left="240"/>
    </w:pPr>
  </w:style>
  <w:style w:type="paragraph" w:styleId="Header">
    <w:name w:val="header"/>
    <w:basedOn w:val="Normal"/>
    <w:link w:val="HeaderChar"/>
    <w:uiPriority w:val="99"/>
    <w:unhideWhenUsed/>
    <w:rsid w:val="002D67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7B0"/>
    <w:rPr>
      <w:rFonts w:asciiTheme="majorHAnsi" w:hAnsiTheme="majorHAnsi"/>
      <w:sz w:val="24"/>
    </w:rPr>
  </w:style>
  <w:style w:type="paragraph" w:styleId="Footer">
    <w:name w:val="footer"/>
    <w:basedOn w:val="Normal"/>
    <w:link w:val="FooterChar"/>
    <w:uiPriority w:val="99"/>
    <w:unhideWhenUsed/>
    <w:rsid w:val="002D67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67B0"/>
    <w:rPr>
      <w:rFonts w:asciiTheme="majorHAnsi" w:hAnsiTheme="majorHAns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DA9"/>
    <w:pPr>
      <w:spacing w:line="360" w:lineRule="auto"/>
      <w:jc w:val="both"/>
    </w:pPr>
    <w:rPr>
      <w:rFonts w:asciiTheme="majorHAnsi" w:hAnsiTheme="majorHAnsi"/>
      <w:sz w:val="24"/>
    </w:rPr>
  </w:style>
  <w:style w:type="paragraph" w:styleId="Heading1">
    <w:name w:val="heading 1"/>
    <w:basedOn w:val="Normal"/>
    <w:next w:val="Normal"/>
    <w:link w:val="Heading1Char"/>
    <w:uiPriority w:val="9"/>
    <w:qFormat/>
    <w:rsid w:val="00550DA9"/>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32F5"/>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DA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13C12"/>
    <w:rPr>
      <w:color w:val="0000FF" w:themeColor="hyperlink"/>
      <w:u w:val="single"/>
    </w:rPr>
  </w:style>
  <w:style w:type="character" w:customStyle="1" w:styleId="Heading2Char">
    <w:name w:val="Heading 2 Char"/>
    <w:basedOn w:val="DefaultParagraphFont"/>
    <w:link w:val="Heading2"/>
    <w:uiPriority w:val="9"/>
    <w:rsid w:val="004032F5"/>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4032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32F5"/>
    <w:pPr>
      <w:ind w:left="720"/>
      <w:contextualSpacing/>
    </w:pPr>
  </w:style>
  <w:style w:type="paragraph" w:styleId="BalloonText">
    <w:name w:val="Balloon Text"/>
    <w:basedOn w:val="Normal"/>
    <w:link w:val="BalloonTextChar"/>
    <w:uiPriority w:val="99"/>
    <w:semiHidden/>
    <w:unhideWhenUsed/>
    <w:rsid w:val="002D67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7B0"/>
    <w:rPr>
      <w:rFonts w:ascii="Tahoma" w:hAnsi="Tahoma" w:cs="Tahoma"/>
      <w:sz w:val="16"/>
      <w:szCs w:val="16"/>
    </w:rPr>
  </w:style>
  <w:style w:type="paragraph" w:customStyle="1" w:styleId="TableParagraph">
    <w:name w:val="Table Paragraph"/>
    <w:basedOn w:val="Normal"/>
    <w:uiPriority w:val="1"/>
    <w:qFormat/>
    <w:rsid w:val="002D67B0"/>
    <w:pPr>
      <w:widowControl w:val="0"/>
      <w:autoSpaceDE w:val="0"/>
      <w:autoSpaceDN w:val="0"/>
      <w:spacing w:after="0" w:line="240" w:lineRule="auto"/>
      <w:jc w:val="left"/>
    </w:pPr>
    <w:rPr>
      <w:rFonts w:ascii="Arial MT" w:eastAsia="Arial MT" w:hAnsi="Arial MT" w:cs="Arial MT"/>
      <w:sz w:val="22"/>
    </w:rPr>
  </w:style>
  <w:style w:type="paragraph" w:styleId="TOCHeading">
    <w:name w:val="TOC Heading"/>
    <w:basedOn w:val="Heading1"/>
    <w:next w:val="Normal"/>
    <w:uiPriority w:val="39"/>
    <w:semiHidden/>
    <w:unhideWhenUsed/>
    <w:qFormat/>
    <w:rsid w:val="002D67B0"/>
    <w:pPr>
      <w:spacing w:line="276" w:lineRule="auto"/>
      <w:jc w:val="left"/>
      <w:outlineLvl w:val="9"/>
    </w:pPr>
    <w:rPr>
      <w:lang w:eastAsia="ja-JP"/>
    </w:rPr>
  </w:style>
  <w:style w:type="paragraph" w:styleId="TOC1">
    <w:name w:val="toc 1"/>
    <w:basedOn w:val="Normal"/>
    <w:next w:val="Normal"/>
    <w:autoRedefine/>
    <w:uiPriority w:val="39"/>
    <w:unhideWhenUsed/>
    <w:rsid w:val="002D67B0"/>
    <w:pPr>
      <w:spacing w:after="100"/>
    </w:pPr>
  </w:style>
  <w:style w:type="paragraph" w:styleId="TOC2">
    <w:name w:val="toc 2"/>
    <w:basedOn w:val="Normal"/>
    <w:next w:val="Normal"/>
    <w:autoRedefine/>
    <w:uiPriority w:val="39"/>
    <w:unhideWhenUsed/>
    <w:rsid w:val="002D67B0"/>
    <w:pPr>
      <w:spacing w:after="100"/>
      <w:ind w:left="240"/>
    </w:pPr>
  </w:style>
  <w:style w:type="paragraph" w:styleId="Header">
    <w:name w:val="header"/>
    <w:basedOn w:val="Normal"/>
    <w:link w:val="HeaderChar"/>
    <w:uiPriority w:val="99"/>
    <w:unhideWhenUsed/>
    <w:rsid w:val="002D67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7B0"/>
    <w:rPr>
      <w:rFonts w:asciiTheme="majorHAnsi" w:hAnsiTheme="majorHAnsi"/>
      <w:sz w:val="24"/>
    </w:rPr>
  </w:style>
  <w:style w:type="paragraph" w:styleId="Footer">
    <w:name w:val="footer"/>
    <w:basedOn w:val="Normal"/>
    <w:link w:val="FooterChar"/>
    <w:uiPriority w:val="99"/>
    <w:unhideWhenUsed/>
    <w:rsid w:val="002D67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67B0"/>
    <w:rPr>
      <w:rFonts w:asciiTheme="majorHAnsi" w:hAnsiTheme="majorHAns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volkswagen-newsroom.com/en/company-368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nnualreport2022.volkswagenag.com/group-management-report/sustainable-value-enhancement/sustainability.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bbc.com/news/business-6158125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206C3-D978-42E6-BE82-EEAE8E89D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3791</Words>
  <Characters>21611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2023-08-09T12:53:00Z</dcterms:created>
  <dcterms:modified xsi:type="dcterms:W3CDTF">2023-08-09T12:53:00Z</dcterms:modified>
</cp:coreProperties>
</file>