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5881"/>
      </w:tblGrid>
      <w:tr w:rsidR="003E2E98" w:rsidRPr="003E2E98" w14:paraId="58F00473" w14:textId="77777777">
        <w:tc>
          <w:tcPr>
            <w:tcW w:w="0" w:type="auto"/>
            <w:tcBorders>
              <w:top w:val="single" w:sz="6" w:space="0" w:color="000000"/>
              <w:left w:val="single" w:sz="6" w:space="0" w:color="000000"/>
              <w:bottom w:val="single" w:sz="6" w:space="0" w:color="000000"/>
              <w:right w:val="single" w:sz="6" w:space="0" w:color="000000"/>
            </w:tcBorders>
            <w:shd w:val="clear" w:color="auto" w:fill="C0C0C0"/>
            <w:hideMark/>
          </w:tcPr>
          <w:p w14:paraId="205E33A5" w14:textId="77777777" w:rsidR="003E2E98" w:rsidRPr="003E2E98" w:rsidRDefault="003E2E98" w:rsidP="003E2E98">
            <w:pPr>
              <w:spacing w:before="90" w:after="90" w:line="240" w:lineRule="auto"/>
              <w:jc w:val="center"/>
              <w:rPr>
                <w:rFonts w:ascii="-webkit-standard" w:hAnsi="-webkit-standard" w:cs="Times New Roman"/>
                <w:kern w:val="0"/>
                <w:sz w:val="18"/>
                <w:szCs w:val="18"/>
                <w14:ligatures w14:val="none"/>
              </w:rPr>
            </w:pPr>
            <w:r w:rsidRPr="003E2E98">
              <w:rPr>
                <w:rFonts w:ascii="Arial" w:hAnsi="Arial" w:cs="Arial"/>
                <w:b/>
                <w:bCs/>
                <w:kern w:val="0"/>
                <w:sz w:val="30"/>
                <w:szCs w:val="30"/>
                <w14:ligatures w14:val="none"/>
              </w:rPr>
              <w:t>LEVEL 4 ASSESSMENT SPECIFICATION </w:t>
            </w:r>
          </w:p>
        </w:tc>
      </w:tr>
    </w:tbl>
    <w:p w14:paraId="0AE7A2DF" w14:textId="77777777" w:rsidR="003E2E98" w:rsidRPr="003E2E98" w:rsidRDefault="003E2E98" w:rsidP="003E2E98">
      <w:pPr>
        <w:spacing w:after="0" w:line="240" w:lineRule="auto"/>
        <w:jc w:val="center"/>
        <w:rPr>
          <w:rFonts w:ascii="-webkit-standard" w:hAnsi="-webkit-standard" w:cs="Times New Roman"/>
          <w:color w:val="000000"/>
          <w:kern w:val="0"/>
          <w:sz w:val="27"/>
          <w:szCs w:val="27"/>
          <w14:ligatures w14:val="none"/>
        </w:rPr>
      </w:pPr>
      <w:r w:rsidRPr="003E2E98">
        <w:rPr>
          <w:rFonts w:ascii="Arial" w:hAnsi="Arial" w:cs="Arial"/>
          <w:b/>
          <w:bCs/>
          <w:i/>
          <w:iCs/>
          <w:color w:val="000000"/>
          <w:kern w:val="0"/>
          <w14:ligatures w14:val="none"/>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332"/>
        <w:gridCol w:w="3493"/>
        <w:gridCol w:w="2737"/>
        <w:gridCol w:w="1448"/>
      </w:tblGrid>
      <w:tr w:rsidR="003E2E98" w:rsidRPr="003E2E98" w14:paraId="74C877BF"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735FF87C"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Student name:</w:t>
            </w:r>
          </w:p>
        </w:tc>
        <w:tc>
          <w:tcPr>
            <w:tcW w:w="0" w:type="auto"/>
            <w:tcBorders>
              <w:top w:val="single" w:sz="6" w:space="0" w:color="000000"/>
              <w:left w:val="single" w:sz="6" w:space="0" w:color="000000"/>
              <w:bottom w:val="single" w:sz="6" w:space="0" w:color="000000"/>
              <w:right w:val="single" w:sz="6" w:space="0" w:color="000000"/>
            </w:tcBorders>
            <w:hideMark/>
          </w:tcPr>
          <w:p w14:paraId="43CCA515" w14:textId="682013CF" w:rsidR="003E2E98" w:rsidRPr="009B079D" w:rsidRDefault="00DB6640" w:rsidP="003E2E98">
            <w:pPr>
              <w:spacing w:after="0" w:line="216" w:lineRule="atLeast"/>
              <w:rPr>
                <w:rFonts w:ascii="Arial" w:hAnsi="Arial" w:cs="Arial"/>
                <w:b/>
                <w:bCs/>
                <w:kern w:val="0"/>
                <w:sz w:val="22"/>
                <w:szCs w:val="22"/>
                <w14:ligatures w14:val="none"/>
              </w:rPr>
            </w:pPr>
            <w:r>
              <w:rPr>
                <w:rFonts w:ascii="-webkit-standard" w:hAnsi="-webkit-standard" w:cs="Times New Roman"/>
                <w:kern w:val="0"/>
                <w:sz w:val="18"/>
                <w:szCs w:val="18"/>
                <w14:ligatures w14:val="none"/>
              </w:rPr>
              <w:t xml:space="preserve"> </w:t>
            </w:r>
            <w:r w:rsidRPr="009B079D">
              <w:rPr>
                <w:rFonts w:ascii="Arial" w:hAnsi="Arial" w:cs="Arial"/>
                <w:b/>
                <w:bCs/>
                <w:kern w:val="0"/>
                <w:sz w:val="22"/>
                <w:szCs w:val="22"/>
                <w14:ligatures w14:val="none"/>
              </w:rPr>
              <w:t>T</w:t>
            </w:r>
            <w:r w:rsidR="00AB12E8" w:rsidRPr="009B079D">
              <w:rPr>
                <w:rFonts w:ascii="Arial" w:hAnsi="Arial" w:cs="Arial"/>
                <w:b/>
                <w:bCs/>
                <w:kern w:val="0"/>
                <w:sz w:val="22"/>
                <w:szCs w:val="22"/>
                <w14:ligatures w14:val="none"/>
              </w:rPr>
              <w:t>hasmiya Tar</w:t>
            </w:r>
            <w:r w:rsidR="005F3286" w:rsidRPr="009B079D">
              <w:rPr>
                <w:rFonts w:ascii="Arial" w:hAnsi="Arial" w:cs="Arial"/>
                <w:b/>
                <w:bCs/>
                <w:kern w:val="0"/>
                <w:sz w:val="22"/>
                <w:szCs w:val="22"/>
                <w14:ligatures w14:val="none"/>
              </w:rPr>
              <w:t>iq</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1CE5F005"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Student ID number:</w:t>
            </w:r>
          </w:p>
        </w:tc>
        <w:tc>
          <w:tcPr>
            <w:tcW w:w="0" w:type="auto"/>
            <w:tcBorders>
              <w:top w:val="single" w:sz="6" w:space="0" w:color="000000"/>
              <w:left w:val="single" w:sz="6" w:space="0" w:color="000000"/>
              <w:bottom w:val="single" w:sz="6" w:space="0" w:color="000000"/>
              <w:right w:val="single" w:sz="6" w:space="0" w:color="000000"/>
            </w:tcBorders>
            <w:hideMark/>
          </w:tcPr>
          <w:p w14:paraId="3C35BE0B" w14:textId="3A20D489"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 </w:t>
            </w:r>
            <w:r w:rsidR="005E6451">
              <w:rPr>
                <w:rFonts w:ascii="Arial" w:hAnsi="Arial" w:cs="Arial"/>
                <w:b/>
                <w:bCs/>
                <w:kern w:val="0"/>
                <w:sz w:val="17"/>
                <w:szCs w:val="17"/>
                <w14:ligatures w14:val="none"/>
              </w:rPr>
              <w:t>25</w:t>
            </w:r>
            <w:r w:rsidR="002A0214">
              <w:rPr>
                <w:rFonts w:ascii="Arial" w:hAnsi="Arial" w:cs="Arial"/>
                <w:b/>
                <w:bCs/>
                <w:kern w:val="0"/>
                <w:sz w:val="17"/>
                <w:szCs w:val="17"/>
                <w14:ligatures w14:val="none"/>
              </w:rPr>
              <w:t>21422</w:t>
            </w:r>
          </w:p>
        </w:tc>
      </w:tr>
      <w:tr w:rsidR="003E2E98" w:rsidRPr="003E2E98" w14:paraId="31FE22A9"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49A6CCBA"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Programme:</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1F08DC74"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Certificate of Higher Education Skills for the Workplace (Health &amp; Social Care)</w:t>
            </w:r>
          </w:p>
        </w:tc>
      </w:tr>
      <w:tr w:rsidR="003E2E98" w:rsidRPr="003E2E98" w14:paraId="2D16DD1C"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7D848309"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Module:</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5FA3E1B6"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Digital Skills and Research Methods</w:t>
            </w:r>
          </w:p>
        </w:tc>
      </w:tr>
      <w:tr w:rsidR="003E2E98" w:rsidRPr="003E2E98" w14:paraId="5A1CF5A2"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612D346A"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Module code:</w:t>
            </w:r>
          </w:p>
        </w:tc>
        <w:tc>
          <w:tcPr>
            <w:tcW w:w="0" w:type="auto"/>
            <w:tcBorders>
              <w:top w:val="single" w:sz="6" w:space="0" w:color="000000"/>
              <w:left w:val="single" w:sz="6" w:space="0" w:color="000000"/>
              <w:bottom w:val="single" w:sz="6" w:space="0" w:color="000000"/>
              <w:right w:val="single" w:sz="6" w:space="0" w:color="000000"/>
            </w:tcBorders>
            <w:hideMark/>
          </w:tcPr>
          <w:p w14:paraId="1E40BE05"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LCHS4007</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34C694CB" w14:textId="77777777" w:rsidR="003E2E98" w:rsidRPr="003E2E98" w:rsidRDefault="003E2E98" w:rsidP="003E2E98">
            <w:pPr>
              <w:spacing w:after="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Contribution to Overall Module Assessment (%):</w:t>
            </w:r>
          </w:p>
        </w:tc>
        <w:tc>
          <w:tcPr>
            <w:tcW w:w="0" w:type="auto"/>
            <w:tcBorders>
              <w:top w:val="single" w:sz="6" w:space="0" w:color="000000"/>
              <w:left w:val="single" w:sz="6" w:space="0" w:color="000000"/>
              <w:bottom w:val="single" w:sz="6" w:space="0" w:color="000000"/>
              <w:right w:val="single" w:sz="6" w:space="0" w:color="000000"/>
            </w:tcBorders>
            <w:hideMark/>
          </w:tcPr>
          <w:p w14:paraId="4146F475"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50%</w:t>
            </w:r>
          </w:p>
        </w:tc>
      </w:tr>
      <w:tr w:rsidR="003E2E98" w:rsidRPr="003E2E98" w14:paraId="319F2C57"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24082C7B"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Lecturer:</w:t>
            </w:r>
          </w:p>
        </w:tc>
        <w:tc>
          <w:tcPr>
            <w:tcW w:w="0" w:type="auto"/>
            <w:tcBorders>
              <w:top w:val="single" w:sz="6" w:space="0" w:color="000000"/>
              <w:left w:val="single" w:sz="6" w:space="0" w:color="000000"/>
              <w:bottom w:val="single" w:sz="6" w:space="0" w:color="000000"/>
              <w:right w:val="single" w:sz="6" w:space="0" w:color="000000"/>
            </w:tcBorders>
            <w:hideMark/>
          </w:tcPr>
          <w:p w14:paraId="689F4259"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Hajra Mustasim (Module Lead)</w:t>
            </w:r>
          </w:p>
        </w:tc>
        <w:tc>
          <w:tcPr>
            <w:tcW w:w="0" w:type="auto"/>
            <w:tcBorders>
              <w:top w:val="single" w:sz="6" w:space="0" w:color="000000"/>
              <w:left w:val="single" w:sz="6" w:space="0" w:color="000000"/>
              <w:bottom w:val="single" w:sz="6" w:space="0" w:color="000000"/>
              <w:right w:val="single" w:sz="6" w:space="0" w:color="000000"/>
            </w:tcBorders>
            <w:shd w:val="clear" w:color="auto" w:fill="D9D9D9"/>
            <w:hideMark/>
          </w:tcPr>
          <w:p w14:paraId="40C13E1A"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Internal Verifier:</w:t>
            </w:r>
          </w:p>
        </w:tc>
        <w:tc>
          <w:tcPr>
            <w:tcW w:w="0" w:type="auto"/>
            <w:tcBorders>
              <w:top w:val="single" w:sz="6" w:space="0" w:color="000000"/>
              <w:left w:val="single" w:sz="6" w:space="0" w:color="000000"/>
              <w:bottom w:val="single" w:sz="6" w:space="0" w:color="000000"/>
              <w:right w:val="single" w:sz="6" w:space="0" w:color="000000"/>
            </w:tcBorders>
            <w:hideMark/>
          </w:tcPr>
          <w:p w14:paraId="50784941"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Dr Besty Jose</w:t>
            </w:r>
          </w:p>
        </w:tc>
      </w:tr>
      <w:tr w:rsidR="003E2E98" w:rsidRPr="003E2E98" w14:paraId="70EE3051"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4274C465"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Assignment Title:</w:t>
            </w:r>
          </w:p>
        </w:tc>
        <w:tc>
          <w:tcPr>
            <w:tcW w:w="0" w:type="auto"/>
            <w:tcBorders>
              <w:top w:val="single" w:sz="6" w:space="0" w:color="000000"/>
              <w:left w:val="single" w:sz="6" w:space="0" w:color="000000"/>
              <w:bottom w:val="single" w:sz="6" w:space="0" w:color="000000"/>
              <w:right w:val="single" w:sz="6" w:space="0" w:color="000000"/>
            </w:tcBorders>
            <w:hideMark/>
          </w:tcPr>
          <w:p w14:paraId="149F38C7"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Component 2 – Research Report</w:t>
            </w:r>
          </w:p>
        </w:tc>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3B51D4DA"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Word count (or equivalent):</w:t>
            </w:r>
          </w:p>
        </w:tc>
        <w:tc>
          <w:tcPr>
            <w:tcW w:w="0" w:type="auto"/>
            <w:tcBorders>
              <w:top w:val="single" w:sz="6" w:space="0" w:color="000000"/>
              <w:left w:val="single" w:sz="6" w:space="0" w:color="000000"/>
              <w:bottom w:val="single" w:sz="6" w:space="0" w:color="000000"/>
              <w:right w:val="single" w:sz="6" w:space="0" w:color="000000"/>
            </w:tcBorders>
            <w:hideMark/>
          </w:tcPr>
          <w:p w14:paraId="4D5F8FA1"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1500 words </w:t>
            </w:r>
          </w:p>
          <w:p w14:paraId="6615E48F"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 (+/- 10%)</w:t>
            </w:r>
          </w:p>
        </w:tc>
      </w:tr>
      <w:tr w:rsidR="003E2E98" w:rsidRPr="003E2E98" w14:paraId="4F870CE8"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7CC0829E"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Submission deadline:</w:t>
            </w:r>
          </w:p>
        </w:tc>
        <w:tc>
          <w:tcPr>
            <w:tcW w:w="0" w:type="auto"/>
            <w:tcBorders>
              <w:top w:val="single" w:sz="6" w:space="0" w:color="000000"/>
              <w:left w:val="single" w:sz="6" w:space="0" w:color="000000"/>
              <w:bottom w:val="single" w:sz="6" w:space="0" w:color="000000"/>
              <w:right w:val="single" w:sz="6" w:space="0" w:color="000000"/>
            </w:tcBorders>
            <w:hideMark/>
          </w:tcPr>
          <w:p w14:paraId="005FD685"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Submitted via Turnitin by </w:t>
            </w:r>
            <w:r w:rsidRPr="003E2E98">
              <w:rPr>
                <w:rFonts w:ascii="Arial" w:hAnsi="Arial" w:cs="Arial"/>
                <w:b/>
                <w:bCs/>
                <w:color w:val="FF0000"/>
                <w:kern w:val="0"/>
                <w:sz w:val="17"/>
                <w:szCs w:val="17"/>
                <w14:ligatures w14:val="none"/>
              </w:rPr>
              <w:t>Friday 31</w:t>
            </w:r>
            <w:r w:rsidRPr="003E2E98">
              <w:rPr>
                <w:rFonts w:ascii="Arial" w:hAnsi="Arial" w:cs="Arial"/>
                <w:b/>
                <w:bCs/>
                <w:color w:val="FF0000"/>
                <w:kern w:val="0"/>
                <w:sz w:val="11"/>
                <w:szCs w:val="11"/>
                <w:vertAlign w:val="superscript"/>
                <w14:ligatures w14:val="none"/>
              </w:rPr>
              <w:t>st</w:t>
            </w:r>
            <w:r w:rsidRPr="003E2E98">
              <w:rPr>
                <w:rFonts w:ascii="Arial" w:hAnsi="Arial" w:cs="Arial"/>
                <w:b/>
                <w:bCs/>
                <w:color w:val="FF0000"/>
                <w:kern w:val="0"/>
                <w:sz w:val="17"/>
                <w:szCs w:val="17"/>
                <w14:ligatures w14:val="none"/>
              </w:rPr>
              <w:t> July 2026, 2 pm</w:t>
            </w:r>
          </w:p>
          <w:p w14:paraId="77B56E2D"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0650A798"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Return date of provisional marks &amp; written feedback:</w:t>
            </w:r>
          </w:p>
        </w:tc>
        <w:tc>
          <w:tcPr>
            <w:tcW w:w="0" w:type="auto"/>
            <w:tcBorders>
              <w:top w:val="single" w:sz="6" w:space="0" w:color="000000"/>
              <w:left w:val="single" w:sz="6" w:space="0" w:color="000000"/>
              <w:bottom w:val="single" w:sz="6" w:space="0" w:color="000000"/>
              <w:right w:val="single" w:sz="6" w:space="0" w:color="000000"/>
            </w:tcBorders>
            <w:hideMark/>
          </w:tcPr>
          <w:p w14:paraId="5F3A1BA7" w14:textId="77777777" w:rsidR="003E2E98" w:rsidRPr="003E2E98" w:rsidRDefault="003E2E98" w:rsidP="003E2E98">
            <w:pPr>
              <w:spacing w:after="0" w:line="240" w:lineRule="auto"/>
              <w:jc w:val="both"/>
              <w:rPr>
                <w:rFonts w:ascii="-webkit-standard" w:hAnsi="-webkit-standard" w:cs="Times New Roman"/>
                <w:kern w:val="0"/>
                <w:sz w:val="18"/>
                <w:szCs w:val="18"/>
                <w14:ligatures w14:val="none"/>
              </w:rPr>
            </w:pPr>
            <w:r w:rsidRPr="003E2E98">
              <w:rPr>
                <w:rFonts w:ascii="Aptos Narrow" w:hAnsi="Aptos Narrow" w:cs="Times New Roman"/>
                <w:b/>
                <w:bCs/>
                <w:color w:val="000000"/>
                <w:kern w:val="0"/>
                <w:sz w:val="17"/>
                <w:szCs w:val="17"/>
                <w14:ligatures w14:val="none"/>
              </w:rPr>
              <w:t> </w:t>
            </w:r>
          </w:p>
          <w:p w14:paraId="5343C0AA" w14:textId="77777777" w:rsidR="003E2E98" w:rsidRPr="003E2E98" w:rsidRDefault="003E2E98" w:rsidP="003E2E98">
            <w:pPr>
              <w:spacing w:after="0" w:line="240" w:lineRule="auto"/>
              <w:jc w:val="both"/>
              <w:rPr>
                <w:rFonts w:ascii="-webkit-standard" w:hAnsi="-webkit-standard" w:cs="Times New Roman"/>
                <w:kern w:val="0"/>
                <w:sz w:val="18"/>
                <w:szCs w:val="18"/>
                <w14:ligatures w14:val="none"/>
              </w:rPr>
            </w:pPr>
            <w:r w:rsidRPr="003E2E98">
              <w:rPr>
                <w:rFonts w:ascii="Aptos Narrow" w:hAnsi="Aptos Narrow" w:cs="Times New Roman"/>
                <w:b/>
                <w:bCs/>
                <w:color w:val="000000"/>
                <w:kern w:val="0"/>
                <w:sz w:val="17"/>
                <w:szCs w:val="17"/>
                <w14:ligatures w14:val="none"/>
              </w:rPr>
              <w:t>28</w:t>
            </w:r>
            <w:r w:rsidRPr="003E2E98">
              <w:rPr>
                <w:rFonts w:ascii="Aptos Narrow" w:hAnsi="Aptos Narrow" w:cs="Times New Roman"/>
                <w:b/>
                <w:bCs/>
                <w:color w:val="000000"/>
                <w:kern w:val="0"/>
                <w:sz w:val="11"/>
                <w:szCs w:val="11"/>
                <w:vertAlign w:val="superscript"/>
                <w14:ligatures w14:val="none"/>
              </w:rPr>
              <w:t>th</w:t>
            </w:r>
            <w:r w:rsidRPr="003E2E98">
              <w:rPr>
                <w:rFonts w:ascii="Aptos Narrow" w:hAnsi="Aptos Narrow" w:cs="Times New Roman"/>
                <w:b/>
                <w:bCs/>
                <w:color w:val="000000"/>
                <w:kern w:val="0"/>
                <w:sz w:val="17"/>
                <w:szCs w:val="17"/>
                <w14:ligatures w14:val="none"/>
              </w:rPr>
              <w:t> August 2026</w:t>
            </w:r>
          </w:p>
          <w:p w14:paraId="69432248"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 </w:t>
            </w:r>
          </w:p>
        </w:tc>
      </w:tr>
      <w:tr w:rsidR="003E2E98" w:rsidRPr="003E2E98" w14:paraId="38142006"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0B06F794"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Submission method:</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25548D55" w14:textId="77777777" w:rsidR="003E2E98" w:rsidRPr="003E2E98" w:rsidRDefault="003E2E98" w:rsidP="003E2E98">
            <w:pPr>
              <w:spacing w:after="0" w:line="240" w:lineRule="auto"/>
              <w:rPr>
                <w:rFonts w:ascii="-webkit-standard" w:hAnsi="-webkit-standard" w:cs="Times New Roman"/>
                <w:kern w:val="0"/>
                <w:sz w:val="18"/>
                <w:szCs w:val="18"/>
                <w14:ligatures w14:val="none"/>
              </w:rPr>
            </w:pPr>
            <w:r w:rsidRPr="003E2E98">
              <w:rPr>
                <w:rFonts w:ascii="Arial" w:hAnsi="Arial" w:cs="Arial"/>
                <w:kern w:val="0"/>
                <w:sz w:val="17"/>
                <w:szCs w:val="17"/>
                <w14:ligatures w14:val="none"/>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BEC1EF"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Alternative submission method (if applicable): </w:t>
            </w:r>
          </w:p>
          <w:p w14:paraId="2C22AF50"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Late submission of the assessment will result in a late penalty mark:</w:t>
            </w:r>
          </w:p>
          <w:p w14:paraId="49AC6076"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kern w:val="0"/>
                <w:sz w:val="17"/>
                <w:szCs w:val="17"/>
                <w14:ligatures w14:val="none"/>
              </w:rPr>
              <w:t>Work which is submitted up to 1 week late will be capped at 40% for the first attempt and will be awarded a mark of 0% for re-assessment. Late submission penalties may be lifted only if there is an approved extenuating circumstances claim. </w:t>
            </w:r>
          </w:p>
          <w:p w14:paraId="74FD64E2"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kern w:val="0"/>
                <w:sz w:val="17"/>
                <w:szCs w:val="17"/>
                <w14:ligatures w14:val="none"/>
              </w:rPr>
              <w:t>Work submitted more than 1 week late will be considered as a non-submission and will not be marked. The work may be considered as a submission for reassessment if offered by an Examining Board or if there is an approved extenuating circumstances claim.  </w:t>
            </w:r>
          </w:p>
        </w:tc>
      </w:tr>
      <w:tr w:rsidR="003E2E98" w:rsidRPr="003E2E98" w14:paraId="1DB31F8B"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hideMark/>
          </w:tcPr>
          <w:p w14:paraId="771D4BA3" w14:textId="77777777" w:rsidR="003E2E98" w:rsidRPr="003E2E98" w:rsidRDefault="003E2E98" w:rsidP="003E2E98">
            <w:pPr>
              <w:spacing w:before="90" w:after="90" w:line="240" w:lineRule="auto"/>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Academic honesty / referencing:</w:t>
            </w:r>
          </w:p>
        </w:tc>
        <w:tc>
          <w:tcPr>
            <w:tcW w:w="0" w:type="auto"/>
            <w:gridSpan w:val="3"/>
            <w:tcBorders>
              <w:top w:val="single" w:sz="6" w:space="0" w:color="000000"/>
              <w:left w:val="single" w:sz="6" w:space="0" w:color="000000"/>
              <w:bottom w:val="single" w:sz="6" w:space="0" w:color="000000"/>
              <w:right w:val="single" w:sz="6" w:space="0" w:color="000000"/>
            </w:tcBorders>
            <w:hideMark/>
          </w:tcPr>
          <w:p w14:paraId="39EB94AA" w14:textId="77777777" w:rsidR="003E2E98" w:rsidRPr="003E2E98" w:rsidRDefault="003E2E98" w:rsidP="003E2E98">
            <w:pPr>
              <w:spacing w:before="90" w:after="90" w:line="240" w:lineRule="auto"/>
              <w:jc w:val="both"/>
              <w:rPr>
                <w:rFonts w:ascii="-webkit-standard" w:hAnsi="-webkit-standard" w:cs="Times New Roman"/>
                <w:kern w:val="0"/>
                <w:sz w:val="18"/>
                <w:szCs w:val="18"/>
                <w14:ligatures w14:val="none"/>
              </w:rPr>
            </w:pPr>
            <w:r w:rsidRPr="003E2E98">
              <w:rPr>
                <w:rFonts w:ascii="Arial" w:hAnsi="Arial" w:cs="Arial"/>
                <w:kern w:val="0"/>
                <w:sz w:val="17"/>
                <w:szCs w:val="17"/>
                <w14:ligatures w14:val="none"/>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BCDCC8B" w14:textId="77777777" w:rsidR="003E2E98" w:rsidRPr="003E2E98" w:rsidRDefault="003E2E98" w:rsidP="003E2E98">
      <w:pPr>
        <w:spacing w:after="0" w:line="240" w:lineRule="auto"/>
        <w:rPr>
          <w:rFonts w:ascii="-webkit-standard" w:hAnsi="-webkit-standard" w:cs="Times New Roman"/>
          <w:color w:val="000000"/>
          <w:kern w:val="0"/>
          <w:sz w:val="27"/>
          <w:szCs w:val="27"/>
          <w14:ligatures w14:val="none"/>
        </w:rPr>
      </w:pPr>
      <w:r w:rsidRPr="003E2E98">
        <w:rPr>
          <w:rFonts w:ascii="Arial" w:hAnsi="Arial" w:cs="Arial"/>
          <w:color w:val="000000"/>
          <w:kern w:val="0"/>
          <w14:ligatures w14:val="none"/>
        </w:rPr>
        <w:t> </w:t>
      </w:r>
    </w:p>
    <w:p w14:paraId="212CE16A" w14:textId="77777777" w:rsidR="003E2E98" w:rsidRPr="003E2E98" w:rsidRDefault="003E2E98" w:rsidP="003E2E98">
      <w:pPr>
        <w:spacing w:after="0" w:line="240" w:lineRule="auto"/>
        <w:rPr>
          <w:rFonts w:ascii="-webkit-standard" w:hAnsi="-webkit-standard" w:cs="Times New Roman"/>
          <w:color w:val="000000"/>
          <w:kern w:val="0"/>
          <w:sz w:val="27"/>
          <w:szCs w:val="27"/>
          <w14:ligatures w14:val="none"/>
        </w:rPr>
      </w:pPr>
      <w:r w:rsidRPr="003E2E98">
        <w:rPr>
          <w:rFonts w:ascii="Arial" w:hAnsi="Arial" w:cs="Arial"/>
          <w:color w:val="000000"/>
          <w:kern w:val="0"/>
          <w14:ligatures w14:val="none"/>
        </w:rPr>
        <w:t> </w:t>
      </w:r>
    </w:p>
    <w:p w14:paraId="51D06F28" w14:textId="77777777" w:rsidR="003E2E98" w:rsidRPr="003E2E98" w:rsidRDefault="003E2E98" w:rsidP="003E2E98">
      <w:pPr>
        <w:spacing w:after="0" w:line="240" w:lineRule="auto"/>
        <w:rPr>
          <w:rFonts w:ascii="-webkit-standard" w:hAnsi="-webkit-standard" w:cs="Times New Roman"/>
          <w:color w:val="000000"/>
          <w:kern w:val="0"/>
          <w:sz w:val="27"/>
          <w:szCs w:val="27"/>
          <w14:ligatures w14:val="none"/>
        </w:rPr>
      </w:pPr>
      <w:r w:rsidRPr="003E2E98">
        <w:rPr>
          <w:rFonts w:ascii="Arial" w:hAnsi="Arial" w:cs="Arial"/>
          <w:color w:val="000000"/>
          <w:kern w:val="0"/>
          <w14:ligatures w14:val="none"/>
        </w:rPr>
        <w:t> </w:t>
      </w:r>
    </w:p>
    <w:p w14:paraId="44452E98" w14:textId="77777777" w:rsidR="003E2E98" w:rsidRPr="003E2E98" w:rsidRDefault="003E2E98" w:rsidP="003E2E98">
      <w:pPr>
        <w:spacing w:after="0" w:line="240" w:lineRule="auto"/>
        <w:rPr>
          <w:rFonts w:ascii="-webkit-standard" w:hAnsi="-webkit-standard" w:cs="Times New Roman"/>
          <w:color w:val="000000"/>
          <w:kern w:val="0"/>
          <w:sz w:val="27"/>
          <w:szCs w:val="27"/>
          <w14:ligatures w14:val="none"/>
        </w:rPr>
      </w:pPr>
      <w:r w:rsidRPr="003E2E98">
        <w:rPr>
          <w:rFonts w:ascii="Arial" w:hAnsi="Arial" w:cs="Arial"/>
          <w:color w:val="000000"/>
          <w:kern w:val="0"/>
          <w14:ligatures w14:val="none"/>
        </w:rPr>
        <w:t> </w:t>
      </w:r>
    </w:p>
    <w:p w14:paraId="2D1947A0" w14:textId="77777777" w:rsidR="003E2E98" w:rsidRPr="003E2E98" w:rsidRDefault="003E2E98" w:rsidP="003E2E98">
      <w:pPr>
        <w:spacing w:after="0" w:line="240" w:lineRule="auto"/>
        <w:rPr>
          <w:rFonts w:ascii="-webkit-standard" w:hAnsi="-webkit-standard" w:cs="Times New Roman"/>
          <w:color w:val="000000"/>
          <w:kern w:val="0"/>
          <w:sz w:val="27"/>
          <w:szCs w:val="27"/>
          <w14:ligatures w14:val="none"/>
        </w:rPr>
      </w:pPr>
      <w:r w:rsidRPr="003E2E98">
        <w:rPr>
          <w:rFonts w:ascii="Arial" w:hAnsi="Arial" w:cs="Arial"/>
          <w:color w:val="000000"/>
          <w:kern w:val="0"/>
          <w14:ligatures w14:val="none"/>
        </w:rPr>
        <w:t> </w:t>
      </w:r>
    </w:p>
    <w:p w14:paraId="3DDD86C3" w14:textId="77777777" w:rsidR="003E2E98" w:rsidRPr="003E2E98" w:rsidRDefault="003E2E98" w:rsidP="003E2E98">
      <w:pPr>
        <w:spacing w:after="0" w:line="240" w:lineRule="auto"/>
        <w:rPr>
          <w:rFonts w:ascii="-webkit-standard" w:hAnsi="-webkit-standard" w:cs="Times New Roman"/>
          <w:color w:val="000000"/>
          <w:kern w:val="0"/>
          <w:sz w:val="27"/>
          <w:szCs w:val="27"/>
          <w14:ligatures w14:val="none"/>
        </w:rPr>
      </w:pPr>
      <w:r w:rsidRPr="003E2E98">
        <w:rPr>
          <w:rFonts w:ascii="Arial" w:hAnsi="Arial" w:cs="Arial"/>
          <w:color w:val="000000"/>
          <w:kern w:val="0"/>
          <w14:ligatures w14:val="none"/>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8467"/>
      </w:tblGrid>
      <w:tr w:rsidR="003E2E98" w:rsidRPr="003E2E98" w14:paraId="1FFE1CEF" w14:textId="77777777">
        <w:tc>
          <w:tcPr>
            <w:tcW w:w="0" w:type="auto"/>
            <w:tcBorders>
              <w:top w:val="single" w:sz="6" w:space="0" w:color="000000"/>
              <w:left w:val="single" w:sz="6" w:space="0" w:color="000000"/>
              <w:bottom w:val="single" w:sz="6" w:space="0" w:color="000000"/>
              <w:right w:val="single" w:sz="6" w:space="0" w:color="000000"/>
            </w:tcBorders>
            <w:shd w:val="clear" w:color="auto" w:fill="E5E5E5"/>
            <w:hideMark/>
          </w:tcPr>
          <w:p w14:paraId="7687C52C" w14:textId="77777777" w:rsidR="003E2E98" w:rsidRPr="003E2E98" w:rsidRDefault="003E2E98" w:rsidP="003E2E98">
            <w:pPr>
              <w:spacing w:after="0" w:line="240" w:lineRule="auto"/>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Module Learning Outcomes </w:t>
            </w:r>
          </w:p>
          <w:p w14:paraId="51A41D1F" w14:textId="77777777" w:rsidR="003E2E98" w:rsidRPr="003E2E98" w:rsidRDefault="003E2E98" w:rsidP="003E2E98">
            <w:pPr>
              <w:spacing w:after="0" w:line="240" w:lineRule="auto"/>
              <w:rPr>
                <w:rFonts w:ascii="-webkit-standard" w:hAnsi="-webkit-standard" w:cs="Times New Roman"/>
                <w:kern w:val="0"/>
                <w:sz w:val="18"/>
                <w:szCs w:val="18"/>
                <w14:ligatures w14:val="none"/>
              </w:rPr>
            </w:pPr>
            <w:r w:rsidRPr="003E2E98">
              <w:rPr>
                <w:rFonts w:ascii="Arial" w:hAnsi="Arial" w:cs="Arial"/>
                <w:b/>
                <w:bCs/>
                <w:kern w:val="0"/>
                <w:sz w:val="17"/>
                <w:szCs w:val="17"/>
                <w14:ligatures w14:val="none"/>
              </w:rPr>
              <w:t>(from module syllabus)</w:t>
            </w:r>
          </w:p>
        </w:tc>
      </w:tr>
      <w:tr w:rsidR="003E2E98" w:rsidRPr="003E2E98" w14:paraId="1EED7D88" w14:textId="77777777">
        <w:tc>
          <w:tcPr>
            <w:tcW w:w="0" w:type="auto"/>
            <w:tcBorders>
              <w:top w:val="single" w:sz="6" w:space="0" w:color="000000"/>
              <w:left w:val="single" w:sz="6" w:space="0" w:color="000000"/>
              <w:bottom w:val="single" w:sz="6" w:space="0" w:color="000000"/>
              <w:right w:val="single" w:sz="6" w:space="0" w:color="000000"/>
            </w:tcBorders>
            <w:hideMark/>
          </w:tcPr>
          <w:p w14:paraId="72A8BB29" w14:textId="77777777" w:rsidR="003E2E98" w:rsidRPr="003E2E98" w:rsidRDefault="003E2E98" w:rsidP="003E2E98">
            <w:pPr>
              <w:spacing w:after="0" w:line="240" w:lineRule="auto"/>
              <w:rPr>
                <w:rFonts w:ascii="-webkit-standard" w:hAnsi="-webkit-standard" w:cs="Times New Roman"/>
                <w:kern w:val="0"/>
                <w:sz w:val="18"/>
                <w:szCs w:val="18"/>
                <w14:ligatures w14:val="none"/>
              </w:rPr>
            </w:pPr>
            <w:r w:rsidRPr="003E2E98">
              <w:rPr>
                <w:rFonts w:ascii="Arial" w:hAnsi="Arial" w:cs="Arial"/>
                <w:kern w:val="0"/>
                <w:sz w:val="17"/>
                <w:szCs w:val="17"/>
                <w14:ligatures w14:val="none"/>
              </w:rPr>
              <w:t> </w:t>
            </w:r>
          </w:p>
          <w:p w14:paraId="4E2118E4" w14:textId="77777777" w:rsidR="003E2E98" w:rsidRPr="003E2E98" w:rsidRDefault="003E2E98" w:rsidP="003E2E98">
            <w:pPr>
              <w:spacing w:after="0" w:line="240" w:lineRule="auto"/>
              <w:ind w:left="135" w:hanging="135"/>
              <w:rPr>
                <w:rFonts w:ascii="-webkit-standard" w:hAnsi="-webkit-standard" w:cs="Times New Roman"/>
                <w:kern w:val="0"/>
                <w:sz w:val="18"/>
                <w:szCs w:val="18"/>
                <w14:ligatures w14:val="none"/>
              </w:rPr>
            </w:pPr>
            <w:r w:rsidRPr="003E2E98">
              <w:rPr>
                <w:rFonts w:ascii="Arial" w:hAnsi="Arial" w:cs="Arial"/>
                <w:kern w:val="0"/>
                <w:sz w:val="17"/>
                <w:szCs w:val="17"/>
                <w14:ligatures w14:val="none"/>
              </w:rPr>
              <w:t>Upon the successful completion of this module, the student should be able to: </w:t>
            </w:r>
          </w:p>
          <w:p w14:paraId="66C4CC8D" w14:textId="77777777" w:rsidR="003E2E98" w:rsidRPr="003E2E98" w:rsidRDefault="003E2E98" w:rsidP="003E2E98">
            <w:pPr>
              <w:spacing w:after="0" w:line="240" w:lineRule="auto"/>
              <w:ind w:hanging="135"/>
              <w:rPr>
                <w:rFonts w:ascii="-webkit-standard" w:eastAsia="Times New Roman" w:hAnsi="-webkit-standard" w:cs="Times New Roman"/>
                <w:kern w:val="0"/>
                <w:sz w:val="18"/>
                <w:szCs w:val="18"/>
                <w14:ligatures w14:val="none"/>
              </w:rPr>
            </w:pPr>
            <w:r w:rsidRPr="003E2E98">
              <w:rPr>
                <w:rFonts w:ascii="Symbol" w:eastAsia="Times New Roman" w:hAnsi="Symbol" w:cs="Times New Roman"/>
                <w:kern w:val="0"/>
                <w:sz w:val="18"/>
                <w:szCs w:val="18"/>
                <w14:ligatures w14:val="none"/>
              </w:rPr>
              <w:t>• </w:t>
            </w:r>
            <w:r w:rsidRPr="003E2E98">
              <w:rPr>
                <w:rFonts w:ascii="Arial" w:eastAsia="Times New Roman" w:hAnsi="Arial" w:cs="Arial"/>
                <w:kern w:val="0"/>
                <w:sz w:val="17"/>
                <w:szCs w:val="17"/>
                <w14:ligatures w14:val="none"/>
              </w:rPr>
              <w:t>evaluate the appropriate use of contemporary technologies to improve workplace efficiency and employability.</w:t>
            </w:r>
          </w:p>
          <w:p w14:paraId="26E82261" w14:textId="77777777" w:rsidR="003E2E98" w:rsidRPr="003E2E98" w:rsidRDefault="003E2E98" w:rsidP="003E2E98">
            <w:pPr>
              <w:spacing w:after="0" w:line="240" w:lineRule="auto"/>
              <w:ind w:hanging="135"/>
              <w:rPr>
                <w:rFonts w:ascii="-webkit-standard" w:eastAsia="Times New Roman" w:hAnsi="-webkit-standard" w:cs="Times New Roman"/>
                <w:kern w:val="0"/>
                <w:sz w:val="18"/>
                <w:szCs w:val="18"/>
                <w14:ligatures w14:val="none"/>
              </w:rPr>
            </w:pPr>
            <w:r w:rsidRPr="003E2E98">
              <w:rPr>
                <w:rFonts w:ascii="Symbol" w:eastAsia="Times New Roman" w:hAnsi="Symbol" w:cs="Times New Roman"/>
                <w:kern w:val="0"/>
                <w:sz w:val="18"/>
                <w:szCs w:val="18"/>
                <w14:ligatures w14:val="none"/>
              </w:rPr>
              <w:t>• </w:t>
            </w:r>
            <w:r w:rsidRPr="003E2E98">
              <w:rPr>
                <w:rFonts w:ascii="Arial" w:eastAsia="Times New Roman" w:hAnsi="Arial" w:cs="Arial"/>
                <w:kern w:val="0"/>
                <w:sz w:val="17"/>
                <w:szCs w:val="17"/>
                <w14:ligatures w14:val="none"/>
              </w:rPr>
              <w:t>Identify and effectively evaluate a range of information sources. </w:t>
            </w:r>
          </w:p>
          <w:p w14:paraId="327B9EF5" w14:textId="77777777" w:rsidR="003E2E98" w:rsidRPr="003E2E98" w:rsidRDefault="003E2E98" w:rsidP="003E2E98">
            <w:pPr>
              <w:spacing w:after="0" w:line="240" w:lineRule="auto"/>
              <w:ind w:hanging="135"/>
              <w:rPr>
                <w:rFonts w:ascii="-webkit-standard" w:eastAsia="Times New Roman" w:hAnsi="-webkit-standard" w:cs="Times New Roman"/>
                <w:kern w:val="0"/>
                <w:sz w:val="18"/>
                <w:szCs w:val="18"/>
                <w14:ligatures w14:val="none"/>
              </w:rPr>
            </w:pPr>
            <w:r w:rsidRPr="003E2E98">
              <w:rPr>
                <w:rFonts w:ascii="Symbol" w:eastAsia="Times New Roman" w:hAnsi="Symbol" w:cs="Times New Roman"/>
                <w:kern w:val="0"/>
                <w:sz w:val="18"/>
                <w:szCs w:val="18"/>
                <w14:ligatures w14:val="none"/>
              </w:rPr>
              <w:t>• </w:t>
            </w:r>
            <w:r w:rsidRPr="003E2E98">
              <w:rPr>
                <w:rFonts w:ascii="Arial" w:eastAsia="Times New Roman" w:hAnsi="Arial" w:cs="Arial"/>
                <w:kern w:val="0"/>
                <w:sz w:val="17"/>
                <w:szCs w:val="17"/>
                <w14:ligatures w14:val="none"/>
              </w:rPr>
              <w:t>Show competence in workplace data handling.</w:t>
            </w:r>
          </w:p>
          <w:p w14:paraId="4B8DEDED" w14:textId="77777777" w:rsidR="003E2E98" w:rsidRPr="003E2E98" w:rsidRDefault="003E2E98" w:rsidP="003E2E98">
            <w:pPr>
              <w:spacing w:after="0" w:line="240" w:lineRule="auto"/>
              <w:rPr>
                <w:rFonts w:ascii="-webkit-standard" w:hAnsi="-webkit-standard" w:cs="Times New Roman"/>
                <w:kern w:val="0"/>
                <w:sz w:val="18"/>
                <w:szCs w:val="18"/>
                <w14:ligatures w14:val="none"/>
              </w:rPr>
            </w:pPr>
            <w:r w:rsidRPr="003E2E98">
              <w:rPr>
                <w:rFonts w:ascii="Arial" w:hAnsi="Arial" w:cs="Arial"/>
                <w:kern w:val="0"/>
                <w:sz w:val="17"/>
                <w:szCs w:val="17"/>
                <w14:ligatures w14:val="none"/>
              </w:rPr>
              <w:t> </w:t>
            </w:r>
          </w:p>
        </w:tc>
      </w:tr>
    </w:tbl>
    <w:p w14:paraId="17F59B7B" w14:textId="77777777" w:rsidR="003E2E98" w:rsidRPr="003E2E98" w:rsidRDefault="003E2E98" w:rsidP="003E2E98">
      <w:pPr>
        <w:spacing w:after="0" w:line="240" w:lineRule="auto"/>
        <w:rPr>
          <w:rFonts w:ascii="-webkit-standard" w:hAnsi="-webkit-standard" w:cs="Times New Roman"/>
          <w:color w:val="000000"/>
          <w:kern w:val="0"/>
          <w:sz w:val="27"/>
          <w:szCs w:val="27"/>
          <w14:ligatures w14:val="none"/>
        </w:rPr>
      </w:pPr>
      <w:r w:rsidRPr="003E2E98">
        <w:rPr>
          <w:rFonts w:ascii="Arial" w:hAnsi="Arial" w:cs="Arial"/>
          <w:b/>
          <w:bCs/>
          <w:color w:val="000000"/>
          <w:kern w:val="0"/>
          <w:sz w:val="27"/>
          <w:szCs w:val="27"/>
          <w14:ligatures w14:val="none"/>
        </w:rPr>
        <w:t> </w:t>
      </w:r>
    </w:p>
    <w:p w14:paraId="445A85B1" w14:textId="77777777" w:rsidR="003E2E98" w:rsidRPr="003E2E98" w:rsidRDefault="003E2E98" w:rsidP="003E2E98">
      <w:pPr>
        <w:spacing w:after="0" w:line="240" w:lineRule="auto"/>
        <w:rPr>
          <w:rFonts w:ascii="-webkit-standard" w:hAnsi="-webkit-standard" w:cs="Times New Roman"/>
          <w:color w:val="000000"/>
          <w:kern w:val="0"/>
          <w:sz w:val="27"/>
          <w:szCs w:val="27"/>
          <w14:ligatures w14:val="none"/>
        </w:rPr>
      </w:pPr>
      <w:r w:rsidRPr="003E2E98">
        <w:rPr>
          <w:rFonts w:ascii="Arial" w:hAnsi="Arial" w:cs="Arial"/>
          <w:b/>
          <w:bCs/>
          <w:color w:val="000000"/>
          <w:kern w:val="0"/>
          <w:sz w:val="27"/>
          <w:szCs w:val="27"/>
          <w14:ligatures w14:val="none"/>
        </w:rPr>
        <w:t> </w:t>
      </w:r>
    </w:p>
    <w:p w14:paraId="5FC7A021" w14:textId="77777777" w:rsidR="003E2E98" w:rsidRDefault="003E2E98" w:rsidP="003E2E98">
      <w:pPr>
        <w:spacing w:after="0" w:line="240" w:lineRule="auto"/>
        <w:rPr>
          <w:rFonts w:ascii="Arial" w:hAnsi="Arial" w:cs="Arial"/>
          <w:b/>
          <w:bCs/>
          <w:color w:val="000000"/>
          <w:kern w:val="0"/>
          <w:sz w:val="27"/>
          <w:szCs w:val="27"/>
          <w14:ligatures w14:val="none"/>
        </w:rPr>
      </w:pPr>
      <w:r w:rsidRPr="003E2E98">
        <w:rPr>
          <w:rFonts w:ascii="Arial" w:hAnsi="Arial" w:cs="Arial"/>
          <w:b/>
          <w:bCs/>
          <w:color w:val="000000"/>
          <w:kern w:val="0"/>
          <w:sz w:val="27"/>
          <w:szCs w:val="27"/>
          <w14:ligatures w14:val="none"/>
        </w:rPr>
        <w:t> </w:t>
      </w:r>
    </w:p>
    <w:p w14:paraId="3D38178B" w14:textId="77777777" w:rsidR="00872B4D" w:rsidRDefault="00872B4D" w:rsidP="003E2E98">
      <w:pPr>
        <w:spacing w:after="0" w:line="240" w:lineRule="auto"/>
        <w:rPr>
          <w:rFonts w:ascii="Arial" w:hAnsi="Arial" w:cs="Arial"/>
          <w:b/>
          <w:bCs/>
          <w:color w:val="000000"/>
          <w:kern w:val="0"/>
          <w:sz w:val="27"/>
          <w:szCs w:val="27"/>
          <w14:ligatures w14:val="none"/>
        </w:rPr>
      </w:pPr>
    </w:p>
    <w:p w14:paraId="18CD3E50" w14:textId="77777777" w:rsidR="00872B4D" w:rsidRDefault="00872B4D" w:rsidP="003E2E98">
      <w:pPr>
        <w:spacing w:after="0" w:line="240" w:lineRule="auto"/>
        <w:rPr>
          <w:rFonts w:ascii="Arial" w:hAnsi="Arial" w:cs="Arial"/>
          <w:b/>
          <w:bCs/>
          <w:color w:val="000000"/>
          <w:kern w:val="0"/>
          <w:sz w:val="27"/>
          <w:szCs w:val="27"/>
          <w14:ligatures w14:val="none"/>
        </w:rPr>
      </w:pPr>
    </w:p>
    <w:p w14:paraId="62D3F362" w14:textId="77777777" w:rsidR="00872B4D" w:rsidRDefault="00872B4D" w:rsidP="003E2E98">
      <w:pPr>
        <w:spacing w:after="0" w:line="240" w:lineRule="auto"/>
        <w:rPr>
          <w:rFonts w:ascii="Arial" w:hAnsi="Arial" w:cs="Arial"/>
          <w:b/>
          <w:bCs/>
          <w:color w:val="000000"/>
          <w:kern w:val="0"/>
          <w:sz w:val="27"/>
          <w:szCs w:val="27"/>
          <w14:ligatures w14:val="none"/>
        </w:rPr>
      </w:pPr>
    </w:p>
    <w:p w14:paraId="6E9ADECD" w14:textId="77777777" w:rsidR="00872B4D" w:rsidRPr="003E2E98" w:rsidRDefault="00872B4D" w:rsidP="003E2E98">
      <w:pPr>
        <w:spacing w:after="0" w:line="240" w:lineRule="auto"/>
        <w:rPr>
          <w:rFonts w:ascii="-webkit-standard" w:hAnsi="-webkit-standard" w:cs="Times New Roman"/>
          <w:color w:val="000000"/>
          <w:kern w:val="0"/>
          <w:sz w:val="27"/>
          <w:szCs w:val="27"/>
          <w14:ligatures w14:val="none"/>
        </w:rPr>
      </w:pP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2981"/>
      </w:tblGrid>
      <w:tr w:rsidR="003E2E98" w:rsidRPr="003E2E98" w14:paraId="0CD250F6" w14:textId="77777777">
        <w:tc>
          <w:tcPr>
            <w:tcW w:w="0" w:type="auto"/>
            <w:tcBorders>
              <w:top w:val="single" w:sz="6" w:space="0" w:color="000000"/>
              <w:left w:val="single" w:sz="6" w:space="0" w:color="000000"/>
              <w:bottom w:val="single" w:sz="6" w:space="0" w:color="000000"/>
              <w:right w:val="single" w:sz="6" w:space="0" w:color="000000"/>
            </w:tcBorders>
            <w:shd w:val="clear" w:color="auto" w:fill="C0C0C0"/>
            <w:hideMark/>
          </w:tcPr>
          <w:p w14:paraId="0857011C" w14:textId="77777777" w:rsidR="003E2E98" w:rsidRPr="003E2E98" w:rsidRDefault="003E2E98" w:rsidP="003E2E98">
            <w:pPr>
              <w:spacing w:after="0" w:line="240" w:lineRule="auto"/>
              <w:jc w:val="center"/>
              <w:rPr>
                <w:rFonts w:ascii="-webkit-standard" w:hAnsi="-webkit-standard" w:cs="Times New Roman"/>
                <w:kern w:val="0"/>
                <w:sz w:val="18"/>
                <w:szCs w:val="18"/>
                <w14:ligatures w14:val="none"/>
              </w:rPr>
            </w:pPr>
            <w:r w:rsidRPr="003E2E98">
              <w:rPr>
                <w:rFonts w:ascii="Arial" w:hAnsi="Arial" w:cs="Arial"/>
                <w:b/>
                <w:bCs/>
                <w:kern w:val="0"/>
                <w:sz w:val="30"/>
                <w:szCs w:val="30"/>
                <w14:ligatures w14:val="none"/>
              </w:rPr>
              <w:lastRenderedPageBreak/>
              <w:t>TASK DESCRIPTION</w:t>
            </w:r>
          </w:p>
        </w:tc>
      </w:tr>
    </w:tbl>
    <w:p w14:paraId="7B78B346" w14:textId="77777777" w:rsidR="003E2E98" w:rsidRPr="003E2E98" w:rsidRDefault="003E2E98" w:rsidP="003E2E98">
      <w:pPr>
        <w:spacing w:after="0" w:line="240" w:lineRule="auto"/>
        <w:jc w:val="both"/>
        <w:rPr>
          <w:rFonts w:ascii="-webkit-standard" w:hAnsi="-webkit-standard" w:cs="Times New Roman"/>
          <w:color w:val="000000"/>
          <w:kern w:val="0"/>
          <w:sz w:val="27"/>
          <w:szCs w:val="27"/>
          <w14:ligatures w14:val="none"/>
        </w:rPr>
      </w:pPr>
      <w:r w:rsidRPr="003E2E98">
        <w:rPr>
          <w:rFonts w:ascii="Arial" w:hAnsi="Arial" w:cs="Arial"/>
          <w:color w:val="000000"/>
          <w:kern w:val="0"/>
          <w:sz w:val="17"/>
          <w:szCs w:val="17"/>
          <w14:ligatures w14:val="none"/>
        </w:rPr>
        <w:t> </w:t>
      </w:r>
    </w:p>
    <w:tbl>
      <w:tblPr>
        <w:tblW w:w="0" w:type="auto"/>
        <w:tblCellMar>
          <w:top w:w="15" w:type="dxa"/>
          <w:left w:w="15" w:type="dxa"/>
          <w:bottom w:w="15" w:type="dxa"/>
          <w:right w:w="15" w:type="dxa"/>
        </w:tblCellMar>
        <w:tblLook w:val="04A0" w:firstRow="1" w:lastRow="0" w:firstColumn="1" w:lastColumn="0" w:noHBand="0" w:noVBand="1"/>
      </w:tblPr>
      <w:tblGrid>
        <w:gridCol w:w="9026"/>
      </w:tblGrid>
      <w:tr w:rsidR="003E2E98" w:rsidRPr="003E2E98" w14:paraId="45AD5CD1" w14:textId="77777777">
        <w:tc>
          <w:tcPr>
            <w:tcW w:w="0" w:type="auto"/>
            <w:hideMark/>
          </w:tcPr>
          <w:p w14:paraId="60827053" w14:textId="77777777" w:rsidR="003E2E98" w:rsidRPr="00A52F61" w:rsidRDefault="003E2E98" w:rsidP="003E2E98">
            <w:pPr>
              <w:spacing w:before="75" w:after="75" w:line="240" w:lineRule="auto"/>
              <w:rPr>
                <w:rFonts w:ascii="-webkit-standard" w:hAnsi="-webkit-standard" w:cs="Times New Roman"/>
                <w:kern w:val="0"/>
                <w:sz w:val="18"/>
                <w:szCs w:val="18"/>
                <w:u w:val="single"/>
                <w14:ligatures w14:val="none"/>
              </w:rPr>
            </w:pPr>
            <w:r w:rsidRPr="00A52F61">
              <w:rPr>
                <w:rFonts w:ascii="Arial" w:hAnsi="Arial" w:cs="Arial"/>
                <w:b/>
                <w:bCs/>
                <w:kern w:val="0"/>
                <w:sz w:val="21"/>
                <w:szCs w:val="21"/>
                <w:u w:val="single"/>
                <w14:ligatures w14:val="none"/>
              </w:rPr>
              <w:t>Assessment Component 2: Research report (1,500 words)</w:t>
            </w:r>
          </w:p>
          <w:p w14:paraId="2346A600" w14:textId="5A91D395" w:rsidR="00D84153" w:rsidRPr="00534D84" w:rsidRDefault="003E2E98" w:rsidP="00534D84">
            <w:pPr>
              <w:spacing w:after="0" w:line="240" w:lineRule="auto"/>
              <w:ind w:hanging="270"/>
              <w:rPr>
                <w:rFonts w:ascii="-webkit-standard" w:eastAsia="Times New Roman" w:hAnsi="-webkit-standard" w:cs="Times New Roman"/>
                <w:kern w:val="0"/>
                <w:sz w:val="18"/>
                <w:szCs w:val="18"/>
                <w14:ligatures w14:val="none"/>
              </w:rPr>
            </w:pPr>
            <w:r w:rsidRPr="003E2E98">
              <w:rPr>
                <w:rFonts w:ascii="Courier New" w:eastAsia="Times New Roman" w:hAnsi="Courier New" w:cs="Courier New"/>
                <w:kern w:val="0"/>
                <w:sz w:val="18"/>
                <w:szCs w:val="18"/>
                <w14:ligatures w14:val="none"/>
              </w:rPr>
              <w:t>o</w:t>
            </w:r>
          </w:p>
          <w:p w14:paraId="685B0DFD" w14:textId="77777777" w:rsidR="00D84153" w:rsidRDefault="00D84153">
            <w:pPr>
              <w:pStyle w:val="NormalWeb"/>
              <w:rPr>
                <w:rFonts w:ascii="Arial" w:hAnsi="Arial" w:cs="Arial"/>
                <w:color w:val="000000"/>
                <w:sz w:val="22"/>
                <w:szCs w:val="22"/>
              </w:rPr>
            </w:pPr>
            <w:r w:rsidRPr="00534D84">
              <w:rPr>
                <w:rFonts w:ascii="Arial" w:hAnsi="Arial" w:cs="Arial"/>
                <w:color w:val="000000"/>
                <w:sz w:val="22"/>
                <w:szCs w:val="22"/>
              </w:rPr>
              <w:t>Digital exclusion refers to the inability of individuals to access, use, or benefit from digital technologies and online services effectively. This may include limited access to smartphones, the internet, or the digital skills required to navigate online platforms. In the United Kingdom, particularly within the health and social care sector, digital exclusion has become a significant challenge as many services are now delivered through digital systems. For example, healthcare providers increasingly rely on electronic health records, online GP appointment booking systems, digital social care assessments, and video consultations. While these technological advancements have improved the efficiency and accessibility of healthcare services, they may also disadvantage individuals who lack digital access or the necessary skills to use these technologies. Therefore, addressing digital exclusion is essential to ensure that all members of the population can benefit equally from digital healthcare services.</w:t>
            </w:r>
          </w:p>
          <w:p w14:paraId="1179CFCF" w14:textId="77777777" w:rsidR="00534D84" w:rsidRDefault="00534D84">
            <w:pPr>
              <w:pStyle w:val="NormalWeb"/>
              <w:rPr>
                <w:rFonts w:ascii="Arial" w:hAnsi="Arial" w:cs="Arial"/>
                <w:color w:val="000000"/>
                <w:sz w:val="22"/>
                <w:szCs w:val="22"/>
              </w:rPr>
            </w:pPr>
          </w:p>
          <w:p w14:paraId="0D81AC86" w14:textId="100204DB" w:rsidR="00534D84" w:rsidRDefault="007C57E3">
            <w:pPr>
              <w:pStyle w:val="NormalWeb"/>
              <w:rPr>
                <w:rFonts w:ascii="Arial" w:hAnsi="Arial" w:cs="Arial"/>
                <w:b/>
                <w:bCs/>
                <w:color w:val="000000"/>
                <w:sz w:val="22"/>
                <w:szCs w:val="22"/>
                <w:u w:val="single"/>
              </w:rPr>
            </w:pPr>
            <w:r w:rsidRPr="00B83598">
              <w:rPr>
                <w:rFonts w:ascii="Arial" w:hAnsi="Arial" w:cs="Arial"/>
                <w:b/>
                <w:bCs/>
                <w:color w:val="000000"/>
                <w:sz w:val="22"/>
                <w:szCs w:val="22"/>
                <w:u w:val="single"/>
              </w:rPr>
              <w:t>T</w:t>
            </w:r>
            <w:r w:rsidR="00307B80" w:rsidRPr="00B83598">
              <w:rPr>
                <w:rFonts w:ascii="Arial" w:hAnsi="Arial" w:cs="Arial"/>
                <w:b/>
                <w:bCs/>
                <w:color w:val="000000"/>
                <w:sz w:val="22"/>
                <w:szCs w:val="22"/>
                <w:u w:val="single"/>
              </w:rPr>
              <w:t xml:space="preserve">ask 1: </w:t>
            </w:r>
            <w:r w:rsidR="0003710B" w:rsidRPr="00B83598">
              <w:rPr>
                <w:rFonts w:ascii="Arial" w:hAnsi="Arial" w:cs="Arial"/>
                <w:b/>
                <w:bCs/>
                <w:color w:val="000000"/>
                <w:sz w:val="22"/>
                <w:szCs w:val="22"/>
                <w:u w:val="single"/>
              </w:rPr>
              <w:t>selection</w:t>
            </w:r>
            <w:r w:rsidR="00524EBC" w:rsidRPr="00B83598">
              <w:rPr>
                <w:rFonts w:ascii="Arial" w:hAnsi="Arial" w:cs="Arial"/>
                <w:b/>
                <w:bCs/>
                <w:color w:val="000000"/>
                <w:sz w:val="22"/>
                <w:szCs w:val="22"/>
                <w:u w:val="single"/>
              </w:rPr>
              <w:t xml:space="preserve"> and research topics </w:t>
            </w:r>
          </w:p>
          <w:p w14:paraId="4F40328B" w14:textId="77777777" w:rsidR="00697C06" w:rsidRPr="00CE33E3" w:rsidRDefault="00697C06">
            <w:pPr>
              <w:pStyle w:val="NormalWeb"/>
              <w:rPr>
                <w:rFonts w:ascii="Arial" w:hAnsi="Arial" w:cs="Arial"/>
                <w:color w:val="000000"/>
                <w:sz w:val="22"/>
                <w:szCs w:val="22"/>
              </w:rPr>
            </w:pPr>
            <w:r w:rsidRPr="00CE33E3">
              <w:rPr>
                <w:rFonts w:ascii="Arial" w:hAnsi="Arial" w:cs="Arial"/>
                <w:color w:val="000000"/>
                <w:sz w:val="22"/>
                <w:szCs w:val="22"/>
              </w:rPr>
              <w:t>Individuals who are most at risk of digital exclusion include older adults, people with disabilities, those from minority ethnic communities, individuals with low incomes, and other socially marginalised groups. In addition, people living in rural areas of the United Kingdom often face digital exclusion because of limited internet connectivity and inadequate digital infrastructure (Bunyan &amp; Collins, 2013). These barriers can result in delayed access to healthcare, difficulties in using digital health services, reduced engagement with healthcare providers, and poorer health outcomes.</w:t>
            </w:r>
          </w:p>
          <w:p w14:paraId="6CDFD8B5" w14:textId="77777777" w:rsidR="00697C06" w:rsidRPr="00CE33E3" w:rsidRDefault="00697C06">
            <w:pPr>
              <w:pStyle w:val="NormalWeb"/>
              <w:rPr>
                <w:rFonts w:ascii="Arial" w:hAnsi="Arial" w:cs="Arial"/>
                <w:color w:val="000000"/>
                <w:sz w:val="22"/>
                <w:szCs w:val="22"/>
              </w:rPr>
            </w:pPr>
            <w:r w:rsidRPr="00CE33E3">
              <w:rPr>
                <w:rFonts w:ascii="Arial" w:hAnsi="Arial" w:cs="Arial"/>
                <w:color w:val="000000"/>
                <w:sz w:val="22"/>
                <w:szCs w:val="22"/>
              </w:rPr>
              <w:t>Within the health and social care sector, digital exclusion can contribute to increased pressure on healthcare professionals, widen existing health inequalities, and create communication barriers between service users and providers. As healthcare services continue to adopt digital technologies, it is essential to ensure that no individual is disadvantaged because of limited digital access or skills. Addressing digital exclusion is therefore vital for delivering person-centred, equitable care and for supporting the policy objectives of the NHS and social care services, which emphasise inclusion, accessibility, and prevention (Helsper, 2012).</w:t>
            </w:r>
          </w:p>
          <w:p w14:paraId="62898C44" w14:textId="77777777" w:rsidR="00697C06" w:rsidRPr="00CE33E3" w:rsidRDefault="00697C06">
            <w:pPr>
              <w:pStyle w:val="NormalWeb"/>
              <w:rPr>
                <w:rFonts w:ascii="Arial" w:hAnsi="Arial" w:cs="Arial"/>
                <w:color w:val="000000"/>
                <w:sz w:val="22"/>
                <w:szCs w:val="22"/>
              </w:rPr>
            </w:pPr>
            <w:r w:rsidRPr="00CE33E3">
              <w:rPr>
                <w:rFonts w:ascii="Arial" w:hAnsi="Arial" w:cs="Arial"/>
                <w:color w:val="000000"/>
                <w:sz w:val="22"/>
                <w:szCs w:val="22"/>
              </w:rPr>
              <w:t>I chose to research digital exclusion because it is a highly relevant issue that reflects the ongoing digital transformation within the UK health and social care sector. As healthcare services increasingly rely on digital technologies to deliver care and manage patient information, understanding the impact of digital exclusion has become increasingly important (Helsper, 2012). This topic aligns closely with my studies in health and social care, particularly in relation to equality, diversity, inclusion, and ensuring fair access to healthcare services (Helsper, 2016).</w:t>
            </w:r>
          </w:p>
          <w:p w14:paraId="51D6F7ED" w14:textId="77777777" w:rsidR="00697C06" w:rsidRPr="00CE33E3" w:rsidRDefault="00697C06">
            <w:pPr>
              <w:pStyle w:val="NormalWeb"/>
              <w:rPr>
                <w:rFonts w:ascii="Arial" w:hAnsi="Arial" w:cs="Arial"/>
                <w:color w:val="000000"/>
                <w:sz w:val="22"/>
                <w:szCs w:val="22"/>
              </w:rPr>
            </w:pPr>
            <w:r w:rsidRPr="00CE33E3">
              <w:rPr>
                <w:rFonts w:ascii="Arial" w:hAnsi="Arial" w:cs="Arial"/>
                <w:color w:val="000000"/>
                <w:sz w:val="22"/>
                <w:szCs w:val="22"/>
              </w:rPr>
              <w:t>Furthermore, this research supports my future career aspirations of working in the health and social care sector, where I hope to assist patients and service users in overcoming barriers to accessing healthcare. It has strengthened my understanding of the challenges faced by digitally excluded populations and highlighted the importance of promoting inclusive practices and advocating for improvements in digital accessibility. Exploring this topic has also enhanced my awareness of how digital technologies can improve healthcare delivery while reinforcing the need to ensure that these innovations remain accessible to all members of society (Irwani, Saleh &amp; Bahrianoor, 2024).</w:t>
            </w:r>
          </w:p>
          <w:p w14:paraId="4651E4C4" w14:textId="33C3B5C1" w:rsidR="00B83598" w:rsidRDefault="00EE69F9">
            <w:pPr>
              <w:pStyle w:val="NormalWeb"/>
              <w:rPr>
                <w:rFonts w:ascii="Arial" w:hAnsi="Arial" w:cs="Arial"/>
                <w:b/>
                <w:bCs/>
                <w:color w:val="000000"/>
                <w:sz w:val="22"/>
                <w:szCs w:val="22"/>
                <w:u w:val="single"/>
              </w:rPr>
            </w:pPr>
            <w:r w:rsidRPr="0030506A">
              <w:rPr>
                <w:rFonts w:ascii="Arial" w:hAnsi="Arial" w:cs="Arial"/>
                <w:b/>
                <w:bCs/>
                <w:color w:val="000000"/>
                <w:sz w:val="22"/>
                <w:szCs w:val="22"/>
                <w:u w:val="single"/>
              </w:rPr>
              <w:t>T</w:t>
            </w:r>
            <w:r w:rsidR="004549F5" w:rsidRPr="0030506A">
              <w:rPr>
                <w:rFonts w:ascii="Arial" w:hAnsi="Arial" w:cs="Arial"/>
                <w:b/>
                <w:bCs/>
                <w:color w:val="000000"/>
                <w:sz w:val="22"/>
                <w:szCs w:val="22"/>
                <w:u w:val="single"/>
              </w:rPr>
              <w:t xml:space="preserve">ask 2: </w:t>
            </w:r>
            <w:r w:rsidR="0030506A" w:rsidRPr="0030506A">
              <w:rPr>
                <w:rFonts w:ascii="Arial" w:hAnsi="Arial" w:cs="Arial"/>
                <w:b/>
                <w:bCs/>
                <w:color w:val="000000"/>
                <w:sz w:val="22"/>
                <w:szCs w:val="22"/>
                <w:u w:val="single"/>
              </w:rPr>
              <w:t>Evaluating information</w:t>
            </w:r>
            <w:r w:rsidR="003B29D8" w:rsidRPr="0030506A">
              <w:rPr>
                <w:rFonts w:ascii="Arial" w:hAnsi="Arial" w:cs="Arial"/>
                <w:b/>
                <w:bCs/>
                <w:color w:val="000000"/>
                <w:sz w:val="22"/>
                <w:szCs w:val="22"/>
                <w:u w:val="single"/>
              </w:rPr>
              <w:t xml:space="preserve"> sour</w:t>
            </w:r>
            <w:r w:rsidR="00DE0B3B" w:rsidRPr="0030506A">
              <w:rPr>
                <w:rFonts w:ascii="Arial" w:hAnsi="Arial" w:cs="Arial"/>
                <w:b/>
                <w:bCs/>
                <w:color w:val="000000"/>
                <w:sz w:val="22"/>
                <w:szCs w:val="22"/>
                <w:u w:val="single"/>
              </w:rPr>
              <w:t>ces</w:t>
            </w:r>
          </w:p>
          <w:p w14:paraId="27B59130" w14:textId="77777777" w:rsidR="00D64DE6" w:rsidRPr="00E320C3" w:rsidRDefault="00D64DE6" w:rsidP="00D64DE6">
            <w:pPr>
              <w:spacing w:before="100" w:beforeAutospacing="1" w:after="100" w:afterAutospacing="1" w:line="240" w:lineRule="auto"/>
              <w:outlineLvl w:val="2"/>
              <w:rPr>
                <w:rFonts w:ascii="Arial" w:eastAsia="Times New Roman" w:hAnsi="Arial" w:cs="Arial"/>
                <w:b/>
                <w:bCs/>
                <w:color w:val="000000"/>
                <w:kern w:val="0"/>
                <w:sz w:val="22"/>
                <w:szCs w:val="22"/>
                <w:u w:val="single"/>
                <w14:ligatures w14:val="none"/>
              </w:rPr>
            </w:pPr>
            <w:r w:rsidRPr="00E320C3">
              <w:rPr>
                <w:rFonts w:ascii="Arial" w:eastAsia="Times New Roman" w:hAnsi="Arial" w:cs="Arial"/>
                <w:b/>
                <w:bCs/>
                <w:color w:val="000000"/>
                <w:kern w:val="0"/>
                <w:sz w:val="22"/>
                <w:szCs w:val="22"/>
                <w:u w:val="single"/>
                <w14:ligatures w14:val="none"/>
              </w:rPr>
              <w:t>Source 1: NHS Digital (2022)</w:t>
            </w:r>
          </w:p>
          <w:p w14:paraId="7B8F9C2D" w14:textId="77777777" w:rsidR="00D64DE6" w:rsidRPr="00D64DE6" w:rsidRDefault="00D64DE6" w:rsidP="00D64DE6">
            <w:pPr>
              <w:spacing w:before="100" w:beforeAutospacing="1" w:after="100" w:afterAutospacing="1" w:line="240" w:lineRule="auto"/>
              <w:rPr>
                <w:rFonts w:ascii="Arial" w:hAnsi="Arial" w:cs="Arial"/>
                <w:color w:val="000000"/>
                <w:kern w:val="0"/>
                <w:sz w:val="22"/>
                <w:szCs w:val="22"/>
                <w14:ligatures w14:val="none"/>
              </w:rPr>
            </w:pPr>
            <w:r w:rsidRPr="00D64DE6">
              <w:rPr>
                <w:rFonts w:ascii="Arial" w:hAnsi="Arial" w:cs="Arial"/>
                <w:color w:val="000000"/>
                <w:kern w:val="0"/>
                <w:sz w:val="22"/>
                <w:szCs w:val="22"/>
                <w14:ligatures w14:val="none"/>
              </w:rPr>
              <w:t>The first source, NHS Digital (2022), examines digital inclusion within the health and social care sector and outlines the NHS's approach to reducing digital exclusion. It discusses the extent of digital exclusion in England and its impact on health outcomes across the UK population (Krištofík, 2022). The report identifies key barriers to digital inclusion, including limited digital skills, lack of access to digital devices and internet services, and low confidence in using technology. It also explains how these factors reduce individuals' engagement with digital healthcare services.</w:t>
            </w:r>
          </w:p>
          <w:p w14:paraId="4F675DF6" w14:textId="77777777" w:rsidR="00D64DE6" w:rsidRPr="00D64DE6" w:rsidRDefault="00D64DE6" w:rsidP="00D64DE6">
            <w:pPr>
              <w:spacing w:before="100" w:beforeAutospacing="1" w:after="100" w:afterAutospacing="1" w:line="240" w:lineRule="auto"/>
              <w:rPr>
                <w:rFonts w:ascii="Arial" w:hAnsi="Arial" w:cs="Arial"/>
                <w:color w:val="000000"/>
                <w:kern w:val="0"/>
                <w:sz w:val="22"/>
                <w:szCs w:val="22"/>
                <w14:ligatures w14:val="none"/>
              </w:rPr>
            </w:pPr>
            <w:r w:rsidRPr="00D64DE6">
              <w:rPr>
                <w:rFonts w:ascii="Arial" w:hAnsi="Arial" w:cs="Arial"/>
                <w:color w:val="000000"/>
                <w:kern w:val="0"/>
                <w:sz w:val="22"/>
                <w:szCs w:val="22"/>
                <w14:ligatures w14:val="none"/>
              </w:rPr>
              <w:t>This source is highly relevant to the chosen topic because it provides current policy guidance and statistical evidence on digital exclusion. It highlights the importance of improving digital inclusion to ensure equitable access to healthcare services. However, the report mainly focuses on national strategies and policy initiatives rather than the lived experiences of individuals, indicating a continuing need for more qualitative research in this area (Mee et al., 2024).</w:t>
            </w:r>
          </w:p>
          <w:p w14:paraId="4B8C8AB2" w14:textId="77777777" w:rsidR="00D64DE6" w:rsidRPr="00E320C3" w:rsidRDefault="00D64DE6" w:rsidP="00D64DE6">
            <w:pPr>
              <w:spacing w:before="100" w:beforeAutospacing="1" w:after="100" w:afterAutospacing="1" w:line="240" w:lineRule="auto"/>
              <w:outlineLvl w:val="2"/>
              <w:rPr>
                <w:rFonts w:ascii="Arial" w:eastAsia="Times New Roman" w:hAnsi="Arial" w:cs="Arial"/>
                <w:b/>
                <w:bCs/>
                <w:color w:val="000000"/>
                <w:kern w:val="0"/>
                <w:sz w:val="22"/>
                <w:szCs w:val="22"/>
                <w:u w:val="single"/>
                <w14:ligatures w14:val="none"/>
              </w:rPr>
            </w:pPr>
            <w:r w:rsidRPr="00E320C3">
              <w:rPr>
                <w:rFonts w:ascii="Arial" w:eastAsia="Times New Roman" w:hAnsi="Arial" w:cs="Arial"/>
                <w:b/>
                <w:bCs/>
                <w:color w:val="000000"/>
                <w:kern w:val="0"/>
                <w:sz w:val="22"/>
                <w:szCs w:val="22"/>
                <w:u w:val="single"/>
                <w14:ligatures w14:val="none"/>
              </w:rPr>
              <w:t>Source 2: Office for National Statistics (2023)</w:t>
            </w:r>
          </w:p>
          <w:p w14:paraId="69B1B0D1" w14:textId="77777777" w:rsidR="00D64DE6" w:rsidRPr="00D64DE6" w:rsidRDefault="00D64DE6" w:rsidP="00D64DE6">
            <w:pPr>
              <w:spacing w:before="100" w:beforeAutospacing="1" w:after="100" w:afterAutospacing="1" w:line="240" w:lineRule="auto"/>
              <w:rPr>
                <w:rFonts w:ascii="Arial" w:hAnsi="Arial" w:cs="Arial"/>
                <w:color w:val="000000"/>
                <w:kern w:val="0"/>
                <w:sz w:val="22"/>
                <w:szCs w:val="22"/>
                <w14:ligatures w14:val="none"/>
              </w:rPr>
            </w:pPr>
            <w:r w:rsidRPr="00D64DE6">
              <w:rPr>
                <w:rFonts w:ascii="Arial" w:hAnsi="Arial" w:cs="Arial"/>
                <w:color w:val="000000"/>
                <w:kern w:val="0"/>
                <w:sz w:val="22"/>
                <w:szCs w:val="22"/>
                <w14:ligatures w14:val="none"/>
              </w:rPr>
              <w:t>The Office for National Statistics (2023) provides national data on internet use, digital skills, and the population groups most at risk of digital exclusion. The report demonstrates a strong relationship between digital exclusion and factors such as age, disability, income, and social disadvantage.</w:t>
            </w:r>
          </w:p>
          <w:p w14:paraId="60D9402E" w14:textId="77777777" w:rsidR="00D64DE6" w:rsidRPr="00D64DE6" w:rsidRDefault="00D64DE6" w:rsidP="00D64DE6">
            <w:pPr>
              <w:spacing w:before="100" w:beforeAutospacing="1" w:after="100" w:afterAutospacing="1" w:line="240" w:lineRule="auto"/>
              <w:rPr>
                <w:rFonts w:ascii="Arial" w:hAnsi="Arial" w:cs="Arial"/>
                <w:color w:val="000000"/>
                <w:kern w:val="0"/>
                <w:sz w:val="22"/>
                <w:szCs w:val="22"/>
                <w14:ligatures w14:val="none"/>
              </w:rPr>
            </w:pPr>
            <w:r w:rsidRPr="00D64DE6">
              <w:rPr>
                <w:rFonts w:ascii="Arial" w:hAnsi="Arial" w:cs="Arial"/>
                <w:color w:val="000000"/>
                <w:kern w:val="0"/>
                <w:sz w:val="22"/>
                <w:szCs w:val="22"/>
                <w14:ligatures w14:val="none"/>
              </w:rPr>
              <w:t>This source is valuable because it presents large-scale quantitative data that helps identify patterns, trends, and inequalities across the UK population. The findings support the chosen topic by showing that digital exclusion continues to affect people's ability to access essential online services, including healthcare. A limitation of this source is that it provides broad population statistics rather than healthcare-specific evidence, highlighting the need for more research focused on the impact of digital exclusion within health and social care settings (Miers, 2001).</w:t>
            </w:r>
          </w:p>
          <w:p w14:paraId="09800107" w14:textId="77777777" w:rsidR="00D64DE6" w:rsidRPr="00E320C3" w:rsidRDefault="00D64DE6" w:rsidP="00D64DE6">
            <w:pPr>
              <w:spacing w:before="100" w:beforeAutospacing="1" w:after="100" w:afterAutospacing="1" w:line="240" w:lineRule="auto"/>
              <w:outlineLvl w:val="2"/>
              <w:rPr>
                <w:rFonts w:ascii="Arial" w:eastAsia="Times New Roman" w:hAnsi="Arial" w:cs="Arial"/>
                <w:b/>
                <w:bCs/>
                <w:color w:val="000000"/>
                <w:kern w:val="0"/>
                <w:sz w:val="22"/>
                <w:szCs w:val="22"/>
                <w:u w:val="single"/>
                <w14:ligatures w14:val="none"/>
              </w:rPr>
            </w:pPr>
            <w:r w:rsidRPr="00E320C3">
              <w:rPr>
                <w:rFonts w:ascii="Arial" w:eastAsia="Times New Roman" w:hAnsi="Arial" w:cs="Arial"/>
                <w:b/>
                <w:bCs/>
                <w:color w:val="000000"/>
                <w:kern w:val="0"/>
                <w:sz w:val="22"/>
                <w:szCs w:val="22"/>
                <w:u w:val="single"/>
                <w14:ligatures w14:val="none"/>
              </w:rPr>
              <w:t>Source 3: Good Things Foundation (2021)</w:t>
            </w:r>
          </w:p>
          <w:p w14:paraId="0EB414A1" w14:textId="77777777" w:rsidR="00D64DE6" w:rsidRPr="00D64DE6" w:rsidRDefault="00D64DE6" w:rsidP="00D64DE6">
            <w:pPr>
              <w:spacing w:before="100" w:beforeAutospacing="1" w:after="100" w:afterAutospacing="1" w:line="240" w:lineRule="auto"/>
              <w:rPr>
                <w:rFonts w:ascii="Arial" w:hAnsi="Arial" w:cs="Arial"/>
                <w:color w:val="000000"/>
                <w:kern w:val="0"/>
                <w:sz w:val="22"/>
                <w:szCs w:val="22"/>
                <w14:ligatures w14:val="none"/>
              </w:rPr>
            </w:pPr>
            <w:r w:rsidRPr="00D64DE6">
              <w:rPr>
                <w:rFonts w:ascii="Arial" w:hAnsi="Arial" w:cs="Arial"/>
                <w:color w:val="000000"/>
                <w:kern w:val="0"/>
                <w:sz w:val="22"/>
                <w:szCs w:val="22"/>
                <w14:ligatures w14:val="none"/>
              </w:rPr>
              <w:t>The third source, Good Things Foundation (2021), explores how the digital divide contributes to health inequalities and limits access to healthcare services. The report includes case studies and examples from community organisations that support digitally excluded individuals, demonstrating the real-life consequences of digital exclusion (Molala &amp; Makhubele, 2021).</w:t>
            </w:r>
          </w:p>
          <w:p w14:paraId="54F2477B" w14:textId="4E14B146" w:rsidR="005736AD" w:rsidRDefault="00D64DE6" w:rsidP="00D64DE6">
            <w:pPr>
              <w:spacing w:before="100" w:beforeAutospacing="1" w:after="100" w:afterAutospacing="1" w:line="240" w:lineRule="auto"/>
              <w:rPr>
                <w:rFonts w:ascii="Arial" w:hAnsi="Arial" w:cs="Arial"/>
                <w:color w:val="000000"/>
                <w:kern w:val="0"/>
                <w:sz w:val="22"/>
                <w:szCs w:val="22"/>
                <w14:ligatures w14:val="none"/>
              </w:rPr>
            </w:pPr>
            <w:r w:rsidRPr="00D64DE6">
              <w:rPr>
                <w:rFonts w:ascii="Arial" w:hAnsi="Arial" w:cs="Arial"/>
                <w:color w:val="000000"/>
                <w:kern w:val="0"/>
                <w:sz w:val="22"/>
                <w:szCs w:val="22"/>
                <w14:ligatures w14:val="none"/>
              </w:rPr>
              <w:t>This source is particularly useful because it combines practical evidence with recommendations for improving digital inclusion through community-based initiatives. It supports the chosen topic by showing how digital exclusion affects service users' engagement with healthcare services at the community level across the UK. However, as the report is produced by a charitable organisation rather than through peer-reviewed academic research, it is less academically rigorous than scholarly studies. This highlights the need for additional academic research using robust methodologies to strengthen the evidence base on digital exclusion in healthcare (Xue et al., 2026).</w:t>
            </w:r>
          </w:p>
          <w:p w14:paraId="32AAEAB0" w14:textId="77777777" w:rsidR="0001297C" w:rsidRPr="00AB783C" w:rsidRDefault="0001297C" w:rsidP="0001297C">
            <w:pPr>
              <w:spacing w:before="100" w:beforeAutospacing="1" w:after="100" w:afterAutospacing="1" w:line="240" w:lineRule="auto"/>
              <w:outlineLvl w:val="2"/>
              <w:rPr>
                <w:rFonts w:ascii="Arial" w:eastAsia="Times New Roman" w:hAnsi="Arial" w:cs="Arial"/>
                <w:b/>
                <w:bCs/>
                <w:color w:val="000000"/>
                <w:kern w:val="0"/>
                <w:sz w:val="22"/>
                <w:szCs w:val="22"/>
                <w:u w:val="single"/>
                <w14:ligatures w14:val="none"/>
              </w:rPr>
            </w:pPr>
            <w:r w:rsidRPr="00AB783C">
              <w:rPr>
                <w:rFonts w:ascii="Arial" w:eastAsia="Times New Roman" w:hAnsi="Arial" w:cs="Arial"/>
                <w:b/>
                <w:bCs/>
                <w:color w:val="000000"/>
                <w:kern w:val="0"/>
                <w:sz w:val="22"/>
                <w:szCs w:val="22"/>
                <w:u w:val="single"/>
                <w14:ligatures w14:val="none"/>
              </w:rPr>
              <w:t>Research Methodology</w:t>
            </w:r>
          </w:p>
          <w:p w14:paraId="61FA2452" w14:textId="77777777" w:rsidR="0001297C" w:rsidRPr="00AB783C" w:rsidRDefault="0001297C" w:rsidP="0001297C">
            <w:pPr>
              <w:spacing w:before="100" w:beforeAutospacing="1" w:after="100" w:afterAutospacing="1" w:line="240" w:lineRule="auto"/>
              <w:rPr>
                <w:rFonts w:ascii="Arial" w:hAnsi="Arial" w:cs="Arial"/>
                <w:color w:val="000000"/>
                <w:kern w:val="0"/>
                <w:sz w:val="22"/>
                <w:szCs w:val="22"/>
                <w14:ligatures w14:val="none"/>
              </w:rPr>
            </w:pPr>
            <w:r w:rsidRPr="00AB783C">
              <w:rPr>
                <w:rFonts w:ascii="Arial" w:hAnsi="Arial" w:cs="Arial"/>
                <w:color w:val="000000"/>
                <w:kern w:val="0"/>
                <w:sz w:val="22"/>
                <w:szCs w:val="22"/>
                <w14:ligatures w14:val="none"/>
              </w:rPr>
              <w:t>There are three main research methodologies commonly used in health and social care research: quantitative, qualitative, and mixed methods. Quantitative research involves collecting numerical data that can be measured and analysed statistically. Common methods include questionnaires and surveys, which allow researchers to identify patterns and trends. For example, a quantitative study could use a questionnaire to measure the number of service users who are able to access online GP appointment systems or other digital healthcare services.</w:t>
            </w:r>
          </w:p>
          <w:p w14:paraId="54505B71" w14:textId="77777777" w:rsidR="0001297C" w:rsidRPr="00AB783C" w:rsidRDefault="0001297C" w:rsidP="0001297C">
            <w:pPr>
              <w:spacing w:before="100" w:beforeAutospacing="1" w:after="100" w:afterAutospacing="1" w:line="240" w:lineRule="auto"/>
              <w:rPr>
                <w:rFonts w:ascii="Arial" w:hAnsi="Arial" w:cs="Arial"/>
                <w:color w:val="000000"/>
                <w:kern w:val="0"/>
                <w:sz w:val="22"/>
                <w:szCs w:val="22"/>
                <w14:ligatures w14:val="none"/>
              </w:rPr>
            </w:pPr>
            <w:r w:rsidRPr="00AB783C">
              <w:rPr>
                <w:rFonts w:ascii="Arial" w:hAnsi="Arial" w:cs="Arial"/>
                <w:color w:val="000000"/>
                <w:kern w:val="0"/>
                <w:sz w:val="22"/>
                <w:szCs w:val="22"/>
                <w14:ligatures w14:val="none"/>
              </w:rPr>
              <w:t>In contrast, qualitative research focuses on understanding individuals' experiences, perceptions, and opinions by collecting non-numerical data. Data are typically gathered through interviews, focus groups, or observations. For instance, researchers could conduct interviews with older adults to explore their experiences of using digital technologies to access healthcare services and the barriers they encounter.</w:t>
            </w:r>
          </w:p>
          <w:p w14:paraId="29D0EF58" w14:textId="77777777" w:rsidR="0001297C" w:rsidRPr="00AB783C" w:rsidRDefault="0001297C" w:rsidP="0001297C">
            <w:pPr>
              <w:spacing w:before="100" w:beforeAutospacing="1" w:after="100" w:afterAutospacing="1" w:line="240" w:lineRule="auto"/>
              <w:rPr>
                <w:rFonts w:ascii="Arial" w:hAnsi="Arial" w:cs="Arial"/>
                <w:color w:val="000000"/>
                <w:kern w:val="0"/>
                <w:sz w:val="22"/>
                <w:szCs w:val="22"/>
                <w14:ligatures w14:val="none"/>
              </w:rPr>
            </w:pPr>
            <w:r w:rsidRPr="00AB783C">
              <w:rPr>
                <w:rFonts w:ascii="Arial" w:hAnsi="Arial" w:cs="Arial"/>
                <w:color w:val="000000"/>
                <w:kern w:val="0"/>
                <w:sz w:val="22"/>
                <w:szCs w:val="22"/>
                <w14:ligatures w14:val="none"/>
              </w:rPr>
              <w:t>A mixed-methods approach combines both quantitative and qualitative research techniques. This enables researchers to collect both numerical and descriptive data, providing a more comprehensive understanding of the research problem while identifying patterns and exploring participants' experiences in greater depth (Zhang, 2025).</w:t>
            </w:r>
          </w:p>
          <w:p w14:paraId="4F7ACF05" w14:textId="77777777" w:rsidR="0001297C" w:rsidRPr="00AB783C" w:rsidRDefault="0001297C" w:rsidP="0001297C">
            <w:pPr>
              <w:spacing w:before="100" w:beforeAutospacing="1" w:after="100" w:afterAutospacing="1" w:line="240" w:lineRule="auto"/>
              <w:rPr>
                <w:rFonts w:ascii="Arial" w:hAnsi="Arial" w:cs="Arial"/>
                <w:color w:val="000000"/>
                <w:kern w:val="0"/>
                <w:sz w:val="22"/>
                <w:szCs w:val="22"/>
                <w14:ligatures w14:val="none"/>
              </w:rPr>
            </w:pPr>
            <w:r w:rsidRPr="00AB783C">
              <w:rPr>
                <w:rFonts w:ascii="Arial" w:hAnsi="Arial" w:cs="Arial"/>
                <w:color w:val="000000"/>
                <w:kern w:val="0"/>
                <w:sz w:val="22"/>
                <w:szCs w:val="22"/>
                <w14:ligatures w14:val="none"/>
              </w:rPr>
              <w:t>For a future study on digital exclusion, a qualitative research approach would be the most appropriate. Digital exclusion is closely linked to individuals' confidence, personal experiences, digital literacy, and perceived barriers to accessing healthcare services. Conducting semi-structured interviews would allow participants to describe their experiences in their own words, enabling researchers to gather rich, detailed data that cannot be captured through numerical surveys alone.</w:t>
            </w:r>
          </w:p>
          <w:p w14:paraId="3564DAAB" w14:textId="77777777" w:rsidR="0001297C" w:rsidRPr="00AB783C" w:rsidRDefault="0001297C" w:rsidP="0001297C">
            <w:pPr>
              <w:spacing w:before="100" w:beforeAutospacing="1" w:after="100" w:afterAutospacing="1" w:line="240" w:lineRule="auto"/>
              <w:outlineLvl w:val="2"/>
              <w:rPr>
                <w:rFonts w:ascii="Arial" w:eastAsia="Times New Roman" w:hAnsi="Arial" w:cs="Arial"/>
                <w:b/>
                <w:bCs/>
                <w:color w:val="000000"/>
                <w:kern w:val="0"/>
                <w:sz w:val="22"/>
                <w:szCs w:val="22"/>
                <w:u w:val="single"/>
                <w14:ligatures w14:val="none"/>
              </w:rPr>
            </w:pPr>
            <w:r w:rsidRPr="00AB783C">
              <w:rPr>
                <w:rFonts w:ascii="Arial" w:eastAsia="Times New Roman" w:hAnsi="Arial" w:cs="Arial"/>
                <w:b/>
                <w:bCs/>
                <w:color w:val="000000"/>
                <w:kern w:val="0"/>
                <w:sz w:val="22"/>
                <w:szCs w:val="22"/>
                <w:u w:val="single"/>
                <w14:ligatures w14:val="none"/>
              </w:rPr>
              <w:t>Data Collection</w:t>
            </w:r>
          </w:p>
          <w:p w14:paraId="7925A284" w14:textId="77777777" w:rsidR="0001297C" w:rsidRPr="00AB783C" w:rsidRDefault="0001297C" w:rsidP="0001297C">
            <w:pPr>
              <w:spacing w:before="100" w:beforeAutospacing="1" w:after="100" w:afterAutospacing="1" w:line="240" w:lineRule="auto"/>
              <w:rPr>
                <w:rFonts w:ascii="Arial" w:hAnsi="Arial" w:cs="Arial"/>
                <w:color w:val="000000"/>
                <w:kern w:val="0"/>
                <w:sz w:val="22"/>
                <w:szCs w:val="22"/>
                <w14:ligatures w14:val="none"/>
              </w:rPr>
            </w:pPr>
            <w:r w:rsidRPr="00AB783C">
              <w:rPr>
                <w:rFonts w:ascii="Arial" w:hAnsi="Arial" w:cs="Arial"/>
                <w:color w:val="000000"/>
                <w:kern w:val="0"/>
                <w:sz w:val="22"/>
                <w:szCs w:val="22"/>
                <w14:ligatures w14:val="none"/>
              </w:rPr>
              <w:t>Data collection in research can be divided into two main types: primary and secondary data. Primary data are collected directly by the researcher for the specific purpose of the study using methods such as interviews, surveys, questionnaires, or observations. In contrast, secondary data consist of information that has already been collected by other organisations or researchers, including academic journal articles, government publications, NHS reports, and organisational records. Both types of data play an important role in health and social care research.</w:t>
            </w:r>
          </w:p>
          <w:p w14:paraId="33D89E56" w14:textId="77777777" w:rsidR="0001297C" w:rsidRPr="00AB783C" w:rsidRDefault="0001297C" w:rsidP="0001297C">
            <w:pPr>
              <w:spacing w:before="100" w:beforeAutospacing="1" w:after="100" w:afterAutospacing="1" w:line="240" w:lineRule="auto"/>
              <w:rPr>
                <w:rFonts w:ascii="Arial" w:hAnsi="Arial" w:cs="Arial"/>
                <w:color w:val="000000"/>
                <w:kern w:val="0"/>
                <w:sz w:val="22"/>
                <w:szCs w:val="22"/>
                <w14:ligatures w14:val="none"/>
              </w:rPr>
            </w:pPr>
            <w:r w:rsidRPr="00AB783C">
              <w:rPr>
                <w:rFonts w:ascii="Arial" w:hAnsi="Arial" w:cs="Arial"/>
                <w:color w:val="000000"/>
                <w:kern w:val="0"/>
                <w:sz w:val="22"/>
                <w:szCs w:val="22"/>
                <w14:ligatures w14:val="none"/>
              </w:rPr>
              <w:t>For this proposed study on digital exclusion, the most suitable approach would be to collect primary qualitative data through semi-structured interviews (Zhang, 2025). This method would enable the researcher to gain a deeper understanding of service users' experiences, perceptions, and challenges when accessing digital health and social care services. Secondary data, such as NHS reports, Office for National Statistics publications, and previous academic studies, could also be used to provide background information, support the literature review, and place the findings within the wider context. However, primary data would be most effective in addressing the specific research questions and identifying gaps in existing knowledge.</w:t>
            </w:r>
          </w:p>
          <w:p w14:paraId="183F10CD" w14:textId="77777777" w:rsidR="0001297C" w:rsidRPr="00AB783C" w:rsidRDefault="0001297C" w:rsidP="0001297C">
            <w:pPr>
              <w:spacing w:before="100" w:beforeAutospacing="1" w:after="100" w:afterAutospacing="1" w:line="240" w:lineRule="auto"/>
              <w:rPr>
                <w:rFonts w:ascii="Arial" w:hAnsi="Arial" w:cs="Arial"/>
                <w:color w:val="000000"/>
                <w:kern w:val="0"/>
                <w:sz w:val="22"/>
                <w:szCs w:val="22"/>
                <w14:ligatures w14:val="none"/>
              </w:rPr>
            </w:pPr>
            <w:r w:rsidRPr="00AB783C">
              <w:rPr>
                <w:rFonts w:ascii="Arial" w:hAnsi="Arial" w:cs="Arial"/>
                <w:color w:val="000000"/>
                <w:kern w:val="0"/>
                <w:sz w:val="22"/>
                <w:szCs w:val="22"/>
                <w14:ligatures w14:val="none"/>
              </w:rPr>
              <w:t>One of the main advantages of using primary qualitative data is that it provides an in-depth understanding of participants' experiences and allows unexpected themes to emerge during the research process. Semi-structured interviews also offer flexibility, enabling researchers to ask follow-up questions and explore issues in greater detail. However, this approach also has limitations. Qualitative studies often involve smaller sample sizes, making it difficult to generalise the findings to the wider population. In addition, collecting and analysing qualitative data can be time-consuming and requires careful consideration of ethical issues, including obtaining informed consent, maintaining participant confidentiality, and ensuring that personal information is securely protected.</w:t>
            </w:r>
          </w:p>
          <w:p w14:paraId="46744DDB" w14:textId="77777777" w:rsidR="0001297C" w:rsidRPr="00AB783C" w:rsidRDefault="0001297C" w:rsidP="0001297C">
            <w:pPr>
              <w:spacing w:before="100" w:beforeAutospacing="1" w:after="100" w:afterAutospacing="1" w:line="240" w:lineRule="auto"/>
              <w:rPr>
                <w:rFonts w:ascii="Arial" w:hAnsi="Arial" w:cs="Arial"/>
                <w:color w:val="000000"/>
                <w:kern w:val="0"/>
                <w:sz w:val="22"/>
                <w:szCs w:val="22"/>
                <w14:ligatures w14:val="none"/>
              </w:rPr>
            </w:pPr>
            <w:r w:rsidRPr="00AB783C">
              <w:rPr>
                <w:rFonts w:ascii="Arial" w:hAnsi="Arial" w:cs="Arial"/>
                <w:color w:val="000000"/>
                <w:kern w:val="0"/>
                <w:sz w:val="22"/>
                <w:szCs w:val="22"/>
                <w14:ligatures w14:val="none"/>
              </w:rPr>
              <w:t>This version is clearer, academically structured, and suitable for a university-level research report while maintaining your original meaning.</w:t>
            </w:r>
          </w:p>
          <w:p w14:paraId="3BD09CF5" w14:textId="16880BE3" w:rsidR="00E320C3" w:rsidRDefault="00BC7131" w:rsidP="00D64DE6">
            <w:pPr>
              <w:spacing w:before="100" w:beforeAutospacing="1" w:after="100" w:afterAutospacing="1" w:line="240" w:lineRule="auto"/>
              <w:rPr>
                <w:rFonts w:ascii="Arial" w:hAnsi="Arial" w:cs="Arial"/>
                <w:b/>
                <w:bCs/>
                <w:color w:val="000000"/>
                <w:kern w:val="0"/>
                <w:sz w:val="22"/>
                <w:szCs w:val="22"/>
                <w:u w:val="single"/>
                <w14:ligatures w14:val="none"/>
              </w:rPr>
            </w:pPr>
            <w:r w:rsidRPr="00BC7131">
              <w:rPr>
                <w:rFonts w:ascii="Arial" w:hAnsi="Arial" w:cs="Arial"/>
                <w:b/>
                <w:bCs/>
                <w:color w:val="000000"/>
                <w:kern w:val="0"/>
                <w:sz w:val="22"/>
                <w:szCs w:val="22"/>
                <w:u w:val="single"/>
                <w14:ligatures w14:val="none"/>
              </w:rPr>
              <w:t xml:space="preserve">Conclusion </w:t>
            </w:r>
          </w:p>
          <w:p w14:paraId="04094B14" w14:textId="77777777" w:rsidR="00381221" w:rsidRPr="00381221" w:rsidRDefault="00381221" w:rsidP="00381221">
            <w:pPr>
              <w:spacing w:before="100" w:beforeAutospacing="1" w:after="100" w:afterAutospacing="1" w:line="240" w:lineRule="auto"/>
              <w:rPr>
                <w:rFonts w:ascii="Arial" w:hAnsi="Arial" w:cs="Arial"/>
                <w:color w:val="000000"/>
                <w:kern w:val="0"/>
                <w:sz w:val="22"/>
                <w:szCs w:val="22"/>
                <w14:ligatures w14:val="none"/>
              </w:rPr>
            </w:pPr>
            <w:r w:rsidRPr="00381221">
              <w:rPr>
                <w:rFonts w:ascii="Arial" w:hAnsi="Arial" w:cs="Arial"/>
                <w:color w:val="000000"/>
                <w:kern w:val="0"/>
                <w:sz w:val="22"/>
                <w:szCs w:val="22"/>
                <w14:ligatures w14:val="none"/>
              </w:rPr>
              <w:t>This report has explored the issue of digital exclusion within the UK health and social care sector, highlighting its impact on individuals' ability to access digital healthcare services. It examined the key factors contributing to digital exclusion, identified the population groups most affected, and discussed why this issue is significant in addressing health inequalities. The report also reviewed relevant literature to identify existing evidence and highlight gaps in current research.</w:t>
            </w:r>
          </w:p>
          <w:p w14:paraId="7391E7A0" w14:textId="77777777" w:rsidR="00381221" w:rsidRPr="00381221" w:rsidRDefault="00381221" w:rsidP="00381221">
            <w:pPr>
              <w:spacing w:before="100" w:beforeAutospacing="1" w:after="100" w:afterAutospacing="1" w:line="240" w:lineRule="auto"/>
              <w:rPr>
                <w:rFonts w:ascii="Arial" w:hAnsi="Arial" w:cs="Arial"/>
                <w:color w:val="000000"/>
                <w:kern w:val="0"/>
                <w:sz w:val="22"/>
                <w:szCs w:val="22"/>
                <w14:ligatures w14:val="none"/>
              </w:rPr>
            </w:pPr>
            <w:r w:rsidRPr="00381221">
              <w:rPr>
                <w:rFonts w:ascii="Arial" w:hAnsi="Arial" w:cs="Arial"/>
                <w:color w:val="000000"/>
                <w:kern w:val="0"/>
                <w:sz w:val="22"/>
                <w:szCs w:val="22"/>
                <w14:ligatures w14:val="none"/>
              </w:rPr>
              <w:t>To investigate this issue further, the report proposed a qualitative research approach using primary data collected through semi-structured interviews. This methodology would provide a deeper understanding of the experiences and challenges faced by individuals who are digitally excluded.</w:t>
            </w:r>
          </w:p>
          <w:p w14:paraId="432B8BBA" w14:textId="781561AB" w:rsidR="00BC7131" w:rsidRDefault="00381221" w:rsidP="00D64DE6">
            <w:pPr>
              <w:spacing w:before="100" w:beforeAutospacing="1" w:after="100" w:afterAutospacing="1" w:line="240" w:lineRule="auto"/>
              <w:rPr>
                <w:rFonts w:ascii="Arial" w:hAnsi="Arial" w:cs="Arial"/>
                <w:color w:val="000000"/>
                <w:kern w:val="0"/>
                <w:sz w:val="22"/>
                <w:szCs w:val="22"/>
                <w14:ligatures w14:val="none"/>
              </w:rPr>
            </w:pPr>
            <w:r w:rsidRPr="00381221">
              <w:rPr>
                <w:rFonts w:ascii="Arial" w:hAnsi="Arial" w:cs="Arial"/>
                <w:color w:val="000000"/>
                <w:kern w:val="0"/>
                <w:sz w:val="22"/>
                <w:szCs w:val="22"/>
                <w14:ligatures w14:val="none"/>
              </w:rPr>
              <w:t>Overall, digital exclusion remains a significant challenge as health and social care services continue to adopt digital technologies. Addressing this issue is essential to ensure that healthcare services remain accessible, inclusive, and equitable for all members of society. Improving digital inclusion will not only enhance access to healthcare but also contribute to reducing health inequalities and supporting better health outcomes across the United Kingdom.</w:t>
            </w:r>
          </w:p>
          <w:p w14:paraId="2C56FABA" w14:textId="77777777" w:rsidR="000D16B5" w:rsidRDefault="000D16B5" w:rsidP="00D64DE6">
            <w:pPr>
              <w:spacing w:before="100" w:beforeAutospacing="1" w:after="100" w:afterAutospacing="1" w:line="240" w:lineRule="auto"/>
              <w:rPr>
                <w:rFonts w:ascii="Arial" w:hAnsi="Arial" w:cs="Arial"/>
                <w:color w:val="000000"/>
                <w:kern w:val="0"/>
                <w:sz w:val="22"/>
                <w:szCs w:val="22"/>
                <w14:ligatures w14:val="none"/>
              </w:rPr>
            </w:pPr>
          </w:p>
          <w:p w14:paraId="37F8479F" w14:textId="77777777" w:rsidR="000D16B5" w:rsidRPr="00DB6A0F" w:rsidRDefault="000D16B5">
            <w:pPr>
              <w:pStyle w:val="p1"/>
              <w:rPr>
                <w:rStyle w:val="s1"/>
                <w:rFonts w:ascii="Arial" w:hAnsi="Arial"/>
                <w:b w:val="0"/>
                <w:bCs w:val="0"/>
                <w:color w:val="000000" w:themeColor="text1"/>
                <w:sz w:val="22"/>
                <w:szCs w:val="22"/>
                <w:u w:val="single"/>
              </w:rPr>
            </w:pPr>
            <w:r w:rsidRPr="00DB6A0F">
              <w:rPr>
                <w:rStyle w:val="s1"/>
                <w:rFonts w:ascii="Arial" w:hAnsi="Arial"/>
                <w:b w:val="0"/>
                <w:bCs w:val="0"/>
                <w:color w:val="000000" w:themeColor="text1"/>
                <w:sz w:val="22"/>
                <w:szCs w:val="22"/>
                <w:u w:val="single"/>
              </w:rPr>
              <w:t>Reference list</w:t>
            </w:r>
          </w:p>
          <w:p w14:paraId="25D0296E" w14:textId="77777777" w:rsidR="00DB6A0F" w:rsidRPr="00DB6A0F" w:rsidRDefault="00DB6A0F">
            <w:pPr>
              <w:pStyle w:val="p1"/>
              <w:rPr>
                <w:color w:val="000000" w:themeColor="text1"/>
                <w:sz w:val="22"/>
                <w:szCs w:val="22"/>
              </w:rPr>
            </w:pPr>
          </w:p>
          <w:p w14:paraId="4AE07873" w14:textId="77777777" w:rsidR="000D16B5" w:rsidRPr="00DB6A0F" w:rsidRDefault="000D16B5">
            <w:pPr>
              <w:pStyle w:val="p2"/>
              <w:rPr>
                <w:color w:val="000000" w:themeColor="text1"/>
                <w:sz w:val="22"/>
                <w:szCs w:val="22"/>
              </w:rPr>
            </w:pPr>
            <w:r w:rsidRPr="00DB6A0F">
              <w:rPr>
                <w:rStyle w:val="s2"/>
                <w:color w:val="000000" w:themeColor="text1"/>
                <w:sz w:val="22"/>
                <w:szCs w:val="22"/>
              </w:rPr>
              <w:t>Bunyan, S &amp; Collins, A 2013, ‘Digital Exclusion Despite Digital Accessibility: Empirical</w:t>
            </w:r>
          </w:p>
          <w:p w14:paraId="2079BDE1" w14:textId="77777777" w:rsidR="000D16B5" w:rsidRPr="00DB6A0F" w:rsidRDefault="000D16B5">
            <w:pPr>
              <w:pStyle w:val="p2"/>
              <w:rPr>
                <w:color w:val="000000" w:themeColor="text1"/>
                <w:sz w:val="22"/>
                <w:szCs w:val="22"/>
              </w:rPr>
            </w:pPr>
            <w:r w:rsidRPr="00DB6A0F">
              <w:rPr>
                <w:rStyle w:val="s2"/>
                <w:color w:val="000000" w:themeColor="text1"/>
                <w:sz w:val="22"/>
                <w:szCs w:val="22"/>
              </w:rPr>
              <w:t xml:space="preserve">Evidence from an English City’, </w:t>
            </w:r>
            <w:r w:rsidRPr="00DB6A0F">
              <w:rPr>
                <w:rStyle w:val="s3"/>
                <w:rFonts w:ascii="Arial" w:hAnsi="Arial"/>
                <w:i w:val="0"/>
                <w:iCs w:val="0"/>
                <w:color w:val="000000" w:themeColor="text1"/>
                <w:sz w:val="22"/>
                <w:szCs w:val="22"/>
              </w:rPr>
              <w:t>Tijdschrift voor economische en sociale geografie</w:t>
            </w:r>
            <w:r w:rsidRPr="00DB6A0F">
              <w:rPr>
                <w:rStyle w:val="s2"/>
                <w:color w:val="000000" w:themeColor="text1"/>
                <w:sz w:val="22"/>
                <w:szCs w:val="22"/>
              </w:rPr>
              <w:t>, vol. 104,</w:t>
            </w:r>
          </w:p>
          <w:p w14:paraId="79761C01" w14:textId="77777777" w:rsidR="000D16B5" w:rsidRPr="00DB6A0F" w:rsidRDefault="000D16B5">
            <w:pPr>
              <w:pStyle w:val="p2"/>
              <w:rPr>
                <w:color w:val="000000" w:themeColor="text1"/>
                <w:sz w:val="22"/>
                <w:szCs w:val="22"/>
              </w:rPr>
            </w:pPr>
            <w:r w:rsidRPr="00DB6A0F">
              <w:rPr>
                <w:rStyle w:val="s2"/>
                <w:color w:val="000000" w:themeColor="text1"/>
                <w:sz w:val="22"/>
                <w:szCs w:val="22"/>
              </w:rPr>
              <w:t>no. 5, pp. 588–603.</w:t>
            </w:r>
          </w:p>
          <w:p w14:paraId="431D4634" w14:textId="77777777" w:rsidR="000D16B5" w:rsidRPr="00DB6A0F" w:rsidRDefault="000D16B5">
            <w:pPr>
              <w:pStyle w:val="p2"/>
              <w:rPr>
                <w:color w:val="000000" w:themeColor="text1"/>
                <w:sz w:val="22"/>
                <w:szCs w:val="22"/>
              </w:rPr>
            </w:pPr>
            <w:r w:rsidRPr="00DB6A0F">
              <w:rPr>
                <w:rStyle w:val="s2"/>
                <w:color w:val="000000" w:themeColor="text1"/>
                <w:sz w:val="22"/>
                <w:szCs w:val="22"/>
              </w:rPr>
              <w:t>Helsper, EJ 2012, ‘A Corresponding Fields Model for the Links Between Social and Digital</w:t>
            </w:r>
          </w:p>
          <w:p w14:paraId="551B0BAF" w14:textId="77777777" w:rsidR="000D16B5" w:rsidRPr="00DB6A0F" w:rsidRDefault="000D16B5">
            <w:pPr>
              <w:pStyle w:val="p2"/>
              <w:rPr>
                <w:color w:val="000000" w:themeColor="text1"/>
                <w:sz w:val="22"/>
                <w:szCs w:val="22"/>
              </w:rPr>
            </w:pPr>
            <w:r w:rsidRPr="00DB6A0F">
              <w:rPr>
                <w:rStyle w:val="s2"/>
                <w:color w:val="000000" w:themeColor="text1"/>
                <w:sz w:val="22"/>
                <w:szCs w:val="22"/>
              </w:rPr>
              <w:t xml:space="preserve">Exclusion’, </w:t>
            </w:r>
            <w:r w:rsidRPr="00DB6A0F">
              <w:rPr>
                <w:rStyle w:val="s3"/>
                <w:rFonts w:ascii="Arial" w:hAnsi="Arial"/>
                <w:i w:val="0"/>
                <w:iCs w:val="0"/>
                <w:color w:val="000000" w:themeColor="text1"/>
                <w:sz w:val="22"/>
                <w:szCs w:val="22"/>
              </w:rPr>
              <w:t>Communication Theory</w:t>
            </w:r>
            <w:r w:rsidRPr="00DB6A0F">
              <w:rPr>
                <w:rStyle w:val="s2"/>
                <w:color w:val="000000" w:themeColor="text1"/>
                <w:sz w:val="22"/>
                <w:szCs w:val="22"/>
              </w:rPr>
              <w:t>, vol. 22, no. 4, pp. 403–426.</w:t>
            </w:r>
          </w:p>
          <w:p w14:paraId="099C2DC4" w14:textId="77777777" w:rsidR="000D16B5" w:rsidRPr="00DB6A0F" w:rsidRDefault="000D16B5">
            <w:pPr>
              <w:pStyle w:val="p2"/>
              <w:rPr>
                <w:color w:val="000000" w:themeColor="text1"/>
                <w:sz w:val="22"/>
                <w:szCs w:val="22"/>
              </w:rPr>
            </w:pPr>
            <w:r w:rsidRPr="00DB6A0F">
              <w:rPr>
                <w:rStyle w:val="s2"/>
                <w:color w:val="000000" w:themeColor="text1"/>
                <w:sz w:val="22"/>
                <w:szCs w:val="22"/>
              </w:rPr>
              <w:t>― 2016, ‘The Social Relativity of Digital Exclusion: Applying Relative Deprivation Theory to</w:t>
            </w:r>
          </w:p>
          <w:p w14:paraId="47946EFA" w14:textId="77777777" w:rsidR="000D16B5" w:rsidRPr="00DB6A0F" w:rsidRDefault="000D16B5">
            <w:pPr>
              <w:pStyle w:val="p2"/>
              <w:rPr>
                <w:color w:val="000000" w:themeColor="text1"/>
                <w:sz w:val="22"/>
                <w:szCs w:val="22"/>
              </w:rPr>
            </w:pPr>
            <w:r w:rsidRPr="00DB6A0F">
              <w:rPr>
                <w:rStyle w:val="s2"/>
                <w:color w:val="000000" w:themeColor="text1"/>
                <w:sz w:val="22"/>
                <w:szCs w:val="22"/>
              </w:rPr>
              <w:t xml:space="preserve">Digital Inequalities’, </w:t>
            </w:r>
            <w:r w:rsidRPr="00DB6A0F">
              <w:rPr>
                <w:rStyle w:val="s3"/>
                <w:rFonts w:ascii="Arial" w:hAnsi="Arial"/>
                <w:i w:val="0"/>
                <w:iCs w:val="0"/>
                <w:color w:val="000000" w:themeColor="text1"/>
                <w:sz w:val="22"/>
                <w:szCs w:val="22"/>
              </w:rPr>
              <w:t>Communication Theory</w:t>
            </w:r>
            <w:r w:rsidRPr="00DB6A0F">
              <w:rPr>
                <w:rStyle w:val="s2"/>
                <w:color w:val="000000" w:themeColor="text1"/>
                <w:sz w:val="22"/>
                <w:szCs w:val="22"/>
              </w:rPr>
              <w:t>, vol. 27, no. 3, pp. 223–242.</w:t>
            </w:r>
          </w:p>
          <w:p w14:paraId="24723E32" w14:textId="77777777" w:rsidR="000D16B5" w:rsidRPr="00DB6A0F" w:rsidRDefault="000D16B5">
            <w:pPr>
              <w:pStyle w:val="p2"/>
              <w:rPr>
                <w:color w:val="000000" w:themeColor="text1"/>
                <w:sz w:val="22"/>
                <w:szCs w:val="22"/>
              </w:rPr>
            </w:pPr>
            <w:r w:rsidRPr="00DB6A0F">
              <w:rPr>
                <w:rStyle w:val="s2"/>
                <w:color w:val="000000" w:themeColor="text1"/>
                <w:sz w:val="22"/>
                <w:szCs w:val="22"/>
              </w:rPr>
              <w:t>Irwani, Saleh, M &amp; Bahrianoor 2024, ‘Digital Exclusion and Social Inequity: A Global Narrative</w:t>
            </w:r>
          </w:p>
          <w:p w14:paraId="4DC8C1AE" w14:textId="77777777" w:rsidR="000D16B5" w:rsidRPr="00DB6A0F" w:rsidRDefault="000D16B5">
            <w:pPr>
              <w:pStyle w:val="p2"/>
              <w:rPr>
                <w:color w:val="000000" w:themeColor="text1"/>
                <w:sz w:val="22"/>
                <w:szCs w:val="22"/>
              </w:rPr>
            </w:pPr>
            <w:r w:rsidRPr="00DB6A0F">
              <w:rPr>
                <w:rStyle w:val="s2"/>
                <w:color w:val="000000" w:themeColor="text1"/>
                <w:sz w:val="22"/>
                <w:szCs w:val="22"/>
              </w:rPr>
              <w:t xml:space="preserve">Review of Access to Education, Healthcare, and the Digital Economy’, </w:t>
            </w:r>
            <w:r w:rsidRPr="00DB6A0F">
              <w:rPr>
                <w:rStyle w:val="s3"/>
                <w:rFonts w:ascii="Arial" w:hAnsi="Arial"/>
                <w:i w:val="0"/>
                <w:iCs w:val="0"/>
                <w:color w:val="000000" w:themeColor="text1"/>
                <w:sz w:val="22"/>
                <w:szCs w:val="22"/>
              </w:rPr>
              <w:t>Sinergi International</w:t>
            </w:r>
          </w:p>
          <w:p w14:paraId="29BB0EEC" w14:textId="77777777" w:rsidR="000D16B5" w:rsidRPr="00DB6A0F" w:rsidRDefault="000D16B5">
            <w:pPr>
              <w:pStyle w:val="p2"/>
              <w:rPr>
                <w:color w:val="000000" w:themeColor="text1"/>
                <w:sz w:val="22"/>
                <w:szCs w:val="22"/>
              </w:rPr>
            </w:pPr>
            <w:r w:rsidRPr="00DB6A0F">
              <w:rPr>
                <w:rStyle w:val="s3"/>
                <w:rFonts w:ascii="Arial" w:hAnsi="Arial"/>
                <w:i w:val="0"/>
                <w:iCs w:val="0"/>
                <w:color w:val="000000" w:themeColor="text1"/>
                <w:sz w:val="22"/>
                <w:szCs w:val="22"/>
              </w:rPr>
              <w:t>Journal of Communication Sciences</w:t>
            </w:r>
            <w:r w:rsidRPr="00DB6A0F">
              <w:rPr>
                <w:rStyle w:val="s2"/>
                <w:color w:val="000000" w:themeColor="text1"/>
                <w:sz w:val="22"/>
                <w:szCs w:val="22"/>
              </w:rPr>
              <w:t>, vol. 2, no. 4, pp. 220–232.</w:t>
            </w:r>
          </w:p>
          <w:p w14:paraId="08383DFE" w14:textId="77777777" w:rsidR="000D16B5" w:rsidRPr="00DB6A0F" w:rsidRDefault="000D16B5">
            <w:pPr>
              <w:pStyle w:val="p2"/>
              <w:rPr>
                <w:color w:val="000000" w:themeColor="text1"/>
                <w:sz w:val="22"/>
                <w:szCs w:val="22"/>
              </w:rPr>
            </w:pPr>
            <w:r w:rsidRPr="00DB6A0F">
              <w:rPr>
                <w:rStyle w:val="s2"/>
                <w:color w:val="000000" w:themeColor="text1"/>
                <w:sz w:val="22"/>
                <w:szCs w:val="22"/>
              </w:rPr>
              <w:t xml:space="preserve">Krištofík, A 2022, ‘Digital exclusion as a roadblock to cybergovernance’, </w:t>
            </w:r>
            <w:r w:rsidRPr="00DB6A0F">
              <w:rPr>
                <w:rStyle w:val="s3"/>
                <w:rFonts w:ascii="Arial" w:hAnsi="Arial"/>
                <w:i w:val="0"/>
                <w:iCs w:val="0"/>
                <w:color w:val="000000" w:themeColor="text1"/>
                <w:sz w:val="22"/>
                <w:szCs w:val="22"/>
              </w:rPr>
              <w:t>Jusletter-IT</w:t>
            </w:r>
            <w:r w:rsidRPr="00DB6A0F">
              <w:rPr>
                <w:rStyle w:val="s2"/>
                <w:color w:val="000000" w:themeColor="text1"/>
                <w:sz w:val="22"/>
                <w:szCs w:val="22"/>
              </w:rPr>
              <w:t>, no. 30-</w:t>
            </w:r>
          </w:p>
          <w:p w14:paraId="70AEECF9" w14:textId="77777777" w:rsidR="000D16B5" w:rsidRPr="00DB6A0F" w:rsidRDefault="000D16B5">
            <w:pPr>
              <w:pStyle w:val="p2"/>
              <w:rPr>
                <w:color w:val="000000" w:themeColor="text1"/>
                <w:sz w:val="22"/>
                <w:szCs w:val="22"/>
              </w:rPr>
            </w:pPr>
            <w:r w:rsidRPr="00DB6A0F">
              <w:rPr>
                <w:rStyle w:val="s2"/>
                <w:color w:val="000000" w:themeColor="text1"/>
                <w:sz w:val="22"/>
                <w:szCs w:val="22"/>
              </w:rPr>
              <w:t>Juni-2022.</w:t>
            </w:r>
          </w:p>
          <w:p w14:paraId="01C5F30A" w14:textId="77777777" w:rsidR="000D16B5" w:rsidRPr="00DB6A0F" w:rsidRDefault="000D16B5">
            <w:pPr>
              <w:pStyle w:val="p2"/>
              <w:rPr>
                <w:color w:val="000000" w:themeColor="text1"/>
                <w:sz w:val="22"/>
                <w:szCs w:val="22"/>
              </w:rPr>
            </w:pPr>
            <w:r w:rsidRPr="00DB6A0F">
              <w:rPr>
                <w:rStyle w:val="s2"/>
                <w:color w:val="000000" w:themeColor="text1"/>
                <w:sz w:val="22"/>
                <w:szCs w:val="22"/>
              </w:rPr>
              <w:t>Mee, P, Gussy, M, Huntley, P, Kenny, A, Jarratt, T, Kenward, N, Ward, D &amp; Vaughan, A 2024,</w:t>
            </w:r>
          </w:p>
          <w:p w14:paraId="22096D5F" w14:textId="77777777" w:rsidR="000D16B5" w:rsidRPr="00DB6A0F" w:rsidRDefault="000D16B5">
            <w:pPr>
              <w:pStyle w:val="p2"/>
              <w:rPr>
                <w:color w:val="000000" w:themeColor="text1"/>
                <w:sz w:val="22"/>
                <w:szCs w:val="22"/>
              </w:rPr>
            </w:pPr>
            <w:r w:rsidRPr="00DB6A0F">
              <w:rPr>
                <w:rStyle w:val="s2"/>
                <w:color w:val="000000" w:themeColor="text1"/>
                <w:sz w:val="22"/>
                <w:szCs w:val="22"/>
              </w:rPr>
              <w:t>‘Digital exclusion as a barrier to accessing healthcare: a summary composite indicator and</w:t>
            </w:r>
          </w:p>
          <w:p w14:paraId="5EB5ABD4" w14:textId="77777777" w:rsidR="000D16B5" w:rsidRPr="00DB6A0F" w:rsidRDefault="000D16B5">
            <w:pPr>
              <w:pStyle w:val="p2"/>
              <w:rPr>
                <w:color w:val="000000" w:themeColor="text1"/>
                <w:sz w:val="22"/>
                <w:szCs w:val="22"/>
              </w:rPr>
            </w:pPr>
            <w:r w:rsidRPr="00DB6A0F">
              <w:rPr>
                <w:rStyle w:val="s2"/>
                <w:color w:val="000000" w:themeColor="text1"/>
                <w:sz w:val="22"/>
                <w:szCs w:val="22"/>
              </w:rPr>
              <w:t xml:space="preserve">online tool to explore and quantify local differences in levels of exclusion’, </w:t>
            </w:r>
            <w:r w:rsidRPr="00DB6A0F">
              <w:rPr>
                <w:rStyle w:val="s3"/>
                <w:rFonts w:ascii="Arial" w:hAnsi="Arial"/>
                <w:i w:val="0"/>
                <w:iCs w:val="0"/>
                <w:color w:val="000000" w:themeColor="text1"/>
                <w:sz w:val="22"/>
                <w:szCs w:val="22"/>
              </w:rPr>
              <w:t>Universal Access in</w:t>
            </w:r>
          </w:p>
          <w:p w14:paraId="7A8DDE72" w14:textId="77777777" w:rsidR="000D16B5" w:rsidRPr="00DB6A0F" w:rsidRDefault="000D16B5">
            <w:pPr>
              <w:pStyle w:val="p2"/>
              <w:rPr>
                <w:color w:val="000000" w:themeColor="text1"/>
                <w:sz w:val="22"/>
                <w:szCs w:val="22"/>
              </w:rPr>
            </w:pPr>
            <w:r w:rsidRPr="00DB6A0F">
              <w:rPr>
                <w:rStyle w:val="s3"/>
                <w:rFonts w:ascii="Arial" w:hAnsi="Arial"/>
                <w:i w:val="0"/>
                <w:iCs w:val="0"/>
                <w:color w:val="000000" w:themeColor="text1"/>
                <w:sz w:val="22"/>
                <w:szCs w:val="22"/>
              </w:rPr>
              <w:t>the Information Society</w:t>
            </w:r>
            <w:r w:rsidRPr="00DB6A0F">
              <w:rPr>
                <w:rStyle w:val="s2"/>
                <w:color w:val="000000" w:themeColor="text1"/>
                <w:sz w:val="22"/>
                <w:szCs w:val="22"/>
              </w:rPr>
              <w:t>, Springer Science and Business Media LLC.</w:t>
            </w:r>
          </w:p>
          <w:p w14:paraId="2F9BB3FA" w14:textId="77777777" w:rsidR="000D16B5" w:rsidRPr="00DB6A0F" w:rsidRDefault="000D16B5">
            <w:pPr>
              <w:pStyle w:val="p2"/>
              <w:rPr>
                <w:color w:val="000000" w:themeColor="text1"/>
                <w:sz w:val="22"/>
                <w:szCs w:val="22"/>
              </w:rPr>
            </w:pPr>
            <w:r w:rsidRPr="00DB6A0F">
              <w:rPr>
                <w:rStyle w:val="s2"/>
                <w:color w:val="000000" w:themeColor="text1"/>
                <w:sz w:val="22"/>
                <w:szCs w:val="22"/>
              </w:rPr>
              <w:t>Miers, M 2001, ‘Stigma and social exclusion in health care Stigma and social exclusion in</w:t>
            </w:r>
          </w:p>
          <w:p w14:paraId="03543B57" w14:textId="77777777" w:rsidR="000D16B5" w:rsidRPr="00DB6A0F" w:rsidRDefault="000D16B5">
            <w:pPr>
              <w:pStyle w:val="p2"/>
              <w:rPr>
                <w:color w:val="000000" w:themeColor="text1"/>
                <w:sz w:val="22"/>
                <w:szCs w:val="22"/>
              </w:rPr>
            </w:pPr>
            <w:r w:rsidRPr="00DB6A0F">
              <w:rPr>
                <w:rStyle w:val="s2"/>
                <w:color w:val="000000" w:themeColor="text1"/>
                <w:sz w:val="22"/>
                <w:szCs w:val="22"/>
              </w:rPr>
              <w:t xml:space="preserve">health care’, </w:t>
            </w:r>
            <w:r w:rsidRPr="00DB6A0F">
              <w:rPr>
                <w:rStyle w:val="s3"/>
                <w:rFonts w:ascii="Arial" w:hAnsi="Arial"/>
                <w:i w:val="0"/>
                <w:iCs w:val="0"/>
                <w:color w:val="000000" w:themeColor="text1"/>
                <w:sz w:val="22"/>
                <w:szCs w:val="22"/>
              </w:rPr>
              <w:t>Nursing Standard</w:t>
            </w:r>
            <w:r w:rsidRPr="00DB6A0F">
              <w:rPr>
                <w:rStyle w:val="s2"/>
                <w:color w:val="000000" w:themeColor="text1"/>
                <w:sz w:val="22"/>
                <w:szCs w:val="22"/>
              </w:rPr>
              <w:t>, vol. 16, no. 2, pp. 28–28.</w:t>
            </w:r>
          </w:p>
          <w:p w14:paraId="517530F3" w14:textId="77777777" w:rsidR="000D16B5" w:rsidRPr="00DB6A0F" w:rsidRDefault="000D16B5">
            <w:pPr>
              <w:pStyle w:val="p2"/>
              <w:rPr>
                <w:color w:val="000000" w:themeColor="text1"/>
                <w:sz w:val="22"/>
                <w:szCs w:val="22"/>
              </w:rPr>
            </w:pPr>
            <w:r w:rsidRPr="00DB6A0F">
              <w:rPr>
                <w:rStyle w:val="s2"/>
                <w:color w:val="000000" w:themeColor="text1"/>
                <w:sz w:val="22"/>
                <w:szCs w:val="22"/>
              </w:rPr>
              <w:t>Molala, TS &amp; Makhubele, JC 2021, ‘THE CONNECTION BETWEEN DIGITAL DIVIDE AND</w:t>
            </w:r>
          </w:p>
          <w:p w14:paraId="17E3CAE6" w14:textId="77777777" w:rsidR="000D16B5" w:rsidRPr="00DB6A0F" w:rsidRDefault="000D16B5">
            <w:pPr>
              <w:pStyle w:val="p2"/>
              <w:rPr>
                <w:color w:val="000000" w:themeColor="text1"/>
                <w:sz w:val="22"/>
                <w:szCs w:val="22"/>
              </w:rPr>
            </w:pPr>
            <w:r w:rsidRPr="00DB6A0F">
              <w:rPr>
                <w:rStyle w:val="s2"/>
                <w:color w:val="000000" w:themeColor="text1"/>
                <w:sz w:val="22"/>
                <w:szCs w:val="22"/>
              </w:rPr>
              <w:t xml:space="preserve">SOCIAL EXCLUSION: IMPLICATIONS FOR SOCIAL WORK’, </w:t>
            </w:r>
            <w:r w:rsidRPr="00DB6A0F">
              <w:rPr>
                <w:rStyle w:val="s3"/>
                <w:rFonts w:ascii="Arial" w:hAnsi="Arial"/>
                <w:i w:val="0"/>
                <w:iCs w:val="0"/>
                <w:color w:val="000000" w:themeColor="text1"/>
                <w:sz w:val="22"/>
                <w:szCs w:val="22"/>
              </w:rPr>
              <w:t>Humanities &amp; Social Sciences</w:t>
            </w:r>
          </w:p>
          <w:p w14:paraId="18EBA443" w14:textId="77777777" w:rsidR="000D16B5" w:rsidRPr="00DB6A0F" w:rsidRDefault="000D16B5">
            <w:pPr>
              <w:pStyle w:val="p2"/>
              <w:rPr>
                <w:color w:val="000000" w:themeColor="text1"/>
                <w:sz w:val="22"/>
                <w:szCs w:val="22"/>
              </w:rPr>
            </w:pPr>
            <w:r w:rsidRPr="00DB6A0F">
              <w:rPr>
                <w:rStyle w:val="s3"/>
                <w:rFonts w:ascii="Arial" w:hAnsi="Arial"/>
                <w:i w:val="0"/>
                <w:iCs w:val="0"/>
                <w:color w:val="000000" w:themeColor="text1"/>
                <w:sz w:val="22"/>
                <w:szCs w:val="22"/>
              </w:rPr>
              <w:t>Reviews</w:t>
            </w:r>
            <w:r w:rsidRPr="00DB6A0F">
              <w:rPr>
                <w:rStyle w:val="s2"/>
                <w:color w:val="000000" w:themeColor="text1"/>
                <w:sz w:val="22"/>
                <w:szCs w:val="22"/>
              </w:rPr>
              <w:t>, vol. 9, no. 4, pp. 194–201.</w:t>
            </w:r>
          </w:p>
          <w:p w14:paraId="2309557D" w14:textId="77777777" w:rsidR="000D16B5" w:rsidRPr="00DB6A0F" w:rsidRDefault="000D16B5">
            <w:pPr>
              <w:pStyle w:val="p2"/>
              <w:rPr>
                <w:color w:val="000000" w:themeColor="text1"/>
                <w:sz w:val="22"/>
                <w:szCs w:val="22"/>
              </w:rPr>
            </w:pPr>
            <w:r w:rsidRPr="00DB6A0F">
              <w:rPr>
                <w:rStyle w:val="s2"/>
                <w:color w:val="000000" w:themeColor="text1"/>
                <w:sz w:val="22"/>
                <w:szCs w:val="22"/>
              </w:rPr>
              <w:t>Xue, Z, Zhou, N, Wu, Y &amp; Qi, H 2026, ‘Digital exclusion in healthcare services: a scoping</w:t>
            </w:r>
          </w:p>
          <w:p w14:paraId="38216A43" w14:textId="77777777" w:rsidR="000D16B5" w:rsidRPr="00DB6A0F" w:rsidRDefault="000D16B5">
            <w:pPr>
              <w:pStyle w:val="p2"/>
              <w:rPr>
                <w:color w:val="000000" w:themeColor="text1"/>
                <w:sz w:val="22"/>
                <w:szCs w:val="22"/>
              </w:rPr>
            </w:pPr>
            <w:r w:rsidRPr="00DB6A0F">
              <w:rPr>
                <w:rStyle w:val="s2"/>
                <w:color w:val="000000" w:themeColor="text1"/>
                <w:sz w:val="22"/>
                <w:szCs w:val="22"/>
              </w:rPr>
              <w:t xml:space="preserve">review’, </w:t>
            </w:r>
            <w:r w:rsidRPr="00DB6A0F">
              <w:rPr>
                <w:rStyle w:val="s3"/>
                <w:rFonts w:ascii="Arial" w:hAnsi="Arial"/>
                <w:i w:val="0"/>
                <w:iCs w:val="0"/>
                <w:color w:val="000000" w:themeColor="text1"/>
                <w:sz w:val="22"/>
                <w:szCs w:val="22"/>
              </w:rPr>
              <w:t>International Journal for Equity in Health</w:t>
            </w:r>
            <w:r w:rsidRPr="00DB6A0F">
              <w:rPr>
                <w:rStyle w:val="s2"/>
                <w:color w:val="000000" w:themeColor="text1"/>
                <w:sz w:val="22"/>
                <w:szCs w:val="22"/>
              </w:rPr>
              <w:t>, Springer Science and Business Media LLC.</w:t>
            </w:r>
          </w:p>
          <w:p w14:paraId="74F65B9C" w14:textId="77777777" w:rsidR="000D16B5" w:rsidRPr="00DB6A0F" w:rsidRDefault="000D16B5">
            <w:pPr>
              <w:pStyle w:val="p2"/>
              <w:rPr>
                <w:color w:val="000000" w:themeColor="text1"/>
                <w:sz w:val="22"/>
                <w:szCs w:val="22"/>
              </w:rPr>
            </w:pPr>
            <w:r w:rsidRPr="00DB6A0F">
              <w:rPr>
                <w:rStyle w:val="s2"/>
                <w:color w:val="000000" w:themeColor="text1"/>
                <w:sz w:val="22"/>
                <w:szCs w:val="22"/>
              </w:rPr>
              <w:t>Zhang, Y 2025, ‘Silent Exclusion: An Analysis of the Healthcare Integration Dilemma for the</w:t>
            </w:r>
          </w:p>
          <w:p w14:paraId="2A25769F" w14:textId="77777777" w:rsidR="000D16B5" w:rsidRPr="00DB6A0F" w:rsidRDefault="000D16B5">
            <w:pPr>
              <w:pStyle w:val="p2"/>
              <w:rPr>
                <w:color w:val="000000" w:themeColor="text1"/>
                <w:sz w:val="22"/>
                <w:szCs w:val="22"/>
              </w:rPr>
            </w:pPr>
            <w:r w:rsidRPr="00DB6A0F">
              <w:rPr>
                <w:rStyle w:val="s2"/>
                <w:color w:val="000000" w:themeColor="text1"/>
                <w:sz w:val="22"/>
                <w:szCs w:val="22"/>
              </w:rPr>
              <w:t xml:space="preserve">Elderly in Seeking Medical Treatment under Urban Digital Transformation’, </w:t>
            </w:r>
            <w:r w:rsidRPr="00DB6A0F">
              <w:rPr>
                <w:rStyle w:val="s3"/>
                <w:rFonts w:ascii="Arial" w:hAnsi="Arial"/>
                <w:i w:val="0"/>
                <w:iCs w:val="0"/>
                <w:color w:val="000000" w:themeColor="text1"/>
                <w:sz w:val="22"/>
                <w:szCs w:val="22"/>
              </w:rPr>
              <w:t>Scientific Journal</w:t>
            </w:r>
          </w:p>
          <w:p w14:paraId="07CA5ECD" w14:textId="772ED0AC" w:rsidR="00F544D3" w:rsidRPr="00DB6A0F" w:rsidRDefault="00F544D3">
            <w:pPr>
              <w:pStyle w:val="p1"/>
              <w:rPr>
                <w:color w:val="000000" w:themeColor="text1"/>
                <w:sz w:val="22"/>
                <w:szCs w:val="22"/>
              </w:rPr>
            </w:pPr>
            <w:r w:rsidRPr="00DB6A0F">
              <w:rPr>
                <w:rStyle w:val="s1"/>
                <w:rFonts w:ascii="Arial" w:hAnsi="Arial"/>
                <w:b w:val="0"/>
                <w:bCs w:val="0"/>
                <w:i w:val="0"/>
                <w:iCs w:val="0"/>
                <w:color w:val="000000" w:themeColor="text1"/>
                <w:sz w:val="22"/>
                <w:szCs w:val="22"/>
              </w:rPr>
              <w:t>Of Humanities and Social Sciences</w:t>
            </w:r>
            <w:r w:rsidRPr="00DB6A0F">
              <w:rPr>
                <w:rStyle w:val="s2"/>
                <w:color w:val="000000" w:themeColor="text1"/>
                <w:sz w:val="22"/>
                <w:szCs w:val="22"/>
              </w:rPr>
              <w:t>, vol. 7, no. 9, pp. 79–9</w:t>
            </w:r>
            <w:r w:rsidR="005725A7" w:rsidRPr="00DB6A0F">
              <w:rPr>
                <w:rStyle w:val="s2"/>
                <w:color w:val="000000" w:themeColor="text1"/>
                <w:sz w:val="22"/>
                <w:szCs w:val="22"/>
              </w:rPr>
              <w:t>0.</w:t>
            </w:r>
          </w:p>
          <w:p w14:paraId="1125EDBA" w14:textId="77777777" w:rsidR="000D16B5" w:rsidRPr="00381221" w:rsidRDefault="000D16B5" w:rsidP="00D64DE6">
            <w:pPr>
              <w:spacing w:before="100" w:beforeAutospacing="1" w:after="100" w:afterAutospacing="1" w:line="240" w:lineRule="auto"/>
              <w:rPr>
                <w:rFonts w:ascii="Arial" w:hAnsi="Arial" w:cs="Arial"/>
                <w:color w:val="000000"/>
                <w:kern w:val="0"/>
                <w:sz w:val="22"/>
                <w:szCs w:val="22"/>
                <w14:ligatures w14:val="none"/>
              </w:rPr>
            </w:pPr>
          </w:p>
          <w:p w14:paraId="225D1E2B" w14:textId="77777777" w:rsidR="005736AD" w:rsidRDefault="005736AD" w:rsidP="00671A3F">
            <w:pPr>
              <w:spacing w:after="0" w:line="240" w:lineRule="auto"/>
              <w:ind w:hanging="270"/>
              <w:rPr>
                <w:rFonts w:ascii="Segoe UI Symbol" w:eastAsia="Times New Roman" w:hAnsi="Segoe UI Symbol" w:cs="Segoe UI Symbol"/>
                <w:kern w:val="0"/>
                <w:sz w:val="18"/>
                <w:szCs w:val="18"/>
                <w14:ligatures w14:val="none"/>
              </w:rPr>
            </w:pPr>
          </w:p>
          <w:p w14:paraId="648092DB" w14:textId="77777777" w:rsidR="005736AD" w:rsidRDefault="005736AD" w:rsidP="00671A3F">
            <w:pPr>
              <w:spacing w:after="0" w:line="240" w:lineRule="auto"/>
              <w:ind w:hanging="270"/>
              <w:rPr>
                <w:rFonts w:ascii="Segoe UI Symbol" w:eastAsia="Times New Roman" w:hAnsi="Segoe UI Symbol" w:cs="Segoe UI Symbol"/>
                <w:kern w:val="0"/>
                <w:sz w:val="18"/>
                <w:szCs w:val="18"/>
                <w14:ligatures w14:val="none"/>
              </w:rPr>
            </w:pPr>
          </w:p>
          <w:p w14:paraId="0813763A" w14:textId="77777777" w:rsidR="005736AD" w:rsidRDefault="005736AD" w:rsidP="00671A3F">
            <w:pPr>
              <w:spacing w:after="0" w:line="240" w:lineRule="auto"/>
              <w:ind w:hanging="270"/>
              <w:rPr>
                <w:rFonts w:ascii="Segoe UI Symbol" w:eastAsia="Times New Roman" w:hAnsi="Segoe UI Symbol" w:cs="Segoe UI Symbol"/>
                <w:kern w:val="0"/>
                <w:sz w:val="18"/>
                <w:szCs w:val="18"/>
                <w14:ligatures w14:val="none"/>
              </w:rPr>
            </w:pPr>
          </w:p>
          <w:p w14:paraId="4361195A" w14:textId="77777777" w:rsidR="00A52F61" w:rsidRDefault="00A52F61" w:rsidP="00671A3F">
            <w:pPr>
              <w:spacing w:after="0" w:line="240" w:lineRule="auto"/>
              <w:ind w:hanging="270"/>
              <w:rPr>
                <w:rFonts w:ascii="Segoe UI Symbol" w:eastAsia="Times New Roman" w:hAnsi="Segoe UI Symbol" w:cs="Segoe UI Symbol"/>
                <w:kern w:val="0"/>
                <w:sz w:val="18"/>
                <w:szCs w:val="18"/>
                <w14:ligatures w14:val="none"/>
              </w:rPr>
            </w:pPr>
          </w:p>
          <w:p w14:paraId="1725DB1B" w14:textId="77777777" w:rsidR="00A52F61" w:rsidRPr="003E2E98" w:rsidRDefault="00A52F61" w:rsidP="00671A3F">
            <w:pPr>
              <w:spacing w:after="0" w:line="240" w:lineRule="auto"/>
              <w:ind w:hanging="270"/>
              <w:rPr>
                <w:rFonts w:ascii="-webkit-standard" w:eastAsia="Times New Roman" w:hAnsi="-webkit-standard" w:cs="Times New Roman"/>
                <w:kern w:val="0"/>
                <w:sz w:val="18"/>
                <w:szCs w:val="18"/>
                <w14:ligatures w14:val="none"/>
              </w:rPr>
            </w:pPr>
          </w:p>
          <w:p w14:paraId="3699CF2A" w14:textId="7A30B060" w:rsidR="003E2E98" w:rsidRPr="003E2E98" w:rsidRDefault="003E2E98" w:rsidP="003E2E98">
            <w:pPr>
              <w:spacing w:before="75" w:after="75" w:line="240" w:lineRule="auto"/>
              <w:rPr>
                <w:rFonts w:ascii="-webkit-standard" w:hAnsi="-webkit-standard" w:cs="Times New Roman"/>
                <w:kern w:val="0"/>
                <w:sz w:val="18"/>
                <w:szCs w:val="18"/>
                <w14:ligatures w14:val="none"/>
              </w:rPr>
            </w:pPr>
          </w:p>
        </w:tc>
      </w:tr>
    </w:tbl>
    <w:p w14:paraId="2B7E529A" w14:textId="77777777" w:rsidR="003E2E98" w:rsidRDefault="003E2E98"/>
    <w:sectPr w:rsidR="003E2E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BoldItalicMT">
    <w:altName w:val="Arial"/>
    <w:panose1 w:val="020B0604020202020204"/>
    <w:charset w:val="00"/>
    <w:family w:val="roman"/>
    <w:pitch w:val="default"/>
  </w:font>
  <w:font w:name="Arial-ItalicMT">
    <w:altName w:val="Arial"/>
    <w:panose1 w:val="020B0604020202020204"/>
    <w:charset w:val="00"/>
    <w:family w:val="roman"/>
    <w:pitch w:val="default"/>
  </w:font>
  <w:font w:name="-webkit-standard">
    <w:altName w:val="Cambria"/>
    <w:panose1 w:val="020B0604020202020204"/>
    <w:charset w:val="00"/>
    <w:family w:val="roman"/>
    <w:pitch w:val="default"/>
  </w:font>
  <w:font w:name="Aptos Narrow">
    <w:panose1 w:val="020B0004020202020204"/>
    <w:charset w:val="00"/>
    <w:family w:val="swiss"/>
    <w:pitch w:val="variable"/>
    <w:sig w:usb0="20000287" w:usb1="00000003" w:usb2="00000000" w:usb3="00000000" w:csb0="0000019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E98"/>
    <w:rsid w:val="0001297C"/>
    <w:rsid w:val="0003710B"/>
    <w:rsid w:val="000D16B5"/>
    <w:rsid w:val="001A51E2"/>
    <w:rsid w:val="002549F5"/>
    <w:rsid w:val="002669DC"/>
    <w:rsid w:val="002A0214"/>
    <w:rsid w:val="002D668C"/>
    <w:rsid w:val="0030506A"/>
    <w:rsid w:val="00307B80"/>
    <w:rsid w:val="00380463"/>
    <w:rsid w:val="00381221"/>
    <w:rsid w:val="003B29D8"/>
    <w:rsid w:val="003D64B1"/>
    <w:rsid w:val="003E2E98"/>
    <w:rsid w:val="004549F5"/>
    <w:rsid w:val="00482C33"/>
    <w:rsid w:val="0050090E"/>
    <w:rsid w:val="00503505"/>
    <w:rsid w:val="00524EBC"/>
    <w:rsid w:val="00534D84"/>
    <w:rsid w:val="00562246"/>
    <w:rsid w:val="005725A7"/>
    <w:rsid w:val="005736AD"/>
    <w:rsid w:val="005E6451"/>
    <w:rsid w:val="005F3286"/>
    <w:rsid w:val="0064222E"/>
    <w:rsid w:val="00671A3F"/>
    <w:rsid w:val="00696195"/>
    <w:rsid w:val="00697C06"/>
    <w:rsid w:val="007C57E3"/>
    <w:rsid w:val="00872B4D"/>
    <w:rsid w:val="00950697"/>
    <w:rsid w:val="009B079D"/>
    <w:rsid w:val="00A52F61"/>
    <w:rsid w:val="00AB12E8"/>
    <w:rsid w:val="00AB6A49"/>
    <w:rsid w:val="00AB783C"/>
    <w:rsid w:val="00B83598"/>
    <w:rsid w:val="00BC7131"/>
    <w:rsid w:val="00BE02C8"/>
    <w:rsid w:val="00CE33E3"/>
    <w:rsid w:val="00D64DE6"/>
    <w:rsid w:val="00D84153"/>
    <w:rsid w:val="00D90FB3"/>
    <w:rsid w:val="00DB6640"/>
    <w:rsid w:val="00DB6A0F"/>
    <w:rsid w:val="00DE0B3B"/>
    <w:rsid w:val="00E320C3"/>
    <w:rsid w:val="00E46544"/>
    <w:rsid w:val="00ED6452"/>
    <w:rsid w:val="00EE69F9"/>
    <w:rsid w:val="00F544D3"/>
    <w:rsid w:val="00FE21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F69265"/>
  <w15:chartTrackingRefBased/>
  <w15:docId w15:val="{0C905F4A-CD72-8C4C-BDDB-C448CE890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2E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2E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2E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2E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2E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2E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2E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2E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2E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E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2E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2E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2E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2E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2E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E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E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E98"/>
    <w:rPr>
      <w:rFonts w:eastAsiaTheme="majorEastAsia" w:cstheme="majorBidi"/>
      <w:color w:val="272727" w:themeColor="text1" w:themeTint="D8"/>
    </w:rPr>
  </w:style>
  <w:style w:type="paragraph" w:styleId="Title">
    <w:name w:val="Title"/>
    <w:basedOn w:val="Normal"/>
    <w:next w:val="Normal"/>
    <w:link w:val="TitleChar"/>
    <w:uiPriority w:val="10"/>
    <w:qFormat/>
    <w:rsid w:val="003E2E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E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2E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2E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2E98"/>
    <w:pPr>
      <w:spacing w:before="160"/>
      <w:jc w:val="center"/>
    </w:pPr>
    <w:rPr>
      <w:i/>
      <w:iCs/>
      <w:color w:val="404040" w:themeColor="text1" w:themeTint="BF"/>
    </w:rPr>
  </w:style>
  <w:style w:type="character" w:customStyle="1" w:styleId="QuoteChar">
    <w:name w:val="Quote Char"/>
    <w:basedOn w:val="DefaultParagraphFont"/>
    <w:link w:val="Quote"/>
    <w:uiPriority w:val="29"/>
    <w:rsid w:val="003E2E98"/>
    <w:rPr>
      <w:i/>
      <w:iCs/>
      <w:color w:val="404040" w:themeColor="text1" w:themeTint="BF"/>
    </w:rPr>
  </w:style>
  <w:style w:type="paragraph" w:styleId="ListParagraph">
    <w:name w:val="List Paragraph"/>
    <w:basedOn w:val="Normal"/>
    <w:uiPriority w:val="34"/>
    <w:qFormat/>
    <w:rsid w:val="003E2E98"/>
    <w:pPr>
      <w:ind w:left="720"/>
      <w:contextualSpacing/>
    </w:pPr>
  </w:style>
  <w:style w:type="character" w:styleId="IntenseEmphasis">
    <w:name w:val="Intense Emphasis"/>
    <w:basedOn w:val="DefaultParagraphFont"/>
    <w:uiPriority w:val="21"/>
    <w:qFormat/>
    <w:rsid w:val="003E2E98"/>
    <w:rPr>
      <w:i/>
      <w:iCs/>
      <w:color w:val="0F4761" w:themeColor="accent1" w:themeShade="BF"/>
    </w:rPr>
  </w:style>
  <w:style w:type="paragraph" w:styleId="IntenseQuote">
    <w:name w:val="Intense Quote"/>
    <w:basedOn w:val="Normal"/>
    <w:next w:val="Normal"/>
    <w:link w:val="IntenseQuoteChar"/>
    <w:uiPriority w:val="30"/>
    <w:qFormat/>
    <w:rsid w:val="003E2E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2E98"/>
    <w:rPr>
      <w:i/>
      <w:iCs/>
      <w:color w:val="0F4761" w:themeColor="accent1" w:themeShade="BF"/>
    </w:rPr>
  </w:style>
  <w:style w:type="character" w:styleId="IntenseReference">
    <w:name w:val="Intense Reference"/>
    <w:basedOn w:val="DefaultParagraphFont"/>
    <w:uiPriority w:val="32"/>
    <w:qFormat/>
    <w:rsid w:val="003E2E98"/>
    <w:rPr>
      <w:b/>
      <w:bCs/>
      <w:smallCaps/>
      <w:color w:val="0F4761" w:themeColor="accent1" w:themeShade="BF"/>
      <w:spacing w:val="5"/>
    </w:rPr>
  </w:style>
  <w:style w:type="paragraph" w:customStyle="1" w:styleId="s9">
    <w:name w:val="s9"/>
    <w:basedOn w:val="Normal"/>
    <w:rsid w:val="003E2E98"/>
    <w:pPr>
      <w:spacing w:before="100" w:beforeAutospacing="1" w:after="100" w:afterAutospacing="1" w:line="240" w:lineRule="auto"/>
    </w:pPr>
    <w:rPr>
      <w:rFonts w:ascii="Times New Roman" w:hAnsi="Times New Roman" w:cs="Times New Roman"/>
      <w:kern w:val="0"/>
      <w14:ligatures w14:val="none"/>
    </w:rPr>
  </w:style>
  <w:style w:type="character" w:customStyle="1" w:styleId="s8">
    <w:name w:val="s8"/>
    <w:basedOn w:val="DefaultParagraphFont"/>
    <w:rsid w:val="003E2E98"/>
  </w:style>
  <w:style w:type="character" w:customStyle="1" w:styleId="apple-converted-space">
    <w:name w:val="apple-converted-space"/>
    <w:basedOn w:val="DefaultParagraphFont"/>
    <w:rsid w:val="003E2E98"/>
  </w:style>
  <w:style w:type="paragraph" w:customStyle="1" w:styleId="s11">
    <w:name w:val="s11"/>
    <w:basedOn w:val="Normal"/>
    <w:rsid w:val="003E2E98"/>
    <w:pPr>
      <w:spacing w:before="100" w:beforeAutospacing="1" w:after="100" w:afterAutospacing="1" w:line="240" w:lineRule="auto"/>
    </w:pPr>
    <w:rPr>
      <w:rFonts w:ascii="Times New Roman" w:hAnsi="Times New Roman" w:cs="Times New Roman"/>
      <w:kern w:val="0"/>
      <w14:ligatures w14:val="none"/>
    </w:rPr>
  </w:style>
  <w:style w:type="character" w:customStyle="1" w:styleId="s10">
    <w:name w:val="s10"/>
    <w:basedOn w:val="DefaultParagraphFont"/>
    <w:rsid w:val="003E2E98"/>
  </w:style>
  <w:style w:type="paragraph" w:customStyle="1" w:styleId="s14">
    <w:name w:val="s14"/>
    <w:basedOn w:val="Normal"/>
    <w:rsid w:val="003E2E98"/>
    <w:pPr>
      <w:spacing w:before="100" w:beforeAutospacing="1" w:after="100" w:afterAutospacing="1" w:line="240" w:lineRule="auto"/>
    </w:pPr>
    <w:rPr>
      <w:rFonts w:ascii="Times New Roman" w:hAnsi="Times New Roman" w:cs="Times New Roman"/>
      <w:kern w:val="0"/>
      <w14:ligatures w14:val="none"/>
    </w:rPr>
  </w:style>
  <w:style w:type="character" w:customStyle="1" w:styleId="s13">
    <w:name w:val="s13"/>
    <w:basedOn w:val="DefaultParagraphFont"/>
    <w:rsid w:val="003E2E98"/>
  </w:style>
  <w:style w:type="paragraph" w:styleId="NormalWeb">
    <w:name w:val="Normal (Web)"/>
    <w:basedOn w:val="Normal"/>
    <w:uiPriority w:val="99"/>
    <w:semiHidden/>
    <w:unhideWhenUsed/>
    <w:rsid w:val="003E2E98"/>
    <w:pPr>
      <w:spacing w:before="100" w:beforeAutospacing="1" w:after="100" w:afterAutospacing="1" w:line="240" w:lineRule="auto"/>
    </w:pPr>
    <w:rPr>
      <w:rFonts w:ascii="Times New Roman" w:hAnsi="Times New Roman" w:cs="Times New Roman"/>
      <w:kern w:val="0"/>
      <w14:ligatures w14:val="none"/>
    </w:rPr>
  </w:style>
  <w:style w:type="paragraph" w:customStyle="1" w:styleId="s17">
    <w:name w:val="s17"/>
    <w:basedOn w:val="Normal"/>
    <w:rsid w:val="003E2E98"/>
    <w:pPr>
      <w:spacing w:before="100" w:beforeAutospacing="1" w:after="100" w:afterAutospacing="1" w:line="240" w:lineRule="auto"/>
    </w:pPr>
    <w:rPr>
      <w:rFonts w:ascii="Times New Roman" w:hAnsi="Times New Roman" w:cs="Times New Roman"/>
      <w:kern w:val="0"/>
      <w14:ligatures w14:val="none"/>
    </w:rPr>
  </w:style>
  <w:style w:type="character" w:customStyle="1" w:styleId="s18">
    <w:name w:val="s18"/>
    <w:basedOn w:val="DefaultParagraphFont"/>
    <w:rsid w:val="003E2E98"/>
  </w:style>
  <w:style w:type="character" w:customStyle="1" w:styleId="s19">
    <w:name w:val="s19"/>
    <w:basedOn w:val="DefaultParagraphFont"/>
    <w:rsid w:val="003E2E98"/>
  </w:style>
  <w:style w:type="character" w:customStyle="1" w:styleId="s20">
    <w:name w:val="s20"/>
    <w:basedOn w:val="DefaultParagraphFont"/>
    <w:rsid w:val="003E2E98"/>
  </w:style>
  <w:style w:type="character" w:customStyle="1" w:styleId="s21">
    <w:name w:val="s21"/>
    <w:basedOn w:val="DefaultParagraphFont"/>
    <w:rsid w:val="003E2E98"/>
  </w:style>
  <w:style w:type="paragraph" w:customStyle="1" w:styleId="s6">
    <w:name w:val="s6"/>
    <w:basedOn w:val="Normal"/>
    <w:rsid w:val="003E2E98"/>
    <w:pPr>
      <w:spacing w:before="100" w:beforeAutospacing="1" w:after="100" w:afterAutospacing="1" w:line="240" w:lineRule="auto"/>
    </w:pPr>
    <w:rPr>
      <w:rFonts w:ascii="Times New Roman" w:hAnsi="Times New Roman" w:cs="Times New Roman"/>
      <w:kern w:val="0"/>
      <w14:ligatures w14:val="none"/>
    </w:rPr>
  </w:style>
  <w:style w:type="character" w:customStyle="1" w:styleId="s22">
    <w:name w:val="s22"/>
    <w:basedOn w:val="DefaultParagraphFont"/>
    <w:rsid w:val="003E2E98"/>
  </w:style>
  <w:style w:type="paragraph" w:customStyle="1" w:styleId="s23">
    <w:name w:val="s23"/>
    <w:basedOn w:val="Normal"/>
    <w:rsid w:val="003E2E98"/>
    <w:pPr>
      <w:spacing w:before="100" w:beforeAutospacing="1" w:after="100" w:afterAutospacing="1" w:line="240" w:lineRule="auto"/>
    </w:pPr>
    <w:rPr>
      <w:rFonts w:ascii="Times New Roman" w:hAnsi="Times New Roman" w:cs="Times New Roman"/>
      <w:kern w:val="0"/>
      <w14:ligatures w14:val="none"/>
    </w:rPr>
  </w:style>
  <w:style w:type="character" w:customStyle="1" w:styleId="s24">
    <w:name w:val="s24"/>
    <w:basedOn w:val="DefaultParagraphFont"/>
    <w:rsid w:val="003E2E98"/>
  </w:style>
  <w:style w:type="paragraph" w:customStyle="1" w:styleId="s26">
    <w:name w:val="s26"/>
    <w:basedOn w:val="Normal"/>
    <w:rsid w:val="003E2E98"/>
    <w:pPr>
      <w:spacing w:before="100" w:beforeAutospacing="1" w:after="100" w:afterAutospacing="1" w:line="240" w:lineRule="auto"/>
    </w:pPr>
    <w:rPr>
      <w:rFonts w:ascii="Times New Roman" w:hAnsi="Times New Roman" w:cs="Times New Roman"/>
      <w:kern w:val="0"/>
      <w14:ligatures w14:val="none"/>
    </w:rPr>
  </w:style>
  <w:style w:type="character" w:customStyle="1" w:styleId="s27">
    <w:name w:val="s27"/>
    <w:basedOn w:val="DefaultParagraphFont"/>
    <w:rsid w:val="003E2E98"/>
  </w:style>
  <w:style w:type="character" w:customStyle="1" w:styleId="s28">
    <w:name w:val="s28"/>
    <w:basedOn w:val="DefaultParagraphFont"/>
    <w:rsid w:val="003E2E98"/>
  </w:style>
  <w:style w:type="character" w:customStyle="1" w:styleId="s29">
    <w:name w:val="s29"/>
    <w:basedOn w:val="DefaultParagraphFont"/>
    <w:rsid w:val="003E2E98"/>
  </w:style>
  <w:style w:type="paragraph" w:customStyle="1" w:styleId="s30">
    <w:name w:val="s30"/>
    <w:basedOn w:val="Normal"/>
    <w:rsid w:val="003E2E98"/>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3E2E98"/>
  </w:style>
  <w:style w:type="character" w:customStyle="1" w:styleId="s31">
    <w:name w:val="s31"/>
    <w:basedOn w:val="DefaultParagraphFont"/>
    <w:rsid w:val="003E2E98"/>
  </w:style>
  <w:style w:type="character" w:customStyle="1" w:styleId="s32">
    <w:name w:val="s32"/>
    <w:basedOn w:val="DefaultParagraphFont"/>
    <w:rsid w:val="003E2E98"/>
  </w:style>
  <w:style w:type="character" w:customStyle="1" w:styleId="s33">
    <w:name w:val="s33"/>
    <w:basedOn w:val="DefaultParagraphFont"/>
    <w:rsid w:val="003E2E98"/>
  </w:style>
  <w:style w:type="character" w:customStyle="1" w:styleId="s35">
    <w:name w:val="s35"/>
    <w:basedOn w:val="DefaultParagraphFont"/>
    <w:rsid w:val="003E2E98"/>
  </w:style>
  <w:style w:type="character" w:customStyle="1" w:styleId="s36">
    <w:name w:val="s36"/>
    <w:basedOn w:val="DefaultParagraphFont"/>
    <w:rsid w:val="003E2E98"/>
  </w:style>
  <w:style w:type="character" w:customStyle="1" w:styleId="s38">
    <w:name w:val="s38"/>
    <w:basedOn w:val="DefaultParagraphFont"/>
    <w:rsid w:val="003E2E98"/>
  </w:style>
  <w:style w:type="character" w:customStyle="1" w:styleId="s40">
    <w:name w:val="s40"/>
    <w:basedOn w:val="DefaultParagraphFont"/>
    <w:rsid w:val="003E2E98"/>
  </w:style>
  <w:style w:type="paragraph" w:customStyle="1" w:styleId="s42">
    <w:name w:val="s42"/>
    <w:basedOn w:val="Normal"/>
    <w:rsid w:val="003E2E98"/>
    <w:pPr>
      <w:spacing w:before="100" w:beforeAutospacing="1" w:after="100" w:afterAutospacing="1" w:line="240" w:lineRule="auto"/>
    </w:pPr>
    <w:rPr>
      <w:rFonts w:ascii="Times New Roman" w:hAnsi="Times New Roman" w:cs="Times New Roman"/>
      <w:kern w:val="0"/>
      <w14:ligatures w14:val="none"/>
    </w:rPr>
  </w:style>
  <w:style w:type="character" w:customStyle="1" w:styleId="s43">
    <w:name w:val="s43"/>
    <w:basedOn w:val="DefaultParagraphFont"/>
    <w:rsid w:val="003E2E98"/>
  </w:style>
  <w:style w:type="character" w:customStyle="1" w:styleId="s45">
    <w:name w:val="s45"/>
    <w:basedOn w:val="DefaultParagraphFont"/>
    <w:rsid w:val="003E2E98"/>
  </w:style>
  <w:style w:type="paragraph" w:customStyle="1" w:styleId="s46">
    <w:name w:val="s46"/>
    <w:basedOn w:val="Normal"/>
    <w:rsid w:val="003E2E98"/>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D64DE6"/>
    <w:rPr>
      <w:b/>
      <w:bCs/>
    </w:rPr>
  </w:style>
  <w:style w:type="paragraph" w:customStyle="1" w:styleId="p1">
    <w:name w:val="p1"/>
    <w:basedOn w:val="Normal"/>
    <w:rsid w:val="000D16B5"/>
    <w:pPr>
      <w:spacing w:after="0" w:line="240" w:lineRule="auto"/>
    </w:pPr>
    <w:rPr>
      <w:rFonts w:ascii="Arial" w:hAnsi="Arial" w:cs="Arial"/>
      <w:color w:val="2F5496"/>
      <w:kern w:val="0"/>
      <w:sz w:val="17"/>
      <w:szCs w:val="17"/>
      <w14:ligatures w14:val="none"/>
    </w:rPr>
  </w:style>
  <w:style w:type="paragraph" w:customStyle="1" w:styleId="p2">
    <w:name w:val="p2"/>
    <w:basedOn w:val="Normal"/>
    <w:rsid w:val="000D16B5"/>
    <w:pPr>
      <w:spacing w:after="0" w:line="240" w:lineRule="auto"/>
    </w:pPr>
    <w:rPr>
      <w:rFonts w:ascii="Arial" w:hAnsi="Arial" w:cs="Arial"/>
      <w:color w:val="000000"/>
      <w:kern w:val="0"/>
      <w:sz w:val="17"/>
      <w:szCs w:val="17"/>
      <w14:ligatures w14:val="none"/>
    </w:rPr>
  </w:style>
  <w:style w:type="character" w:customStyle="1" w:styleId="s1">
    <w:name w:val="s1"/>
    <w:basedOn w:val="DefaultParagraphFont"/>
    <w:rsid w:val="000D16B5"/>
    <w:rPr>
      <w:rFonts w:ascii="Arial-BoldItalicMT" w:hAnsi="Arial-BoldItalicMT" w:hint="default"/>
      <w:b/>
      <w:bCs/>
      <w:i/>
      <w:iCs/>
      <w:sz w:val="17"/>
      <w:szCs w:val="17"/>
    </w:rPr>
  </w:style>
  <w:style w:type="character" w:customStyle="1" w:styleId="s2">
    <w:name w:val="s2"/>
    <w:basedOn w:val="DefaultParagraphFont"/>
    <w:rsid w:val="000D16B5"/>
    <w:rPr>
      <w:rFonts w:ascii="Arial" w:hAnsi="Arial" w:cs="Arial" w:hint="default"/>
      <w:b w:val="0"/>
      <w:bCs w:val="0"/>
      <w:i w:val="0"/>
      <w:iCs w:val="0"/>
      <w:sz w:val="17"/>
      <w:szCs w:val="17"/>
    </w:rPr>
  </w:style>
  <w:style w:type="character" w:customStyle="1" w:styleId="s3">
    <w:name w:val="s3"/>
    <w:basedOn w:val="DefaultParagraphFont"/>
    <w:rsid w:val="000D16B5"/>
    <w:rPr>
      <w:rFonts w:ascii="Arial-ItalicMT" w:hAnsi="Arial-ItalicMT" w:hint="default"/>
      <w:b w:val="0"/>
      <w:bCs w:val="0"/>
      <w:i/>
      <w:iCs/>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2437</Words>
  <Characters>13894</Characters>
  <Application>Microsoft Office Word</Application>
  <DocSecurity>0</DocSecurity>
  <Lines>115</Lines>
  <Paragraphs>32</Paragraphs>
  <ScaleCrop>false</ScaleCrop>
  <Company/>
  <LinksUpToDate>false</LinksUpToDate>
  <CharactersWithSpaces>16299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Thasmiya Tariq (2521422)</dc:creator>
  <cp:keywords/>
  <dc:description/>
  <cp:lastModifiedBy>Thasmiya Tariq (2521422)</cp:lastModifiedBy>
  <cp:revision>2</cp:revision>
  <dcterms:created xsi:type="dcterms:W3CDTF">2026-07-18T21:07:00Z</dcterms:created>
  <dcterms:modified xsi:type="dcterms:W3CDTF">2026-07-18T21:07:00Z</dcterms:modified>
</cp:coreProperties>
</file>