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851C0" w14:textId="04C8FE6F" w:rsidR="007F2962" w:rsidRPr="007F2962" w:rsidRDefault="00C4531B" w:rsidP="007F2962">
      <w:pPr>
        <w:jc w:val="center"/>
        <w:rPr>
          <w:rFonts w:ascii="Times New Roman" w:eastAsia="Times New Roman" w:hAnsi="Times New Roman" w:cs="Times New Roman"/>
          <w:b/>
          <w:bCs/>
          <w:sz w:val="40"/>
          <w:szCs w:val="40"/>
          <w:lang w:val="en-GB"/>
        </w:rPr>
      </w:pPr>
      <w:r>
        <w:rPr>
          <w:noProof/>
          <w:lang w:val="en-GB"/>
        </w:rPr>
        <w:drawing>
          <wp:inline distT="0" distB="0" distL="0" distR="0" wp14:anchorId="2DD59A14" wp14:editId="7684BC1E">
            <wp:extent cx="274320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43200" cy="1276350"/>
                    </a:xfrm>
                    <a:prstGeom prst="rect">
                      <a:avLst/>
                    </a:prstGeom>
                  </pic:spPr>
                </pic:pic>
              </a:graphicData>
            </a:graphic>
          </wp:inline>
        </w:drawing>
      </w:r>
    </w:p>
    <w:p w14:paraId="5054E95F" w14:textId="77777777" w:rsidR="007F2962" w:rsidRPr="007F2962" w:rsidRDefault="007F2962" w:rsidP="007F2962">
      <w:pPr>
        <w:jc w:val="center"/>
        <w:rPr>
          <w:rFonts w:ascii="Times New Roman" w:eastAsia="Times New Roman" w:hAnsi="Times New Roman" w:cs="Times New Roman"/>
          <w:b/>
          <w:bCs/>
          <w:sz w:val="40"/>
          <w:szCs w:val="40"/>
          <w:lang w:val="en-GB"/>
        </w:rPr>
      </w:pPr>
    </w:p>
    <w:p w14:paraId="1221C62A" w14:textId="77777777" w:rsidR="007F2962" w:rsidRPr="007F2962" w:rsidRDefault="007F2962" w:rsidP="007F2962">
      <w:pPr>
        <w:jc w:val="center"/>
        <w:rPr>
          <w:rFonts w:ascii="Times New Roman" w:eastAsia="Times New Roman" w:hAnsi="Times New Roman" w:cs="Times New Roman"/>
          <w:b/>
          <w:bCs/>
          <w:sz w:val="40"/>
          <w:szCs w:val="40"/>
          <w:lang w:val="en-GB"/>
        </w:rPr>
      </w:pPr>
    </w:p>
    <w:p w14:paraId="30865F27" w14:textId="6A70AEF1" w:rsidR="007F2962" w:rsidRPr="007F2962" w:rsidRDefault="007F2962" w:rsidP="007F2962">
      <w:pPr>
        <w:jc w:val="center"/>
        <w:rPr>
          <w:rFonts w:ascii="Times New Roman" w:eastAsia="Times New Roman" w:hAnsi="Times New Roman" w:cs="Times New Roman"/>
          <w:b/>
          <w:bCs/>
          <w:sz w:val="40"/>
          <w:szCs w:val="40"/>
          <w:lang w:val="en-GB"/>
        </w:rPr>
      </w:pPr>
      <w:r w:rsidRPr="007F2962">
        <w:rPr>
          <w:rFonts w:ascii="Times New Roman" w:eastAsia="Times New Roman" w:hAnsi="Times New Roman" w:cs="Times New Roman"/>
          <w:b/>
          <w:bCs/>
          <w:sz w:val="40"/>
          <w:szCs w:val="40"/>
          <w:lang w:val="en-GB"/>
        </w:rPr>
        <w:t>Student name:</w:t>
      </w:r>
      <w:r w:rsidR="005A386E" w:rsidRPr="005A386E">
        <w:t xml:space="preserve"> </w:t>
      </w:r>
      <w:r w:rsidR="005A386E" w:rsidRPr="005A386E">
        <w:rPr>
          <w:rFonts w:ascii="Times New Roman" w:eastAsia="Times New Roman" w:hAnsi="Times New Roman" w:cs="Times New Roman"/>
          <w:b/>
          <w:bCs/>
          <w:sz w:val="40"/>
          <w:szCs w:val="40"/>
          <w:lang w:val="en-GB"/>
        </w:rPr>
        <w:t>Abdul Turay</w:t>
      </w:r>
    </w:p>
    <w:p w14:paraId="2DFD2BF1" w14:textId="021988AF" w:rsidR="007F2962" w:rsidRPr="007F2962" w:rsidRDefault="007F2962" w:rsidP="007F2962">
      <w:pPr>
        <w:jc w:val="center"/>
        <w:rPr>
          <w:rFonts w:ascii="Times New Roman" w:eastAsia="Times New Roman" w:hAnsi="Times New Roman" w:cs="Times New Roman"/>
          <w:b/>
          <w:bCs/>
          <w:sz w:val="40"/>
          <w:szCs w:val="40"/>
          <w:lang w:val="en-GB"/>
        </w:rPr>
      </w:pPr>
      <w:r w:rsidRPr="007F2962">
        <w:rPr>
          <w:rFonts w:ascii="Times New Roman" w:eastAsia="Times New Roman" w:hAnsi="Times New Roman" w:cs="Times New Roman"/>
          <w:b/>
          <w:bCs/>
          <w:sz w:val="40"/>
          <w:szCs w:val="40"/>
          <w:lang w:val="en-GB"/>
        </w:rPr>
        <w:t>Student ID:</w:t>
      </w:r>
      <w:r w:rsidR="005A386E" w:rsidRPr="005A386E">
        <w:t xml:space="preserve"> </w:t>
      </w:r>
      <w:r w:rsidR="005A386E" w:rsidRPr="005A386E">
        <w:rPr>
          <w:rFonts w:ascii="Times New Roman" w:eastAsia="Times New Roman" w:hAnsi="Times New Roman" w:cs="Times New Roman"/>
          <w:b/>
          <w:bCs/>
          <w:sz w:val="40"/>
          <w:szCs w:val="40"/>
          <w:lang w:val="en-GB"/>
        </w:rPr>
        <w:t>2442944</w:t>
      </w:r>
    </w:p>
    <w:p w14:paraId="648B8F0C" w14:textId="77777777" w:rsidR="007F2962" w:rsidRPr="007F2962" w:rsidRDefault="007F2962" w:rsidP="007F2962">
      <w:pPr>
        <w:jc w:val="center"/>
        <w:rPr>
          <w:rFonts w:ascii="Times New Roman" w:eastAsia="Times New Roman" w:hAnsi="Times New Roman" w:cs="Times New Roman"/>
          <w:b/>
          <w:bCs/>
          <w:sz w:val="40"/>
          <w:szCs w:val="40"/>
          <w:lang w:val="en-GB"/>
        </w:rPr>
      </w:pPr>
    </w:p>
    <w:p w14:paraId="58FB98AC" w14:textId="5449F2AC" w:rsidR="007F2962" w:rsidRPr="007F2962" w:rsidRDefault="007F2962" w:rsidP="007F2962">
      <w:pPr>
        <w:jc w:val="center"/>
        <w:rPr>
          <w:rFonts w:ascii="Times New Roman" w:eastAsia="Times New Roman" w:hAnsi="Times New Roman" w:cs="Times New Roman"/>
          <w:b/>
          <w:bCs/>
          <w:sz w:val="40"/>
          <w:szCs w:val="40"/>
          <w:lang w:val="en-GB"/>
        </w:rPr>
      </w:pPr>
      <w:r w:rsidRPr="007F2962">
        <w:rPr>
          <w:rFonts w:ascii="Times New Roman" w:eastAsia="Times New Roman" w:hAnsi="Times New Roman" w:cs="Times New Roman"/>
          <w:b/>
          <w:bCs/>
          <w:sz w:val="40"/>
          <w:szCs w:val="40"/>
          <w:lang w:val="en-GB"/>
        </w:rPr>
        <w:t>Module name:  Principles of Health and Social Care Practice</w:t>
      </w:r>
    </w:p>
    <w:p w14:paraId="471CEC1B" w14:textId="074CC752" w:rsidR="007F2962" w:rsidRPr="007F2962" w:rsidRDefault="007F2962" w:rsidP="007F2962">
      <w:pPr>
        <w:jc w:val="center"/>
        <w:rPr>
          <w:rFonts w:ascii="Times New Roman" w:eastAsia="Times New Roman" w:hAnsi="Times New Roman" w:cs="Times New Roman"/>
          <w:b/>
          <w:bCs/>
          <w:sz w:val="40"/>
          <w:szCs w:val="40"/>
          <w:lang w:val="en-GB"/>
        </w:rPr>
      </w:pPr>
      <w:r w:rsidRPr="007F2962">
        <w:rPr>
          <w:rFonts w:ascii="Times New Roman" w:eastAsia="Times New Roman" w:hAnsi="Times New Roman" w:cs="Times New Roman"/>
          <w:b/>
          <w:bCs/>
          <w:sz w:val="40"/>
          <w:szCs w:val="40"/>
          <w:lang w:val="en-GB"/>
        </w:rPr>
        <w:t>Module code: BMHP5016</w:t>
      </w:r>
    </w:p>
    <w:p w14:paraId="40C2646B" w14:textId="258908C7" w:rsidR="007F2962" w:rsidRPr="007F2962" w:rsidRDefault="007F2962" w:rsidP="007F2962">
      <w:pPr>
        <w:jc w:val="center"/>
        <w:rPr>
          <w:rFonts w:ascii="Times New Roman" w:eastAsia="Times New Roman" w:hAnsi="Times New Roman" w:cs="Times New Roman"/>
          <w:b/>
          <w:bCs/>
          <w:sz w:val="28"/>
          <w:szCs w:val="28"/>
          <w:lang w:val="en-GB"/>
        </w:rPr>
      </w:pPr>
      <w:r w:rsidRPr="007F2962">
        <w:rPr>
          <w:rFonts w:ascii="Times New Roman" w:eastAsia="Times New Roman" w:hAnsi="Times New Roman" w:cs="Times New Roman"/>
          <w:b/>
          <w:bCs/>
          <w:sz w:val="40"/>
          <w:szCs w:val="40"/>
          <w:lang w:val="en-GB"/>
        </w:rPr>
        <w:t>Lecturer name:</w:t>
      </w:r>
      <w:r w:rsidR="00376839" w:rsidRPr="00376839">
        <w:t xml:space="preserve"> </w:t>
      </w:r>
      <w:r w:rsidR="00376839" w:rsidRPr="00376839">
        <w:rPr>
          <w:rFonts w:ascii="Times New Roman" w:eastAsia="Times New Roman" w:hAnsi="Times New Roman" w:cs="Times New Roman"/>
          <w:b/>
          <w:bCs/>
          <w:sz w:val="40"/>
          <w:szCs w:val="40"/>
          <w:lang w:val="en-GB"/>
        </w:rPr>
        <w:t>Sam Parker</w:t>
      </w:r>
      <w:r w:rsidRPr="007F2962">
        <w:rPr>
          <w:rFonts w:ascii="Times New Roman" w:eastAsia="Times New Roman" w:hAnsi="Times New Roman" w:cs="Times New Roman"/>
          <w:b/>
          <w:bCs/>
          <w:sz w:val="28"/>
          <w:szCs w:val="28"/>
          <w:lang w:val="en-GB"/>
        </w:rPr>
        <w:br w:type="page"/>
      </w:r>
    </w:p>
    <w:sdt>
      <w:sdtPr>
        <w:rPr>
          <w:rFonts w:ascii="Arial" w:eastAsia="Arial" w:hAnsi="Arial" w:cs="Arial"/>
          <w:color w:val="auto"/>
          <w:sz w:val="22"/>
          <w:szCs w:val="22"/>
          <w:lang w:val="en-GB" w:eastAsia="en-GB"/>
        </w:rPr>
        <w:id w:val="1933708458"/>
        <w:docPartObj>
          <w:docPartGallery w:val="Table of Contents"/>
          <w:docPartUnique/>
        </w:docPartObj>
      </w:sdtPr>
      <w:sdtEndPr>
        <w:rPr>
          <w:rFonts w:ascii="Times New Roman" w:hAnsi="Times New Roman" w:cs="Times New Roman"/>
          <w:b/>
          <w:bCs/>
          <w:noProof/>
          <w:sz w:val="24"/>
          <w:szCs w:val="24"/>
        </w:rPr>
      </w:sdtEndPr>
      <w:sdtContent>
        <w:p w14:paraId="194960E2" w14:textId="0B8B9992" w:rsidR="007F2962" w:rsidRPr="007F2962" w:rsidRDefault="007F2962" w:rsidP="007F2962">
          <w:pPr>
            <w:pStyle w:val="TOCHeading"/>
            <w:jc w:val="center"/>
            <w:rPr>
              <w:lang w:val="en-GB"/>
            </w:rPr>
          </w:pPr>
          <w:r w:rsidRPr="007F2962">
            <w:rPr>
              <w:rFonts w:ascii="Times New Roman" w:hAnsi="Times New Roman" w:cs="Times New Roman"/>
              <w:b/>
              <w:lang w:val="en-GB"/>
            </w:rPr>
            <w:t>Table of Contents</w:t>
          </w:r>
        </w:p>
        <w:p w14:paraId="54D24AF0" w14:textId="4356A69D" w:rsidR="007F2962" w:rsidRPr="007F2962" w:rsidRDefault="007F2962">
          <w:pPr>
            <w:pStyle w:val="TOC1"/>
            <w:tabs>
              <w:tab w:val="right" w:leader="dot" w:pos="9350"/>
            </w:tabs>
            <w:rPr>
              <w:rFonts w:ascii="Times New Roman" w:hAnsi="Times New Roman" w:cs="Times New Roman"/>
              <w:noProof/>
              <w:sz w:val="24"/>
              <w:szCs w:val="24"/>
              <w:lang w:val="en-GB"/>
            </w:rPr>
          </w:pPr>
          <w:r w:rsidRPr="007F2962">
            <w:rPr>
              <w:rFonts w:ascii="Times New Roman" w:hAnsi="Times New Roman" w:cs="Times New Roman"/>
              <w:sz w:val="24"/>
              <w:szCs w:val="24"/>
              <w:lang w:val="en-GB"/>
            </w:rPr>
            <w:fldChar w:fldCharType="begin"/>
          </w:r>
          <w:r w:rsidRPr="007F2962">
            <w:rPr>
              <w:rFonts w:ascii="Times New Roman" w:hAnsi="Times New Roman" w:cs="Times New Roman"/>
              <w:sz w:val="24"/>
              <w:szCs w:val="24"/>
              <w:lang w:val="en-GB"/>
            </w:rPr>
            <w:instrText xml:space="preserve"> TOC \o "1-3" \h \z \u </w:instrText>
          </w:r>
          <w:r w:rsidRPr="007F2962">
            <w:rPr>
              <w:rFonts w:ascii="Times New Roman" w:hAnsi="Times New Roman" w:cs="Times New Roman"/>
              <w:sz w:val="24"/>
              <w:szCs w:val="24"/>
              <w:lang w:val="en-GB"/>
            </w:rPr>
            <w:fldChar w:fldCharType="separate"/>
          </w:r>
          <w:hyperlink w:anchor="_Toc236917578" w:history="1">
            <w:r w:rsidRPr="007F2962">
              <w:rPr>
                <w:rStyle w:val="Hyperlink"/>
                <w:rFonts w:ascii="Times New Roman" w:hAnsi="Times New Roman" w:cs="Times New Roman"/>
                <w:noProof/>
                <w:sz w:val="24"/>
                <w:szCs w:val="24"/>
                <w:lang w:val="en-GB"/>
              </w:rPr>
              <w:t>Introduction</w:t>
            </w:r>
            <w:r w:rsidRPr="007F2962">
              <w:rPr>
                <w:rFonts w:ascii="Times New Roman" w:hAnsi="Times New Roman" w:cs="Times New Roman"/>
                <w:noProof/>
                <w:webHidden/>
                <w:sz w:val="24"/>
                <w:szCs w:val="24"/>
                <w:lang w:val="en-GB"/>
              </w:rPr>
              <w:tab/>
            </w:r>
            <w:r w:rsidRPr="007F2962">
              <w:rPr>
                <w:rFonts w:ascii="Times New Roman" w:hAnsi="Times New Roman" w:cs="Times New Roman"/>
                <w:noProof/>
                <w:webHidden/>
                <w:sz w:val="24"/>
                <w:szCs w:val="24"/>
                <w:lang w:val="en-GB"/>
              </w:rPr>
              <w:fldChar w:fldCharType="begin"/>
            </w:r>
            <w:r w:rsidRPr="007F2962">
              <w:rPr>
                <w:rFonts w:ascii="Times New Roman" w:hAnsi="Times New Roman" w:cs="Times New Roman"/>
                <w:noProof/>
                <w:webHidden/>
                <w:sz w:val="24"/>
                <w:szCs w:val="24"/>
                <w:lang w:val="en-GB"/>
              </w:rPr>
              <w:instrText xml:space="preserve"> PAGEREF _Toc236917578 \h </w:instrText>
            </w:r>
            <w:r w:rsidRPr="007F2962">
              <w:rPr>
                <w:rFonts w:ascii="Times New Roman" w:hAnsi="Times New Roman" w:cs="Times New Roman"/>
                <w:noProof/>
                <w:webHidden/>
                <w:sz w:val="24"/>
                <w:szCs w:val="24"/>
                <w:lang w:val="en-GB"/>
              </w:rPr>
            </w:r>
            <w:r w:rsidRPr="007F2962">
              <w:rPr>
                <w:rFonts w:ascii="Times New Roman" w:hAnsi="Times New Roman" w:cs="Times New Roman"/>
                <w:noProof/>
                <w:webHidden/>
                <w:sz w:val="24"/>
                <w:szCs w:val="24"/>
                <w:lang w:val="en-GB"/>
              </w:rPr>
              <w:fldChar w:fldCharType="separate"/>
            </w:r>
            <w:r w:rsidRPr="007F2962">
              <w:rPr>
                <w:rFonts w:ascii="Times New Roman" w:hAnsi="Times New Roman" w:cs="Times New Roman"/>
                <w:noProof/>
                <w:webHidden/>
                <w:sz w:val="24"/>
                <w:szCs w:val="24"/>
                <w:lang w:val="en-GB"/>
              </w:rPr>
              <w:t>3</w:t>
            </w:r>
            <w:r w:rsidRPr="007F2962">
              <w:rPr>
                <w:rFonts w:ascii="Times New Roman" w:hAnsi="Times New Roman" w:cs="Times New Roman"/>
                <w:noProof/>
                <w:webHidden/>
                <w:sz w:val="24"/>
                <w:szCs w:val="24"/>
                <w:lang w:val="en-GB"/>
              </w:rPr>
              <w:fldChar w:fldCharType="end"/>
            </w:r>
          </w:hyperlink>
        </w:p>
        <w:p w14:paraId="2291B37A" w14:textId="432A1B98" w:rsidR="007F2962" w:rsidRPr="007F2962" w:rsidRDefault="007F2962">
          <w:pPr>
            <w:pStyle w:val="TOC1"/>
            <w:tabs>
              <w:tab w:val="right" w:leader="dot" w:pos="9350"/>
            </w:tabs>
            <w:rPr>
              <w:rFonts w:ascii="Times New Roman" w:hAnsi="Times New Roman" w:cs="Times New Roman"/>
              <w:noProof/>
              <w:sz w:val="24"/>
              <w:szCs w:val="24"/>
              <w:lang w:val="en-GB"/>
            </w:rPr>
          </w:pPr>
          <w:hyperlink w:anchor="_Toc236917579" w:history="1">
            <w:r w:rsidRPr="007F2962">
              <w:rPr>
                <w:rStyle w:val="Hyperlink"/>
                <w:rFonts w:ascii="Times New Roman" w:hAnsi="Times New Roman" w:cs="Times New Roman"/>
                <w:noProof/>
                <w:sz w:val="24"/>
                <w:szCs w:val="24"/>
                <w:lang w:val="en-GB"/>
              </w:rPr>
              <w:t>The Development of Global Care Chains</w:t>
            </w:r>
            <w:r w:rsidRPr="007F2962">
              <w:rPr>
                <w:rFonts w:ascii="Times New Roman" w:hAnsi="Times New Roman" w:cs="Times New Roman"/>
                <w:noProof/>
                <w:webHidden/>
                <w:sz w:val="24"/>
                <w:szCs w:val="24"/>
                <w:lang w:val="en-GB"/>
              </w:rPr>
              <w:tab/>
            </w:r>
            <w:r w:rsidRPr="007F2962">
              <w:rPr>
                <w:rFonts w:ascii="Times New Roman" w:hAnsi="Times New Roman" w:cs="Times New Roman"/>
                <w:noProof/>
                <w:webHidden/>
                <w:sz w:val="24"/>
                <w:szCs w:val="24"/>
                <w:lang w:val="en-GB"/>
              </w:rPr>
              <w:fldChar w:fldCharType="begin"/>
            </w:r>
            <w:r w:rsidRPr="007F2962">
              <w:rPr>
                <w:rFonts w:ascii="Times New Roman" w:hAnsi="Times New Roman" w:cs="Times New Roman"/>
                <w:noProof/>
                <w:webHidden/>
                <w:sz w:val="24"/>
                <w:szCs w:val="24"/>
                <w:lang w:val="en-GB"/>
              </w:rPr>
              <w:instrText xml:space="preserve"> PAGEREF _Toc236917579 \h </w:instrText>
            </w:r>
            <w:r w:rsidRPr="007F2962">
              <w:rPr>
                <w:rFonts w:ascii="Times New Roman" w:hAnsi="Times New Roman" w:cs="Times New Roman"/>
                <w:noProof/>
                <w:webHidden/>
                <w:sz w:val="24"/>
                <w:szCs w:val="24"/>
                <w:lang w:val="en-GB"/>
              </w:rPr>
            </w:r>
            <w:r w:rsidRPr="007F2962">
              <w:rPr>
                <w:rFonts w:ascii="Times New Roman" w:hAnsi="Times New Roman" w:cs="Times New Roman"/>
                <w:noProof/>
                <w:webHidden/>
                <w:sz w:val="24"/>
                <w:szCs w:val="24"/>
                <w:lang w:val="en-GB"/>
              </w:rPr>
              <w:fldChar w:fldCharType="separate"/>
            </w:r>
            <w:r w:rsidRPr="007F2962">
              <w:rPr>
                <w:rFonts w:ascii="Times New Roman" w:hAnsi="Times New Roman" w:cs="Times New Roman"/>
                <w:noProof/>
                <w:webHidden/>
                <w:sz w:val="24"/>
                <w:szCs w:val="24"/>
                <w:lang w:val="en-GB"/>
              </w:rPr>
              <w:t>3</w:t>
            </w:r>
            <w:r w:rsidRPr="007F2962">
              <w:rPr>
                <w:rFonts w:ascii="Times New Roman" w:hAnsi="Times New Roman" w:cs="Times New Roman"/>
                <w:noProof/>
                <w:webHidden/>
                <w:sz w:val="24"/>
                <w:szCs w:val="24"/>
                <w:lang w:val="en-GB"/>
              </w:rPr>
              <w:fldChar w:fldCharType="end"/>
            </w:r>
          </w:hyperlink>
        </w:p>
        <w:p w14:paraId="4A9F2470" w14:textId="31662478" w:rsidR="007F2962" w:rsidRPr="007F2962" w:rsidRDefault="007F2962">
          <w:pPr>
            <w:pStyle w:val="TOC1"/>
            <w:tabs>
              <w:tab w:val="right" w:leader="dot" w:pos="9350"/>
            </w:tabs>
            <w:rPr>
              <w:rFonts w:ascii="Times New Roman" w:hAnsi="Times New Roman" w:cs="Times New Roman"/>
              <w:noProof/>
              <w:sz w:val="24"/>
              <w:szCs w:val="24"/>
              <w:lang w:val="en-GB"/>
            </w:rPr>
          </w:pPr>
          <w:hyperlink w:anchor="_Toc236917580" w:history="1">
            <w:r w:rsidRPr="007F2962">
              <w:rPr>
                <w:rStyle w:val="Hyperlink"/>
                <w:rFonts w:ascii="Times New Roman" w:hAnsi="Times New Roman" w:cs="Times New Roman"/>
                <w:noProof/>
                <w:sz w:val="24"/>
                <w:szCs w:val="24"/>
                <w:lang w:val="en-GB"/>
              </w:rPr>
              <w:t>Application of the Concept in Domiciliary Adult Social Care</w:t>
            </w:r>
            <w:r w:rsidRPr="007F2962">
              <w:rPr>
                <w:rFonts w:ascii="Times New Roman" w:hAnsi="Times New Roman" w:cs="Times New Roman"/>
                <w:noProof/>
                <w:webHidden/>
                <w:sz w:val="24"/>
                <w:szCs w:val="24"/>
                <w:lang w:val="en-GB"/>
              </w:rPr>
              <w:tab/>
            </w:r>
            <w:r w:rsidRPr="007F2962">
              <w:rPr>
                <w:rFonts w:ascii="Times New Roman" w:hAnsi="Times New Roman" w:cs="Times New Roman"/>
                <w:noProof/>
                <w:webHidden/>
                <w:sz w:val="24"/>
                <w:szCs w:val="24"/>
                <w:lang w:val="en-GB"/>
              </w:rPr>
              <w:fldChar w:fldCharType="begin"/>
            </w:r>
            <w:r w:rsidRPr="007F2962">
              <w:rPr>
                <w:rFonts w:ascii="Times New Roman" w:hAnsi="Times New Roman" w:cs="Times New Roman"/>
                <w:noProof/>
                <w:webHidden/>
                <w:sz w:val="24"/>
                <w:szCs w:val="24"/>
                <w:lang w:val="en-GB"/>
              </w:rPr>
              <w:instrText xml:space="preserve"> PAGEREF _Toc236917580 \h </w:instrText>
            </w:r>
            <w:r w:rsidRPr="007F2962">
              <w:rPr>
                <w:rFonts w:ascii="Times New Roman" w:hAnsi="Times New Roman" w:cs="Times New Roman"/>
                <w:noProof/>
                <w:webHidden/>
                <w:sz w:val="24"/>
                <w:szCs w:val="24"/>
                <w:lang w:val="en-GB"/>
              </w:rPr>
            </w:r>
            <w:r w:rsidRPr="007F2962">
              <w:rPr>
                <w:rFonts w:ascii="Times New Roman" w:hAnsi="Times New Roman" w:cs="Times New Roman"/>
                <w:noProof/>
                <w:webHidden/>
                <w:sz w:val="24"/>
                <w:szCs w:val="24"/>
                <w:lang w:val="en-GB"/>
              </w:rPr>
              <w:fldChar w:fldCharType="separate"/>
            </w:r>
            <w:r w:rsidRPr="007F2962">
              <w:rPr>
                <w:rFonts w:ascii="Times New Roman" w:hAnsi="Times New Roman" w:cs="Times New Roman"/>
                <w:noProof/>
                <w:webHidden/>
                <w:sz w:val="24"/>
                <w:szCs w:val="24"/>
                <w:lang w:val="en-GB"/>
              </w:rPr>
              <w:t>5</w:t>
            </w:r>
            <w:r w:rsidRPr="007F2962">
              <w:rPr>
                <w:rFonts w:ascii="Times New Roman" w:hAnsi="Times New Roman" w:cs="Times New Roman"/>
                <w:noProof/>
                <w:webHidden/>
                <w:sz w:val="24"/>
                <w:szCs w:val="24"/>
                <w:lang w:val="en-GB"/>
              </w:rPr>
              <w:fldChar w:fldCharType="end"/>
            </w:r>
          </w:hyperlink>
        </w:p>
        <w:p w14:paraId="5645C3B6" w14:textId="6EF26532" w:rsidR="007F2962" w:rsidRPr="007F2962" w:rsidRDefault="007F2962">
          <w:pPr>
            <w:pStyle w:val="TOC1"/>
            <w:tabs>
              <w:tab w:val="right" w:leader="dot" w:pos="9350"/>
            </w:tabs>
            <w:rPr>
              <w:rFonts w:ascii="Times New Roman" w:hAnsi="Times New Roman" w:cs="Times New Roman"/>
              <w:noProof/>
              <w:sz w:val="24"/>
              <w:szCs w:val="24"/>
              <w:lang w:val="en-GB"/>
            </w:rPr>
          </w:pPr>
          <w:hyperlink w:anchor="_Toc236917581" w:history="1">
            <w:r w:rsidRPr="007F2962">
              <w:rPr>
                <w:rStyle w:val="Hyperlink"/>
                <w:rFonts w:ascii="Times New Roman" w:hAnsi="Times New Roman" w:cs="Times New Roman"/>
                <w:noProof/>
                <w:sz w:val="24"/>
                <w:szCs w:val="24"/>
                <w:lang w:val="en-GB"/>
              </w:rPr>
              <w:t>Recommendations for Policy and Practice</w:t>
            </w:r>
            <w:r w:rsidRPr="007F2962">
              <w:rPr>
                <w:rFonts w:ascii="Times New Roman" w:hAnsi="Times New Roman" w:cs="Times New Roman"/>
                <w:noProof/>
                <w:webHidden/>
                <w:sz w:val="24"/>
                <w:szCs w:val="24"/>
                <w:lang w:val="en-GB"/>
              </w:rPr>
              <w:tab/>
            </w:r>
            <w:r w:rsidRPr="007F2962">
              <w:rPr>
                <w:rFonts w:ascii="Times New Roman" w:hAnsi="Times New Roman" w:cs="Times New Roman"/>
                <w:noProof/>
                <w:webHidden/>
                <w:sz w:val="24"/>
                <w:szCs w:val="24"/>
                <w:lang w:val="en-GB"/>
              </w:rPr>
              <w:fldChar w:fldCharType="begin"/>
            </w:r>
            <w:r w:rsidRPr="007F2962">
              <w:rPr>
                <w:rFonts w:ascii="Times New Roman" w:hAnsi="Times New Roman" w:cs="Times New Roman"/>
                <w:noProof/>
                <w:webHidden/>
                <w:sz w:val="24"/>
                <w:szCs w:val="24"/>
                <w:lang w:val="en-GB"/>
              </w:rPr>
              <w:instrText xml:space="preserve"> PAGEREF _Toc236917581 \h </w:instrText>
            </w:r>
            <w:r w:rsidRPr="007F2962">
              <w:rPr>
                <w:rFonts w:ascii="Times New Roman" w:hAnsi="Times New Roman" w:cs="Times New Roman"/>
                <w:noProof/>
                <w:webHidden/>
                <w:sz w:val="24"/>
                <w:szCs w:val="24"/>
                <w:lang w:val="en-GB"/>
              </w:rPr>
            </w:r>
            <w:r w:rsidRPr="007F2962">
              <w:rPr>
                <w:rFonts w:ascii="Times New Roman" w:hAnsi="Times New Roman" w:cs="Times New Roman"/>
                <w:noProof/>
                <w:webHidden/>
                <w:sz w:val="24"/>
                <w:szCs w:val="24"/>
                <w:lang w:val="en-GB"/>
              </w:rPr>
              <w:fldChar w:fldCharType="separate"/>
            </w:r>
            <w:r w:rsidRPr="007F2962">
              <w:rPr>
                <w:rFonts w:ascii="Times New Roman" w:hAnsi="Times New Roman" w:cs="Times New Roman"/>
                <w:noProof/>
                <w:webHidden/>
                <w:sz w:val="24"/>
                <w:szCs w:val="24"/>
                <w:lang w:val="en-GB"/>
              </w:rPr>
              <w:t>7</w:t>
            </w:r>
            <w:r w:rsidRPr="007F2962">
              <w:rPr>
                <w:rFonts w:ascii="Times New Roman" w:hAnsi="Times New Roman" w:cs="Times New Roman"/>
                <w:noProof/>
                <w:webHidden/>
                <w:sz w:val="24"/>
                <w:szCs w:val="24"/>
                <w:lang w:val="en-GB"/>
              </w:rPr>
              <w:fldChar w:fldCharType="end"/>
            </w:r>
          </w:hyperlink>
        </w:p>
        <w:p w14:paraId="4D7213F4" w14:textId="56948C04" w:rsidR="007F2962" w:rsidRPr="007F2962" w:rsidRDefault="007F2962">
          <w:pPr>
            <w:pStyle w:val="TOC1"/>
            <w:tabs>
              <w:tab w:val="right" w:leader="dot" w:pos="9350"/>
            </w:tabs>
            <w:rPr>
              <w:rFonts w:ascii="Times New Roman" w:hAnsi="Times New Roman" w:cs="Times New Roman"/>
              <w:noProof/>
              <w:sz w:val="24"/>
              <w:szCs w:val="24"/>
              <w:lang w:val="en-GB"/>
            </w:rPr>
          </w:pPr>
          <w:hyperlink w:anchor="_Toc236917582" w:history="1">
            <w:r w:rsidRPr="007F2962">
              <w:rPr>
                <w:rStyle w:val="Hyperlink"/>
                <w:rFonts w:ascii="Times New Roman" w:hAnsi="Times New Roman" w:cs="Times New Roman"/>
                <w:noProof/>
                <w:sz w:val="24"/>
                <w:szCs w:val="24"/>
                <w:lang w:val="en-GB"/>
              </w:rPr>
              <w:t>Conclusion</w:t>
            </w:r>
            <w:r w:rsidRPr="007F2962">
              <w:rPr>
                <w:rFonts w:ascii="Times New Roman" w:hAnsi="Times New Roman" w:cs="Times New Roman"/>
                <w:noProof/>
                <w:webHidden/>
                <w:sz w:val="24"/>
                <w:szCs w:val="24"/>
                <w:lang w:val="en-GB"/>
              </w:rPr>
              <w:tab/>
            </w:r>
            <w:r w:rsidRPr="007F2962">
              <w:rPr>
                <w:rFonts w:ascii="Times New Roman" w:hAnsi="Times New Roman" w:cs="Times New Roman"/>
                <w:noProof/>
                <w:webHidden/>
                <w:sz w:val="24"/>
                <w:szCs w:val="24"/>
                <w:lang w:val="en-GB"/>
              </w:rPr>
              <w:fldChar w:fldCharType="begin"/>
            </w:r>
            <w:r w:rsidRPr="007F2962">
              <w:rPr>
                <w:rFonts w:ascii="Times New Roman" w:hAnsi="Times New Roman" w:cs="Times New Roman"/>
                <w:noProof/>
                <w:webHidden/>
                <w:sz w:val="24"/>
                <w:szCs w:val="24"/>
                <w:lang w:val="en-GB"/>
              </w:rPr>
              <w:instrText xml:space="preserve"> PAGEREF _Toc236917582 \h </w:instrText>
            </w:r>
            <w:r w:rsidRPr="007F2962">
              <w:rPr>
                <w:rFonts w:ascii="Times New Roman" w:hAnsi="Times New Roman" w:cs="Times New Roman"/>
                <w:noProof/>
                <w:webHidden/>
                <w:sz w:val="24"/>
                <w:szCs w:val="24"/>
                <w:lang w:val="en-GB"/>
              </w:rPr>
            </w:r>
            <w:r w:rsidRPr="007F2962">
              <w:rPr>
                <w:rFonts w:ascii="Times New Roman" w:hAnsi="Times New Roman" w:cs="Times New Roman"/>
                <w:noProof/>
                <w:webHidden/>
                <w:sz w:val="24"/>
                <w:szCs w:val="24"/>
                <w:lang w:val="en-GB"/>
              </w:rPr>
              <w:fldChar w:fldCharType="separate"/>
            </w:r>
            <w:r w:rsidRPr="007F2962">
              <w:rPr>
                <w:rFonts w:ascii="Times New Roman" w:hAnsi="Times New Roman" w:cs="Times New Roman"/>
                <w:noProof/>
                <w:webHidden/>
                <w:sz w:val="24"/>
                <w:szCs w:val="24"/>
                <w:lang w:val="en-GB"/>
              </w:rPr>
              <w:t>8</w:t>
            </w:r>
            <w:r w:rsidRPr="007F2962">
              <w:rPr>
                <w:rFonts w:ascii="Times New Roman" w:hAnsi="Times New Roman" w:cs="Times New Roman"/>
                <w:noProof/>
                <w:webHidden/>
                <w:sz w:val="24"/>
                <w:szCs w:val="24"/>
                <w:lang w:val="en-GB"/>
              </w:rPr>
              <w:fldChar w:fldCharType="end"/>
            </w:r>
          </w:hyperlink>
        </w:p>
        <w:p w14:paraId="2F16861C" w14:textId="1BCC66AC" w:rsidR="007F2962" w:rsidRPr="007F2962" w:rsidRDefault="007F2962">
          <w:pPr>
            <w:rPr>
              <w:rFonts w:ascii="Times New Roman" w:hAnsi="Times New Roman" w:cs="Times New Roman"/>
              <w:sz w:val="24"/>
              <w:szCs w:val="24"/>
              <w:lang w:val="en-GB"/>
            </w:rPr>
          </w:pPr>
          <w:r w:rsidRPr="007F2962">
            <w:rPr>
              <w:rFonts w:ascii="Times New Roman" w:hAnsi="Times New Roman" w:cs="Times New Roman"/>
              <w:b/>
              <w:bCs/>
              <w:noProof/>
              <w:sz w:val="24"/>
              <w:szCs w:val="24"/>
              <w:lang w:val="en-GB"/>
            </w:rPr>
            <w:fldChar w:fldCharType="end"/>
          </w:r>
        </w:p>
      </w:sdtContent>
    </w:sdt>
    <w:p w14:paraId="335F5B8E" w14:textId="77777777" w:rsidR="007F2962" w:rsidRPr="007F2962" w:rsidRDefault="007F2962">
      <w:pPr>
        <w:rPr>
          <w:rFonts w:ascii="Times New Roman" w:eastAsia="Times New Roman" w:hAnsi="Times New Roman" w:cs="Times New Roman"/>
          <w:b/>
          <w:bCs/>
          <w:sz w:val="28"/>
          <w:szCs w:val="28"/>
          <w:lang w:val="en-GB"/>
        </w:rPr>
      </w:pPr>
      <w:r w:rsidRPr="007F2962">
        <w:rPr>
          <w:rFonts w:ascii="Times New Roman" w:eastAsia="Times New Roman" w:hAnsi="Times New Roman" w:cs="Times New Roman"/>
          <w:b/>
          <w:bCs/>
          <w:sz w:val="28"/>
          <w:szCs w:val="28"/>
          <w:lang w:val="en-GB"/>
        </w:rPr>
        <w:br w:type="page"/>
      </w:r>
    </w:p>
    <w:p w14:paraId="00000001" w14:textId="7C9320D4" w:rsidR="000B1A00" w:rsidRPr="007F2962" w:rsidRDefault="00C4753A" w:rsidP="007F2962">
      <w:pPr>
        <w:pStyle w:val="Heading1"/>
        <w:rPr>
          <w:b w:val="0"/>
          <w:lang w:val="en-GB"/>
        </w:rPr>
      </w:pPr>
      <w:bookmarkStart w:id="0" w:name="_Toc236917578"/>
      <w:r w:rsidRPr="007F2962">
        <w:rPr>
          <w:lang w:val="en-GB"/>
        </w:rPr>
        <w:lastRenderedPageBreak/>
        <w:t>Introduction</w:t>
      </w:r>
      <w:bookmarkEnd w:id="0"/>
    </w:p>
    <w:p w14:paraId="00000002" w14:textId="40E57CB4"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Global Care Chains offer a way of understanding the transfer of care through paid and unpaid labo</w:t>
      </w:r>
      <w:r w:rsidR="007F2962">
        <w:rPr>
          <w:rFonts w:ascii="Times New Roman" w:eastAsia="Times New Roman" w:hAnsi="Times New Roman" w:cs="Times New Roman"/>
          <w:sz w:val="24"/>
          <w:szCs w:val="24"/>
          <w:lang w:val="en-GB"/>
        </w:rPr>
        <w:t>u</w:t>
      </w:r>
      <w:r w:rsidRPr="007F2962">
        <w:rPr>
          <w:rFonts w:ascii="Times New Roman" w:eastAsia="Times New Roman" w:hAnsi="Times New Roman" w:cs="Times New Roman"/>
          <w:sz w:val="24"/>
          <w:szCs w:val="24"/>
          <w:lang w:val="en-GB"/>
        </w:rPr>
        <w:t>r across lines. Is not a direct method of person</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centred care. Its value is meant to uncover the problems of labour, migration and gender relations behind th</w:t>
      </w:r>
      <w:r w:rsidR="007F2962">
        <w:rPr>
          <w:rFonts w:ascii="Times New Roman" w:eastAsia="Times New Roman" w:hAnsi="Times New Roman" w:cs="Times New Roman"/>
          <w:sz w:val="24"/>
          <w:szCs w:val="24"/>
          <w:lang w:val="en-GB"/>
        </w:rPr>
        <w:t>ese individualis</w:t>
      </w:r>
      <w:r w:rsidRPr="007F2962">
        <w:rPr>
          <w:rFonts w:ascii="Times New Roman" w:eastAsia="Times New Roman" w:hAnsi="Times New Roman" w:cs="Times New Roman"/>
          <w:sz w:val="24"/>
          <w:szCs w:val="24"/>
          <w:lang w:val="en-GB"/>
        </w:rPr>
        <w:t>ed services of the wealthier countries. With reference to domiciliary adult social care in England, the author applies the model to this situation. It says that international recruitment – in order to ensure access to and continuity of services – compromises the person-centred outcomes of care from an ethical perspective when international movement of the workers is restricted and when care burdens and insecurity are involved. Recent scholarship has seen the model evolve from linear to portraying a complex, unequal social reproduction in the household, market and State (Rivera-Lozada et al., 2026). What matters is whether the service user is at the cent</w:t>
      </w:r>
      <w:r w:rsidR="007F2962">
        <w:rPr>
          <w:rFonts w:ascii="Times New Roman" w:eastAsia="Times New Roman" w:hAnsi="Times New Roman" w:cs="Times New Roman"/>
          <w:sz w:val="24"/>
          <w:szCs w:val="24"/>
          <w:lang w:val="en-GB"/>
        </w:rPr>
        <w:t>re</w:t>
      </w:r>
      <w:r w:rsidRPr="007F2962">
        <w:rPr>
          <w:rFonts w:ascii="Times New Roman" w:eastAsia="Times New Roman" w:hAnsi="Times New Roman" w:cs="Times New Roman"/>
          <w:sz w:val="24"/>
          <w:szCs w:val="24"/>
          <w:lang w:val="en-GB"/>
        </w:rPr>
        <w:t xml:space="preserve"> or the migrant worker at the labo</w:t>
      </w:r>
      <w:r w:rsidR="007F2962">
        <w:rPr>
          <w:rFonts w:ascii="Times New Roman" w:eastAsia="Times New Roman" w:hAnsi="Times New Roman" w:cs="Times New Roman"/>
          <w:sz w:val="24"/>
          <w:szCs w:val="24"/>
          <w:lang w:val="en-GB"/>
        </w:rPr>
        <w:t>ur centre</w:t>
      </w:r>
      <w:r w:rsidRPr="007F2962">
        <w:rPr>
          <w:rFonts w:ascii="Times New Roman" w:eastAsia="Times New Roman" w:hAnsi="Times New Roman" w:cs="Times New Roman"/>
          <w:sz w:val="24"/>
          <w:szCs w:val="24"/>
          <w:lang w:val="en-GB"/>
        </w:rPr>
        <w:t>, replaceable inputs.</w:t>
      </w:r>
    </w:p>
    <w:p w14:paraId="00000003" w14:textId="77777777" w:rsidR="000B1A00" w:rsidRPr="007F2962" w:rsidRDefault="00C4753A" w:rsidP="007F2962">
      <w:pPr>
        <w:pStyle w:val="Heading1"/>
        <w:rPr>
          <w:lang w:val="en-GB"/>
        </w:rPr>
      </w:pPr>
      <w:bookmarkStart w:id="1" w:name="_Toc236917579"/>
      <w:r w:rsidRPr="007F2962">
        <w:rPr>
          <w:lang w:val="en-GB"/>
        </w:rPr>
        <w:t>The Development of Global Care Chains</w:t>
      </w:r>
      <w:bookmarkEnd w:id="1"/>
    </w:p>
    <w:p w14:paraId="00000004" w14:textId="148AC229"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It is a model emerging out of the work of women to connect globalisation with work, which is done inside households. Instead, it shows that high-paid systems such as rich services (and countries) hire people from low-paid ones from far away just to compensate for shortfalls in their own skilled workforce. A migrant can offer services in the country of acceptance</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and family members or hired personnel in the country of origin take care of the services. This way, caring becomes the economic infrastructure. It is the series of impacts of household choice </w:t>
      </w:r>
      <w:r w:rsidR="007F2962">
        <w:rPr>
          <w:rFonts w:ascii="Times New Roman" w:eastAsia="Times New Roman" w:hAnsi="Times New Roman" w:cs="Times New Roman"/>
          <w:sz w:val="24"/>
          <w:szCs w:val="24"/>
          <w:lang w:val="en-GB"/>
        </w:rPr>
        <w:t>on</w:t>
      </w:r>
      <w:r w:rsidRPr="007F2962">
        <w:rPr>
          <w:rFonts w:ascii="Times New Roman" w:eastAsia="Times New Roman" w:hAnsi="Times New Roman" w:cs="Times New Roman"/>
          <w:sz w:val="24"/>
          <w:szCs w:val="24"/>
          <w:lang w:val="en-GB"/>
        </w:rPr>
        <w:t xml:space="preserve"> the labour markets, to migration restrictions, to public underinvestment in other regions, and so on. Withers and Hill (2023) state that migration and development policies are incomplete, as they take care </w:t>
      </w:r>
      <w:r w:rsidR="007F2962">
        <w:rPr>
          <w:rFonts w:ascii="Times New Roman" w:eastAsia="Times New Roman" w:hAnsi="Times New Roman" w:cs="Times New Roman"/>
          <w:sz w:val="24"/>
          <w:szCs w:val="24"/>
          <w:lang w:val="en-GB"/>
        </w:rPr>
        <w:t>of</w:t>
      </w:r>
      <w:r w:rsidRPr="007F2962">
        <w:rPr>
          <w:rFonts w:ascii="Times New Roman" w:eastAsia="Times New Roman" w:hAnsi="Times New Roman" w:cs="Times New Roman"/>
          <w:sz w:val="24"/>
          <w:szCs w:val="24"/>
          <w:lang w:val="en-GB"/>
        </w:rPr>
        <w:t xml:space="preserve"> remittances, but do not reflect disturbed care and social reproduction.</w:t>
      </w:r>
    </w:p>
    <w:p w14:paraId="00000005" w14:textId="0550B0B2"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The vision has evolved beyond class women to women, class women. Four new areas have now developed for research</w:t>
      </w:r>
      <w:r w:rsidR="007F2962">
        <w:rPr>
          <w:rFonts w:ascii="Times New Roman" w:eastAsia="Times New Roman" w:hAnsi="Times New Roman" w:cs="Times New Roman"/>
          <w:sz w:val="24"/>
          <w:szCs w:val="24"/>
          <w:lang w:val="en-GB"/>
        </w:rPr>
        <w:t>: South-to-</w:t>
      </w:r>
      <w:r w:rsidRPr="007F2962">
        <w:rPr>
          <w:rFonts w:ascii="Times New Roman" w:eastAsia="Times New Roman" w:hAnsi="Times New Roman" w:cs="Times New Roman"/>
          <w:sz w:val="24"/>
          <w:szCs w:val="24"/>
          <w:lang w:val="en-GB"/>
        </w:rPr>
        <w:t xml:space="preserve">South migration, formal social care, male engagement and electronic support. This is significant because of the notion that care moves in one direction as demonstrated by a fixed chain. In reality, financial assistance, counsel, love and assistance flow from </w:t>
      </w:r>
      <w:r w:rsidR="007F2962">
        <w:rPr>
          <w:rFonts w:ascii="Times New Roman" w:eastAsia="Times New Roman" w:hAnsi="Times New Roman" w:cs="Times New Roman"/>
          <w:sz w:val="24"/>
          <w:szCs w:val="24"/>
          <w:lang w:val="en-GB"/>
        </w:rPr>
        <w:t>several</w:t>
      </w:r>
      <w:r w:rsidRPr="007F2962">
        <w:rPr>
          <w:rFonts w:ascii="Times New Roman" w:eastAsia="Times New Roman" w:hAnsi="Times New Roman" w:cs="Times New Roman"/>
          <w:sz w:val="24"/>
          <w:szCs w:val="24"/>
          <w:lang w:val="en-GB"/>
        </w:rPr>
        <w:t xml:space="preserve"> individuals in an unequal manner. Transnational carer-employees are also both givers and receivers of care, not just transfers who have unidirectional ties to family abroad </w:t>
      </w:r>
      <w:r w:rsidR="007F2962">
        <w:rPr>
          <w:rFonts w:ascii="Times New Roman" w:eastAsia="Times New Roman" w:hAnsi="Times New Roman" w:cs="Times New Roman"/>
          <w:sz w:val="24"/>
          <w:szCs w:val="24"/>
          <w:lang w:val="en-GB"/>
        </w:rPr>
        <w:t>i</w:t>
      </w:r>
      <w:r w:rsidRPr="007F2962">
        <w:rPr>
          <w:rFonts w:ascii="Times New Roman" w:eastAsia="Times New Roman" w:hAnsi="Times New Roman" w:cs="Times New Roman"/>
          <w:sz w:val="24"/>
          <w:szCs w:val="24"/>
          <w:lang w:val="en-GB"/>
        </w:rPr>
        <w:t xml:space="preserve">n the country </w:t>
      </w:r>
      <w:r w:rsidRPr="007F2962">
        <w:rPr>
          <w:rFonts w:ascii="Times New Roman" w:eastAsia="Times New Roman" w:hAnsi="Times New Roman" w:cs="Times New Roman"/>
          <w:sz w:val="24"/>
          <w:szCs w:val="24"/>
          <w:lang w:val="en-GB"/>
        </w:rPr>
        <w:lastRenderedPageBreak/>
        <w:t>they migrate to, according to Sethi et al. (2022). The model is best when taken without the notion of a standard family structure and based on notions of interdependency.</w:t>
      </w:r>
    </w:p>
    <w:p w14:paraId="00000006" w14:textId="4863DA00"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One major criticism is what is known as structural ‘determinism'. Global Care Chains have a tendency to portray the migrants as helpless subjects, and to portray migration as a vehicle to access better career opportunities, family security and/or autonomy. It can also indicate that a comparable amount of care is being lost or that the absence of each one of them is amounting to the same amount of care. To make this point, Coe's analysis of Ghana shows that 'commoditying' is not solely a product of international migration but of local histories, changes in kinship and domestic labour relations (Coe, 2023). This means that model causal restrictions are or will become part of the model. Migration is probably a factor that increases care pressures, though the extent to which this is the case depends on the care arrangements and gender norms of the sending communities and </w:t>
      </w:r>
      <w:r w:rsidR="007F2962">
        <w:rPr>
          <w:rFonts w:ascii="Times New Roman" w:eastAsia="Times New Roman" w:hAnsi="Times New Roman" w:cs="Times New Roman"/>
          <w:sz w:val="24"/>
          <w:szCs w:val="24"/>
          <w:lang w:val="en-GB"/>
        </w:rPr>
        <w:t xml:space="preserve">the </w:t>
      </w:r>
      <w:r w:rsidRPr="007F2962">
        <w:rPr>
          <w:rFonts w:ascii="Times New Roman" w:eastAsia="Times New Roman" w:hAnsi="Times New Roman" w:cs="Times New Roman"/>
          <w:sz w:val="24"/>
          <w:szCs w:val="24"/>
          <w:lang w:val="en-GB"/>
        </w:rPr>
        <w:t>provision of any public services.</w:t>
      </w:r>
    </w:p>
    <w:p w14:paraId="00000007" w14:textId="7EAA077D"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The second criticism is over the question of gender essentialism. T</w:t>
      </w:r>
      <w:r w:rsidR="007F2962">
        <w:rPr>
          <w:rFonts w:ascii="Times New Roman" w:eastAsia="Times New Roman" w:hAnsi="Times New Roman" w:cs="Times New Roman"/>
          <w:sz w:val="24"/>
          <w:szCs w:val="24"/>
          <w:lang w:val="en-GB"/>
        </w:rPr>
        <w:t>he t</w:t>
      </w:r>
      <w:r w:rsidRPr="007F2962">
        <w:rPr>
          <w:rFonts w:ascii="Times New Roman" w:eastAsia="Times New Roman" w:hAnsi="Times New Roman" w:cs="Times New Roman"/>
          <w:sz w:val="24"/>
          <w:szCs w:val="24"/>
          <w:lang w:val="en-GB"/>
        </w:rPr>
        <w:t>rucking of migrant mothers is obvious in the model, as is the feminisation and devaluation of care, and an emphasis on migrant mothers can easily reiterate the assumption that it is women's job to have dependants. However, Bolivian migration studies show that emotional expectations are culture</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and history-determined and not universal issues related to childbearing (Jimenez-Sanchez et al., 2023). In turn, intersectional development considers the intersection between gender and other issues like race, class, nationality/language and legal status. This includes differences in level of engagement and exploitation</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or being recognised and that policy is not treating migrant carers as homogenous.</w:t>
      </w:r>
    </w:p>
    <w:p w14:paraId="00000008" w14:textId="77777777"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A third objection might be that the chain metaphor can ignore institutions that might be in between households. Workers who migrate, the fees they pay and where they reside, as well as whether they have the right to protest if mistreated, are decided by recruitment agencies, visa sponsors, commissioners and providers. Marino and Keizer demonstrate how it is institutionally constructed, regulated, marketised and cost controlled – or, in other words, not the outcome of a natural necessity of a demographic need (Marino and Keizer, 2023). States and markets therefore should be made explicit in the model that is developed, as active links. Otherwise, it is a condemnation of the individuals not commissioning prices or immigration dependency or weak enforcement.</w:t>
      </w:r>
    </w:p>
    <w:p w14:paraId="00000009" w14:textId="77777777" w:rsidR="000B1A00" w:rsidRPr="007F2962" w:rsidRDefault="00C4753A" w:rsidP="007F2962">
      <w:pPr>
        <w:pStyle w:val="Heading1"/>
        <w:rPr>
          <w:lang w:val="en-GB"/>
        </w:rPr>
      </w:pPr>
      <w:bookmarkStart w:id="2" w:name="_Toc236917580"/>
      <w:r w:rsidRPr="007F2962">
        <w:rPr>
          <w:lang w:val="en-GB"/>
        </w:rPr>
        <w:lastRenderedPageBreak/>
        <w:t>Application of the Concept in Domiciliary Adult Social Care</w:t>
      </w:r>
      <w:bookmarkEnd w:id="2"/>
    </w:p>
    <w:p w14:paraId="0000000A" w14:textId="7E1DE869"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Global Care Chains is an attempt to understand the international recruitment process </w:t>
      </w:r>
      <w:r w:rsidR="007F2962">
        <w:rPr>
          <w:rFonts w:ascii="Times New Roman" w:eastAsia="Times New Roman" w:hAnsi="Times New Roman" w:cs="Times New Roman"/>
          <w:sz w:val="24"/>
          <w:szCs w:val="24"/>
          <w:lang w:val="en-GB"/>
        </w:rPr>
        <w:t>for</w:t>
      </w:r>
      <w:r w:rsidRPr="007F2962">
        <w:rPr>
          <w:rFonts w:ascii="Times New Roman" w:eastAsia="Times New Roman" w:hAnsi="Times New Roman" w:cs="Times New Roman"/>
          <w:sz w:val="24"/>
          <w:szCs w:val="24"/>
          <w:lang w:val="en-GB"/>
        </w:rPr>
        <w:t xml:space="preserve"> home care in England. In 2023/24, there were more internationally recruited workers in direct care (105,000) (Skills for Care, 2024). This contribution should not be seen as a sustainable indicator. These positions have been filled with international recruitment</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which has continued to drive down pay for such positions, as well as retention challenges and on-the-job flexibility. Progressively shift the focus of analysis from whether migrant workers are required to why care systems can and do create roles that are migration, with an impact on migrants' negotiating power.</w:t>
      </w:r>
    </w:p>
    <w:p w14:paraId="0000000B" w14:textId="5FED5BDE"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The top advantage to be gained from person</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centred practice is capacity. Domiciliary care refers to them visiting homes to gain an insight into their lifestyle, and, with their guidance, supporting them in food, medication, moving around, culture and relationships. Because of inadequate staff</w:t>
      </w:r>
      <w:r w:rsidR="007F2962">
        <w:rPr>
          <w:rFonts w:ascii="Times New Roman" w:eastAsia="Times New Roman" w:hAnsi="Times New Roman" w:cs="Times New Roman"/>
          <w:sz w:val="24"/>
          <w:szCs w:val="24"/>
          <w:lang w:val="en-GB"/>
        </w:rPr>
        <w:t>ing</w:t>
      </w:r>
      <w:r w:rsidRPr="007F2962">
        <w:rPr>
          <w:rFonts w:ascii="Times New Roman" w:eastAsia="Times New Roman" w:hAnsi="Times New Roman" w:cs="Times New Roman"/>
          <w:sz w:val="24"/>
          <w:szCs w:val="24"/>
          <w:lang w:val="en-GB"/>
        </w:rPr>
        <w:t xml:space="preserve">, there is </w:t>
      </w:r>
      <w:r w:rsidR="007F2962">
        <w:rPr>
          <w:rFonts w:ascii="Times New Roman" w:eastAsia="Times New Roman" w:hAnsi="Times New Roman" w:cs="Times New Roman"/>
          <w:sz w:val="24"/>
          <w:szCs w:val="24"/>
          <w:lang w:val="en-GB"/>
        </w:rPr>
        <w:t xml:space="preserve">a </w:t>
      </w:r>
      <w:r w:rsidRPr="007F2962">
        <w:rPr>
          <w:rFonts w:ascii="Times New Roman" w:eastAsia="Times New Roman" w:hAnsi="Times New Roman" w:cs="Times New Roman"/>
          <w:sz w:val="24"/>
          <w:szCs w:val="24"/>
          <w:lang w:val="en-GB"/>
        </w:rPr>
        <w:t>lack of personalisation from short visits, late visits or cancelled visits. The Care Quality Commission uses the following to describe person-centred care</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partnership, attentiveness to changing needs and responsiveness. (Care Quality Commission, 2024). These can be kept alive through increasing its accessibility, as well as migrant workers introducing their language, culture and professional expertise. Diversity is not necessarily culturally competent care. Benefits are based on induction, communication support, continuity and permission to choose to use judgment instead of lists of tasks that are tight and condensed.</w:t>
      </w:r>
    </w:p>
    <w:p w14:paraId="0000000C" w14:textId="5BC4604F"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This is an ethical ambiguity in the model. If an employee wish</w:t>
      </w:r>
      <w:r w:rsidR="007F2962">
        <w:rPr>
          <w:rFonts w:ascii="Times New Roman" w:eastAsia="Times New Roman" w:hAnsi="Times New Roman" w:cs="Times New Roman"/>
          <w:sz w:val="24"/>
          <w:szCs w:val="24"/>
          <w:lang w:val="en-GB"/>
        </w:rPr>
        <w:t>es</w:t>
      </w:r>
      <w:r w:rsidRPr="007F2962">
        <w:rPr>
          <w:rFonts w:ascii="Times New Roman" w:eastAsia="Times New Roman" w:hAnsi="Times New Roman" w:cs="Times New Roman"/>
          <w:sz w:val="24"/>
          <w:szCs w:val="24"/>
          <w:lang w:val="en-GB"/>
        </w:rPr>
        <w:t xml:space="preserve"> to work within a provider</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they may have limited choice about working with that provider and how that provider is assessed/would assess their client's choice and control. However, Hussein et al. (2024) show that these different forces of migration governance, racism and social-care organisation interact to cocon- struct migrant home-care workers’ wellbeing. Soil quality is not different from not</w:t>
      </w:r>
      <w:r w:rsidR="007F2962">
        <w:rPr>
          <w:rFonts w:ascii="Times New Roman" w:eastAsia="Times New Roman" w:hAnsi="Times New Roman" w:cs="Times New Roman"/>
          <w:sz w:val="24"/>
          <w:szCs w:val="24"/>
          <w:lang w:val="en-GB"/>
        </w:rPr>
        <w:t xml:space="preserve"> </w:t>
      </w:r>
      <w:r w:rsidRPr="007F2962">
        <w:rPr>
          <w:rFonts w:ascii="Times New Roman" w:eastAsia="Times New Roman" w:hAnsi="Times New Roman" w:cs="Times New Roman"/>
          <w:sz w:val="24"/>
          <w:szCs w:val="24"/>
          <w:lang w:val="en-GB"/>
        </w:rPr>
        <w:t>being well. The risks involved in speaking up about safeguarding can be daunting</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lack of safeguarding can result from poor scheduling</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and poor attention to relationship issues can stem from fatigue. This means that good working conditions are needed to achieve person</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centred care, since care is the relationship that creates quality.</w:t>
      </w:r>
    </w:p>
    <w:p w14:paraId="0000000D" w14:textId="71BA46F7"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The added squeeze is upon the transnational obligations. Zimbabwean care workers have been identified to work in difficult</w:t>
      </w:r>
      <w:r w:rsidR="007F2962">
        <w:rPr>
          <w:rFonts w:ascii="Times New Roman" w:eastAsia="Times New Roman" w:hAnsi="Times New Roman" w:cs="Times New Roman"/>
          <w:sz w:val="24"/>
          <w:szCs w:val="24"/>
          <w:lang w:val="en-GB"/>
        </w:rPr>
        <w:t>, un</w:t>
      </w:r>
      <w:r w:rsidRPr="007F2962">
        <w:rPr>
          <w:rFonts w:ascii="Times New Roman" w:eastAsia="Times New Roman" w:hAnsi="Times New Roman" w:cs="Times New Roman"/>
          <w:sz w:val="24"/>
          <w:szCs w:val="24"/>
          <w:lang w:val="en-GB"/>
        </w:rPr>
        <w:t>paid care role</w:t>
      </w:r>
      <w:r w:rsidR="007F2962">
        <w:rPr>
          <w:rFonts w:ascii="Times New Roman" w:eastAsia="Times New Roman" w:hAnsi="Times New Roman" w:cs="Times New Roman"/>
          <w:sz w:val="24"/>
          <w:szCs w:val="24"/>
          <w:lang w:val="en-GB"/>
        </w:rPr>
        <w:t>s</w:t>
      </w:r>
      <w:r w:rsidRPr="007F2962">
        <w:rPr>
          <w:rFonts w:ascii="Times New Roman" w:eastAsia="Times New Roman" w:hAnsi="Times New Roman" w:cs="Times New Roman"/>
          <w:sz w:val="24"/>
          <w:szCs w:val="24"/>
          <w:lang w:val="en-GB"/>
        </w:rPr>
        <w:t xml:space="preserve">, as they are at the same time under family responsibilities, both within and outside Zimbabwe (Tawodzera, 2024). The chain perspective reveals that emotional work with one English chain service user might relate to an anxious feeling </w:t>
      </w:r>
      <w:r w:rsidRPr="007F2962">
        <w:rPr>
          <w:rFonts w:ascii="Times New Roman" w:eastAsia="Times New Roman" w:hAnsi="Times New Roman" w:cs="Times New Roman"/>
          <w:sz w:val="24"/>
          <w:szCs w:val="24"/>
          <w:lang w:val="en-GB"/>
        </w:rPr>
        <w:lastRenderedPageBreak/>
        <w:t xml:space="preserve">about dependants elsewhere. This shouldn't feed into the notion of less commitment on the part of migrant workers. It shows the importance of predictable rotas, leave, family contact, </w:t>
      </w:r>
      <w:r w:rsidR="007F2962">
        <w:rPr>
          <w:rFonts w:ascii="Times New Roman" w:eastAsia="Times New Roman" w:hAnsi="Times New Roman" w:cs="Times New Roman"/>
          <w:sz w:val="24"/>
          <w:szCs w:val="24"/>
          <w:lang w:val="en-GB"/>
        </w:rPr>
        <w:t xml:space="preserve">and </w:t>
      </w:r>
      <w:r w:rsidRPr="007F2962">
        <w:rPr>
          <w:rFonts w:ascii="Times New Roman" w:eastAsia="Times New Roman" w:hAnsi="Times New Roman" w:cs="Times New Roman"/>
          <w:sz w:val="24"/>
          <w:szCs w:val="24"/>
          <w:lang w:val="en-GB"/>
        </w:rPr>
        <w:t xml:space="preserve">mental health support for quality of care. Employers that look </w:t>
      </w:r>
      <w:r w:rsidR="007F2962">
        <w:rPr>
          <w:rFonts w:ascii="Times New Roman" w:eastAsia="Times New Roman" w:hAnsi="Times New Roman" w:cs="Times New Roman"/>
          <w:sz w:val="24"/>
          <w:szCs w:val="24"/>
          <w:lang w:val="en-GB"/>
        </w:rPr>
        <w:t>the other way</w:t>
      </w:r>
      <w:r w:rsidRPr="007F2962">
        <w:rPr>
          <w:rFonts w:ascii="Times New Roman" w:eastAsia="Times New Roman" w:hAnsi="Times New Roman" w:cs="Times New Roman"/>
          <w:sz w:val="24"/>
          <w:szCs w:val="24"/>
          <w:lang w:val="en-GB"/>
        </w:rPr>
        <w:t xml:space="preserve"> at their workers' families </w:t>
      </w:r>
      <w:r w:rsidR="007F2962">
        <w:rPr>
          <w:rFonts w:ascii="Times New Roman" w:eastAsia="Times New Roman" w:hAnsi="Times New Roman" w:cs="Times New Roman"/>
          <w:sz w:val="24"/>
          <w:szCs w:val="24"/>
          <w:lang w:val="en-GB"/>
        </w:rPr>
        <w:t xml:space="preserve">are </w:t>
      </w:r>
      <w:r w:rsidRPr="007F2962">
        <w:rPr>
          <w:rFonts w:ascii="Times New Roman" w:eastAsia="Times New Roman" w:hAnsi="Times New Roman" w:cs="Times New Roman"/>
          <w:sz w:val="24"/>
          <w:szCs w:val="24"/>
          <w:lang w:val="en-GB"/>
        </w:rPr>
        <w:t>outsourcing the costs of the labo</w:t>
      </w:r>
      <w:r w:rsidR="007F2962">
        <w:rPr>
          <w:rFonts w:ascii="Times New Roman" w:eastAsia="Times New Roman" w:hAnsi="Times New Roman" w:cs="Times New Roman"/>
          <w:sz w:val="24"/>
          <w:szCs w:val="24"/>
          <w:lang w:val="en-GB"/>
        </w:rPr>
        <w:t>u</w:t>
      </w:r>
      <w:r w:rsidRPr="007F2962">
        <w:rPr>
          <w:rFonts w:ascii="Times New Roman" w:eastAsia="Times New Roman" w:hAnsi="Times New Roman" w:cs="Times New Roman"/>
          <w:sz w:val="24"/>
          <w:szCs w:val="24"/>
          <w:lang w:val="en-GB"/>
        </w:rPr>
        <w:t>r force onto the households in the country of origin.</w:t>
      </w:r>
    </w:p>
    <w:p w14:paraId="0000000E" w14:textId="2E22945E"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Indistinct borders and limits can be made even worse with live</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in and domiciliary relationships. Research with migrant live-in carers conducted by peers highlights that there are poor legal protections in relation to working times, rest and night calls, meaning that it is hard to differentiate between residence and employment (Turnpenny 2023). This can sometimes create continuity and helps to maintain familiarity, but would not be person</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centred working if it resulted in “de-dutylising” the role of the carer. It introduces a single point of failure of the exhausted worker, and a risk if the worker is lost. There is a need for teams, protected rest and reliable handovers to ensure continuity and sustainability.</w:t>
      </w:r>
    </w:p>
    <w:p w14:paraId="0000000F" w14:textId="1D74C952"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Epistemic inequality is also observed in the model. Knowing about everyday practice, chatting, </w:t>
      </w:r>
      <w:r w:rsidR="007F2962">
        <w:rPr>
          <w:rFonts w:ascii="Times New Roman" w:eastAsia="Times New Roman" w:hAnsi="Times New Roman" w:cs="Times New Roman"/>
          <w:sz w:val="24"/>
          <w:szCs w:val="24"/>
          <w:lang w:val="en-GB"/>
        </w:rPr>
        <w:t xml:space="preserve">and </w:t>
      </w:r>
      <w:r w:rsidRPr="007F2962">
        <w:rPr>
          <w:rFonts w:ascii="Times New Roman" w:eastAsia="Times New Roman" w:hAnsi="Times New Roman" w:cs="Times New Roman"/>
          <w:sz w:val="24"/>
          <w:szCs w:val="24"/>
          <w:lang w:val="en-GB"/>
        </w:rPr>
        <w:t>risk</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their knowledge </w:t>
      </w:r>
      <w:r w:rsidR="007F2962">
        <w:rPr>
          <w:rFonts w:ascii="Times New Roman" w:eastAsia="Times New Roman" w:hAnsi="Times New Roman" w:cs="Times New Roman"/>
          <w:sz w:val="24"/>
          <w:szCs w:val="24"/>
          <w:lang w:val="en-GB"/>
        </w:rPr>
        <w:t>is</w:t>
      </w:r>
      <w:r w:rsidRPr="007F2962">
        <w:rPr>
          <w:rFonts w:ascii="Times New Roman" w:eastAsia="Times New Roman" w:hAnsi="Times New Roman" w:cs="Times New Roman"/>
          <w:sz w:val="24"/>
          <w:szCs w:val="24"/>
          <w:lang w:val="en-GB"/>
        </w:rPr>
        <w:t xml:space="preserve"> ignored because of the racialisation and/or career status of migrant carers. Care network studies show that migrant carers</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experiences can be disregarded and</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secondly</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migrant carers can be dismissed as knowers (Hengelaar et al., 2024). Domiciliary care can magnify and minimise reviews and slow down deterioration. Pathways that occur for frontline observations to be incorporated into care plans or decisions from a range of disciplines and quality governance need to be formalised across all organisations.</w:t>
      </w:r>
    </w:p>
    <w:p w14:paraId="00000010" w14:textId="317F60E2"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But Global Care Chains cannot independently determine whether an individual is being cared for respectfully and/or effectively. It contains some data about structure, gives some indication of consensus decision</w:t>
      </w:r>
      <w:r w:rsidR="007F2962">
        <w:rPr>
          <w:rFonts w:ascii="Times New Roman" w:eastAsia="Times New Roman" w:hAnsi="Times New Roman" w:cs="Times New Roman"/>
          <w:sz w:val="24"/>
          <w:szCs w:val="24"/>
          <w:lang w:val="en-GB"/>
        </w:rPr>
        <w:t>-making,</w:t>
      </w:r>
      <w:r w:rsidRPr="007F2962">
        <w:rPr>
          <w:rFonts w:ascii="Times New Roman" w:eastAsia="Times New Roman" w:hAnsi="Times New Roman" w:cs="Times New Roman"/>
          <w:sz w:val="24"/>
          <w:szCs w:val="24"/>
          <w:lang w:val="en-GB"/>
        </w:rPr>
        <w:t xml:space="preserve"> or the measurement of the outcome. Organisational research has shown that person-centred practice (PCP) relies on leadership, teamwork and staff perceptions of support (Dys et al., 2022). There is also evidence that person-centred care relates to sense of work and job satisfaction, although work and organisational factors can hinder staff </w:t>
      </w:r>
      <w:r w:rsidR="007F2962">
        <w:rPr>
          <w:rFonts w:ascii="Times New Roman" w:eastAsia="Times New Roman" w:hAnsi="Times New Roman" w:cs="Times New Roman"/>
          <w:sz w:val="24"/>
          <w:szCs w:val="24"/>
          <w:lang w:val="en-GB"/>
        </w:rPr>
        <w:t>from working</w:t>
      </w:r>
      <w:r w:rsidRPr="007F2962">
        <w:rPr>
          <w:rFonts w:ascii="Times New Roman" w:eastAsia="Times New Roman" w:hAnsi="Times New Roman" w:cs="Times New Roman"/>
          <w:sz w:val="24"/>
          <w:szCs w:val="24"/>
          <w:lang w:val="en-GB"/>
        </w:rPr>
        <w:t xml:space="preserve"> in a way that is consistent with their own values (Gustavsson et al., 2023). Standards of care planning and workforce quality therefore need to be added into the chain model. It would</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in isolation</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put too much focus on the migration structures and not enough on the analytical aspects of the management competence developed.</w:t>
      </w:r>
    </w:p>
    <w:p w14:paraId="00000011" w14:textId="0A48AA94"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The application of policy is also of international justice. In countries where staff are scarce, active recruitment can have a negative impact on the provision of services. WHO has identified countries </w:t>
      </w:r>
      <w:r w:rsidRPr="007F2962">
        <w:rPr>
          <w:rFonts w:ascii="Times New Roman" w:eastAsia="Times New Roman" w:hAnsi="Times New Roman" w:cs="Times New Roman"/>
          <w:sz w:val="24"/>
          <w:szCs w:val="24"/>
          <w:lang w:val="en-GB"/>
        </w:rPr>
        <w:lastRenderedPageBreak/>
        <w:t>that require protection and provides guidelines for source country protection policies, aimed at reducing the sort of destination country recruitment practices that add to a source country's vulnerabilities (World Health Organi</w:t>
      </w:r>
      <w:r w:rsidR="007F2962">
        <w:rPr>
          <w:rFonts w:ascii="Times New Roman" w:eastAsia="Times New Roman" w:hAnsi="Times New Roman" w:cs="Times New Roman"/>
          <w:sz w:val="24"/>
          <w:szCs w:val="24"/>
          <w:lang w:val="en-GB"/>
        </w:rPr>
        <w:t>s</w:t>
      </w:r>
      <w:r w:rsidRPr="007F2962">
        <w:rPr>
          <w:rFonts w:ascii="Times New Roman" w:eastAsia="Times New Roman" w:hAnsi="Times New Roman" w:cs="Times New Roman"/>
          <w:sz w:val="24"/>
          <w:szCs w:val="24"/>
          <w:lang w:val="en-GB"/>
        </w:rPr>
        <w:t xml:space="preserve">ation, 2023). However, the lawful </w:t>
      </w:r>
      <w:r w:rsidR="007F2962">
        <w:rPr>
          <w:rFonts w:ascii="Times New Roman" w:eastAsia="Times New Roman" w:hAnsi="Times New Roman" w:cs="Times New Roman"/>
          <w:sz w:val="24"/>
          <w:szCs w:val="24"/>
          <w:lang w:val="en-GB"/>
        </w:rPr>
        <w:t>right</w:t>
      </w:r>
      <w:r w:rsidRPr="007F2962">
        <w:rPr>
          <w:rFonts w:ascii="Times New Roman" w:eastAsia="Times New Roman" w:hAnsi="Times New Roman" w:cs="Times New Roman"/>
          <w:sz w:val="24"/>
          <w:szCs w:val="24"/>
          <w:lang w:val="en-GB"/>
        </w:rPr>
        <w:t>s and autonomy of workers can be constrained by restrictive policies. Using ethics policies to draw a clear line between anti-predatory recruitment and anti-migration must be clarified. Guidance for agencies is rooted in due diligence, supporting workers, and recognising modern-slavery risks – and it should not replace inspection and effective sanctions, as per the government guidance (Department of Health and Social Care, 2024).</w:t>
      </w:r>
    </w:p>
    <w:p w14:paraId="00000012" w14:textId="77777777" w:rsidR="000B1A00" w:rsidRPr="007F2962" w:rsidRDefault="00C4753A" w:rsidP="007F2962">
      <w:pPr>
        <w:pStyle w:val="Heading1"/>
        <w:rPr>
          <w:lang w:val="en-GB"/>
        </w:rPr>
      </w:pPr>
      <w:bookmarkStart w:id="3" w:name="_Toc236917581"/>
      <w:r w:rsidRPr="007F2962">
        <w:rPr>
          <w:lang w:val="en-GB"/>
        </w:rPr>
        <w:t>Recommendations for Policy and Practice</w:t>
      </w:r>
      <w:bookmarkEnd w:id="3"/>
    </w:p>
    <w:p w14:paraId="00000013" w14:textId="3C5DF951"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It is a priority that the Commissioning ensures conditions of work are appropriate for person</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centred working. Contract terms </w:t>
      </w:r>
      <w:r w:rsidR="007F2962">
        <w:rPr>
          <w:rFonts w:ascii="Times New Roman" w:eastAsia="Times New Roman" w:hAnsi="Times New Roman" w:cs="Times New Roman"/>
          <w:sz w:val="24"/>
          <w:szCs w:val="24"/>
          <w:lang w:val="en-GB"/>
        </w:rPr>
        <w:t>should</w:t>
      </w:r>
      <w:r w:rsidRPr="007F2962">
        <w:rPr>
          <w:rFonts w:ascii="Times New Roman" w:eastAsia="Times New Roman" w:hAnsi="Times New Roman" w:cs="Times New Roman"/>
          <w:sz w:val="24"/>
          <w:szCs w:val="24"/>
          <w:lang w:val="en-GB"/>
        </w:rPr>
        <w:t xml:space="preserve"> include trave</w:t>
      </w:r>
      <w:r w:rsidR="007F2962">
        <w:rPr>
          <w:rFonts w:ascii="Times New Roman" w:eastAsia="Times New Roman" w:hAnsi="Times New Roman" w:cs="Times New Roman"/>
          <w:sz w:val="24"/>
          <w:szCs w:val="24"/>
          <w:lang w:val="en-GB"/>
        </w:rPr>
        <w:t>l</w:t>
      </w:r>
      <w:r w:rsidRPr="007F2962">
        <w:rPr>
          <w:rFonts w:ascii="Times New Roman" w:eastAsia="Times New Roman" w:hAnsi="Times New Roman" w:cs="Times New Roman"/>
          <w:sz w:val="24"/>
          <w:szCs w:val="24"/>
          <w:lang w:val="en-GB"/>
        </w:rPr>
        <w:t>ling time, supervision, training, sick pay and fixed hours. Continence, missed visits and frequency of worker change should be taken into account, along with complaints and service user outcomes when evaluating providers on an overall (rather than service-base</w:t>
      </w:r>
      <w:r w:rsidR="007F2962">
        <w:rPr>
          <w:rFonts w:ascii="Times New Roman" w:eastAsia="Times New Roman" w:hAnsi="Times New Roman" w:cs="Times New Roman"/>
          <w:sz w:val="24"/>
          <w:szCs w:val="24"/>
          <w:lang w:val="en-GB"/>
        </w:rPr>
        <w:t>d</w:t>
      </w:r>
      <w:r w:rsidRPr="007F2962">
        <w:rPr>
          <w:rFonts w:ascii="Times New Roman" w:eastAsia="Times New Roman" w:hAnsi="Times New Roman" w:cs="Times New Roman"/>
          <w:sz w:val="24"/>
          <w:szCs w:val="24"/>
          <w:lang w:val="en-GB"/>
        </w:rPr>
        <w:t>) basis. The evidence that poor working conditions impact on social-care worker wellbeing provides ample rationale for regarding working conditions as a 'care' — not ‘human-resource' — issue in order to enhance workforce wellbeing. The issue is that the only downside is that it is too expensive. If the rates of the commissioning are not realistic, small providers may be tempted to pull out where there is not adequate public funding but high cost.</w:t>
      </w:r>
    </w:p>
    <w:p w14:paraId="00000014" w14:textId="674909FA"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Secondly, dependence on employers in the immigration and labour control process should be reduced. The sponsored workers require confidential reporting, seamless moving to and from “legitimate” sponsors, and no retaliation. Addressing recruitment fees should be done through audits and repayment order</w:t>
      </w:r>
      <w:r w:rsidR="007F2962">
        <w:rPr>
          <w:rFonts w:ascii="Times New Roman" w:eastAsia="Times New Roman" w:hAnsi="Times New Roman" w:cs="Times New Roman"/>
          <w:sz w:val="24"/>
          <w:szCs w:val="24"/>
          <w:lang w:val="en-GB"/>
        </w:rPr>
        <w:t>s,</w:t>
      </w:r>
      <w:r w:rsidRPr="007F2962">
        <w:rPr>
          <w:rFonts w:ascii="Times New Roman" w:eastAsia="Times New Roman" w:hAnsi="Times New Roman" w:cs="Times New Roman"/>
          <w:sz w:val="24"/>
          <w:szCs w:val="24"/>
          <w:lang w:val="en-GB"/>
        </w:rPr>
        <w:t xml:space="preserve"> and sanctions via agency supply chains. The Migration Advisory Committee also notes that immigration's role should be part of overall social care changes that encompass pay and conditions (Migration Advisory Committee, 2022). It would also increase the short</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run movement from one employer to another with greater portability, but this would be better than forced staying, as well.</w:t>
      </w:r>
    </w:p>
    <w:p w14:paraId="00000015" w14:textId="19D17FD2"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Thirdly, induction and support </w:t>
      </w:r>
      <w:r w:rsidR="007F2962">
        <w:rPr>
          <w:rFonts w:ascii="Times New Roman" w:eastAsia="Times New Roman" w:hAnsi="Times New Roman" w:cs="Times New Roman"/>
          <w:sz w:val="24"/>
          <w:szCs w:val="24"/>
          <w:lang w:val="en-GB"/>
        </w:rPr>
        <w:t>for migrant</w:t>
      </w:r>
      <w:r w:rsidRPr="007F2962">
        <w:rPr>
          <w:rFonts w:ascii="Times New Roman" w:eastAsia="Times New Roman" w:hAnsi="Times New Roman" w:cs="Times New Roman"/>
          <w:sz w:val="24"/>
          <w:szCs w:val="24"/>
          <w:lang w:val="en-GB"/>
        </w:rPr>
        <w:t xml:space="preserve"> workers and service users should be co-produced with the providers. There is a need for PaCT induction to be undertaken for paid induction relating to safeguarding, communication, local standards and culturally responsive practise. Reflective supervision should be done in a way that shows consideration for racism, overload with emotion, </w:t>
      </w:r>
      <w:r w:rsidRPr="007F2962">
        <w:rPr>
          <w:rFonts w:ascii="Times New Roman" w:eastAsia="Times New Roman" w:hAnsi="Times New Roman" w:cs="Times New Roman"/>
          <w:sz w:val="24"/>
          <w:szCs w:val="24"/>
          <w:lang w:val="en-GB"/>
        </w:rPr>
        <w:lastRenderedPageBreak/>
        <w:t>transnational families</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etc. (while not stereotyping workers). Matching can be consistent to ensure relationships continue or, where only ethnicity is being matched, just cultural matching is done. Along this, the source country impact assessment and source country bilateral investment in training </w:t>
      </w:r>
      <w:r w:rsidR="007F2962">
        <w:rPr>
          <w:rFonts w:ascii="Times New Roman" w:eastAsia="Times New Roman" w:hAnsi="Times New Roman" w:cs="Times New Roman"/>
          <w:sz w:val="24"/>
          <w:szCs w:val="24"/>
          <w:lang w:val="en-GB"/>
        </w:rPr>
        <w:t>are</w:t>
      </w:r>
      <w:r w:rsidRPr="007F2962">
        <w:rPr>
          <w:rFonts w:ascii="Times New Roman" w:eastAsia="Times New Roman" w:hAnsi="Times New Roman" w:cs="Times New Roman"/>
          <w:sz w:val="24"/>
          <w:szCs w:val="24"/>
          <w:lang w:val="en-GB"/>
        </w:rPr>
        <w:t xml:space="preserve"> also a part and parcel of ethical recruitment if the recruitment is significant in nature.</w:t>
      </w:r>
    </w:p>
    <w:p w14:paraId="00000016" w14:textId="77777777" w:rsidR="000B1A00" w:rsidRPr="007F2962" w:rsidRDefault="00C4753A" w:rsidP="007F2962">
      <w:pPr>
        <w:pStyle w:val="Heading1"/>
        <w:rPr>
          <w:lang w:val="en-GB"/>
        </w:rPr>
      </w:pPr>
      <w:bookmarkStart w:id="4" w:name="_Toc236917582"/>
      <w:r w:rsidRPr="007F2962">
        <w:rPr>
          <w:lang w:val="en-GB"/>
        </w:rPr>
        <w:t>Conclusion</w:t>
      </w:r>
      <w:bookmarkEnd w:id="4"/>
    </w:p>
    <w:p w14:paraId="00000017" w14:textId="550B6570" w:rsidR="000B1A00" w:rsidRPr="007F2962" w:rsidRDefault="00C4753A">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The narrow perspective of person-centred care is taken up by Global Care Chains. It highlights the potential for support in an English home to be personalised and depend on gendered labour, transfer of persons and delegation of responsibility to other families (displaced), or lack thereof. It is a diagnostic</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not a procedural contribution. It offers some possible considerations of how workforce availability can positively impact access, but also how lack of security in work can negatively impact continuity, safeguarding, and the nature of the relationship and care. However, it is a narrow interpretation if it suggests the movements are linear, the female victimi</w:t>
      </w:r>
      <w:r w:rsidR="007F2962">
        <w:rPr>
          <w:rFonts w:ascii="Times New Roman" w:eastAsia="Times New Roman" w:hAnsi="Times New Roman" w:cs="Times New Roman"/>
          <w:sz w:val="24"/>
          <w:szCs w:val="24"/>
          <w:lang w:val="en-GB"/>
        </w:rPr>
        <w:t>s</w:t>
      </w:r>
      <w:r w:rsidRPr="007F2962">
        <w:rPr>
          <w:rFonts w:ascii="Times New Roman" w:eastAsia="Times New Roman" w:hAnsi="Times New Roman" w:cs="Times New Roman"/>
          <w:sz w:val="24"/>
          <w:szCs w:val="24"/>
          <w:lang w:val="en-GB"/>
        </w:rPr>
        <w:t>ation is uniform</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or there is an automatic shortfall in care. Coimbatore is a place where this policy is in practice, and caring for the person is enforced, whilst labour regulation and </w:t>
      </w:r>
      <w:r w:rsidR="007F2962">
        <w:rPr>
          <w:rFonts w:ascii="Times New Roman" w:eastAsia="Times New Roman" w:hAnsi="Times New Roman" w:cs="Times New Roman"/>
          <w:sz w:val="24"/>
          <w:szCs w:val="24"/>
          <w:lang w:val="en-GB"/>
        </w:rPr>
        <w:t xml:space="preserve">the </w:t>
      </w:r>
      <w:r w:rsidRPr="007F2962">
        <w:rPr>
          <w:rFonts w:ascii="Times New Roman" w:eastAsia="Times New Roman" w:hAnsi="Times New Roman" w:cs="Times New Roman"/>
          <w:sz w:val="24"/>
          <w:szCs w:val="24"/>
          <w:lang w:val="en-GB"/>
        </w:rPr>
        <w:t>principle of intersectionality are neglected</w:t>
      </w:r>
      <w:r w:rsidR="007F2962">
        <w:rPr>
          <w:rFonts w:ascii="Times New Roman" w:eastAsia="Times New Roman" w:hAnsi="Times New Roman" w:cs="Times New Roman"/>
          <w:sz w:val="24"/>
          <w:szCs w:val="24"/>
          <w:lang w:val="en-GB"/>
        </w:rPr>
        <w:t>,</w:t>
      </w:r>
      <w:r w:rsidRPr="007F2962">
        <w:rPr>
          <w:rFonts w:ascii="Times New Roman" w:eastAsia="Times New Roman" w:hAnsi="Times New Roman" w:cs="Times New Roman"/>
          <w:sz w:val="24"/>
          <w:szCs w:val="24"/>
          <w:lang w:val="en-GB"/>
        </w:rPr>
        <w:t xml:space="preserve"> further reinforcing the argument that caring cannot be person-centred if the care provider is taken for granted, or their agency, wellbeing and family life </w:t>
      </w:r>
      <w:r w:rsidR="007F2962">
        <w:rPr>
          <w:rFonts w:ascii="Times New Roman" w:eastAsia="Times New Roman" w:hAnsi="Times New Roman" w:cs="Times New Roman"/>
          <w:sz w:val="24"/>
          <w:szCs w:val="24"/>
          <w:lang w:val="en-GB"/>
        </w:rPr>
        <w:t>are</w:t>
      </w:r>
      <w:r w:rsidRPr="007F2962">
        <w:rPr>
          <w:rFonts w:ascii="Times New Roman" w:eastAsia="Times New Roman" w:hAnsi="Times New Roman" w:cs="Times New Roman"/>
          <w:sz w:val="24"/>
          <w:szCs w:val="24"/>
          <w:lang w:val="en-GB"/>
        </w:rPr>
        <w:t xml:space="preserve"> ignored.</w:t>
      </w:r>
      <w:r w:rsidRPr="007F2962">
        <w:rPr>
          <w:lang w:val="en-GB"/>
        </w:rPr>
        <w:br w:type="page"/>
      </w:r>
    </w:p>
    <w:p w14:paraId="00000018" w14:textId="77777777" w:rsidR="000B1A00" w:rsidRPr="007F2962" w:rsidRDefault="00C4753A">
      <w:pPr>
        <w:spacing w:line="360" w:lineRule="auto"/>
        <w:jc w:val="both"/>
        <w:rPr>
          <w:rFonts w:ascii="Times New Roman" w:eastAsia="Times New Roman" w:hAnsi="Times New Roman" w:cs="Times New Roman"/>
          <w:b/>
          <w:bCs/>
          <w:sz w:val="28"/>
          <w:szCs w:val="28"/>
          <w:lang w:val="en-GB"/>
        </w:rPr>
      </w:pPr>
      <w:r w:rsidRPr="007F2962">
        <w:rPr>
          <w:rFonts w:ascii="Times New Roman" w:eastAsia="Times New Roman" w:hAnsi="Times New Roman" w:cs="Times New Roman"/>
          <w:b/>
          <w:bCs/>
          <w:sz w:val="28"/>
          <w:szCs w:val="28"/>
          <w:lang w:val="en-GB"/>
        </w:rPr>
        <w:lastRenderedPageBreak/>
        <w:t>References</w:t>
      </w:r>
    </w:p>
    <w:p w14:paraId="6740D2AB"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Care Quality Commission (2024) </w:t>
      </w:r>
      <w:r w:rsidRPr="007F2962">
        <w:rPr>
          <w:rFonts w:ascii="Times New Roman" w:eastAsia="Times New Roman" w:hAnsi="Times New Roman" w:cs="Times New Roman"/>
          <w:i/>
          <w:iCs/>
          <w:sz w:val="24"/>
          <w:szCs w:val="24"/>
          <w:lang w:val="en-GB"/>
        </w:rPr>
        <w:t>Assessment framework</w:t>
      </w:r>
      <w:r w:rsidRPr="007F2962">
        <w:rPr>
          <w:rFonts w:ascii="Times New Roman" w:eastAsia="Times New Roman" w:hAnsi="Times New Roman" w:cs="Times New Roman"/>
          <w:sz w:val="24"/>
          <w:szCs w:val="24"/>
          <w:lang w:val="en-GB"/>
        </w:rPr>
        <w:t xml:space="preserve">, </w:t>
      </w:r>
      <w:r w:rsidRPr="007F2962">
        <w:rPr>
          <w:rFonts w:ascii="Times New Roman" w:eastAsia="Times New Roman" w:hAnsi="Times New Roman" w:cs="Times New Roman"/>
          <w:i/>
          <w:iCs/>
          <w:sz w:val="24"/>
          <w:szCs w:val="24"/>
          <w:lang w:val="en-GB"/>
        </w:rPr>
        <w:t>Person-centred care - Care Quality Commission</w:t>
      </w:r>
      <w:r w:rsidRPr="007F2962">
        <w:rPr>
          <w:rFonts w:ascii="Times New Roman" w:eastAsia="Times New Roman" w:hAnsi="Times New Roman" w:cs="Times New Roman"/>
          <w:sz w:val="24"/>
          <w:szCs w:val="24"/>
          <w:lang w:val="en-GB"/>
        </w:rPr>
        <w:t>. Available at: https://www.cqc.org.uk/guidance-regulation/providers/assessment/single-assessment-framework/responsive/person-centred-care?trk=public_post_comment- (Accessed: 06 August 2026).</w:t>
      </w:r>
    </w:p>
    <w:p w14:paraId="3CDEE527"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Coe, C., 2026. Sharing Debt and Houses: Strategies for Surviving Late Capitalism Among Aging Ghanaian Migrants in Canada. </w:t>
      </w:r>
      <w:r w:rsidRPr="007F2962">
        <w:rPr>
          <w:rFonts w:ascii="Times New Roman" w:hAnsi="Times New Roman" w:cs="Times New Roman"/>
          <w:i/>
          <w:iCs/>
          <w:color w:val="222222"/>
          <w:sz w:val="24"/>
          <w:szCs w:val="24"/>
          <w:lang w:val="en-GB"/>
        </w:rPr>
        <w:t>Economic Anthropology</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13</w:t>
      </w:r>
      <w:r w:rsidRPr="007F2962">
        <w:rPr>
          <w:rFonts w:ascii="Times New Roman" w:hAnsi="Times New Roman" w:cs="Times New Roman"/>
          <w:color w:val="222222"/>
          <w:sz w:val="24"/>
          <w:szCs w:val="24"/>
          <w:lang w:val="en-GB"/>
        </w:rPr>
        <w:t>(1), p.e70019.</w:t>
      </w:r>
      <w:r w:rsidRPr="007F2962">
        <w:rPr>
          <w:rFonts w:ascii="Times New Roman" w:eastAsia="Times New Roman" w:hAnsi="Times New Roman" w:cs="Times New Roman"/>
          <w:sz w:val="24"/>
          <w:szCs w:val="24"/>
          <w:lang w:val="en-GB"/>
        </w:rPr>
        <w:t xml:space="preserve">  Available at: </w:t>
      </w:r>
      <w:hyperlink r:id="rId8">
        <w:r w:rsidRPr="007F2962">
          <w:rPr>
            <w:rFonts w:ascii="Times New Roman" w:eastAsia="Times New Roman" w:hAnsi="Times New Roman" w:cs="Times New Roman"/>
            <w:color w:val="1155CC"/>
            <w:sz w:val="24"/>
            <w:szCs w:val="24"/>
            <w:u w:val="single"/>
            <w:lang w:val="en-GB"/>
          </w:rPr>
          <w:t>https://anthrosource.onlinelibrary.wiley.com/doi/full/10.1002/sea2.70019</w:t>
        </w:r>
      </w:hyperlink>
      <w:r w:rsidRPr="007F2962">
        <w:rPr>
          <w:rFonts w:ascii="Times New Roman" w:eastAsia="Times New Roman" w:hAnsi="Times New Roman" w:cs="Times New Roman"/>
          <w:sz w:val="24"/>
          <w:szCs w:val="24"/>
          <w:lang w:val="en-GB"/>
        </w:rPr>
        <w:t xml:space="preserve"> (Accessed: 06 August, 2026).</w:t>
      </w:r>
    </w:p>
    <w:p w14:paraId="4E09ECBF"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Department of Health and Social Care (2024) </w:t>
      </w:r>
      <w:r w:rsidRPr="007F2962">
        <w:rPr>
          <w:rFonts w:ascii="Times New Roman" w:eastAsia="Times New Roman" w:hAnsi="Times New Roman" w:cs="Times New Roman"/>
          <w:i/>
          <w:iCs/>
          <w:sz w:val="24"/>
          <w:szCs w:val="24"/>
          <w:lang w:val="en-GB"/>
        </w:rPr>
        <w:t>International Recruitment Toolkit for Adult Social Care Providers</w:t>
      </w:r>
      <w:r w:rsidRPr="007F2962">
        <w:rPr>
          <w:rFonts w:ascii="Times New Roman" w:eastAsia="Times New Roman" w:hAnsi="Times New Roman" w:cs="Times New Roman"/>
          <w:sz w:val="24"/>
          <w:szCs w:val="24"/>
          <w:lang w:val="en-GB"/>
        </w:rPr>
        <w:t xml:space="preserve">, </w:t>
      </w:r>
      <w:r w:rsidRPr="007F2962">
        <w:rPr>
          <w:rFonts w:ascii="Times New Roman" w:eastAsia="Times New Roman" w:hAnsi="Times New Roman" w:cs="Times New Roman"/>
          <w:i/>
          <w:iCs/>
          <w:sz w:val="24"/>
          <w:szCs w:val="24"/>
          <w:lang w:val="en-GB"/>
        </w:rPr>
        <w:t>GOV.UK</w:t>
      </w:r>
      <w:r w:rsidRPr="007F2962">
        <w:rPr>
          <w:rFonts w:ascii="Times New Roman" w:eastAsia="Times New Roman" w:hAnsi="Times New Roman" w:cs="Times New Roman"/>
          <w:sz w:val="24"/>
          <w:szCs w:val="24"/>
          <w:lang w:val="en-GB"/>
        </w:rPr>
        <w:t>. Available at: https://www.gov.uk/government/publications/international-recruitment-toolkit-for-adult-social-care-providers (Accessed: 06 August 2026).</w:t>
      </w:r>
    </w:p>
    <w:p w14:paraId="6DCC4495"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Dys, P.S., Tunalilar, P.O., Hasworth, M.S., Winfree, M.J. and White, P.D.L., 2022. Person-centered care practices in nursing homes: Staff perceptions and the organizational environment. </w:t>
      </w:r>
      <w:r w:rsidRPr="007F2962">
        <w:rPr>
          <w:rFonts w:ascii="Times New Roman" w:hAnsi="Times New Roman" w:cs="Times New Roman"/>
          <w:i/>
          <w:iCs/>
          <w:color w:val="222222"/>
          <w:sz w:val="24"/>
          <w:szCs w:val="24"/>
          <w:lang w:val="en-GB"/>
        </w:rPr>
        <w:t>Geriatric Nursing</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43</w:t>
      </w:r>
      <w:r w:rsidRPr="007F2962">
        <w:rPr>
          <w:rFonts w:ascii="Times New Roman" w:hAnsi="Times New Roman" w:cs="Times New Roman"/>
          <w:color w:val="222222"/>
          <w:sz w:val="24"/>
          <w:szCs w:val="24"/>
          <w:lang w:val="en-GB"/>
        </w:rPr>
        <w:t>, pp.188-196.</w:t>
      </w:r>
      <w:r w:rsidRPr="007F2962">
        <w:rPr>
          <w:rFonts w:ascii="Times New Roman" w:eastAsia="Times New Roman" w:hAnsi="Times New Roman" w:cs="Times New Roman"/>
          <w:sz w:val="24"/>
          <w:szCs w:val="24"/>
          <w:lang w:val="en-GB"/>
        </w:rPr>
        <w:t xml:space="preserve"> Available at: </w:t>
      </w:r>
      <w:hyperlink r:id="rId9">
        <w:r w:rsidRPr="007F2962">
          <w:rPr>
            <w:rFonts w:ascii="Times New Roman" w:eastAsia="Times New Roman" w:hAnsi="Times New Roman" w:cs="Times New Roman"/>
            <w:color w:val="1155CC"/>
            <w:sz w:val="24"/>
            <w:szCs w:val="24"/>
            <w:u w:val="single"/>
            <w:lang w:val="en-GB"/>
          </w:rPr>
          <w:t>https://www.sciencedirect.com/science/article/pii/S0197457221003712</w:t>
        </w:r>
      </w:hyperlink>
      <w:r w:rsidRPr="007F2962">
        <w:rPr>
          <w:rFonts w:ascii="Times New Roman" w:eastAsia="Times New Roman" w:hAnsi="Times New Roman" w:cs="Times New Roman"/>
          <w:sz w:val="24"/>
          <w:szCs w:val="24"/>
          <w:lang w:val="en-GB"/>
        </w:rPr>
        <w:t xml:space="preserve"> (Accessed: 06 August 2026).</w:t>
      </w:r>
    </w:p>
    <w:p w14:paraId="5070093B"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Gustavsson, K., van Diepen, C., Fors, A., Axelsson, M., Bertilsson, M. and Hensing, G., 2023. Healthcare professionals’ experiences of job satisfaction when providing person-centred care: a systematic review of qualitative studies. </w:t>
      </w:r>
      <w:r w:rsidRPr="007F2962">
        <w:rPr>
          <w:rFonts w:ascii="Times New Roman" w:hAnsi="Times New Roman" w:cs="Times New Roman"/>
          <w:i/>
          <w:iCs/>
          <w:color w:val="222222"/>
          <w:sz w:val="24"/>
          <w:szCs w:val="24"/>
          <w:lang w:val="en-GB"/>
        </w:rPr>
        <w:t>BMJ open</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13</w:t>
      </w:r>
      <w:r w:rsidRPr="007F2962">
        <w:rPr>
          <w:rFonts w:ascii="Times New Roman" w:hAnsi="Times New Roman" w:cs="Times New Roman"/>
          <w:color w:val="222222"/>
          <w:sz w:val="24"/>
          <w:szCs w:val="24"/>
          <w:lang w:val="en-GB"/>
        </w:rPr>
        <w:t>(6), p.e071178.</w:t>
      </w:r>
      <w:r w:rsidRPr="007F2962">
        <w:rPr>
          <w:rFonts w:ascii="Times New Roman" w:eastAsia="Times New Roman" w:hAnsi="Times New Roman" w:cs="Times New Roman"/>
          <w:sz w:val="24"/>
          <w:szCs w:val="24"/>
          <w:lang w:val="en-GB"/>
        </w:rPr>
        <w:t xml:space="preserve"> Available at: </w:t>
      </w:r>
      <w:hyperlink r:id="rId10">
        <w:r w:rsidRPr="007F2962">
          <w:rPr>
            <w:rFonts w:ascii="Times New Roman" w:eastAsia="Times New Roman" w:hAnsi="Times New Roman" w:cs="Times New Roman"/>
            <w:color w:val="1155CC"/>
            <w:sz w:val="24"/>
            <w:szCs w:val="24"/>
            <w:u w:val="single"/>
            <w:lang w:val="en-GB"/>
          </w:rPr>
          <w:t>https://bmjopen.bmj.com/content/13/6/e071178.abstract</w:t>
        </w:r>
      </w:hyperlink>
      <w:r w:rsidRPr="007F2962">
        <w:rPr>
          <w:rFonts w:ascii="Times New Roman" w:eastAsia="Times New Roman" w:hAnsi="Times New Roman" w:cs="Times New Roman"/>
          <w:sz w:val="24"/>
          <w:szCs w:val="24"/>
          <w:lang w:val="en-GB"/>
        </w:rPr>
        <w:t xml:space="preserve"> (Accessed: 06 August 2026).</w:t>
      </w:r>
    </w:p>
    <w:p w14:paraId="751EF512"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Gustavsson, K., van Diepen, C., Fors, A., Axelsson, M., Bertilsson, M. and Hensing, G., 2023. Healthcare professionals’ experiences of job satisfaction when providing person-centred care: a systematic review of qualitative studies. </w:t>
      </w:r>
      <w:r w:rsidRPr="007F2962">
        <w:rPr>
          <w:rFonts w:ascii="Times New Roman" w:hAnsi="Times New Roman" w:cs="Times New Roman"/>
          <w:i/>
          <w:iCs/>
          <w:color w:val="222222"/>
          <w:sz w:val="24"/>
          <w:szCs w:val="24"/>
          <w:lang w:val="en-GB"/>
        </w:rPr>
        <w:t>BMJ open</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13</w:t>
      </w:r>
      <w:r w:rsidRPr="007F2962">
        <w:rPr>
          <w:rFonts w:ascii="Times New Roman" w:hAnsi="Times New Roman" w:cs="Times New Roman"/>
          <w:color w:val="222222"/>
          <w:sz w:val="24"/>
          <w:szCs w:val="24"/>
          <w:lang w:val="en-GB"/>
        </w:rPr>
        <w:t>(6), p.e071178.</w:t>
      </w:r>
      <w:r w:rsidRPr="007F2962">
        <w:rPr>
          <w:rFonts w:ascii="Times New Roman" w:eastAsia="Times New Roman" w:hAnsi="Times New Roman" w:cs="Times New Roman"/>
          <w:sz w:val="24"/>
          <w:szCs w:val="24"/>
          <w:lang w:val="en-GB"/>
        </w:rPr>
        <w:t xml:space="preserve"> Available at: </w:t>
      </w:r>
      <w:hyperlink r:id="rId11">
        <w:r w:rsidRPr="007F2962">
          <w:rPr>
            <w:rFonts w:ascii="Times New Roman" w:eastAsia="Times New Roman" w:hAnsi="Times New Roman" w:cs="Times New Roman"/>
            <w:color w:val="1155CC"/>
            <w:sz w:val="24"/>
            <w:szCs w:val="24"/>
            <w:u w:val="single"/>
            <w:lang w:val="en-GB"/>
          </w:rPr>
          <w:t>https://bmjopen.bmj.com/content/13/6/e071178.abstract</w:t>
        </w:r>
      </w:hyperlink>
      <w:r w:rsidRPr="007F2962">
        <w:rPr>
          <w:rFonts w:ascii="Times New Roman" w:eastAsia="Times New Roman" w:hAnsi="Times New Roman" w:cs="Times New Roman"/>
          <w:sz w:val="24"/>
          <w:szCs w:val="24"/>
          <w:lang w:val="en-GB"/>
        </w:rPr>
        <w:t xml:space="preserve">  (Accessed: 06 August 2026).</w:t>
      </w:r>
    </w:p>
    <w:p w14:paraId="3FACAF2C"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Hengelaar, A.H., Verdonk, P., van Hartingsveldt, M. and Abma, T., 2024. A sense of injustice in care networks: An intersectional exploration of the collaboration between professionals and carers with a migration background. </w:t>
      </w:r>
      <w:r w:rsidRPr="007F2962">
        <w:rPr>
          <w:rFonts w:ascii="Times New Roman" w:hAnsi="Times New Roman" w:cs="Times New Roman"/>
          <w:i/>
          <w:iCs/>
          <w:color w:val="222222"/>
          <w:sz w:val="24"/>
          <w:szCs w:val="24"/>
          <w:lang w:val="en-GB"/>
        </w:rPr>
        <w:t>Social Science &amp; Medicine</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356</w:t>
      </w:r>
      <w:r w:rsidRPr="007F2962">
        <w:rPr>
          <w:rFonts w:ascii="Times New Roman" w:hAnsi="Times New Roman" w:cs="Times New Roman"/>
          <w:color w:val="222222"/>
          <w:sz w:val="24"/>
          <w:szCs w:val="24"/>
          <w:lang w:val="en-GB"/>
        </w:rPr>
        <w:t>, p.117169.</w:t>
      </w:r>
      <w:r w:rsidRPr="007F2962">
        <w:rPr>
          <w:rFonts w:ascii="Times New Roman" w:eastAsia="Times New Roman" w:hAnsi="Times New Roman" w:cs="Times New Roman"/>
          <w:sz w:val="24"/>
          <w:szCs w:val="24"/>
          <w:lang w:val="en-GB"/>
        </w:rPr>
        <w:t xml:space="preserve"> Available at: </w:t>
      </w:r>
      <w:hyperlink r:id="rId12">
        <w:r w:rsidRPr="007F2962">
          <w:rPr>
            <w:rFonts w:ascii="Times New Roman" w:eastAsia="Times New Roman" w:hAnsi="Times New Roman" w:cs="Times New Roman"/>
            <w:color w:val="1155CC"/>
            <w:sz w:val="24"/>
            <w:szCs w:val="24"/>
            <w:u w:val="single"/>
            <w:lang w:val="en-GB"/>
          </w:rPr>
          <w:t>https://www.sciencedirect.com/science/article/pii/S0277953624006221</w:t>
        </w:r>
      </w:hyperlink>
      <w:r w:rsidRPr="007F2962">
        <w:rPr>
          <w:rFonts w:ascii="Times New Roman" w:eastAsia="Times New Roman" w:hAnsi="Times New Roman" w:cs="Times New Roman"/>
          <w:sz w:val="24"/>
          <w:szCs w:val="24"/>
          <w:lang w:val="en-GB"/>
        </w:rPr>
        <w:t xml:space="preserve"> (Accessed: 06 August 2026).</w:t>
      </w:r>
    </w:p>
    <w:p w14:paraId="5EC8F9BC"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lastRenderedPageBreak/>
        <w:t xml:space="preserve">Hewitt, S., Ahlberg, M., Davies, D., Emberson, C., Hussein, S., Milankovics, K. and Turnpenny, A., 2023. Reflections on Peer Interviewing among Paid, Migrant, Live-in Carers in London. </w:t>
      </w:r>
      <w:r w:rsidRPr="007F2962">
        <w:rPr>
          <w:rFonts w:ascii="Times New Roman" w:hAnsi="Times New Roman" w:cs="Times New Roman"/>
          <w:i/>
          <w:iCs/>
          <w:color w:val="222222"/>
          <w:sz w:val="24"/>
          <w:szCs w:val="24"/>
          <w:lang w:val="en-GB"/>
        </w:rPr>
        <w:t>The British Journal of Social Work</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53</w:t>
      </w:r>
      <w:r w:rsidRPr="007F2962">
        <w:rPr>
          <w:rFonts w:ascii="Times New Roman" w:hAnsi="Times New Roman" w:cs="Times New Roman"/>
          <w:color w:val="222222"/>
          <w:sz w:val="24"/>
          <w:szCs w:val="24"/>
          <w:lang w:val="en-GB"/>
        </w:rPr>
        <w:t>(3), pp.1552-1560.</w:t>
      </w:r>
      <w:r w:rsidRPr="007F2962">
        <w:rPr>
          <w:rFonts w:ascii="Times New Roman" w:eastAsia="Times New Roman" w:hAnsi="Times New Roman" w:cs="Times New Roman"/>
          <w:sz w:val="24"/>
          <w:szCs w:val="24"/>
          <w:lang w:val="en-GB"/>
        </w:rPr>
        <w:t xml:space="preserve"> Available at: </w:t>
      </w:r>
      <w:hyperlink r:id="rId13">
        <w:r w:rsidRPr="007F2962">
          <w:rPr>
            <w:rFonts w:ascii="Times New Roman" w:eastAsia="Times New Roman" w:hAnsi="Times New Roman" w:cs="Times New Roman"/>
            <w:color w:val="1155CC"/>
            <w:sz w:val="24"/>
            <w:szCs w:val="24"/>
            <w:u w:val="single"/>
            <w:lang w:val="en-GB"/>
          </w:rPr>
          <w:t>https://academic.oup.com/bjsw/article/53/3/1552/7162468</w:t>
        </w:r>
      </w:hyperlink>
      <w:r w:rsidRPr="007F2962">
        <w:rPr>
          <w:rFonts w:ascii="Times New Roman" w:eastAsia="Times New Roman" w:hAnsi="Times New Roman" w:cs="Times New Roman"/>
          <w:sz w:val="24"/>
          <w:szCs w:val="24"/>
          <w:lang w:val="en-GB"/>
        </w:rPr>
        <w:t xml:space="preserve"> (Accessed: 06 August 2026).</w:t>
      </w:r>
    </w:p>
    <w:p w14:paraId="5F217776"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Hussein, S., Kilkey, M. and Tawodzera, O., 2024. The vulnerability of Central &amp; Eastern European and Zimbabwean migrant home care workers’ wellbeing in the UK: The intersectional effects of migration and social care systems. </w:t>
      </w:r>
      <w:r w:rsidRPr="007F2962">
        <w:rPr>
          <w:rFonts w:ascii="Times New Roman" w:hAnsi="Times New Roman" w:cs="Times New Roman"/>
          <w:i/>
          <w:iCs/>
          <w:color w:val="222222"/>
          <w:sz w:val="24"/>
          <w:szCs w:val="24"/>
          <w:lang w:val="en-GB"/>
        </w:rPr>
        <w:t>Journal of Ethnic and Migration Studies</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50</w:t>
      </w:r>
      <w:r w:rsidRPr="007F2962">
        <w:rPr>
          <w:rFonts w:ascii="Times New Roman" w:hAnsi="Times New Roman" w:cs="Times New Roman"/>
          <w:color w:val="222222"/>
          <w:sz w:val="24"/>
          <w:szCs w:val="24"/>
          <w:lang w:val="en-GB"/>
        </w:rPr>
        <w:t>(5), pp.1118-1137.</w:t>
      </w:r>
      <w:r w:rsidRPr="007F2962">
        <w:rPr>
          <w:rFonts w:ascii="Times New Roman" w:eastAsia="Times New Roman" w:hAnsi="Times New Roman" w:cs="Times New Roman"/>
          <w:sz w:val="24"/>
          <w:szCs w:val="24"/>
          <w:lang w:val="en-GB"/>
        </w:rPr>
        <w:t xml:space="preserve"> Available at: </w:t>
      </w:r>
      <w:hyperlink r:id="rId14">
        <w:r w:rsidRPr="007F2962">
          <w:rPr>
            <w:rFonts w:ascii="Times New Roman" w:eastAsia="Times New Roman" w:hAnsi="Times New Roman" w:cs="Times New Roman"/>
            <w:color w:val="1155CC"/>
            <w:sz w:val="24"/>
            <w:szCs w:val="24"/>
            <w:u w:val="single"/>
            <w:lang w:val="en-GB"/>
          </w:rPr>
          <w:t>https://www.tandfonline.com/doi/abs/10.1080/1369183X.2023.2279716</w:t>
        </w:r>
      </w:hyperlink>
      <w:r w:rsidRPr="007F2962">
        <w:rPr>
          <w:rFonts w:ascii="Times New Roman" w:eastAsia="Times New Roman" w:hAnsi="Times New Roman" w:cs="Times New Roman"/>
          <w:sz w:val="24"/>
          <w:szCs w:val="24"/>
          <w:lang w:val="en-GB"/>
        </w:rPr>
        <w:t xml:space="preserve"> (Accessed: 06 August 2026).</w:t>
      </w:r>
    </w:p>
    <w:p w14:paraId="21F0E5BA"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Jimenez-Sanchez, C., Loots, G. and Bircan, T., 2026. Working to Do and Working to Be: Adolescent Girls’ Labor and Identity in a Rural Migrant Community in Bolivia. </w:t>
      </w:r>
      <w:r w:rsidRPr="007F2962">
        <w:rPr>
          <w:rFonts w:ascii="Times New Roman" w:hAnsi="Times New Roman" w:cs="Times New Roman"/>
          <w:i/>
          <w:iCs/>
          <w:color w:val="222222"/>
          <w:sz w:val="24"/>
          <w:szCs w:val="24"/>
          <w:lang w:val="en-GB"/>
        </w:rPr>
        <w:t>Societies</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16</w:t>
      </w:r>
      <w:r w:rsidRPr="007F2962">
        <w:rPr>
          <w:rFonts w:ascii="Times New Roman" w:hAnsi="Times New Roman" w:cs="Times New Roman"/>
          <w:color w:val="222222"/>
          <w:sz w:val="24"/>
          <w:szCs w:val="24"/>
          <w:lang w:val="en-GB"/>
        </w:rPr>
        <w:t>(7), p.210.</w:t>
      </w:r>
      <w:r w:rsidRPr="007F2962">
        <w:rPr>
          <w:rFonts w:ascii="Times New Roman" w:eastAsia="Times New Roman" w:hAnsi="Times New Roman" w:cs="Times New Roman"/>
          <w:sz w:val="24"/>
          <w:szCs w:val="24"/>
          <w:lang w:val="en-GB"/>
        </w:rPr>
        <w:t xml:space="preserve"> Available at: </w:t>
      </w:r>
      <w:hyperlink r:id="rId15">
        <w:r w:rsidRPr="007F2962">
          <w:rPr>
            <w:rFonts w:ascii="Times New Roman" w:eastAsia="Times New Roman" w:hAnsi="Times New Roman" w:cs="Times New Roman"/>
            <w:color w:val="1155CC"/>
            <w:sz w:val="24"/>
            <w:szCs w:val="24"/>
            <w:u w:val="single"/>
            <w:lang w:val="en-GB"/>
          </w:rPr>
          <w:t>https://www.mdpi.com/2075-4698/16/7/210</w:t>
        </w:r>
      </w:hyperlink>
      <w:r w:rsidRPr="007F2962">
        <w:rPr>
          <w:rFonts w:ascii="Times New Roman" w:eastAsia="Times New Roman" w:hAnsi="Times New Roman" w:cs="Times New Roman"/>
          <w:sz w:val="24"/>
          <w:szCs w:val="24"/>
          <w:lang w:val="en-GB"/>
        </w:rPr>
        <w:t xml:space="preserve"> (Accessed: 06 August, 2026).</w:t>
      </w:r>
    </w:p>
    <w:p w14:paraId="31A9CDB7"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Marino, S. and Keizer, A., 2023. Labour market regulation and the demand for migrant labour: A comparison of the adult social care sector in England and the Netherlands. </w:t>
      </w:r>
      <w:r w:rsidRPr="007F2962">
        <w:rPr>
          <w:rFonts w:ascii="Times New Roman" w:hAnsi="Times New Roman" w:cs="Times New Roman"/>
          <w:i/>
          <w:iCs/>
          <w:color w:val="222222"/>
          <w:sz w:val="24"/>
          <w:szCs w:val="24"/>
          <w:lang w:val="en-GB"/>
        </w:rPr>
        <w:t>European Journal of Industrial Relations</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29</w:t>
      </w:r>
      <w:r w:rsidRPr="007F2962">
        <w:rPr>
          <w:rFonts w:ascii="Times New Roman" w:hAnsi="Times New Roman" w:cs="Times New Roman"/>
          <w:color w:val="222222"/>
          <w:sz w:val="24"/>
          <w:szCs w:val="24"/>
          <w:lang w:val="en-GB"/>
        </w:rPr>
        <w:t>(2), pp.159-176.</w:t>
      </w:r>
      <w:r w:rsidRPr="007F2962">
        <w:rPr>
          <w:rFonts w:ascii="Times New Roman" w:eastAsia="Times New Roman" w:hAnsi="Times New Roman" w:cs="Times New Roman"/>
          <w:sz w:val="24"/>
          <w:szCs w:val="24"/>
          <w:lang w:val="en-GB"/>
        </w:rPr>
        <w:t xml:space="preserve"> Available at: </w:t>
      </w:r>
      <w:hyperlink r:id="rId16">
        <w:r w:rsidRPr="007F2962">
          <w:rPr>
            <w:rFonts w:ascii="Times New Roman" w:eastAsia="Times New Roman" w:hAnsi="Times New Roman" w:cs="Times New Roman"/>
            <w:color w:val="1155CC"/>
            <w:sz w:val="24"/>
            <w:szCs w:val="24"/>
            <w:u w:val="single"/>
            <w:lang w:val="en-GB"/>
          </w:rPr>
          <w:t>https://journals.sagepub.com/doi/full/10.1177/09596801221127810</w:t>
        </w:r>
      </w:hyperlink>
      <w:r w:rsidRPr="007F2962">
        <w:rPr>
          <w:rFonts w:ascii="Times New Roman" w:eastAsia="Times New Roman" w:hAnsi="Times New Roman" w:cs="Times New Roman"/>
          <w:sz w:val="24"/>
          <w:szCs w:val="24"/>
          <w:lang w:val="en-GB"/>
        </w:rPr>
        <w:t xml:space="preserve"> (Accessed: 06 August, 2026).</w:t>
      </w:r>
    </w:p>
    <w:p w14:paraId="5A45A159"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Migration Advisory Committee (2022) </w:t>
      </w:r>
      <w:r w:rsidRPr="007F2962">
        <w:rPr>
          <w:rFonts w:ascii="Times New Roman" w:eastAsia="Times New Roman" w:hAnsi="Times New Roman" w:cs="Times New Roman"/>
          <w:i/>
          <w:iCs/>
          <w:sz w:val="24"/>
          <w:szCs w:val="24"/>
          <w:lang w:val="en-GB"/>
        </w:rPr>
        <w:t>Review of adult social care 2022</w:t>
      </w:r>
      <w:r w:rsidRPr="007F2962">
        <w:rPr>
          <w:rFonts w:ascii="Times New Roman" w:eastAsia="Times New Roman" w:hAnsi="Times New Roman" w:cs="Times New Roman"/>
          <w:sz w:val="24"/>
          <w:szCs w:val="24"/>
          <w:lang w:val="en-GB"/>
        </w:rPr>
        <w:t xml:space="preserve">, </w:t>
      </w:r>
      <w:r w:rsidRPr="007F2962">
        <w:rPr>
          <w:rFonts w:ascii="Times New Roman" w:eastAsia="Times New Roman" w:hAnsi="Times New Roman" w:cs="Times New Roman"/>
          <w:i/>
          <w:iCs/>
          <w:sz w:val="24"/>
          <w:szCs w:val="24"/>
          <w:lang w:val="en-GB"/>
        </w:rPr>
        <w:t>GOV.UK</w:t>
      </w:r>
      <w:r w:rsidRPr="007F2962">
        <w:rPr>
          <w:rFonts w:ascii="Times New Roman" w:eastAsia="Times New Roman" w:hAnsi="Times New Roman" w:cs="Times New Roman"/>
          <w:sz w:val="24"/>
          <w:szCs w:val="24"/>
          <w:lang w:val="en-GB"/>
        </w:rPr>
        <w:t>. Available at: https://www.gov.uk/government/publications/review-of-adult-social-care-2022 (Accessed: 06 August 2026).</w:t>
      </w:r>
    </w:p>
    <w:p w14:paraId="3C4BB231"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Ravalier, J., McFadden, P., Gillen, P., Mallett, J., Nicholl, P., Neill, R., Manthorpe, J., Moriarty, J., Schroder, H. and Curry, D., 2023. Working conditions and well-being in UK social care and social work during COVID-19. </w:t>
      </w:r>
      <w:r w:rsidRPr="007F2962">
        <w:rPr>
          <w:rFonts w:ascii="Times New Roman" w:hAnsi="Times New Roman" w:cs="Times New Roman"/>
          <w:i/>
          <w:iCs/>
          <w:color w:val="222222"/>
          <w:sz w:val="24"/>
          <w:szCs w:val="24"/>
          <w:lang w:val="en-GB"/>
        </w:rPr>
        <w:t>Journal of Social Work</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23</w:t>
      </w:r>
      <w:r w:rsidRPr="007F2962">
        <w:rPr>
          <w:rFonts w:ascii="Times New Roman" w:hAnsi="Times New Roman" w:cs="Times New Roman"/>
          <w:color w:val="222222"/>
          <w:sz w:val="24"/>
          <w:szCs w:val="24"/>
          <w:lang w:val="en-GB"/>
        </w:rPr>
        <w:t>(2), pp.165-188.</w:t>
      </w:r>
      <w:r w:rsidRPr="007F2962">
        <w:rPr>
          <w:rFonts w:ascii="Times New Roman" w:eastAsia="Times New Roman" w:hAnsi="Times New Roman" w:cs="Times New Roman"/>
          <w:sz w:val="24"/>
          <w:szCs w:val="24"/>
          <w:lang w:val="en-GB"/>
        </w:rPr>
        <w:t xml:space="preserve"> Available at: </w:t>
      </w:r>
      <w:hyperlink r:id="rId17">
        <w:r w:rsidRPr="007F2962">
          <w:rPr>
            <w:rFonts w:ascii="Times New Roman" w:eastAsia="Times New Roman" w:hAnsi="Times New Roman" w:cs="Times New Roman"/>
            <w:color w:val="1155CC"/>
            <w:sz w:val="24"/>
            <w:szCs w:val="24"/>
            <w:u w:val="single"/>
            <w:lang w:val="en-GB"/>
          </w:rPr>
          <w:t>https://journals.sagepub.com/doi/abs/10.1177/14680173221109483</w:t>
        </w:r>
      </w:hyperlink>
      <w:r w:rsidRPr="007F2962">
        <w:rPr>
          <w:rFonts w:ascii="Times New Roman" w:eastAsia="Times New Roman" w:hAnsi="Times New Roman" w:cs="Times New Roman"/>
          <w:sz w:val="24"/>
          <w:szCs w:val="24"/>
          <w:lang w:val="en-GB"/>
        </w:rPr>
        <w:t xml:space="preserve"> (Accessed: 06 August 2026).</w:t>
      </w:r>
    </w:p>
    <w:p w14:paraId="3EFFD9FE"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Rivera-Lozada, I.C., Ordoñez-Claros, J.M. and Meneses-Medina, P.A., 2026. Global Care Chains and the links of caring: a systematic review. </w:t>
      </w:r>
      <w:r w:rsidRPr="007F2962">
        <w:rPr>
          <w:rFonts w:ascii="Times New Roman" w:hAnsi="Times New Roman" w:cs="Times New Roman"/>
          <w:i/>
          <w:iCs/>
          <w:color w:val="222222"/>
          <w:sz w:val="24"/>
          <w:szCs w:val="24"/>
          <w:lang w:val="en-GB"/>
        </w:rPr>
        <w:t>Social Sciences &amp; Humanities Open</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13</w:t>
      </w:r>
      <w:r w:rsidRPr="007F2962">
        <w:rPr>
          <w:rFonts w:ascii="Times New Roman" w:hAnsi="Times New Roman" w:cs="Times New Roman"/>
          <w:color w:val="222222"/>
          <w:sz w:val="24"/>
          <w:szCs w:val="24"/>
          <w:lang w:val="en-GB"/>
        </w:rPr>
        <w:t>, p.102997.</w:t>
      </w:r>
      <w:r w:rsidRPr="007F2962">
        <w:rPr>
          <w:rFonts w:ascii="Times New Roman" w:eastAsia="Times New Roman" w:hAnsi="Times New Roman" w:cs="Times New Roman"/>
          <w:sz w:val="24"/>
          <w:szCs w:val="24"/>
          <w:lang w:val="en-GB"/>
        </w:rPr>
        <w:t xml:space="preserve"> Available at: </w:t>
      </w:r>
      <w:hyperlink r:id="rId18">
        <w:r w:rsidRPr="007F2962">
          <w:rPr>
            <w:rFonts w:ascii="Times New Roman" w:eastAsia="Times New Roman" w:hAnsi="Times New Roman" w:cs="Times New Roman"/>
            <w:color w:val="1155CC"/>
            <w:sz w:val="24"/>
            <w:szCs w:val="24"/>
            <w:u w:val="single"/>
            <w:lang w:val="en-GB"/>
          </w:rPr>
          <w:t>https://www.sciencedirect.com/science/article/pii/S2590291126005620</w:t>
        </w:r>
      </w:hyperlink>
      <w:r w:rsidRPr="007F2962">
        <w:rPr>
          <w:rFonts w:ascii="Times New Roman" w:eastAsia="Times New Roman" w:hAnsi="Times New Roman" w:cs="Times New Roman"/>
          <w:sz w:val="24"/>
          <w:szCs w:val="24"/>
          <w:lang w:val="en-GB"/>
        </w:rPr>
        <w:t xml:space="preserve"> (Accessed: 06 August, 2026).</w:t>
      </w:r>
    </w:p>
    <w:p w14:paraId="785AB718"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Sethi, B., Williams, A. and Leung, J.L., 2022. Caregiving across international borders: A systematic review of literature on transnational carer-employees. </w:t>
      </w:r>
      <w:r w:rsidRPr="007F2962">
        <w:rPr>
          <w:rFonts w:ascii="Times New Roman" w:hAnsi="Times New Roman" w:cs="Times New Roman"/>
          <w:i/>
          <w:iCs/>
          <w:color w:val="222222"/>
          <w:sz w:val="24"/>
          <w:szCs w:val="24"/>
          <w:lang w:val="en-GB"/>
        </w:rPr>
        <w:t>Journal of cross-cultural gerontology</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37</w:t>
      </w:r>
      <w:r w:rsidRPr="007F2962">
        <w:rPr>
          <w:rFonts w:ascii="Times New Roman" w:hAnsi="Times New Roman" w:cs="Times New Roman"/>
          <w:color w:val="222222"/>
          <w:sz w:val="24"/>
          <w:szCs w:val="24"/>
          <w:lang w:val="en-GB"/>
        </w:rPr>
        <w:t>(4), pp.427-461.</w:t>
      </w:r>
      <w:r w:rsidRPr="007F2962">
        <w:rPr>
          <w:rFonts w:ascii="Times New Roman" w:eastAsia="Times New Roman" w:hAnsi="Times New Roman" w:cs="Times New Roman"/>
          <w:sz w:val="24"/>
          <w:szCs w:val="24"/>
          <w:lang w:val="en-GB"/>
        </w:rPr>
        <w:t xml:space="preserve">  Available at: </w:t>
      </w:r>
      <w:hyperlink r:id="rId19">
        <w:r w:rsidRPr="007F2962">
          <w:rPr>
            <w:rFonts w:ascii="Times New Roman" w:eastAsia="Times New Roman" w:hAnsi="Times New Roman" w:cs="Times New Roman"/>
            <w:color w:val="1155CC"/>
            <w:sz w:val="24"/>
            <w:szCs w:val="24"/>
            <w:u w:val="single"/>
            <w:lang w:val="en-GB"/>
          </w:rPr>
          <w:t>https://link.springer.com/article/10.1007/s10823-022-09468-w</w:t>
        </w:r>
      </w:hyperlink>
      <w:r w:rsidRPr="007F2962">
        <w:rPr>
          <w:rFonts w:ascii="Times New Roman" w:eastAsia="Times New Roman" w:hAnsi="Times New Roman" w:cs="Times New Roman"/>
          <w:sz w:val="24"/>
          <w:szCs w:val="24"/>
          <w:lang w:val="en-GB"/>
        </w:rPr>
        <w:t xml:space="preserve"> (Accessed: 06 August, 2026).</w:t>
      </w:r>
    </w:p>
    <w:p w14:paraId="4B2EFB0B"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lastRenderedPageBreak/>
        <w:t xml:space="preserve">Skills for Care (2024) </w:t>
      </w:r>
      <w:r w:rsidRPr="007F2962">
        <w:rPr>
          <w:rFonts w:ascii="Times New Roman" w:eastAsia="Times New Roman" w:hAnsi="Times New Roman" w:cs="Times New Roman"/>
          <w:i/>
          <w:iCs/>
          <w:sz w:val="24"/>
          <w:szCs w:val="24"/>
          <w:lang w:val="en-GB"/>
        </w:rPr>
        <w:t>Attract and retain</w:t>
      </w:r>
      <w:r w:rsidRPr="007F2962">
        <w:rPr>
          <w:rFonts w:ascii="Times New Roman" w:eastAsia="Times New Roman" w:hAnsi="Times New Roman" w:cs="Times New Roman"/>
          <w:sz w:val="24"/>
          <w:szCs w:val="24"/>
          <w:lang w:val="en-GB"/>
        </w:rPr>
        <w:t>. Available at: https://www.skillsforcare.org.uk/Workforce-Strategy/Recommendations-and-commitments/Attract-and-retain.aspx (Accessed: 06 August 2026).</w:t>
      </w:r>
    </w:p>
    <w:p w14:paraId="6461C16A"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Tawodzera, O., 2024. Unravelling the tensions: Exploring the interplay of paid care work, family obligations, and transnational care among Zimbabwean migrant care workers in the UK. </w:t>
      </w:r>
      <w:r w:rsidRPr="007F2962">
        <w:rPr>
          <w:rFonts w:ascii="Times New Roman" w:hAnsi="Times New Roman" w:cs="Times New Roman"/>
          <w:i/>
          <w:iCs/>
          <w:color w:val="222222"/>
          <w:sz w:val="24"/>
          <w:szCs w:val="24"/>
          <w:lang w:val="en-GB"/>
        </w:rPr>
        <w:t>Journal of Family Studies</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30</w:t>
      </w:r>
      <w:r w:rsidRPr="007F2962">
        <w:rPr>
          <w:rFonts w:ascii="Times New Roman" w:hAnsi="Times New Roman" w:cs="Times New Roman"/>
          <w:color w:val="222222"/>
          <w:sz w:val="24"/>
          <w:szCs w:val="24"/>
          <w:lang w:val="en-GB"/>
        </w:rPr>
        <w:t>(5), pp.739-758.</w:t>
      </w:r>
      <w:r w:rsidRPr="007F2962">
        <w:rPr>
          <w:rFonts w:ascii="Times New Roman" w:eastAsia="Times New Roman" w:hAnsi="Times New Roman" w:cs="Times New Roman"/>
          <w:sz w:val="24"/>
          <w:szCs w:val="24"/>
          <w:lang w:val="en-GB"/>
        </w:rPr>
        <w:t xml:space="preserve"> Available at: </w:t>
      </w:r>
      <w:hyperlink r:id="rId20">
        <w:r w:rsidRPr="007F2962">
          <w:rPr>
            <w:rFonts w:ascii="Times New Roman" w:eastAsia="Times New Roman" w:hAnsi="Times New Roman" w:cs="Times New Roman"/>
            <w:color w:val="1155CC"/>
            <w:sz w:val="24"/>
            <w:szCs w:val="24"/>
            <w:u w:val="single"/>
            <w:lang w:val="en-GB"/>
          </w:rPr>
          <w:t>https://www.tandfonline.com/doi/full/10.1080/13229400.2024.2318335</w:t>
        </w:r>
      </w:hyperlink>
      <w:r w:rsidRPr="007F2962">
        <w:rPr>
          <w:rFonts w:ascii="Times New Roman" w:eastAsia="Times New Roman" w:hAnsi="Times New Roman" w:cs="Times New Roman"/>
          <w:sz w:val="24"/>
          <w:szCs w:val="24"/>
          <w:lang w:val="en-GB"/>
        </w:rPr>
        <w:t xml:space="preserve"> (Accessed: 06 August 2026).</w:t>
      </w:r>
    </w:p>
    <w:p w14:paraId="1545F958"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hAnsi="Times New Roman" w:cs="Times New Roman"/>
          <w:color w:val="222222"/>
          <w:sz w:val="24"/>
          <w:szCs w:val="24"/>
          <w:lang w:val="en-GB"/>
        </w:rPr>
        <w:t xml:space="preserve">Withers, M. and Hill, E., 2023. Migration and development, without care? Locating transnational care practices in the migration‐development debate. </w:t>
      </w:r>
      <w:r w:rsidRPr="007F2962">
        <w:rPr>
          <w:rFonts w:ascii="Times New Roman" w:hAnsi="Times New Roman" w:cs="Times New Roman"/>
          <w:i/>
          <w:iCs/>
          <w:color w:val="222222"/>
          <w:sz w:val="24"/>
          <w:szCs w:val="24"/>
          <w:lang w:val="en-GB"/>
        </w:rPr>
        <w:t>Population, Space and Place</w:t>
      </w:r>
      <w:r w:rsidRPr="007F2962">
        <w:rPr>
          <w:rFonts w:ascii="Times New Roman" w:hAnsi="Times New Roman" w:cs="Times New Roman"/>
          <w:color w:val="222222"/>
          <w:sz w:val="24"/>
          <w:szCs w:val="24"/>
          <w:lang w:val="en-GB"/>
        </w:rPr>
        <w:t xml:space="preserve">, </w:t>
      </w:r>
      <w:r w:rsidRPr="007F2962">
        <w:rPr>
          <w:rFonts w:ascii="Times New Roman" w:hAnsi="Times New Roman" w:cs="Times New Roman"/>
          <w:i/>
          <w:iCs/>
          <w:color w:val="222222"/>
          <w:sz w:val="24"/>
          <w:szCs w:val="24"/>
          <w:lang w:val="en-GB"/>
        </w:rPr>
        <w:t>29</w:t>
      </w:r>
      <w:r w:rsidRPr="007F2962">
        <w:rPr>
          <w:rFonts w:ascii="Times New Roman" w:hAnsi="Times New Roman" w:cs="Times New Roman"/>
          <w:color w:val="222222"/>
          <w:sz w:val="24"/>
          <w:szCs w:val="24"/>
          <w:lang w:val="en-GB"/>
        </w:rPr>
        <w:t>(3), p.e2648.</w:t>
      </w:r>
      <w:r w:rsidRPr="007F2962">
        <w:rPr>
          <w:rFonts w:ascii="Times New Roman" w:eastAsia="Times New Roman" w:hAnsi="Times New Roman" w:cs="Times New Roman"/>
          <w:sz w:val="24"/>
          <w:szCs w:val="24"/>
          <w:lang w:val="en-GB"/>
        </w:rPr>
        <w:t xml:space="preserve"> Available at: </w:t>
      </w:r>
      <w:hyperlink r:id="rId21">
        <w:r w:rsidRPr="007F2962">
          <w:rPr>
            <w:rFonts w:ascii="Times New Roman" w:eastAsia="Times New Roman" w:hAnsi="Times New Roman" w:cs="Times New Roman"/>
            <w:color w:val="1155CC"/>
            <w:sz w:val="24"/>
            <w:szCs w:val="24"/>
            <w:u w:val="single"/>
            <w:lang w:val="en-GB"/>
          </w:rPr>
          <w:t>https://onlinelibrary.wiley.com/doi/full/10.1002/psp.2648</w:t>
        </w:r>
      </w:hyperlink>
      <w:r w:rsidRPr="007F2962">
        <w:rPr>
          <w:rFonts w:ascii="Times New Roman" w:eastAsia="Times New Roman" w:hAnsi="Times New Roman" w:cs="Times New Roman"/>
          <w:sz w:val="24"/>
          <w:szCs w:val="24"/>
          <w:lang w:val="en-GB"/>
        </w:rPr>
        <w:t xml:space="preserve"> (Accessed: 06 August, 2026).</w:t>
      </w:r>
    </w:p>
    <w:p w14:paraId="387B65C8" w14:textId="77777777" w:rsidR="007F2962" w:rsidRPr="007F2962" w:rsidRDefault="007F2962">
      <w:pPr>
        <w:spacing w:line="360" w:lineRule="auto"/>
        <w:jc w:val="both"/>
        <w:rPr>
          <w:rFonts w:ascii="Times New Roman" w:eastAsia="Times New Roman" w:hAnsi="Times New Roman" w:cs="Times New Roman"/>
          <w:sz w:val="24"/>
          <w:szCs w:val="24"/>
          <w:lang w:val="en-GB"/>
        </w:rPr>
      </w:pPr>
      <w:r w:rsidRPr="007F2962">
        <w:rPr>
          <w:rFonts w:ascii="Times New Roman" w:eastAsia="Times New Roman" w:hAnsi="Times New Roman" w:cs="Times New Roman"/>
          <w:sz w:val="24"/>
          <w:szCs w:val="24"/>
          <w:lang w:val="en-GB"/>
        </w:rPr>
        <w:t xml:space="preserve">World Health Organization (2023) </w:t>
      </w:r>
      <w:r w:rsidRPr="007F2962">
        <w:rPr>
          <w:rFonts w:ascii="Times New Roman" w:eastAsia="Times New Roman" w:hAnsi="Times New Roman" w:cs="Times New Roman"/>
          <w:i/>
          <w:iCs/>
          <w:sz w:val="24"/>
          <w:szCs w:val="24"/>
          <w:lang w:val="en-GB"/>
        </w:rPr>
        <w:t>Who health workforce support and safeguards list 2023</w:t>
      </w:r>
      <w:r w:rsidRPr="007F2962">
        <w:rPr>
          <w:rFonts w:ascii="Times New Roman" w:eastAsia="Times New Roman" w:hAnsi="Times New Roman" w:cs="Times New Roman"/>
          <w:sz w:val="24"/>
          <w:szCs w:val="24"/>
          <w:lang w:val="en-GB"/>
        </w:rPr>
        <w:t xml:space="preserve">, </w:t>
      </w:r>
      <w:r w:rsidRPr="007F2962">
        <w:rPr>
          <w:rFonts w:ascii="Times New Roman" w:eastAsia="Times New Roman" w:hAnsi="Times New Roman" w:cs="Times New Roman"/>
          <w:i/>
          <w:iCs/>
          <w:sz w:val="24"/>
          <w:szCs w:val="24"/>
          <w:lang w:val="en-GB"/>
        </w:rPr>
        <w:t>World Health Organization</w:t>
      </w:r>
      <w:r w:rsidRPr="007F2962">
        <w:rPr>
          <w:rFonts w:ascii="Times New Roman" w:eastAsia="Times New Roman" w:hAnsi="Times New Roman" w:cs="Times New Roman"/>
          <w:sz w:val="24"/>
          <w:szCs w:val="24"/>
          <w:lang w:val="en-GB"/>
        </w:rPr>
        <w:t>. Available at: https://www.who.int/publications/b/68282 (Accessed: 06 August 2026).</w:t>
      </w:r>
    </w:p>
    <w:p w14:paraId="0000002C" w14:textId="77777777" w:rsidR="000B1A00" w:rsidRPr="007F2962" w:rsidRDefault="000B1A00">
      <w:pPr>
        <w:spacing w:line="360" w:lineRule="auto"/>
        <w:jc w:val="both"/>
        <w:rPr>
          <w:rFonts w:ascii="Times New Roman" w:eastAsia="Times New Roman" w:hAnsi="Times New Roman" w:cs="Times New Roman"/>
          <w:sz w:val="24"/>
          <w:szCs w:val="24"/>
          <w:lang w:val="en-GB"/>
        </w:rPr>
      </w:pPr>
    </w:p>
    <w:p w14:paraId="0000002D" w14:textId="77777777" w:rsidR="000B1A00" w:rsidRPr="007F2962" w:rsidRDefault="000B1A00">
      <w:pPr>
        <w:spacing w:line="360" w:lineRule="auto"/>
        <w:jc w:val="both"/>
        <w:rPr>
          <w:rFonts w:ascii="Times New Roman" w:eastAsia="Times New Roman" w:hAnsi="Times New Roman" w:cs="Times New Roman"/>
          <w:sz w:val="24"/>
          <w:szCs w:val="24"/>
          <w:lang w:val="en-GB"/>
        </w:rPr>
      </w:pPr>
    </w:p>
    <w:p w14:paraId="0000002E" w14:textId="77777777" w:rsidR="000B1A00" w:rsidRPr="007F2962" w:rsidRDefault="000B1A00">
      <w:pPr>
        <w:spacing w:line="360" w:lineRule="auto"/>
        <w:jc w:val="both"/>
        <w:rPr>
          <w:rFonts w:ascii="Times New Roman" w:eastAsia="Times New Roman" w:hAnsi="Times New Roman" w:cs="Times New Roman"/>
          <w:sz w:val="24"/>
          <w:szCs w:val="24"/>
          <w:lang w:val="en-GB"/>
        </w:rPr>
      </w:pPr>
    </w:p>
    <w:p w14:paraId="0000002F" w14:textId="77777777" w:rsidR="000B1A00" w:rsidRPr="007F2962" w:rsidRDefault="000B1A00">
      <w:pPr>
        <w:spacing w:line="360" w:lineRule="auto"/>
        <w:jc w:val="both"/>
        <w:rPr>
          <w:rFonts w:ascii="Times New Roman" w:eastAsia="Times New Roman" w:hAnsi="Times New Roman" w:cs="Times New Roman"/>
          <w:sz w:val="24"/>
          <w:szCs w:val="24"/>
          <w:lang w:val="en-GB"/>
        </w:rPr>
      </w:pPr>
    </w:p>
    <w:p w14:paraId="00000030" w14:textId="77777777" w:rsidR="000B1A00" w:rsidRPr="007F2962" w:rsidRDefault="000B1A00">
      <w:pPr>
        <w:spacing w:line="360" w:lineRule="auto"/>
        <w:jc w:val="both"/>
        <w:rPr>
          <w:rFonts w:ascii="Times New Roman" w:eastAsia="Times New Roman" w:hAnsi="Times New Roman" w:cs="Times New Roman"/>
          <w:sz w:val="24"/>
          <w:szCs w:val="24"/>
          <w:lang w:val="en-GB"/>
        </w:rPr>
      </w:pPr>
    </w:p>
    <w:p w14:paraId="00000031" w14:textId="77777777" w:rsidR="000B1A00" w:rsidRPr="007F2962" w:rsidRDefault="000B1A00">
      <w:pPr>
        <w:spacing w:line="360" w:lineRule="auto"/>
        <w:jc w:val="both"/>
        <w:rPr>
          <w:rFonts w:ascii="Times New Roman" w:eastAsia="Times New Roman" w:hAnsi="Times New Roman" w:cs="Times New Roman"/>
          <w:sz w:val="24"/>
          <w:szCs w:val="24"/>
          <w:lang w:val="en-GB"/>
        </w:rPr>
      </w:pPr>
    </w:p>
    <w:p w14:paraId="00000032" w14:textId="77777777" w:rsidR="000B1A00" w:rsidRPr="007F2962" w:rsidRDefault="000B1A00">
      <w:pPr>
        <w:spacing w:line="360" w:lineRule="auto"/>
        <w:jc w:val="both"/>
        <w:rPr>
          <w:rFonts w:ascii="Times New Roman" w:eastAsia="Times New Roman" w:hAnsi="Times New Roman" w:cs="Times New Roman"/>
          <w:sz w:val="24"/>
          <w:szCs w:val="24"/>
          <w:lang w:val="en-GB"/>
        </w:rPr>
      </w:pPr>
    </w:p>
    <w:p w14:paraId="00000033" w14:textId="77777777" w:rsidR="000B1A00" w:rsidRPr="007F2962" w:rsidRDefault="000B1A00">
      <w:pPr>
        <w:spacing w:line="360" w:lineRule="auto"/>
        <w:jc w:val="both"/>
        <w:rPr>
          <w:rFonts w:ascii="Times New Roman" w:eastAsia="Times New Roman" w:hAnsi="Times New Roman" w:cs="Times New Roman"/>
          <w:sz w:val="24"/>
          <w:szCs w:val="24"/>
          <w:lang w:val="en-GB"/>
        </w:rPr>
      </w:pPr>
    </w:p>
    <w:p w14:paraId="00000034" w14:textId="77777777" w:rsidR="000B1A00" w:rsidRPr="007F2962" w:rsidRDefault="000B1A00">
      <w:pPr>
        <w:spacing w:line="360" w:lineRule="auto"/>
        <w:jc w:val="both"/>
        <w:rPr>
          <w:rFonts w:ascii="Times New Roman" w:eastAsia="Times New Roman" w:hAnsi="Times New Roman" w:cs="Times New Roman"/>
          <w:sz w:val="24"/>
          <w:szCs w:val="24"/>
          <w:lang w:val="en-GB"/>
        </w:rPr>
      </w:pPr>
    </w:p>
    <w:sectPr w:rsidR="000B1A00" w:rsidRPr="007F2962" w:rsidSect="007F2962">
      <w:footerReference w:type="default" r:id="rId2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EF6AF" w14:textId="77777777" w:rsidR="003E25AE" w:rsidRDefault="003E25AE" w:rsidP="007F2962">
      <w:pPr>
        <w:spacing w:line="240" w:lineRule="auto"/>
      </w:pPr>
      <w:r>
        <w:separator/>
      </w:r>
    </w:p>
  </w:endnote>
  <w:endnote w:type="continuationSeparator" w:id="0">
    <w:p w14:paraId="671B3854" w14:textId="77777777" w:rsidR="003E25AE" w:rsidRDefault="003E25AE" w:rsidP="007F29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7A952F4-5B14-4CA6-B88A-90E6E0AA4133}"/>
  </w:font>
  <w:font w:name="Cambria">
    <w:panose1 w:val="02040503050406030204"/>
    <w:charset w:val="00"/>
    <w:family w:val="roman"/>
    <w:pitch w:val="variable"/>
    <w:sig w:usb0="E00006FF" w:usb1="420024FF" w:usb2="02000000" w:usb3="00000000" w:csb0="0000019F" w:csb1="00000000"/>
    <w:embedRegular r:id="rId2" w:fontKey="{80A3A947-926C-4F29-BE4D-D8A7936931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7467"/>
      <w:docPartObj>
        <w:docPartGallery w:val="Page Numbers (Bottom of Page)"/>
        <w:docPartUnique/>
      </w:docPartObj>
    </w:sdtPr>
    <w:sdtEndPr>
      <w:rPr>
        <w:noProof/>
      </w:rPr>
    </w:sdtEndPr>
    <w:sdtContent>
      <w:p w14:paraId="251244BE" w14:textId="07C6618B" w:rsidR="007F2962" w:rsidRDefault="007F2962">
        <w:pPr>
          <w:pStyle w:val="Footer"/>
          <w:jc w:val="right"/>
        </w:pPr>
        <w:r>
          <w:fldChar w:fldCharType="begin"/>
        </w:r>
        <w:r>
          <w:instrText xml:space="preserve"> PAGE   \* MERGEFORMAT </w:instrText>
        </w:r>
        <w:r>
          <w:fldChar w:fldCharType="separate"/>
        </w:r>
        <w:r w:rsidR="00C4531B">
          <w:rPr>
            <w:noProof/>
          </w:rPr>
          <w:t>11</w:t>
        </w:r>
        <w:r>
          <w:rPr>
            <w:noProof/>
          </w:rPr>
          <w:fldChar w:fldCharType="end"/>
        </w:r>
      </w:p>
    </w:sdtContent>
  </w:sdt>
  <w:p w14:paraId="025866DD" w14:textId="77777777" w:rsidR="007F2962" w:rsidRDefault="007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7ED2F" w14:textId="77777777" w:rsidR="003E25AE" w:rsidRDefault="003E25AE" w:rsidP="007F2962">
      <w:pPr>
        <w:spacing w:line="240" w:lineRule="auto"/>
      </w:pPr>
      <w:r>
        <w:separator/>
      </w:r>
    </w:p>
  </w:footnote>
  <w:footnote w:type="continuationSeparator" w:id="0">
    <w:p w14:paraId="4E7793C1" w14:textId="77777777" w:rsidR="003E25AE" w:rsidRDefault="003E25AE" w:rsidP="007F296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Axt7AwNDUwMbAwMzRT0lEKTi0uzszPAykwqgUAewqtJywAAAA="/>
  </w:docVars>
  <w:rsids>
    <w:rsidRoot w:val="000B1A00"/>
    <w:rsid w:val="000B1A00"/>
    <w:rsid w:val="00376839"/>
    <w:rsid w:val="003E25AE"/>
    <w:rsid w:val="005A386E"/>
    <w:rsid w:val="007F2962"/>
    <w:rsid w:val="00A568E7"/>
    <w:rsid w:val="00C4531B"/>
    <w:rsid w:val="00C4753A"/>
    <w:rsid w:val="00CA4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9E02E"/>
  <w15:docId w15:val="{7FFC7F67-1964-4505-AA76-190D0EA8F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qFormat/>
    <w:rsid w:val="007F296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7F296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F2962"/>
    <w:pPr>
      <w:spacing w:after="100"/>
    </w:pPr>
  </w:style>
  <w:style w:type="character" w:styleId="Hyperlink">
    <w:name w:val="Hyperlink"/>
    <w:basedOn w:val="DefaultParagraphFont"/>
    <w:uiPriority w:val="99"/>
    <w:unhideWhenUsed/>
    <w:rsid w:val="007F2962"/>
    <w:rPr>
      <w:color w:val="0000FF" w:themeColor="hyperlink"/>
      <w:u w:val="single"/>
    </w:rPr>
  </w:style>
  <w:style w:type="paragraph" w:styleId="Header">
    <w:name w:val="header"/>
    <w:basedOn w:val="Normal"/>
    <w:link w:val="HeaderChar"/>
    <w:uiPriority w:val="99"/>
    <w:unhideWhenUsed/>
    <w:rsid w:val="007F2962"/>
    <w:pPr>
      <w:tabs>
        <w:tab w:val="center" w:pos="4513"/>
        <w:tab w:val="right" w:pos="9026"/>
      </w:tabs>
      <w:spacing w:line="240" w:lineRule="auto"/>
    </w:pPr>
  </w:style>
  <w:style w:type="character" w:customStyle="1" w:styleId="HeaderChar">
    <w:name w:val="Header Char"/>
    <w:basedOn w:val="DefaultParagraphFont"/>
    <w:link w:val="Header"/>
    <w:uiPriority w:val="99"/>
    <w:rsid w:val="007F2962"/>
  </w:style>
  <w:style w:type="paragraph" w:styleId="Footer">
    <w:name w:val="footer"/>
    <w:basedOn w:val="Normal"/>
    <w:link w:val="FooterChar"/>
    <w:uiPriority w:val="99"/>
    <w:unhideWhenUsed/>
    <w:rsid w:val="007F2962"/>
    <w:pPr>
      <w:tabs>
        <w:tab w:val="center" w:pos="4513"/>
        <w:tab w:val="right" w:pos="9026"/>
      </w:tabs>
      <w:spacing w:line="240" w:lineRule="auto"/>
    </w:pPr>
  </w:style>
  <w:style w:type="character" w:customStyle="1" w:styleId="FooterChar">
    <w:name w:val="Footer Char"/>
    <w:basedOn w:val="DefaultParagraphFont"/>
    <w:link w:val="Footer"/>
    <w:uiPriority w:val="99"/>
    <w:rsid w:val="007F2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nthrosource.onlinelibrary.wiley.com/doi/full/10.1002/sea2.70019" TargetMode="External"/><Relationship Id="rId13" Type="http://schemas.openxmlformats.org/officeDocument/2006/relationships/hyperlink" Target="https://academic.oup.com/bjsw/article/53/3/1552/7162468" TargetMode="External"/><Relationship Id="rId18" Type="http://schemas.openxmlformats.org/officeDocument/2006/relationships/hyperlink" Target="https://www.sciencedirect.com/science/article/pii/S2590291126005620" TargetMode="External"/><Relationship Id="rId3" Type="http://schemas.openxmlformats.org/officeDocument/2006/relationships/settings" Target="settings.xml"/><Relationship Id="rId21" Type="http://schemas.openxmlformats.org/officeDocument/2006/relationships/hyperlink" Target="https://onlinelibrary.wiley.com/doi/full/10.1002/psp.2648" TargetMode="External"/><Relationship Id="rId7" Type="http://schemas.openxmlformats.org/officeDocument/2006/relationships/image" Target="media/image1.png"/><Relationship Id="rId12" Type="http://schemas.openxmlformats.org/officeDocument/2006/relationships/hyperlink" Target="https://www.sciencedirect.com/science/article/pii/S0277953624006221" TargetMode="External"/><Relationship Id="rId17" Type="http://schemas.openxmlformats.org/officeDocument/2006/relationships/hyperlink" Target="https://journals.sagepub.com/doi/abs/10.1177/14680173221109483" TargetMode="External"/><Relationship Id="rId2" Type="http://schemas.openxmlformats.org/officeDocument/2006/relationships/styles" Target="styles.xml"/><Relationship Id="rId16" Type="http://schemas.openxmlformats.org/officeDocument/2006/relationships/hyperlink" Target="https://journals.sagepub.com/doi/full/10.1177/09596801221127810" TargetMode="External"/><Relationship Id="rId20" Type="http://schemas.openxmlformats.org/officeDocument/2006/relationships/hyperlink" Target="https://www.tandfonline.com/doi/full/10.1080/13229400.2024.231833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mjopen.bmj.com/content/13/6/e071178.abstrac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dpi.com/2075-4698/16/7/210" TargetMode="External"/><Relationship Id="rId23" Type="http://schemas.openxmlformats.org/officeDocument/2006/relationships/fontTable" Target="fontTable.xml"/><Relationship Id="rId10" Type="http://schemas.openxmlformats.org/officeDocument/2006/relationships/hyperlink" Target="https://bmjopen.bmj.com/content/13/6/e071178.abstract" TargetMode="External"/><Relationship Id="rId19" Type="http://schemas.openxmlformats.org/officeDocument/2006/relationships/hyperlink" Target="https://link.springer.com/article/10.1007/s10823-022-09468-w" TargetMode="External"/><Relationship Id="rId4" Type="http://schemas.openxmlformats.org/officeDocument/2006/relationships/webSettings" Target="webSettings.xml"/><Relationship Id="rId9" Type="http://schemas.openxmlformats.org/officeDocument/2006/relationships/hyperlink" Target="https://www.sciencedirect.com/science/article/pii/S0197457221003712" TargetMode="External"/><Relationship Id="rId14" Type="http://schemas.openxmlformats.org/officeDocument/2006/relationships/hyperlink" Target="https://www.tandfonline.com/doi/abs/10.1080/1369183X.2023.2279716"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6B725-FEF5-4756-8622-36361ECF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3367</Words>
  <Characters>19196</Characters>
  <Application>Microsoft Office Word</Application>
  <DocSecurity>0</DocSecurity>
  <Lines>159</Lines>
  <Paragraphs>45</Paragraphs>
  <ScaleCrop>false</ScaleCrop>
  <Company/>
  <LinksUpToDate>false</LinksUpToDate>
  <CharactersWithSpaces>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Alok Kumar</cp:lastModifiedBy>
  <cp:revision>5</cp:revision>
  <dcterms:created xsi:type="dcterms:W3CDTF">2026-08-06T08:33:00Z</dcterms:created>
  <dcterms:modified xsi:type="dcterms:W3CDTF">2026-08-06T15:10:00Z</dcterms:modified>
</cp:coreProperties>
</file>