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8D882" w14:textId="0711C7F7" w:rsidR="00830C0A" w:rsidRDefault="00D044C6">
      <w:pPr>
        <w:rPr>
          <w:rFonts w:ascii="Century Gothic" w:hAnsi="Century Gothic"/>
          <w:sz w:val="40"/>
          <w:szCs w:val="40"/>
        </w:rPr>
      </w:pPr>
      <w:r>
        <w:rPr>
          <w:rFonts w:ascii="Century Gothic" w:hAnsi="Century Gothic"/>
          <w:sz w:val="40"/>
          <w:szCs w:val="40"/>
        </w:rPr>
        <w:t xml:space="preserve">Michaela Victor </w:t>
      </w:r>
    </w:p>
    <w:p w14:paraId="503102BB" w14:textId="0AD46970" w:rsidR="00D044C6" w:rsidRDefault="00D044C6">
      <w:pPr>
        <w:rPr>
          <w:rFonts w:ascii="Century Gothic" w:hAnsi="Century Gothic"/>
          <w:sz w:val="40"/>
          <w:szCs w:val="40"/>
        </w:rPr>
      </w:pPr>
      <w:r>
        <w:rPr>
          <w:rFonts w:ascii="Century Gothic" w:hAnsi="Century Gothic"/>
          <w:sz w:val="40"/>
          <w:szCs w:val="40"/>
        </w:rPr>
        <w:t xml:space="preserve">Education Studies </w:t>
      </w:r>
    </w:p>
    <w:p w14:paraId="02E99A60" w14:textId="77777777" w:rsidR="00EB6EE6" w:rsidRPr="00EB6EE6" w:rsidRDefault="00EB6EE6" w:rsidP="00EB6EE6">
      <w:pPr>
        <w:rPr>
          <w:rFonts w:ascii="Century Gothic" w:hAnsi="Century Gothic"/>
          <w:sz w:val="40"/>
          <w:szCs w:val="40"/>
        </w:rPr>
      </w:pPr>
      <w:r w:rsidRPr="00EB6EE6">
        <w:rPr>
          <w:rFonts w:ascii="Century Gothic" w:hAnsi="Century Gothic"/>
          <w:sz w:val="40"/>
          <w:szCs w:val="40"/>
        </w:rPr>
        <w:t>ECGE4005P/C</w:t>
      </w:r>
    </w:p>
    <w:p w14:paraId="11DD9999" w14:textId="612EBA68" w:rsidR="00D044C6" w:rsidRDefault="00D044C6">
      <w:pPr>
        <w:rPr>
          <w:rFonts w:ascii="Century Gothic" w:hAnsi="Century Gothic"/>
          <w:sz w:val="40"/>
          <w:szCs w:val="40"/>
        </w:rPr>
      </w:pPr>
    </w:p>
    <w:p w14:paraId="58B1FF99" w14:textId="3FA77CEE" w:rsidR="002F0329" w:rsidRDefault="002F0329">
      <w:pPr>
        <w:rPr>
          <w:rFonts w:ascii="Century Gothic" w:hAnsi="Century Gothic"/>
          <w:sz w:val="40"/>
          <w:szCs w:val="40"/>
        </w:rPr>
      </w:pPr>
    </w:p>
    <w:p w14:paraId="177082F7" w14:textId="525D02AA" w:rsidR="002F0329" w:rsidRDefault="002F0329">
      <w:pPr>
        <w:rPr>
          <w:rFonts w:ascii="Century Gothic" w:hAnsi="Century Gothic"/>
          <w:sz w:val="40"/>
          <w:szCs w:val="40"/>
        </w:rPr>
      </w:pPr>
    </w:p>
    <w:p w14:paraId="553C11CB" w14:textId="7C837102" w:rsidR="002F0329" w:rsidRDefault="002F0329">
      <w:pPr>
        <w:rPr>
          <w:rFonts w:ascii="Century Gothic" w:hAnsi="Century Gothic"/>
          <w:sz w:val="40"/>
          <w:szCs w:val="40"/>
        </w:rPr>
      </w:pPr>
    </w:p>
    <w:p w14:paraId="599358E1" w14:textId="04C59306" w:rsidR="002F0329" w:rsidRDefault="002F0329">
      <w:pPr>
        <w:rPr>
          <w:rFonts w:ascii="Century Gothic" w:hAnsi="Century Gothic"/>
          <w:sz w:val="40"/>
          <w:szCs w:val="40"/>
        </w:rPr>
      </w:pPr>
    </w:p>
    <w:p w14:paraId="2AA5F425" w14:textId="3B93F44D" w:rsidR="002F0329" w:rsidRDefault="002F0329">
      <w:pPr>
        <w:rPr>
          <w:rFonts w:ascii="Century Gothic" w:hAnsi="Century Gothic"/>
          <w:sz w:val="40"/>
          <w:szCs w:val="40"/>
        </w:rPr>
      </w:pPr>
    </w:p>
    <w:p w14:paraId="3610050A" w14:textId="1F9E2D06" w:rsidR="002F0329" w:rsidRDefault="002F0329">
      <w:pPr>
        <w:rPr>
          <w:rFonts w:ascii="Century Gothic" w:hAnsi="Century Gothic"/>
          <w:sz w:val="40"/>
          <w:szCs w:val="40"/>
        </w:rPr>
      </w:pPr>
    </w:p>
    <w:p w14:paraId="1231F13C" w14:textId="21004B2A" w:rsidR="002F0329" w:rsidRDefault="002F0329">
      <w:pPr>
        <w:rPr>
          <w:rFonts w:ascii="Century Gothic" w:hAnsi="Century Gothic"/>
          <w:sz w:val="40"/>
          <w:szCs w:val="40"/>
        </w:rPr>
      </w:pPr>
    </w:p>
    <w:p w14:paraId="23503EDC" w14:textId="58884507" w:rsidR="002F0329" w:rsidRDefault="002F0329">
      <w:pPr>
        <w:rPr>
          <w:rFonts w:ascii="Century Gothic" w:hAnsi="Century Gothic"/>
          <w:sz w:val="40"/>
          <w:szCs w:val="40"/>
        </w:rPr>
      </w:pPr>
    </w:p>
    <w:p w14:paraId="7ECD05D7" w14:textId="1A660351" w:rsidR="002F0329" w:rsidRDefault="002F0329">
      <w:pPr>
        <w:rPr>
          <w:rFonts w:ascii="Century Gothic" w:hAnsi="Century Gothic"/>
          <w:sz w:val="40"/>
          <w:szCs w:val="40"/>
        </w:rPr>
      </w:pPr>
    </w:p>
    <w:p w14:paraId="5699F7CA" w14:textId="6BC3F784" w:rsidR="002F0329" w:rsidRDefault="002F0329">
      <w:pPr>
        <w:rPr>
          <w:rFonts w:ascii="Century Gothic" w:hAnsi="Century Gothic"/>
          <w:sz w:val="40"/>
          <w:szCs w:val="40"/>
        </w:rPr>
      </w:pPr>
    </w:p>
    <w:p w14:paraId="57FB7BD0" w14:textId="65C9B3F3" w:rsidR="002F0329" w:rsidRDefault="002F0329">
      <w:pPr>
        <w:rPr>
          <w:rFonts w:ascii="Century Gothic" w:hAnsi="Century Gothic"/>
          <w:sz w:val="40"/>
          <w:szCs w:val="40"/>
        </w:rPr>
      </w:pPr>
    </w:p>
    <w:p w14:paraId="060965DF" w14:textId="3195C167" w:rsidR="002F0329" w:rsidRDefault="002F0329">
      <w:pPr>
        <w:rPr>
          <w:rFonts w:ascii="Century Gothic" w:hAnsi="Century Gothic"/>
          <w:sz w:val="40"/>
          <w:szCs w:val="40"/>
        </w:rPr>
      </w:pPr>
    </w:p>
    <w:p w14:paraId="59295865" w14:textId="2230FB93" w:rsidR="002F0329" w:rsidRDefault="002F0329">
      <w:pPr>
        <w:rPr>
          <w:rFonts w:ascii="Century Gothic" w:hAnsi="Century Gothic"/>
          <w:sz w:val="40"/>
          <w:szCs w:val="40"/>
        </w:rPr>
      </w:pPr>
    </w:p>
    <w:p w14:paraId="4C300AEC" w14:textId="6A1FD560" w:rsidR="002F0329" w:rsidRDefault="002F0329">
      <w:pPr>
        <w:rPr>
          <w:rFonts w:ascii="Century Gothic" w:hAnsi="Century Gothic"/>
          <w:sz w:val="40"/>
          <w:szCs w:val="40"/>
        </w:rPr>
      </w:pPr>
    </w:p>
    <w:p w14:paraId="6249B551" w14:textId="40BDBE6A" w:rsidR="002F0329" w:rsidRDefault="002F0329">
      <w:pPr>
        <w:rPr>
          <w:rFonts w:ascii="Century Gothic" w:hAnsi="Century Gothic"/>
          <w:sz w:val="40"/>
          <w:szCs w:val="40"/>
        </w:rPr>
      </w:pPr>
    </w:p>
    <w:p w14:paraId="4A3EC81E" w14:textId="658FF80B" w:rsidR="002F0329" w:rsidRDefault="002F0329">
      <w:pPr>
        <w:rPr>
          <w:rFonts w:ascii="Century Gothic" w:hAnsi="Century Gothic"/>
          <w:sz w:val="40"/>
          <w:szCs w:val="40"/>
        </w:rPr>
      </w:pPr>
    </w:p>
    <w:p w14:paraId="5F2BB355" w14:textId="2A8BAEF4" w:rsidR="002F0329" w:rsidRDefault="002F0329">
      <w:pPr>
        <w:rPr>
          <w:rFonts w:ascii="Century Gothic" w:hAnsi="Century Gothic"/>
          <w:sz w:val="40"/>
          <w:szCs w:val="40"/>
        </w:rPr>
      </w:pPr>
    </w:p>
    <w:p w14:paraId="4BC38FC5" w14:textId="286F5D32" w:rsidR="002F0329" w:rsidRDefault="002F0329">
      <w:pPr>
        <w:rPr>
          <w:rFonts w:ascii="Century Gothic" w:hAnsi="Century Gothic"/>
          <w:sz w:val="40"/>
          <w:szCs w:val="40"/>
        </w:rPr>
      </w:pPr>
    </w:p>
    <w:p w14:paraId="53571ED4" w14:textId="504698C9" w:rsidR="002F0329" w:rsidRDefault="002F0329">
      <w:pPr>
        <w:rPr>
          <w:rFonts w:ascii="Century Gothic" w:hAnsi="Century Gothic"/>
          <w:sz w:val="40"/>
          <w:szCs w:val="40"/>
        </w:rPr>
      </w:pPr>
    </w:p>
    <w:p w14:paraId="3F6034D5" w14:textId="68D792BD" w:rsidR="002F0329" w:rsidRDefault="002F0329">
      <w:pPr>
        <w:rPr>
          <w:rFonts w:ascii="Century Gothic" w:hAnsi="Century Gothic"/>
          <w:sz w:val="40"/>
          <w:szCs w:val="40"/>
        </w:rPr>
      </w:pPr>
    </w:p>
    <w:p w14:paraId="312541D1" w14:textId="7D5AAAA4" w:rsidR="002F0329" w:rsidRDefault="002F0329">
      <w:pPr>
        <w:rPr>
          <w:rFonts w:ascii="Century Gothic" w:hAnsi="Century Gothic"/>
          <w:sz w:val="40"/>
          <w:szCs w:val="40"/>
        </w:rPr>
      </w:pPr>
    </w:p>
    <w:p w14:paraId="1A514CDE" w14:textId="3BFE9AB8" w:rsidR="002F0329" w:rsidRDefault="002F0329">
      <w:pPr>
        <w:rPr>
          <w:rFonts w:ascii="Century Gothic" w:hAnsi="Century Gothic"/>
          <w:sz w:val="40"/>
          <w:szCs w:val="40"/>
        </w:rPr>
      </w:pPr>
    </w:p>
    <w:p w14:paraId="318255EB" w14:textId="7026E060" w:rsidR="002F0329" w:rsidRDefault="002F0329">
      <w:pPr>
        <w:rPr>
          <w:rFonts w:ascii="Century Gothic" w:hAnsi="Century Gothic"/>
          <w:sz w:val="40"/>
          <w:szCs w:val="40"/>
        </w:rPr>
      </w:pPr>
    </w:p>
    <w:p w14:paraId="1E7AB212" w14:textId="640E254B" w:rsidR="002F0329" w:rsidRDefault="002F0329">
      <w:pPr>
        <w:rPr>
          <w:rFonts w:ascii="Century Gothic" w:hAnsi="Century Gothic"/>
          <w:sz w:val="40"/>
          <w:szCs w:val="40"/>
        </w:rPr>
      </w:pPr>
    </w:p>
    <w:p w14:paraId="0A4DF224" w14:textId="05198076" w:rsidR="002F0329" w:rsidRDefault="002F0329">
      <w:pPr>
        <w:rPr>
          <w:rFonts w:ascii="Century Gothic" w:hAnsi="Century Gothic"/>
          <w:sz w:val="40"/>
          <w:szCs w:val="40"/>
        </w:rPr>
      </w:pPr>
      <w:r>
        <w:rPr>
          <w:rFonts w:ascii="Century Gothic" w:hAnsi="Century Gothic"/>
          <w:sz w:val="40"/>
          <w:szCs w:val="40"/>
        </w:rPr>
        <w:lastRenderedPageBreak/>
        <w:t xml:space="preserve">PowerPoint link </w:t>
      </w:r>
    </w:p>
    <w:p w14:paraId="3E61CFC3" w14:textId="496C3BB7" w:rsidR="002F0329" w:rsidRDefault="002F0329">
      <w:pPr>
        <w:rPr>
          <w:rFonts w:ascii="Century Gothic" w:hAnsi="Century Gothic"/>
          <w:sz w:val="40"/>
          <w:szCs w:val="40"/>
        </w:rPr>
      </w:pPr>
    </w:p>
    <w:p w14:paraId="583BA715" w14:textId="0385B509" w:rsidR="002F0329" w:rsidRDefault="002F0329">
      <w:pPr>
        <w:rPr>
          <w:rFonts w:ascii="Century Gothic" w:hAnsi="Century Gothic"/>
          <w:sz w:val="40"/>
          <w:szCs w:val="40"/>
        </w:rPr>
      </w:pPr>
    </w:p>
    <w:p w14:paraId="3B7EDD08" w14:textId="4F9C631B" w:rsidR="002F0329" w:rsidRDefault="00F77BAD">
      <w:pPr>
        <w:rPr>
          <w:rFonts w:ascii="Century Gothic" w:hAnsi="Century Gothic"/>
          <w:sz w:val="40"/>
          <w:szCs w:val="40"/>
        </w:rPr>
      </w:pPr>
      <w:hyperlink r:id="rId4" w:history="1">
        <w:r w:rsidR="008474F6" w:rsidRPr="003F6BB6">
          <w:rPr>
            <w:rStyle w:val="Hyperlink"/>
            <w:rFonts w:ascii="Century Gothic" w:hAnsi="Century Gothic"/>
            <w:sz w:val="40"/>
            <w:szCs w:val="40"/>
          </w:rPr>
          <w:t>https://uowtsd.sharepoint.com/teams/DysguynyrOesDdigidolLearningintheDigitalEraECGE4005PC_GRP-MichaelaVictor/Shared%20Documents/Recordings/Michaela%20Victor-20221106_155305-Meeting%20Recording.mp4?web=1</w:t>
        </w:r>
      </w:hyperlink>
    </w:p>
    <w:p w14:paraId="35BB3ABD" w14:textId="3D92EF01" w:rsidR="008474F6" w:rsidRDefault="008474F6">
      <w:pPr>
        <w:rPr>
          <w:rFonts w:ascii="Century Gothic" w:hAnsi="Century Gothic"/>
          <w:sz w:val="40"/>
          <w:szCs w:val="40"/>
        </w:rPr>
      </w:pPr>
    </w:p>
    <w:p w14:paraId="48E7DE4B" w14:textId="0247B06D" w:rsidR="008474F6" w:rsidRDefault="008474F6">
      <w:pPr>
        <w:rPr>
          <w:rFonts w:ascii="Century Gothic" w:hAnsi="Century Gothic"/>
          <w:sz w:val="40"/>
          <w:szCs w:val="40"/>
        </w:rPr>
      </w:pPr>
    </w:p>
    <w:p w14:paraId="1347FC86" w14:textId="4BAF59A1" w:rsidR="008474F6" w:rsidRDefault="008474F6">
      <w:pPr>
        <w:rPr>
          <w:rFonts w:ascii="Century Gothic" w:hAnsi="Century Gothic"/>
          <w:sz w:val="40"/>
          <w:szCs w:val="40"/>
        </w:rPr>
      </w:pPr>
    </w:p>
    <w:p w14:paraId="210E41C4" w14:textId="3AFDD299" w:rsidR="008474F6" w:rsidRDefault="008474F6">
      <w:pPr>
        <w:rPr>
          <w:rFonts w:ascii="Century Gothic" w:hAnsi="Century Gothic"/>
          <w:sz w:val="40"/>
          <w:szCs w:val="40"/>
        </w:rPr>
      </w:pPr>
    </w:p>
    <w:p w14:paraId="3684FB9E" w14:textId="26B5B38B" w:rsidR="008474F6" w:rsidRDefault="008474F6">
      <w:pPr>
        <w:rPr>
          <w:rFonts w:ascii="Century Gothic" w:hAnsi="Century Gothic"/>
          <w:sz w:val="40"/>
          <w:szCs w:val="40"/>
        </w:rPr>
      </w:pPr>
    </w:p>
    <w:p w14:paraId="23B5987D" w14:textId="08A7C7B5" w:rsidR="008474F6" w:rsidRDefault="008474F6">
      <w:pPr>
        <w:rPr>
          <w:rFonts w:ascii="Century Gothic" w:hAnsi="Century Gothic"/>
          <w:sz w:val="40"/>
          <w:szCs w:val="40"/>
        </w:rPr>
      </w:pPr>
    </w:p>
    <w:p w14:paraId="27A52B7E" w14:textId="06825838" w:rsidR="008474F6" w:rsidRDefault="008474F6">
      <w:pPr>
        <w:rPr>
          <w:rFonts w:ascii="Century Gothic" w:hAnsi="Century Gothic"/>
          <w:sz w:val="40"/>
          <w:szCs w:val="40"/>
        </w:rPr>
      </w:pPr>
    </w:p>
    <w:p w14:paraId="517F0ED8" w14:textId="77777777" w:rsidR="008474F6" w:rsidRDefault="008474F6">
      <w:pPr>
        <w:rPr>
          <w:rFonts w:ascii="Century Gothic" w:hAnsi="Century Gothic"/>
          <w:sz w:val="40"/>
          <w:szCs w:val="40"/>
        </w:rPr>
      </w:pPr>
    </w:p>
    <w:p w14:paraId="46E77C89" w14:textId="39A161B2" w:rsidR="002F0329" w:rsidRDefault="002F0329">
      <w:pPr>
        <w:rPr>
          <w:rFonts w:ascii="Century Gothic" w:hAnsi="Century Gothic"/>
          <w:sz w:val="40"/>
          <w:szCs w:val="40"/>
        </w:rPr>
      </w:pPr>
    </w:p>
    <w:p w14:paraId="7F2DBFE7" w14:textId="192803BF" w:rsidR="002F0329" w:rsidRDefault="002F0329">
      <w:pPr>
        <w:rPr>
          <w:rFonts w:ascii="Century Gothic" w:hAnsi="Century Gothic"/>
          <w:sz w:val="40"/>
          <w:szCs w:val="40"/>
        </w:rPr>
      </w:pPr>
    </w:p>
    <w:p w14:paraId="2F246F8F" w14:textId="23D88B21" w:rsidR="002F0329" w:rsidRDefault="002F0329">
      <w:pPr>
        <w:rPr>
          <w:rFonts w:ascii="Century Gothic" w:hAnsi="Century Gothic"/>
          <w:sz w:val="40"/>
          <w:szCs w:val="40"/>
        </w:rPr>
      </w:pPr>
    </w:p>
    <w:p w14:paraId="455E4415" w14:textId="4C66C454" w:rsidR="002F0329" w:rsidRDefault="002F0329">
      <w:pPr>
        <w:rPr>
          <w:rFonts w:ascii="Century Gothic" w:hAnsi="Century Gothic"/>
          <w:sz w:val="40"/>
          <w:szCs w:val="40"/>
        </w:rPr>
      </w:pPr>
    </w:p>
    <w:p w14:paraId="1D86972B" w14:textId="4F621F7E" w:rsidR="002F0329" w:rsidRDefault="002F0329">
      <w:pPr>
        <w:rPr>
          <w:rFonts w:ascii="Century Gothic" w:hAnsi="Century Gothic"/>
          <w:sz w:val="40"/>
          <w:szCs w:val="40"/>
        </w:rPr>
      </w:pPr>
    </w:p>
    <w:p w14:paraId="025EFA92" w14:textId="10BF65B2" w:rsidR="002F0329" w:rsidRDefault="002F0329">
      <w:pPr>
        <w:rPr>
          <w:rFonts w:ascii="Century Gothic" w:hAnsi="Century Gothic"/>
          <w:sz w:val="40"/>
          <w:szCs w:val="40"/>
        </w:rPr>
      </w:pPr>
    </w:p>
    <w:p w14:paraId="19AD090D" w14:textId="1E4108B9" w:rsidR="002F0329" w:rsidRDefault="002F0329">
      <w:pPr>
        <w:rPr>
          <w:rFonts w:ascii="Century Gothic" w:hAnsi="Century Gothic"/>
          <w:sz w:val="40"/>
          <w:szCs w:val="40"/>
        </w:rPr>
      </w:pPr>
    </w:p>
    <w:p w14:paraId="3FF8623F" w14:textId="36DDD7D7" w:rsidR="002F0329" w:rsidRDefault="002F0329">
      <w:pPr>
        <w:rPr>
          <w:rFonts w:ascii="Century Gothic" w:hAnsi="Century Gothic"/>
          <w:sz w:val="40"/>
          <w:szCs w:val="40"/>
        </w:rPr>
      </w:pPr>
    </w:p>
    <w:p w14:paraId="77AE1B7C" w14:textId="6D614FB7" w:rsidR="002F0329" w:rsidRDefault="002F0329">
      <w:pPr>
        <w:rPr>
          <w:rFonts w:ascii="Century Gothic" w:hAnsi="Century Gothic"/>
          <w:sz w:val="40"/>
          <w:szCs w:val="40"/>
        </w:rPr>
      </w:pPr>
    </w:p>
    <w:p w14:paraId="493C206F" w14:textId="22B50D08" w:rsidR="002F0329" w:rsidRDefault="002F0329">
      <w:pPr>
        <w:rPr>
          <w:rFonts w:ascii="Century Gothic" w:hAnsi="Century Gothic"/>
          <w:sz w:val="40"/>
          <w:szCs w:val="40"/>
        </w:rPr>
      </w:pPr>
    </w:p>
    <w:p w14:paraId="1C68DBA3" w14:textId="77777777" w:rsidR="008474F6" w:rsidRDefault="008474F6">
      <w:pPr>
        <w:rPr>
          <w:rFonts w:ascii="Century Gothic" w:hAnsi="Century Gothic"/>
          <w:sz w:val="40"/>
          <w:szCs w:val="40"/>
        </w:rPr>
      </w:pPr>
    </w:p>
    <w:p w14:paraId="5B84B94A" w14:textId="12695EA5" w:rsidR="0008277E" w:rsidRDefault="0008277E">
      <w:pPr>
        <w:rPr>
          <w:rFonts w:ascii="Century Gothic" w:hAnsi="Century Gothic"/>
          <w:sz w:val="40"/>
          <w:szCs w:val="40"/>
        </w:rPr>
      </w:pPr>
      <w:r>
        <w:rPr>
          <w:rFonts w:ascii="Century Gothic" w:hAnsi="Century Gothic"/>
          <w:sz w:val="40"/>
          <w:szCs w:val="40"/>
        </w:rPr>
        <w:lastRenderedPageBreak/>
        <w:t>References</w:t>
      </w:r>
    </w:p>
    <w:p w14:paraId="3FAA2651" w14:textId="7D8CB59B" w:rsidR="0008277E" w:rsidRDefault="0008277E">
      <w:pPr>
        <w:rPr>
          <w:rFonts w:ascii="Century Gothic" w:hAnsi="Century Gothic"/>
          <w:sz w:val="40"/>
          <w:szCs w:val="40"/>
        </w:rPr>
      </w:pPr>
    </w:p>
    <w:p w14:paraId="3B7A97FC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r>
        <w:rPr>
          <w:color w:val="000000"/>
        </w:rPr>
        <w:t>Arizona state University (2020)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15 skills for college success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ASU</w:t>
      </w:r>
      <w:r>
        <w:rPr>
          <w:color w:val="000000"/>
        </w:rPr>
        <w:t>. Available at: https://admission.asu.edu/parent-blog/college-life/15-skills-college-success (Accessed: November 4, 2022).</w:t>
      </w:r>
      <w:r>
        <w:rPr>
          <w:rStyle w:val="apple-converted-space"/>
          <w:color w:val="000000"/>
        </w:rPr>
        <w:t> </w:t>
      </w:r>
    </w:p>
    <w:p w14:paraId="69257C81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r>
        <w:rPr>
          <w:color w:val="000000"/>
        </w:rPr>
        <w:t xml:space="preserve">Celik, A. and </w:t>
      </w:r>
      <w:proofErr w:type="spellStart"/>
      <w:r>
        <w:rPr>
          <w:color w:val="000000"/>
        </w:rPr>
        <w:t>Eser</w:t>
      </w:r>
      <w:proofErr w:type="spellEnd"/>
      <w:r>
        <w:rPr>
          <w:color w:val="000000"/>
        </w:rPr>
        <w:t>, E. (2020)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importance of time management planning in Target Determination and ...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PearsonJournal</w:t>
      </w:r>
      <w:r>
        <w:rPr>
          <w:color w:val="000000"/>
        </w:rPr>
        <w:t>. Available at: https://www.pearsonjournal.com/Makaleler/1455032925_144-153.pdf (Accessed: November 4, 2022).</w:t>
      </w:r>
      <w:r>
        <w:rPr>
          <w:rStyle w:val="apple-converted-space"/>
          <w:color w:val="000000"/>
        </w:rPr>
        <w:t> </w:t>
      </w:r>
    </w:p>
    <w:p w14:paraId="5E265886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r>
        <w:rPr>
          <w:color w:val="000000"/>
        </w:rPr>
        <w:t>Corporate financial institute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Home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Corporate Finance Institute</w:t>
      </w:r>
      <w:r>
        <w:rPr>
          <w:color w:val="000000"/>
        </w:rPr>
        <w:t>. Available at: https://corporatefinanceinstitute.com/ (Accessed: November 6, 2022).</w:t>
      </w:r>
      <w:r>
        <w:rPr>
          <w:rStyle w:val="apple-converted-space"/>
          <w:color w:val="000000"/>
        </w:rPr>
        <w:t> </w:t>
      </w:r>
    </w:p>
    <w:p w14:paraId="001EE998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r>
        <w:rPr>
          <w:color w:val="000000"/>
        </w:rPr>
        <w:t xml:space="preserve">Fleming, R.S. and </w:t>
      </w:r>
      <w:proofErr w:type="spellStart"/>
      <w:r>
        <w:rPr>
          <w:color w:val="000000"/>
        </w:rPr>
        <w:t>Kowalsky</w:t>
      </w:r>
      <w:proofErr w:type="spellEnd"/>
      <w:r>
        <w:rPr>
          <w:color w:val="000000"/>
        </w:rPr>
        <w:t>, M. (2021)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importance of effective time management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SpringerLink</w:t>
      </w:r>
      <w:r>
        <w:rPr>
          <w:color w:val="000000"/>
        </w:rPr>
        <w:t>. Springer International Publishing. Available at: https://link.springer.com/chapter/10.1007/978-3-030-80939-3_3 (Accessed: November 4, 2022).</w:t>
      </w:r>
      <w:r>
        <w:rPr>
          <w:rStyle w:val="apple-converted-space"/>
          <w:color w:val="000000"/>
        </w:rPr>
        <w:t> </w:t>
      </w:r>
    </w:p>
    <w:p w14:paraId="3CF428B0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proofErr w:type="spellStart"/>
      <w:r>
        <w:rPr>
          <w:color w:val="000000"/>
        </w:rPr>
        <w:t>Hoidn</w:t>
      </w:r>
      <w:proofErr w:type="spellEnd"/>
      <w:r>
        <w:rPr>
          <w:color w:val="000000"/>
        </w:rPr>
        <w:t xml:space="preserve">, S. and </w:t>
      </w:r>
      <w:proofErr w:type="spellStart"/>
      <w:r>
        <w:rPr>
          <w:color w:val="000000"/>
        </w:rPr>
        <w:t>Kärkkäinen</w:t>
      </w:r>
      <w:proofErr w:type="spellEnd"/>
      <w:r>
        <w:rPr>
          <w:color w:val="000000"/>
        </w:rPr>
        <w:t>, K. (2014)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Promoting skills for innovation in Higher Education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OECD iLibrary</w:t>
      </w:r>
      <w:r>
        <w:rPr>
          <w:color w:val="000000"/>
        </w:rPr>
        <w:t>. OECD. Available at: https://www.oecd-ilibrary.org/education/promoting-skills-for-innovation-in-higher-education_5k3tsj67l226-en (Accessed: November 4, 2022).</w:t>
      </w:r>
      <w:r>
        <w:rPr>
          <w:rStyle w:val="apple-converted-space"/>
          <w:color w:val="000000"/>
        </w:rPr>
        <w:t> </w:t>
      </w:r>
    </w:p>
    <w:p w14:paraId="7DC9B1D1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proofErr w:type="spellStart"/>
      <w:r>
        <w:rPr>
          <w:color w:val="000000"/>
        </w:rPr>
        <w:t>Leguey</w:t>
      </w:r>
      <w:proofErr w:type="spellEnd"/>
      <w:r>
        <w:rPr>
          <w:color w:val="000000"/>
        </w:rPr>
        <w:t>, S., Martin del peso, M. and Hernandez - March, J. (2009)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Graduates' skills and Higher Education: The employers' perspective - tertiary education and Management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Springer</w:t>
      </w:r>
      <w:r>
        <w:rPr>
          <w:color w:val="000000"/>
        </w:rPr>
        <w:t>. Springer Netherlands. Available at: https://link.springer.com/article/10.1080/13583880802699978 (Accessed: November 4, 2022).</w:t>
      </w:r>
      <w:r>
        <w:rPr>
          <w:rStyle w:val="apple-converted-space"/>
          <w:color w:val="000000"/>
        </w:rPr>
        <w:t> </w:t>
      </w:r>
    </w:p>
    <w:p w14:paraId="3DB78AE6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proofErr w:type="spellStart"/>
      <w:r>
        <w:rPr>
          <w:color w:val="000000"/>
        </w:rPr>
        <w:t>Mckean</w:t>
      </w:r>
      <w:proofErr w:type="spellEnd"/>
      <w:r>
        <w:rPr>
          <w:color w:val="000000"/>
        </w:rPr>
        <w:t xml:space="preserve"> , M. and Misra, R. (2000) “College Students and their Academic Stress and its relation to their anxiety, time management, and leisure satisfaction,”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American Journal of health studies</w:t>
      </w:r>
      <w:r>
        <w:rPr>
          <w:color w:val="000000"/>
        </w:rPr>
        <w:t>, 16(1), pp. 41–55.</w:t>
      </w:r>
      <w:r>
        <w:rPr>
          <w:rStyle w:val="apple-converted-space"/>
          <w:color w:val="000000"/>
        </w:rPr>
        <w:t> </w:t>
      </w:r>
    </w:p>
    <w:p w14:paraId="455869A7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proofErr w:type="spellStart"/>
      <w:r>
        <w:rPr>
          <w:color w:val="000000"/>
        </w:rPr>
        <w:t>Monteiro</w:t>
      </w:r>
      <w:proofErr w:type="spellEnd"/>
      <w:r>
        <w:rPr>
          <w:color w:val="000000"/>
        </w:rPr>
        <w:t>, S., Ferreira, J.A. and Almeida, L.S. (2018) “Self-perceived competency and self-perceived employability in higher education: The mediating role of Career Adaptability,”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Further and Higher Education</w:t>
      </w:r>
      <w:r>
        <w:rPr>
          <w:color w:val="000000"/>
        </w:rPr>
        <w:t>, 44(3), pp. 408–422. Available at: https://doi.org/10.1080/0309877x.2018.1542669.</w:t>
      </w:r>
      <w:r>
        <w:rPr>
          <w:rStyle w:val="apple-converted-space"/>
          <w:color w:val="000000"/>
        </w:rPr>
        <w:t> </w:t>
      </w:r>
    </w:p>
    <w:p w14:paraId="6BDA0C2C" w14:textId="77777777" w:rsidR="0041320C" w:rsidRDefault="0041320C">
      <w:pPr>
        <w:pStyle w:val="NormalWeb"/>
        <w:ind w:left="567" w:hanging="567"/>
        <w:divId w:val="719982578"/>
        <w:rPr>
          <w:color w:val="000000"/>
        </w:rPr>
      </w:pPr>
      <w:r>
        <w:rPr>
          <w:color w:val="000000"/>
        </w:rPr>
        <w:t>Oxford Dictionary 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Oxford Learner's dictionaries: Find definitions, translations, and grammar explanations at Oxford Learner's dictionaries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Oxford Learner's Dictionaries | Find definitions, translations, and grammar explanations at Oxford Learner's Dictionaries</w:t>
      </w:r>
      <w:r>
        <w:rPr>
          <w:color w:val="000000"/>
        </w:rPr>
        <w:t>. Available at: https://www.oxfordlearnersdictionaries.com/ (Accessed: November 6, 2022).</w:t>
      </w:r>
      <w:r>
        <w:rPr>
          <w:rStyle w:val="apple-converted-space"/>
          <w:color w:val="000000"/>
        </w:rPr>
        <w:t> </w:t>
      </w:r>
    </w:p>
    <w:p w14:paraId="1A2006C1" w14:textId="0D6DA90F" w:rsidR="0008277E" w:rsidRPr="00D044C6" w:rsidRDefault="0041320C">
      <w:pPr>
        <w:rPr>
          <w:rFonts w:ascii="Century Gothic" w:hAnsi="Century Gothic"/>
          <w:sz w:val="40"/>
          <w:szCs w:val="40"/>
        </w:rPr>
      </w:pPr>
      <w:r>
        <w:rPr>
          <w:rFonts w:ascii="Century Gothic" w:hAnsi="Century Gothic"/>
          <w:sz w:val="40"/>
          <w:szCs w:val="40"/>
        </w:rPr>
        <w:t xml:space="preserve"> </w:t>
      </w:r>
    </w:p>
    <w:sectPr w:rsidR="0008277E" w:rsidRPr="00D04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C0A"/>
    <w:rsid w:val="0008277E"/>
    <w:rsid w:val="002F0329"/>
    <w:rsid w:val="0041320C"/>
    <w:rsid w:val="00830C0A"/>
    <w:rsid w:val="008474F6"/>
    <w:rsid w:val="00D044C6"/>
    <w:rsid w:val="00EB6EE6"/>
    <w:rsid w:val="00F77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DD209C"/>
  <w15:chartTrackingRefBased/>
  <w15:docId w15:val="{3A95F677-C2FB-8B44-AB80-873F980EC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1320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41320C"/>
  </w:style>
  <w:style w:type="character" w:styleId="Hyperlink">
    <w:name w:val="Hyperlink"/>
    <w:basedOn w:val="DefaultParagraphFont"/>
    <w:uiPriority w:val="99"/>
    <w:unhideWhenUsed/>
    <w:rsid w:val="008474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74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998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.sharepoint.com/teams/DysguynyrOesDdigidolLearningintheDigitalEraECGE4005PC_GRP-MichaelaVictor/Shared%20Documents/Recordings/Michaela%20Victor-20221106_155305-Meeting%20Recording.mp4?we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419</Words>
  <Characters>2392</Characters>
  <Application>Microsoft Office Word</Application>
  <DocSecurity>0</DocSecurity>
  <Lines>19</Lines>
  <Paragraphs>5</Paragraphs>
  <ScaleCrop>false</ScaleCrop>
  <Company/>
  <LinksUpToDate>false</LinksUpToDate>
  <CharactersWithSpaces>2806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Victor (2204896)</dc:creator>
  <cp:keywords/>
  <dc:description/>
  <cp:lastModifiedBy>Michaela Victor (2204896)</cp:lastModifiedBy>
  <cp:revision>2</cp:revision>
  <dcterms:created xsi:type="dcterms:W3CDTF">2022-11-06T16:08:00Z</dcterms:created>
  <dcterms:modified xsi:type="dcterms:W3CDTF">2022-11-06T16:08:00Z</dcterms:modified>
</cp:coreProperties>
</file>