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71A3AF72" w:rsidR="00386BEA" w:rsidRPr="00CD33A8" w:rsidRDefault="00A90521" w:rsidP="00CD33A8">
      <w:pPr>
        <w:spacing w:line="360" w:lineRule="auto"/>
        <w:rPr>
          <w:rFonts w:asciiTheme="minorBidi" w:hAnsiTheme="minorBidi"/>
          <w:sz w:val="22"/>
        </w:rPr>
      </w:pPr>
      <w:r w:rsidRPr="00A90521">
        <w:rPr>
          <w:rFonts w:asciiTheme="minorBidi" w:hAnsiTheme="minorBidi"/>
          <w:sz w:val="22"/>
        </w:rPr>
        <w:t>Research</w:t>
      </w:r>
      <w:r w:rsidR="00074402"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9F4478F"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B34763">
        <w:rPr>
          <w:rFonts w:ascii="Arial" w:hAnsi="Arial" w:cs="Arial"/>
          <w:sz w:val="28"/>
          <w:szCs w:val="28"/>
          <w:lang w:val="nl-NL"/>
        </w:rPr>
        <w:t xml:space="preserve">Introduction to </w:t>
      </w:r>
      <w:r w:rsidR="00B02BA7">
        <w:rPr>
          <w:rFonts w:ascii="Arial" w:hAnsi="Arial" w:cs="Arial"/>
          <w:sz w:val="28"/>
          <w:szCs w:val="28"/>
          <w:lang w:val="nl-NL"/>
        </w:rPr>
        <w:t>Independent Research</w:t>
      </w:r>
      <w:r w:rsidR="00B34763">
        <w:rPr>
          <w:rFonts w:ascii="Arial" w:hAnsi="Arial" w:cs="Arial"/>
          <w:sz w:val="28"/>
          <w:szCs w:val="28"/>
          <w:lang w:val="nl-NL"/>
        </w:rPr>
        <w:t xml:space="preserve"> Skills </w:t>
      </w:r>
    </w:p>
    <w:p w14:paraId="1811492B" w14:textId="77777777" w:rsidR="00B34763" w:rsidRPr="00CD33A8" w:rsidRDefault="00CD33A8" w:rsidP="00B34763">
      <w:pPr>
        <w:tabs>
          <w:tab w:val="left" w:pos="6540"/>
        </w:tabs>
        <w:spacing w:line="360" w:lineRule="auto"/>
        <w:rPr>
          <w:rFonts w:ascii="Arial" w:hAnsi="Arial" w:cs="Arial"/>
          <w:sz w:val="28"/>
          <w:szCs w:val="28"/>
          <w:lang w:val="nl-NL"/>
        </w:rPr>
      </w:pPr>
      <w:r w:rsidRPr="00CD33A8">
        <w:rPr>
          <w:rFonts w:ascii="Arial" w:hAnsi="Arial" w:cs="Arial"/>
          <w:b/>
          <w:bCs/>
          <w:sz w:val="28"/>
          <w:szCs w:val="28"/>
        </w:rPr>
        <w:t>Module code</w:t>
      </w:r>
      <w:r w:rsidRPr="00CD33A8">
        <w:rPr>
          <w:rFonts w:ascii="Arial" w:hAnsi="Arial" w:cs="Arial"/>
          <w:sz w:val="28"/>
          <w:szCs w:val="28"/>
        </w:rPr>
        <w:t>:</w:t>
      </w:r>
      <w:r w:rsidR="00B34763">
        <w:rPr>
          <w:rFonts w:ascii="Arial" w:hAnsi="Arial" w:cs="Arial"/>
          <w:sz w:val="28"/>
          <w:szCs w:val="28"/>
        </w:rPr>
        <w:t xml:space="preserve"> </w:t>
      </w:r>
      <w:r w:rsidR="00B34763">
        <w:rPr>
          <w:rFonts w:ascii="Arial" w:hAnsi="Arial" w:cs="Arial"/>
          <w:sz w:val="28"/>
          <w:szCs w:val="28"/>
          <w:lang w:val="nl-NL"/>
        </w:rPr>
        <w:t>(BMHP5019-LONS)</w:t>
      </w:r>
    </w:p>
    <w:p w14:paraId="537571AF" w14:textId="6A30A2D4" w:rsidR="00CD33A8" w:rsidRPr="00CD33A8" w:rsidRDefault="00CD33A8" w:rsidP="00CD33A8">
      <w:pPr>
        <w:tabs>
          <w:tab w:val="left" w:pos="6540"/>
        </w:tabs>
        <w:spacing w:line="360" w:lineRule="auto"/>
        <w:rPr>
          <w:rFonts w:ascii="Arial" w:hAnsi="Arial" w:cs="Arial"/>
          <w:sz w:val="28"/>
          <w:szCs w:val="28"/>
        </w:rPr>
      </w:pP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66557B3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02BA7">
        <w:rPr>
          <w:rFonts w:ascii="Arial" w:hAnsi="Arial" w:cs="Arial"/>
          <w:sz w:val="28"/>
          <w:szCs w:val="28"/>
          <w:lang w:val="nl-NL"/>
        </w:rPr>
        <w:t xml:space="preserve"> </w:t>
      </w:r>
      <w:r w:rsidR="00B34763">
        <w:rPr>
          <w:rFonts w:ascii="Arial" w:hAnsi="Arial" w:cs="Arial"/>
          <w:sz w:val="28"/>
          <w:szCs w:val="28"/>
          <w:lang w:val="nl-NL"/>
        </w:rPr>
        <w:t>Bouadoua Sylvie Kouao</w:t>
      </w:r>
    </w:p>
    <w:p w14:paraId="39AA4413" w14:textId="1C1E997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34763">
        <w:rPr>
          <w:rFonts w:ascii="Arial" w:hAnsi="Arial" w:cs="Arial"/>
          <w:sz w:val="28"/>
          <w:szCs w:val="28"/>
          <w:lang w:val="nl-NL"/>
        </w:rPr>
        <w:t xml:space="preserve"> 2417904</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33FA89D4" w:rsidR="00074402" w:rsidRPr="00CD33A8" w:rsidRDefault="00B8304B"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34763">
        <w:rPr>
          <w:rFonts w:ascii="Arial" w:hAnsi="Arial" w:cs="Arial"/>
          <w:sz w:val="28"/>
          <w:szCs w:val="28"/>
        </w:rPr>
        <w:t xml:space="preserve"> </w:t>
      </w:r>
      <w:r w:rsidR="00B34763">
        <w:rPr>
          <w:rStyle w:val="Strong"/>
          <w:rFonts w:ascii="Segoe UI" w:hAnsi="Segoe UI" w:cs="Segoe UI"/>
          <w:color w:val="1D2125"/>
          <w:sz w:val="36"/>
          <w:szCs w:val="36"/>
          <w:shd w:val="clear" w:color="auto" w:fill="FFFFFF"/>
        </w:rPr>
        <w:t>Muhammed Khan</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BF0CAC">
      <w:pPr>
        <w:pStyle w:val="Heading1"/>
      </w:pPr>
      <w:r w:rsidRPr="00CD33A8">
        <w:lastRenderedPageBreak/>
        <w:t>Table of contents</w:t>
      </w:r>
    </w:p>
    <w:p w14:paraId="53A2AA36" w14:textId="77777777" w:rsidR="005D5E3C" w:rsidRDefault="005D5E3C" w:rsidP="005D5E3C">
      <w:pPr>
        <w:spacing w:before="100" w:beforeAutospacing="1" w:after="100" w:afterAutospacing="1" w:line="240" w:lineRule="auto"/>
        <w:rPr>
          <w:rFonts w:ascii="Arial" w:eastAsia="Times New Roman" w:hAnsi="Arial" w:cs="Arial"/>
          <w:b/>
          <w:bCs/>
          <w:kern w:val="36"/>
          <w:sz w:val="32"/>
          <w:szCs w:val="32"/>
          <w:lang w:eastAsia="en-GB"/>
        </w:rPr>
      </w:pPr>
      <w:r w:rsidRPr="001E3926">
        <w:rPr>
          <w:rFonts w:ascii="Arial" w:eastAsia="Times New Roman" w:hAnsi="Arial" w:cs="Arial"/>
          <w:b/>
          <w:bCs/>
          <w:sz w:val="32"/>
          <w:szCs w:val="32"/>
          <w:lang w:eastAsia="en-GB"/>
        </w:rPr>
        <w:t>Recommendations: Residential</w:t>
      </w:r>
      <w:r w:rsidRPr="001E3926">
        <w:rPr>
          <w:rFonts w:ascii="Arial" w:eastAsia="Times New Roman" w:hAnsi="Arial" w:cs="Arial"/>
          <w:b/>
          <w:bCs/>
          <w:kern w:val="36"/>
          <w:sz w:val="32"/>
          <w:szCs w:val="32"/>
          <w:lang w:eastAsia="en-GB"/>
        </w:rPr>
        <w:t xml:space="preserve"> Care Barriers Contributing to Delayed Hospital Discharge in the UK: A Scoping Review</w:t>
      </w:r>
    </w:p>
    <w:p w14:paraId="2543E7D0" w14:textId="548D495F" w:rsidR="00BF0CAC" w:rsidRDefault="00E21D2A" w:rsidP="00BF0CAC">
      <w:pPr>
        <w:spacing w:before="100" w:beforeAutospacing="1" w:after="100" w:afterAutospacing="1" w:line="240" w:lineRule="auto"/>
        <w:rPr>
          <w:rFonts w:ascii="Arial" w:eastAsia="Times New Roman" w:hAnsi="Arial" w:cs="Arial"/>
          <w:b/>
          <w:bCs/>
          <w:kern w:val="36"/>
          <w:sz w:val="32"/>
          <w:szCs w:val="32"/>
          <w:lang w:eastAsia="en-GB"/>
        </w:rPr>
      </w:pPr>
      <w:r>
        <w:rPr>
          <w:rFonts w:ascii="Arial" w:eastAsia="Times New Roman" w:hAnsi="Arial" w:cs="Arial"/>
          <w:b/>
          <w:bCs/>
          <w:kern w:val="36"/>
          <w:sz w:val="32"/>
          <w:szCs w:val="32"/>
          <w:lang w:eastAsia="en-GB"/>
        </w:rPr>
        <w:t>1-</w:t>
      </w:r>
      <w:r w:rsidR="007C2E39">
        <w:rPr>
          <w:rFonts w:ascii="Arial" w:eastAsia="Times New Roman" w:hAnsi="Arial" w:cs="Arial"/>
          <w:b/>
          <w:bCs/>
          <w:kern w:val="36"/>
          <w:sz w:val="32"/>
          <w:szCs w:val="32"/>
          <w:lang w:eastAsia="en-GB"/>
        </w:rPr>
        <w:t>A</w:t>
      </w:r>
      <w:r>
        <w:rPr>
          <w:rFonts w:ascii="Arial" w:eastAsia="Times New Roman" w:hAnsi="Arial" w:cs="Arial"/>
          <w:b/>
          <w:bCs/>
          <w:kern w:val="36"/>
          <w:sz w:val="32"/>
          <w:szCs w:val="32"/>
          <w:lang w:eastAsia="en-GB"/>
        </w:rPr>
        <w:t>bstract</w:t>
      </w:r>
    </w:p>
    <w:p w14:paraId="7409716B" w14:textId="2111687E" w:rsidR="00BF0CAC" w:rsidRPr="00BF0CAC" w:rsidRDefault="00E21D2A" w:rsidP="00BF0CAC">
      <w:pPr>
        <w:spacing w:before="100" w:beforeAutospacing="1" w:after="100" w:afterAutospacing="1" w:line="240" w:lineRule="auto"/>
        <w:rPr>
          <w:rFonts w:ascii="Arial" w:eastAsia="Times New Roman" w:hAnsi="Arial" w:cs="Arial"/>
          <w:b/>
          <w:bCs/>
          <w:kern w:val="36"/>
          <w:sz w:val="28"/>
          <w:szCs w:val="28"/>
          <w:lang w:eastAsia="en-GB"/>
        </w:rPr>
      </w:pPr>
      <w:r>
        <w:rPr>
          <w:rFonts w:ascii="Arial" w:eastAsia="Times New Roman" w:hAnsi="Arial" w:cs="Arial"/>
          <w:b/>
          <w:bCs/>
          <w:kern w:val="36"/>
          <w:sz w:val="28"/>
          <w:szCs w:val="28"/>
          <w:lang w:eastAsia="en-GB"/>
        </w:rPr>
        <w:t>2</w:t>
      </w:r>
      <w:r w:rsidR="00BF0CAC" w:rsidRPr="00BF0CAC">
        <w:rPr>
          <w:rFonts w:ascii="Arial" w:eastAsia="Times New Roman" w:hAnsi="Arial" w:cs="Arial"/>
          <w:b/>
          <w:bCs/>
          <w:kern w:val="36"/>
          <w:sz w:val="28"/>
          <w:szCs w:val="28"/>
          <w:lang w:eastAsia="en-GB"/>
        </w:rPr>
        <w:t>-INTRODUCTION</w:t>
      </w:r>
    </w:p>
    <w:p w14:paraId="41DE28D0" w14:textId="0F6DA2EC" w:rsidR="00BF0CAC" w:rsidRPr="00BF0CAC" w:rsidRDefault="00E21D2A" w:rsidP="00BF0CAC">
      <w:pPr>
        <w:spacing w:before="100" w:beforeAutospacing="1" w:after="100" w:afterAutospacing="1" w:line="240" w:lineRule="auto"/>
        <w:outlineLvl w:val="0"/>
        <w:rPr>
          <w:b/>
          <w:bCs/>
          <w:sz w:val="32"/>
          <w:szCs w:val="32"/>
        </w:rPr>
      </w:pPr>
      <w:r>
        <w:rPr>
          <w:b/>
          <w:bCs/>
          <w:sz w:val="32"/>
          <w:szCs w:val="32"/>
        </w:rPr>
        <w:t>3</w:t>
      </w:r>
      <w:r w:rsidR="005D5E3C" w:rsidRPr="00BF0CAC">
        <w:rPr>
          <w:b/>
          <w:bCs/>
          <w:sz w:val="32"/>
          <w:szCs w:val="32"/>
        </w:rPr>
        <w:t>. Background</w:t>
      </w:r>
    </w:p>
    <w:p w14:paraId="3E90BF23" w14:textId="0CC76560" w:rsidR="00BF0CAC" w:rsidRPr="00BF0CAC" w:rsidRDefault="00E21D2A" w:rsidP="00BF0CAC">
      <w:pPr>
        <w:spacing w:before="100" w:beforeAutospacing="1" w:after="100" w:afterAutospacing="1" w:line="240" w:lineRule="auto"/>
        <w:outlineLvl w:val="0"/>
        <w:rPr>
          <w:rFonts w:eastAsia="Times New Roman" w:cs="Times New Roman"/>
          <w:b/>
          <w:bCs/>
          <w:kern w:val="36"/>
          <w:sz w:val="32"/>
          <w:szCs w:val="32"/>
          <w:lang w:eastAsia="en-GB"/>
        </w:rPr>
      </w:pPr>
      <w:r>
        <w:rPr>
          <w:rFonts w:eastAsia="Times New Roman" w:cs="Times New Roman"/>
          <w:b/>
          <w:bCs/>
          <w:kern w:val="36"/>
          <w:sz w:val="32"/>
          <w:szCs w:val="32"/>
          <w:lang w:eastAsia="en-GB"/>
        </w:rPr>
        <w:t>4</w:t>
      </w:r>
      <w:r w:rsidR="00BF0CAC" w:rsidRPr="00BF0CAC">
        <w:rPr>
          <w:rFonts w:eastAsia="Times New Roman" w:cs="Times New Roman"/>
          <w:b/>
          <w:bCs/>
          <w:kern w:val="36"/>
          <w:sz w:val="32"/>
          <w:szCs w:val="32"/>
          <w:lang w:eastAsia="en-GB"/>
        </w:rPr>
        <w:t>. Methods</w:t>
      </w:r>
    </w:p>
    <w:p w14:paraId="1D7809CB" w14:textId="123D9A68" w:rsidR="00BF0CAC" w:rsidRPr="00BF0CAC" w:rsidRDefault="00E21D2A" w:rsidP="00BF0CAC">
      <w:pPr>
        <w:spacing w:before="100" w:beforeAutospacing="1" w:after="100" w:afterAutospacing="1" w:line="240" w:lineRule="auto"/>
        <w:outlineLvl w:val="1"/>
        <w:rPr>
          <w:rFonts w:eastAsia="Times New Roman" w:cs="Times New Roman"/>
          <w:b/>
          <w:bCs/>
          <w:sz w:val="32"/>
          <w:szCs w:val="32"/>
          <w:lang w:eastAsia="en-GB"/>
        </w:rPr>
      </w:pPr>
      <w:r>
        <w:rPr>
          <w:rFonts w:eastAsia="Times New Roman" w:cs="Times New Roman"/>
          <w:b/>
          <w:bCs/>
          <w:sz w:val="32"/>
          <w:szCs w:val="32"/>
          <w:lang w:eastAsia="en-GB"/>
        </w:rPr>
        <w:t>5</w:t>
      </w:r>
      <w:r w:rsidR="00BF0CAC">
        <w:rPr>
          <w:rFonts w:eastAsia="Times New Roman" w:cs="Times New Roman"/>
          <w:b/>
          <w:bCs/>
          <w:sz w:val="32"/>
          <w:szCs w:val="32"/>
          <w:lang w:eastAsia="en-GB"/>
        </w:rPr>
        <w:t>.</w:t>
      </w:r>
      <w:r w:rsidR="006314E9">
        <w:rPr>
          <w:rFonts w:eastAsia="Times New Roman" w:cs="Times New Roman"/>
          <w:b/>
          <w:bCs/>
          <w:sz w:val="32"/>
          <w:szCs w:val="32"/>
          <w:lang w:eastAsia="en-GB"/>
        </w:rPr>
        <w:t xml:space="preserve"> </w:t>
      </w:r>
      <w:r w:rsidR="00BF0CAC" w:rsidRPr="00BF0CAC">
        <w:rPr>
          <w:rFonts w:eastAsia="Times New Roman" w:cs="Times New Roman"/>
          <w:b/>
          <w:bCs/>
          <w:sz w:val="32"/>
          <w:szCs w:val="32"/>
          <w:lang w:eastAsia="en-GB"/>
        </w:rPr>
        <w:t>Ethical Considerations</w:t>
      </w:r>
    </w:p>
    <w:p w14:paraId="6189E2F1" w14:textId="5962EEBC" w:rsidR="00BF0CAC" w:rsidRPr="00BF0CAC" w:rsidRDefault="00E21D2A" w:rsidP="00BF0CAC">
      <w:pPr>
        <w:spacing w:before="100" w:beforeAutospacing="1" w:after="100" w:afterAutospacing="1" w:line="240" w:lineRule="auto"/>
        <w:outlineLvl w:val="0"/>
        <w:rPr>
          <w:rFonts w:eastAsia="Times New Roman" w:cs="Times New Roman"/>
          <w:b/>
          <w:bCs/>
          <w:kern w:val="36"/>
          <w:sz w:val="32"/>
          <w:szCs w:val="32"/>
          <w:lang w:eastAsia="en-GB"/>
        </w:rPr>
      </w:pPr>
      <w:r>
        <w:rPr>
          <w:rFonts w:eastAsia="Times New Roman" w:cs="Times New Roman"/>
          <w:b/>
          <w:bCs/>
          <w:kern w:val="36"/>
          <w:sz w:val="32"/>
          <w:szCs w:val="32"/>
          <w:lang w:eastAsia="en-GB"/>
        </w:rPr>
        <w:t>6</w:t>
      </w:r>
      <w:r w:rsidR="00BF0CAC" w:rsidRPr="00BF0CAC">
        <w:rPr>
          <w:rFonts w:eastAsia="Times New Roman" w:cs="Times New Roman"/>
          <w:b/>
          <w:bCs/>
          <w:kern w:val="36"/>
          <w:sz w:val="32"/>
          <w:szCs w:val="32"/>
          <w:lang w:eastAsia="en-GB"/>
        </w:rPr>
        <w:t>. Discussion</w:t>
      </w:r>
    </w:p>
    <w:p w14:paraId="0FAF0573" w14:textId="5C5C8412" w:rsidR="006314E9" w:rsidRPr="00BF0CAC" w:rsidRDefault="00E21D2A" w:rsidP="006314E9">
      <w:pPr>
        <w:spacing w:before="100" w:beforeAutospacing="1" w:after="100" w:afterAutospacing="1" w:line="240" w:lineRule="auto"/>
        <w:outlineLvl w:val="0"/>
        <w:rPr>
          <w:rFonts w:eastAsia="Times New Roman" w:cs="Times New Roman"/>
          <w:b/>
          <w:bCs/>
          <w:kern w:val="36"/>
          <w:sz w:val="32"/>
          <w:szCs w:val="32"/>
          <w:lang w:eastAsia="en-GB"/>
        </w:rPr>
      </w:pPr>
      <w:r>
        <w:rPr>
          <w:rFonts w:eastAsia="Times New Roman" w:cs="Times New Roman"/>
          <w:b/>
          <w:bCs/>
          <w:kern w:val="36"/>
          <w:sz w:val="32"/>
          <w:szCs w:val="32"/>
          <w:lang w:eastAsia="en-GB"/>
        </w:rPr>
        <w:t>7</w:t>
      </w:r>
      <w:r w:rsidR="006314E9" w:rsidRPr="00BF0CAC">
        <w:rPr>
          <w:rFonts w:eastAsia="Times New Roman" w:cs="Times New Roman"/>
          <w:b/>
          <w:bCs/>
          <w:kern w:val="36"/>
          <w:sz w:val="32"/>
          <w:szCs w:val="32"/>
          <w:lang w:eastAsia="en-GB"/>
        </w:rPr>
        <w:t>. Conclusion and Recommendations</w:t>
      </w:r>
    </w:p>
    <w:p w14:paraId="1F269103" w14:textId="112FE668" w:rsidR="006314E9" w:rsidRPr="00074204" w:rsidRDefault="00E21D2A" w:rsidP="006314E9">
      <w:pPr>
        <w:pStyle w:val="Heading1"/>
      </w:pPr>
      <w:r>
        <w:t>8</w:t>
      </w:r>
      <w:r w:rsidR="006314E9">
        <w:t xml:space="preserve">. </w:t>
      </w:r>
      <w:r w:rsidR="006314E9" w:rsidRPr="00074204">
        <w:t>Reference List</w:t>
      </w:r>
    </w:p>
    <w:p w14:paraId="3328EA47" w14:textId="520189A4" w:rsidR="005D5E3C" w:rsidRDefault="005D5E3C" w:rsidP="00BF0CAC">
      <w:pPr>
        <w:pStyle w:val="Heading1"/>
      </w:pPr>
    </w:p>
    <w:p w14:paraId="1480CCFD" w14:textId="77777777" w:rsidR="00BF0CAC" w:rsidRDefault="00BF0CAC" w:rsidP="00BF0CAC">
      <w:pPr>
        <w:rPr>
          <w:lang w:eastAsia="en-GB"/>
        </w:rPr>
      </w:pPr>
    </w:p>
    <w:p w14:paraId="65CAA2A4" w14:textId="77777777" w:rsidR="00BF0CAC" w:rsidRPr="00BF0CAC" w:rsidRDefault="00BF0CAC" w:rsidP="00BF0CAC">
      <w:pPr>
        <w:rPr>
          <w:lang w:eastAsia="en-GB"/>
        </w:rPr>
      </w:pPr>
    </w:p>
    <w:p w14:paraId="59D82FE7" w14:textId="77777777" w:rsidR="00BF0CAC" w:rsidRDefault="00BF0CAC" w:rsidP="00BF0CAC">
      <w:pPr>
        <w:rPr>
          <w:lang w:eastAsia="en-GB"/>
        </w:rPr>
      </w:pPr>
    </w:p>
    <w:p w14:paraId="40988296" w14:textId="77777777" w:rsidR="00BF0CAC" w:rsidRPr="00BF0CAC" w:rsidRDefault="00BF0CAC" w:rsidP="00BF0CAC">
      <w:pPr>
        <w:rPr>
          <w:lang w:eastAsia="en-GB"/>
        </w:rPr>
      </w:pPr>
    </w:p>
    <w:p w14:paraId="3D844825" w14:textId="43B07298" w:rsidR="005D5E3C" w:rsidRDefault="005D5E3C" w:rsidP="005D5E3C">
      <w:pPr>
        <w:spacing w:before="100" w:beforeAutospacing="1" w:after="100" w:afterAutospacing="1" w:line="240" w:lineRule="auto"/>
        <w:rPr>
          <w:rFonts w:ascii="Arial" w:eastAsia="Times New Roman" w:hAnsi="Arial" w:cs="Arial"/>
          <w:b/>
          <w:bCs/>
          <w:kern w:val="36"/>
          <w:sz w:val="32"/>
          <w:szCs w:val="32"/>
          <w:lang w:eastAsia="en-GB"/>
        </w:rPr>
      </w:pPr>
    </w:p>
    <w:p w14:paraId="53CD7D78" w14:textId="77777777" w:rsidR="005D5E3C" w:rsidRDefault="005D5E3C" w:rsidP="005D5E3C">
      <w:pPr>
        <w:spacing w:before="100" w:beforeAutospacing="1" w:after="100" w:afterAutospacing="1" w:line="240" w:lineRule="auto"/>
        <w:rPr>
          <w:rFonts w:ascii="Arial" w:eastAsia="Times New Roman" w:hAnsi="Arial" w:cs="Arial"/>
          <w:b/>
          <w:bCs/>
          <w:kern w:val="36"/>
          <w:sz w:val="32"/>
          <w:szCs w:val="32"/>
          <w:lang w:eastAsia="en-GB"/>
        </w:rPr>
      </w:pPr>
    </w:p>
    <w:p w14:paraId="4C21EA6C" w14:textId="77777777" w:rsidR="005D5E3C" w:rsidRDefault="005D5E3C" w:rsidP="005D5E3C">
      <w:pPr>
        <w:spacing w:before="100" w:beforeAutospacing="1" w:after="100" w:afterAutospacing="1" w:line="240" w:lineRule="auto"/>
        <w:rPr>
          <w:rFonts w:ascii="Arial" w:eastAsia="Times New Roman" w:hAnsi="Arial" w:cs="Arial"/>
          <w:b/>
          <w:bCs/>
          <w:kern w:val="36"/>
          <w:sz w:val="32"/>
          <w:szCs w:val="32"/>
          <w:lang w:eastAsia="en-GB"/>
        </w:rPr>
      </w:pPr>
    </w:p>
    <w:p w14:paraId="53FEE383" w14:textId="77777777" w:rsidR="005D5E3C" w:rsidRDefault="005D5E3C" w:rsidP="005D5E3C">
      <w:pPr>
        <w:spacing w:before="100" w:beforeAutospacing="1" w:after="100" w:afterAutospacing="1" w:line="240" w:lineRule="auto"/>
        <w:rPr>
          <w:rFonts w:ascii="Arial" w:eastAsia="Times New Roman" w:hAnsi="Arial" w:cs="Arial"/>
          <w:b/>
          <w:bCs/>
          <w:kern w:val="36"/>
          <w:sz w:val="32"/>
          <w:szCs w:val="32"/>
          <w:lang w:eastAsia="en-GB"/>
        </w:rPr>
      </w:pPr>
    </w:p>
    <w:p w14:paraId="4764664E" w14:textId="77777777" w:rsidR="005D5E3C" w:rsidRPr="006711CE" w:rsidRDefault="005D5E3C" w:rsidP="005D5E3C">
      <w:pPr>
        <w:spacing w:before="100" w:beforeAutospacing="1" w:after="100" w:afterAutospacing="1" w:line="240" w:lineRule="auto"/>
        <w:rPr>
          <w:rFonts w:eastAsia="Times New Roman" w:cs="Times New Roman"/>
          <w:lang w:eastAsia="en-GB"/>
        </w:rPr>
      </w:pPr>
    </w:p>
    <w:p w14:paraId="13E00080" w14:textId="137FF22A" w:rsidR="00B87E75" w:rsidRDefault="00B87E75" w:rsidP="00CD33A8">
      <w:pPr>
        <w:spacing w:line="360" w:lineRule="auto"/>
        <w:rPr>
          <w:rFonts w:asciiTheme="minorBidi" w:hAnsiTheme="minorBidi"/>
          <w:sz w:val="22"/>
        </w:rPr>
      </w:pPr>
    </w:p>
    <w:p w14:paraId="181B7C6E" w14:textId="77777777" w:rsidR="005D5E3C" w:rsidRPr="00CD33A8" w:rsidRDefault="005D5E3C" w:rsidP="00CD33A8">
      <w:pPr>
        <w:spacing w:line="360" w:lineRule="auto"/>
        <w:rPr>
          <w:rFonts w:asciiTheme="minorBidi" w:hAnsiTheme="minorBidi"/>
          <w:sz w:val="22"/>
        </w:rPr>
      </w:pPr>
    </w:p>
    <w:p w14:paraId="4DCBE2FD" w14:textId="3F891444" w:rsidR="000D3E12" w:rsidRDefault="000D3E12" w:rsidP="000D3E12">
      <w:pPr>
        <w:spacing w:before="100" w:beforeAutospacing="1" w:after="100" w:afterAutospacing="1" w:line="240" w:lineRule="auto"/>
        <w:rPr>
          <w:b/>
          <w:bCs/>
          <w:sz w:val="28"/>
          <w:szCs w:val="28"/>
        </w:rPr>
      </w:pPr>
      <w:r>
        <w:rPr>
          <w:b/>
          <w:bCs/>
          <w:sz w:val="28"/>
          <w:szCs w:val="28"/>
        </w:rPr>
        <w:lastRenderedPageBreak/>
        <w:t>Topic:</w:t>
      </w:r>
    </w:p>
    <w:p w14:paraId="3419629E" w14:textId="21CFE4CB" w:rsidR="000D3E12" w:rsidRPr="000D3E12" w:rsidRDefault="000D3E12" w:rsidP="000D3E12">
      <w:pPr>
        <w:spacing w:before="100" w:beforeAutospacing="1" w:after="100" w:afterAutospacing="1" w:line="240" w:lineRule="auto"/>
        <w:rPr>
          <w:b/>
          <w:bCs/>
          <w:sz w:val="28"/>
          <w:szCs w:val="28"/>
        </w:rPr>
      </w:pPr>
      <w:r w:rsidRPr="000D3E12">
        <w:rPr>
          <w:rFonts w:ascii="Arial" w:eastAsia="Times New Roman" w:hAnsi="Arial" w:cs="Arial"/>
          <w:b/>
          <w:bCs/>
          <w:szCs w:val="24"/>
          <w:lang w:eastAsia="en-GB"/>
        </w:rPr>
        <w:t>Recommendations: Residential</w:t>
      </w:r>
      <w:r w:rsidRPr="000D3E12">
        <w:rPr>
          <w:rFonts w:ascii="Arial" w:eastAsia="Times New Roman" w:hAnsi="Arial" w:cs="Arial"/>
          <w:b/>
          <w:bCs/>
          <w:kern w:val="36"/>
          <w:szCs w:val="24"/>
          <w:lang w:eastAsia="en-GB"/>
        </w:rPr>
        <w:t xml:space="preserve"> Care Barriers Contributing to Delayed Hospital Discharge in the UK: A Scoping Review</w:t>
      </w:r>
    </w:p>
    <w:p w14:paraId="06923D54" w14:textId="59400D09" w:rsidR="00DE38FF" w:rsidRPr="000D3E12" w:rsidRDefault="000D3E12" w:rsidP="00FD169C">
      <w:pPr>
        <w:spacing w:before="100" w:beforeAutospacing="1" w:after="100" w:afterAutospacing="1" w:line="240" w:lineRule="auto"/>
        <w:rPr>
          <w:b/>
          <w:bCs/>
          <w:sz w:val="28"/>
          <w:szCs w:val="28"/>
        </w:rPr>
      </w:pPr>
      <w:r>
        <w:rPr>
          <w:b/>
          <w:bCs/>
          <w:sz w:val="28"/>
          <w:szCs w:val="28"/>
        </w:rPr>
        <w:t xml:space="preserve"> 1-</w:t>
      </w:r>
      <w:r w:rsidR="00AD2375" w:rsidRPr="00AD2375">
        <w:rPr>
          <w:b/>
          <w:bCs/>
          <w:sz w:val="28"/>
          <w:szCs w:val="28"/>
        </w:rPr>
        <w:t>abstract</w:t>
      </w:r>
    </w:p>
    <w:p w14:paraId="507590E1" w14:textId="77777777" w:rsidR="00870195" w:rsidRDefault="00870195" w:rsidP="00870195">
      <w:pPr>
        <w:pStyle w:val="NormalWeb"/>
      </w:pPr>
      <w:r>
        <w:rPr>
          <w:rStyle w:val="Strong"/>
        </w:rPr>
        <w:t>Background:</w:t>
      </w:r>
      <w:r>
        <w:t xml:space="preserve"> Delayed hospital discharge, also known as delayed transfer of care (DTOC), remains a significant challenge within the United Kingdom (UK) healthcare system. Patients who are medically fit for discharge often remain in hospital because of difficulties accessing appropriate residential or nursing care, adversely affecting patient outcomes, reducing hospital capacity, and increasing pressure on the National Health Service (NHS) and adult social care services.</w:t>
      </w:r>
    </w:p>
    <w:p w14:paraId="4943D570" w14:textId="77777777" w:rsidR="00870195" w:rsidRDefault="00870195" w:rsidP="00870195">
      <w:pPr>
        <w:pStyle w:val="NormalWeb"/>
      </w:pPr>
      <w:r>
        <w:rPr>
          <w:rStyle w:val="Strong"/>
        </w:rPr>
        <w:t>Aim:</w:t>
      </w:r>
      <w:r>
        <w:t xml:space="preserve"> This scoping review explored residential care-related factors contributing to delayed hospital discharge in the UK and identified interventions reported to improve discharge processes.</w:t>
      </w:r>
    </w:p>
    <w:p w14:paraId="4A601163" w14:textId="08E96407" w:rsidR="00870195" w:rsidRDefault="00870195" w:rsidP="00870195">
      <w:pPr>
        <w:pStyle w:val="NormalWeb"/>
      </w:pPr>
      <w:r>
        <w:rPr>
          <w:rStyle w:val="Strong"/>
        </w:rPr>
        <w:t>Methods:</w:t>
      </w:r>
      <w:r>
        <w:t xml:space="preserve"> A scoping review was conducted using the Arksey and O'Malley (2005) framework and Joanna Briggs Institute (JBI) guidance. Electronic databases, including CINAHL, MEDLINE, PubMed, Scopus, and Google Scholar, were systematically searched for English-language studies examining barriers to hospital discharge related to residential care in the UK. Data were charted and analysed using thematic synthesis.</w:t>
      </w:r>
    </w:p>
    <w:p w14:paraId="6287EBCA" w14:textId="77777777" w:rsidR="00870195" w:rsidRDefault="00870195" w:rsidP="00870195">
      <w:pPr>
        <w:pStyle w:val="NormalWeb"/>
      </w:pPr>
      <w:r>
        <w:rPr>
          <w:rStyle w:val="Strong"/>
        </w:rPr>
        <w:t>Results:</w:t>
      </w:r>
      <w:r>
        <w:t xml:space="preserve"> The review identified several factors contributing to delayed discharge, including shortages of residential and nursing home placements, workforce recruitment and retention challenges, delays in social care assessments and funding decisions, limited community services, and poor coordination between health and social care organisations. Older adults were disproportionately affected, experiencing reduced mobility, deconditioning, loss of independence, hospital-acquired complications, and poorer psychological wellbeing during prolonged hospital stays. Integrated approaches, such as the Discharge to Assess model and Integrated Care Systems, showed potential to improve patient flow and reduce delays, although implementation varied across regions.</w:t>
      </w:r>
    </w:p>
    <w:p w14:paraId="136D82A5" w14:textId="52CEF003" w:rsidR="00870195" w:rsidRDefault="00870195" w:rsidP="00870195">
      <w:pPr>
        <w:pStyle w:val="NormalWeb"/>
      </w:pPr>
      <w:r>
        <w:rPr>
          <w:rStyle w:val="Strong"/>
        </w:rPr>
        <w:t>Conclusion:</w:t>
      </w:r>
      <w:r>
        <w:t xml:space="preserve"> Residential care capacity is a major determinant of timely hospital discharge in the UK. Reducing delays requires sustained investment in adult social care, improved workforce planning, stronger collaboration between health and social care, and greater integration of discharge services. Further research should evaluate the long-term effectiveness of discharge interventions and strategies to expand residential care capacity.</w:t>
      </w:r>
    </w:p>
    <w:p w14:paraId="316C4598" w14:textId="77777777" w:rsidR="00997E20" w:rsidRDefault="00997E20" w:rsidP="00997E20"/>
    <w:p w14:paraId="12D76753" w14:textId="19BD4AB6" w:rsidR="00B87E75" w:rsidRDefault="000D3E12" w:rsidP="00D91F42">
      <w:pPr>
        <w:spacing w:line="360" w:lineRule="auto"/>
        <w:rPr>
          <w:b/>
          <w:bCs/>
          <w:sz w:val="32"/>
          <w:szCs w:val="32"/>
        </w:rPr>
      </w:pPr>
      <w:r>
        <w:rPr>
          <w:b/>
          <w:bCs/>
          <w:sz w:val="32"/>
          <w:szCs w:val="32"/>
        </w:rPr>
        <w:t>2</w:t>
      </w:r>
      <w:r w:rsidR="005D5E3C" w:rsidRPr="00256B02">
        <w:rPr>
          <w:b/>
          <w:bCs/>
          <w:sz w:val="32"/>
          <w:szCs w:val="32"/>
        </w:rPr>
        <w:t>-</w:t>
      </w:r>
      <w:r w:rsidR="00B87E75" w:rsidRPr="00256B02">
        <w:rPr>
          <w:b/>
          <w:bCs/>
          <w:sz w:val="32"/>
          <w:szCs w:val="32"/>
        </w:rPr>
        <w:t>Intro</w:t>
      </w:r>
      <w:r w:rsidR="00956C76">
        <w:rPr>
          <w:b/>
          <w:bCs/>
          <w:sz w:val="32"/>
          <w:szCs w:val="32"/>
        </w:rPr>
        <w:t>d</w:t>
      </w:r>
      <w:r w:rsidR="00B87E75" w:rsidRPr="00256B02">
        <w:rPr>
          <w:b/>
          <w:bCs/>
          <w:sz w:val="32"/>
          <w:szCs w:val="32"/>
        </w:rPr>
        <w:t>uction</w:t>
      </w:r>
    </w:p>
    <w:p w14:paraId="687D01D3" w14:textId="77777777" w:rsidR="005A16A7" w:rsidRPr="00DE1448" w:rsidRDefault="005A16A7" w:rsidP="005A16A7">
      <w:pPr>
        <w:spacing w:before="100" w:beforeAutospacing="1" w:after="100" w:afterAutospacing="1" w:line="240" w:lineRule="auto"/>
        <w:rPr>
          <w:rFonts w:eastAsia="Times New Roman" w:cs="Times New Roman"/>
          <w:lang w:eastAsia="en-GB"/>
        </w:rPr>
      </w:pPr>
      <w:r w:rsidRPr="00DE1448">
        <w:rPr>
          <w:rFonts w:eastAsia="Times New Roman" w:cs="Times New Roman"/>
          <w:lang w:eastAsia="en-GB"/>
        </w:rPr>
        <w:t xml:space="preserve">Delayed hospital discharge, commonly referred to as a delayed transfer of care (DTOC), occurs when a patient is medically fit to leave hospital but continues to occupy a hospital bed because the necessary arrangements for ongoing care have not been completed (NHS England, 2023; Department of Health and Social Care (DHSC), 2020). In the United Kingdom (UK), delayed discharge is recognised as a persistent challenge affecting the </w:t>
      </w:r>
      <w:r w:rsidRPr="00DE1448">
        <w:rPr>
          <w:rFonts w:eastAsia="Times New Roman" w:cs="Times New Roman"/>
          <w:lang w:eastAsia="en-GB"/>
        </w:rPr>
        <w:lastRenderedPageBreak/>
        <w:t>efficiency of both health and social care services (National Audit Office, 2016; NHS England, 2023). Although patients may no longer require acute medical treatment, they are often unable to return home or transfer to an appropriate care setting due to delays in securing residential care placements, nursing home beds, social care assessments, or community support services (Healthwatch England, 2021; National Audit Office, 2016).</w:t>
      </w:r>
    </w:p>
    <w:p w14:paraId="1EBBE561" w14:textId="77777777" w:rsidR="005A16A7" w:rsidRPr="00DE1448" w:rsidRDefault="005A16A7" w:rsidP="005A16A7">
      <w:pPr>
        <w:spacing w:before="100" w:beforeAutospacing="1" w:after="100" w:afterAutospacing="1" w:line="240" w:lineRule="auto"/>
        <w:rPr>
          <w:rFonts w:eastAsia="Times New Roman" w:cs="Times New Roman"/>
          <w:lang w:eastAsia="en-GB"/>
        </w:rPr>
      </w:pPr>
      <w:r w:rsidRPr="00DE1448">
        <w:rPr>
          <w:rFonts w:eastAsia="Times New Roman" w:cs="Times New Roman"/>
          <w:lang w:eastAsia="en-GB"/>
        </w:rPr>
        <w:t>Residential care refers to long-term accommodation and support services provided to individuals who are unable to live independently due to age, disability, illness, or complex care needs (Care Quality Commission (CQC), 2023). Residential homes provide personal care and support, while nursing homes also offer continuous nursing care delivered by registered nurses (Care Quality Commission (CQC), 2023). These services play a crucial role in supporting safe hospital discharge, particularly for older adults who require ongoing assistance following illness, injury, or deterioration in health (NICE, 2015).</w:t>
      </w:r>
    </w:p>
    <w:p w14:paraId="295B7908" w14:textId="77777777" w:rsidR="005A16A7" w:rsidRPr="00DE1448" w:rsidRDefault="005A16A7" w:rsidP="005A16A7">
      <w:pPr>
        <w:spacing w:before="100" w:beforeAutospacing="1" w:after="100" w:afterAutospacing="1" w:line="240" w:lineRule="auto"/>
        <w:rPr>
          <w:rFonts w:eastAsia="Times New Roman" w:cs="Times New Roman"/>
          <w:lang w:eastAsia="en-GB"/>
        </w:rPr>
      </w:pPr>
      <w:r w:rsidRPr="00DE1448">
        <w:rPr>
          <w:rFonts w:eastAsia="Times New Roman" w:cs="Times New Roman"/>
          <w:lang w:eastAsia="en-GB"/>
        </w:rPr>
        <w:t>Delayed discharge has become an increasingly important issue within the National Health Service (NHS) due to rising demand for hospital services, population ageing, and growing pressures on the adult social care sector (NHS England, 2023; The King's Fund, 2022). The UK population is ageing rapidly, with increasing numbers of people living with multiple long-term conditions, frailty, and complex care needs (Office for National Statistics (ONS), 2023). As a result, more patients require ongoing support after hospital treatment, placing significant demand on residential and nursing care services. When suitable care placements are unavailable, patients remain in hospital longer than necessary, creating pressure on hospital capacity and reducing the availability of beds for new admissions (The King's Fund, 2022; National Audit Office, 2016).</w:t>
      </w:r>
    </w:p>
    <w:p w14:paraId="353EE3A0" w14:textId="77777777" w:rsidR="005A16A7" w:rsidRPr="00DE1448" w:rsidRDefault="005A16A7" w:rsidP="005A16A7">
      <w:pPr>
        <w:spacing w:before="100" w:beforeAutospacing="1" w:after="100" w:afterAutospacing="1" w:line="240" w:lineRule="auto"/>
        <w:rPr>
          <w:rFonts w:eastAsia="Times New Roman" w:cs="Times New Roman"/>
          <w:lang w:eastAsia="en-GB"/>
        </w:rPr>
      </w:pPr>
      <w:r w:rsidRPr="00DE1448">
        <w:rPr>
          <w:rFonts w:eastAsia="Times New Roman" w:cs="Times New Roman"/>
          <w:lang w:eastAsia="en-GB"/>
        </w:rPr>
        <w:t>The consequences of delayed discharge extend beyond organisational and financial pressures. Prolonged hospital stays can negatively affect patients' physical, psychological, and social wellbeing (British Geriatrics Society, 2021; NICE, 2015). Older adults are particularly vulnerable to hospital-acquired complications, including reduced mobility, loss of independence, deconditioning, infections, and social isolation (British Geriatrics Society, 2021). Furthermore, delayed discharge can increase healthcare expenditure and contribute to overcrowding within hospitals, leading to longer waiting times and reduced efficiency across the wider health and care system (National Audit Office, 2016; NHS England, 2023).</w:t>
      </w:r>
    </w:p>
    <w:p w14:paraId="48AF420C" w14:textId="77777777" w:rsidR="005A16A7" w:rsidRPr="00DE1448" w:rsidRDefault="005A16A7" w:rsidP="005A16A7">
      <w:pPr>
        <w:spacing w:before="100" w:beforeAutospacing="1" w:after="100" w:afterAutospacing="1" w:line="240" w:lineRule="auto"/>
        <w:rPr>
          <w:rFonts w:eastAsia="Times New Roman" w:cs="Times New Roman"/>
          <w:lang w:eastAsia="en-GB"/>
        </w:rPr>
      </w:pPr>
      <w:r w:rsidRPr="00DE1448">
        <w:rPr>
          <w:rFonts w:eastAsia="Times New Roman" w:cs="Times New Roman"/>
          <w:lang w:eastAsia="en-GB"/>
        </w:rPr>
        <w:t>Existing literature suggests that several residential care-related factors contribute to delayed discharge. These include shortages of residential and nursing home beds, workforce recruitment and retention difficulties, delays in social care assessments, funding constraints, and ineffective coordination between health and social care organisations (The King's Fund, 2022; Health Foundation, 2021; Skills for Care, 2023). Despite numerous policy initiatives aimed at improving discharge processes, including the Better Care Fund and the Discharge to Assess model, delays continue to occur across many regions of the UK (NHS England, 2023; DHSC, 2020).</w:t>
      </w:r>
    </w:p>
    <w:p w14:paraId="0685A6CC" w14:textId="77777777" w:rsidR="005A16A7" w:rsidRPr="00DE1448" w:rsidRDefault="005A16A7" w:rsidP="005A16A7">
      <w:pPr>
        <w:spacing w:before="100" w:beforeAutospacing="1" w:after="100" w:afterAutospacing="1" w:line="240" w:lineRule="auto"/>
        <w:rPr>
          <w:rFonts w:eastAsia="Times New Roman" w:cs="Times New Roman"/>
          <w:lang w:eastAsia="en-GB"/>
        </w:rPr>
      </w:pPr>
      <w:r w:rsidRPr="00DE1448">
        <w:rPr>
          <w:rFonts w:eastAsia="Times New Roman" w:cs="Times New Roman"/>
          <w:lang w:eastAsia="en-GB"/>
        </w:rPr>
        <w:t>Given the complex and interconnected nature of this issue, a scoping review is an appropriate method for examining the available evidence. Scoping reviews are particularly useful for exploring broad topics, mapping key concepts, identifying gaps in knowledge, and summarising evidence from a range of study designs (Arksey and O'Malley, 2005; Peters et al., 2020). This review will focus specifically on residential care-related barriers to hospital discharge within the UK context and will examine interventions proposed to address these challenges.</w:t>
      </w:r>
    </w:p>
    <w:p w14:paraId="023932BE" w14:textId="77777777" w:rsidR="00AE42EE" w:rsidRPr="00D92EC1" w:rsidRDefault="00AE42EE" w:rsidP="00AE42EE">
      <w:pPr>
        <w:spacing w:before="100" w:beforeAutospacing="1" w:after="100" w:afterAutospacing="1" w:line="240" w:lineRule="auto"/>
        <w:outlineLvl w:val="2"/>
        <w:rPr>
          <w:rFonts w:eastAsia="Times New Roman" w:cs="Times New Roman"/>
          <w:b/>
          <w:bCs/>
          <w:sz w:val="27"/>
          <w:szCs w:val="27"/>
          <w:lang w:eastAsia="en-GB"/>
        </w:rPr>
      </w:pPr>
      <w:r w:rsidRPr="00D92EC1">
        <w:rPr>
          <w:rFonts w:eastAsia="Times New Roman" w:cs="Times New Roman"/>
          <w:b/>
          <w:bCs/>
          <w:sz w:val="27"/>
          <w:szCs w:val="27"/>
          <w:lang w:eastAsia="en-GB"/>
        </w:rPr>
        <w:lastRenderedPageBreak/>
        <w:t>Review Question</w:t>
      </w:r>
    </w:p>
    <w:p w14:paraId="675C5706"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What residential care-related factors contribute to delayed hospital discharge in the UK, and what solutions or interventions have been identified in existing research?</w:t>
      </w:r>
    </w:p>
    <w:p w14:paraId="5C835D44" w14:textId="77777777" w:rsidR="00AE42EE" w:rsidRPr="00D92EC1" w:rsidRDefault="00AE42EE" w:rsidP="00AE42EE">
      <w:pPr>
        <w:spacing w:before="100" w:beforeAutospacing="1" w:after="100" w:afterAutospacing="1" w:line="240" w:lineRule="auto"/>
        <w:outlineLvl w:val="2"/>
        <w:rPr>
          <w:rFonts w:eastAsia="Times New Roman" w:cs="Times New Roman"/>
          <w:b/>
          <w:bCs/>
          <w:sz w:val="27"/>
          <w:szCs w:val="27"/>
          <w:lang w:eastAsia="en-GB"/>
        </w:rPr>
      </w:pPr>
      <w:r w:rsidRPr="00D92EC1">
        <w:rPr>
          <w:rFonts w:eastAsia="Times New Roman" w:cs="Times New Roman"/>
          <w:b/>
          <w:bCs/>
          <w:sz w:val="27"/>
          <w:szCs w:val="27"/>
          <w:lang w:eastAsia="en-GB"/>
        </w:rPr>
        <w:t>Objectives</w:t>
      </w:r>
    </w:p>
    <w:p w14:paraId="369DF39D" w14:textId="5CFD13FC" w:rsidR="00AE42EE" w:rsidRPr="00D92EC1" w:rsidRDefault="005A16A7" w:rsidP="00AE42EE">
      <w:pPr>
        <w:spacing w:before="100" w:beforeAutospacing="1" w:after="100" w:afterAutospacing="1" w:line="240" w:lineRule="auto"/>
        <w:rPr>
          <w:rFonts w:eastAsia="Times New Roman" w:cs="Times New Roman"/>
          <w:lang w:eastAsia="en-GB"/>
        </w:rPr>
      </w:pPr>
      <w:r>
        <w:rPr>
          <w:rFonts w:eastAsia="Times New Roman" w:cs="Times New Roman"/>
          <w:lang w:eastAsia="en-GB"/>
        </w:rPr>
        <w:t>This scoping review aims</w:t>
      </w:r>
      <w:r w:rsidR="00AE42EE" w:rsidRPr="00D92EC1">
        <w:rPr>
          <w:rFonts w:eastAsia="Times New Roman" w:cs="Times New Roman"/>
          <w:lang w:eastAsia="en-GB"/>
        </w:rPr>
        <w:t xml:space="preserve"> to explore the relationship between residential care provision and delayed hospital discharge in the UK.</w:t>
      </w:r>
    </w:p>
    <w:p w14:paraId="649795D1"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The specific objectives are to:</w:t>
      </w:r>
    </w:p>
    <w:p w14:paraId="265B4D37" w14:textId="77777777" w:rsidR="00AE42EE" w:rsidRPr="00D92EC1" w:rsidRDefault="00AE42EE" w:rsidP="00AE42EE">
      <w:pPr>
        <w:numPr>
          <w:ilvl w:val="0"/>
          <w:numId w:val="1"/>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Identify and synthesise evidence on residential care barriers associated with delayed hospital discharge.</w:t>
      </w:r>
    </w:p>
    <w:p w14:paraId="17AE0C1A" w14:textId="77777777" w:rsidR="00AE42EE" w:rsidRPr="00D92EC1" w:rsidRDefault="00AE42EE" w:rsidP="00AE42EE">
      <w:pPr>
        <w:numPr>
          <w:ilvl w:val="0"/>
          <w:numId w:val="1"/>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Examine the types of delays reported, including care home capacity shortages, workforce issues, funding constraints, assessment delays, and coordination challenges.</w:t>
      </w:r>
    </w:p>
    <w:p w14:paraId="0B13021D" w14:textId="77777777" w:rsidR="00AE42EE" w:rsidRPr="00D92EC1" w:rsidRDefault="00AE42EE" w:rsidP="00AE42EE">
      <w:pPr>
        <w:numPr>
          <w:ilvl w:val="0"/>
          <w:numId w:val="1"/>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Explore interventions, service models, and policy initiatives designed to reduce discharge delays.</w:t>
      </w:r>
    </w:p>
    <w:p w14:paraId="7344BCA4" w14:textId="77777777" w:rsidR="00AE42EE" w:rsidRPr="00D92EC1" w:rsidRDefault="00AE42EE" w:rsidP="00AE42EE">
      <w:pPr>
        <w:numPr>
          <w:ilvl w:val="0"/>
          <w:numId w:val="1"/>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Compare findings across different healthcare and social care settings within the UK.</w:t>
      </w:r>
    </w:p>
    <w:p w14:paraId="2F05E2EE" w14:textId="77777777" w:rsidR="00AE42EE" w:rsidRDefault="00AE42EE" w:rsidP="00AE42EE">
      <w:pPr>
        <w:numPr>
          <w:ilvl w:val="0"/>
          <w:numId w:val="1"/>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 xml:space="preserve">Identify gaps in the current evidence base and provide recommendations for future research, policy development, and professional </w:t>
      </w:r>
    </w:p>
    <w:p w14:paraId="0FDF87F9" w14:textId="5F5D904D" w:rsidR="00AE42EE" w:rsidRPr="00BF0CAC" w:rsidRDefault="000D3E12" w:rsidP="00BF0CAC">
      <w:pPr>
        <w:pStyle w:val="Heading1"/>
      </w:pPr>
      <w:r>
        <w:t>3</w:t>
      </w:r>
      <w:r w:rsidR="00AE42EE" w:rsidRPr="00BF0CAC">
        <w:t>. Background</w:t>
      </w:r>
    </w:p>
    <w:p w14:paraId="0D702830" w14:textId="77777777" w:rsidR="00AE42EE" w:rsidRPr="00BF0CAC" w:rsidRDefault="00AE42EE" w:rsidP="00AE42EE">
      <w:pPr>
        <w:spacing w:before="100" w:beforeAutospacing="1" w:after="100" w:afterAutospacing="1" w:line="240" w:lineRule="auto"/>
        <w:outlineLvl w:val="1"/>
        <w:rPr>
          <w:rFonts w:ascii="Arial" w:eastAsia="Times New Roman" w:hAnsi="Arial" w:cs="Arial"/>
          <w:b/>
          <w:bCs/>
          <w:sz w:val="32"/>
          <w:szCs w:val="32"/>
          <w:lang w:eastAsia="en-GB"/>
        </w:rPr>
      </w:pPr>
      <w:r w:rsidRPr="00BF0CAC">
        <w:rPr>
          <w:rFonts w:ascii="Arial" w:eastAsia="Times New Roman" w:hAnsi="Arial" w:cs="Arial"/>
          <w:b/>
          <w:bCs/>
          <w:sz w:val="32"/>
          <w:szCs w:val="32"/>
          <w:lang w:eastAsia="en-GB"/>
        </w:rPr>
        <w:t>Delayed Transfers of Care in the UK</w:t>
      </w:r>
    </w:p>
    <w:p w14:paraId="50210BDE" w14:textId="77777777" w:rsidR="00EE5D51" w:rsidRPr="00F17A02" w:rsidRDefault="00EE5D51" w:rsidP="00EE5D51">
      <w:pPr>
        <w:spacing w:before="100" w:beforeAutospacing="1" w:after="100" w:afterAutospacing="1" w:line="240" w:lineRule="auto"/>
        <w:rPr>
          <w:rFonts w:eastAsia="Times New Roman" w:cs="Times New Roman"/>
          <w:lang w:eastAsia="en-GB"/>
        </w:rPr>
      </w:pPr>
      <w:r w:rsidRPr="00F17A02">
        <w:rPr>
          <w:rFonts w:eastAsia="Times New Roman" w:cs="Times New Roman"/>
          <w:lang w:eastAsia="en-GB"/>
        </w:rPr>
        <w:t>Delayed transfers of care (DTOCs) have become a significant concern within the UK health and social care system. A delayed discharge occurs when a patient is medically fit to leave hospital but remains in an acute care bed because the necessary arrangements for ongoing care have not been completed (Department of Health and Social Care (DHSC), 2020; NHS England, 2023). NHS England has consistently reported high numbers of delayed discharges, particularly among older adults with complex health and social care needs (NHS England, 2023; National Audit Office, 2016). Such delays reduce the availability of hospital beds, increase pressure on emergency departments, and contribute to longer waiting times for elective procedures and admissions (National Audit Office, 2016; The King's Fund, 2022).</w:t>
      </w:r>
    </w:p>
    <w:p w14:paraId="1ED113C0" w14:textId="77777777" w:rsidR="00EE5D51" w:rsidRPr="00F17A02" w:rsidRDefault="00EE5D51" w:rsidP="00EE5D51">
      <w:pPr>
        <w:spacing w:before="100" w:beforeAutospacing="1" w:after="100" w:afterAutospacing="1" w:line="240" w:lineRule="auto"/>
        <w:rPr>
          <w:rFonts w:eastAsia="Times New Roman" w:cs="Times New Roman"/>
          <w:lang w:eastAsia="en-GB"/>
        </w:rPr>
      </w:pPr>
      <w:r w:rsidRPr="00F17A02">
        <w:rPr>
          <w:rFonts w:eastAsia="Times New Roman" w:cs="Times New Roman"/>
          <w:lang w:eastAsia="en-GB"/>
        </w:rPr>
        <w:t>The impact of delayed discharge extends beyond healthcare system efficiency. Research indicates that prolonged hospital stays can result in adverse physical and psychological outcomes for patients, including loss of independence, reduced mobility, increased risk of falls, hospital-acquired infections, and social isolation (British Geriatrics Society, 2021; NICE, 2015). Older adults are particularly vulnerable to these effects due to frailty and multiple long-term conditions (Office for National Statistics (ONS), 2023; British Geriatrics Society, 2021). Consequently, reducing unnecessary hospital stays has become a key priority for both the NHS and local authority social care services (DHSC, 2020; NHS England, 2023).</w:t>
      </w:r>
    </w:p>
    <w:p w14:paraId="7F7AD299" w14:textId="3D582B1A" w:rsidR="00AE42EE" w:rsidRDefault="00AE42EE" w:rsidP="00AE42EE">
      <w:pPr>
        <w:spacing w:before="100" w:beforeAutospacing="1" w:after="100" w:afterAutospacing="1" w:line="240" w:lineRule="auto"/>
        <w:outlineLvl w:val="1"/>
        <w:rPr>
          <w:rFonts w:eastAsia="Times New Roman" w:cs="Times New Roman"/>
          <w:b/>
          <w:bCs/>
          <w:sz w:val="32"/>
          <w:szCs w:val="32"/>
          <w:lang w:eastAsia="en-GB"/>
        </w:rPr>
      </w:pPr>
      <w:r w:rsidRPr="00BF0CAC">
        <w:rPr>
          <w:rFonts w:eastAsia="Times New Roman" w:cs="Times New Roman"/>
          <w:b/>
          <w:bCs/>
          <w:sz w:val="32"/>
          <w:szCs w:val="32"/>
          <w:lang w:eastAsia="en-GB"/>
        </w:rPr>
        <w:t>Adult Social Care and Residential Care Services</w:t>
      </w:r>
    </w:p>
    <w:p w14:paraId="678FE34B" w14:textId="77777777" w:rsidR="00513338" w:rsidRPr="000F507D" w:rsidRDefault="00513338" w:rsidP="00513338">
      <w:pPr>
        <w:spacing w:before="100" w:beforeAutospacing="1" w:after="100" w:afterAutospacing="1" w:line="240" w:lineRule="auto"/>
        <w:rPr>
          <w:rFonts w:eastAsia="Times New Roman" w:cs="Times New Roman"/>
          <w:szCs w:val="24"/>
          <w:lang w:eastAsia="en-GB"/>
        </w:rPr>
      </w:pPr>
      <w:r w:rsidRPr="000F507D">
        <w:rPr>
          <w:rFonts w:eastAsia="Times New Roman" w:cs="Times New Roman"/>
          <w:szCs w:val="24"/>
          <w:lang w:eastAsia="en-GB"/>
        </w:rPr>
        <w:lastRenderedPageBreak/>
        <w:t>Adult social care plays a critical role in facilitating safe and timely discharge from hospital. Following acute treatment, some patients are unable to return home independently and require ongoing support through residential care, nursing care, or community-based services (Department of Health and Social Care (DHSC), 2020; NHS England, 2023). Residential care homes provide accommodation and personal care for individuals who require assistance with daily living activities, while nursing homes additionally provide 24-hour nursing support for people with more complex healthcare needs (Care Quality Commission (CQC), 2023; NICE, 2015).</w:t>
      </w:r>
    </w:p>
    <w:p w14:paraId="160F998D" w14:textId="77777777" w:rsidR="00513338" w:rsidRPr="000F507D" w:rsidRDefault="00513338" w:rsidP="00513338">
      <w:pPr>
        <w:spacing w:before="100" w:beforeAutospacing="1" w:after="100" w:afterAutospacing="1" w:line="240" w:lineRule="auto"/>
        <w:rPr>
          <w:rFonts w:eastAsia="Times New Roman" w:cs="Times New Roman"/>
          <w:szCs w:val="24"/>
          <w:lang w:eastAsia="en-GB"/>
        </w:rPr>
      </w:pPr>
      <w:r w:rsidRPr="000F507D">
        <w:rPr>
          <w:rFonts w:eastAsia="Times New Roman" w:cs="Times New Roman"/>
          <w:szCs w:val="24"/>
          <w:lang w:eastAsia="en-GB"/>
        </w:rPr>
        <w:t>The availability of residential care services directly influences discharge pathways. When suitable placements are unavailable, patients may remain in hospital despite no longer requiring acute medical treatment (National Audit Office, 2016; The King's Fund, 2022). Care homes therefore form an essential component of the discharge process, particularly for older adults who require long-term support (British Geriatrics Society, 2021; NHS England, 2023). Effective collaboration between hospitals, local authorities, care providers, and community services is necessary to ensure smooth transitions between care settings (NICE, 2015; DHSC, 2020; Health Foundation, 2021).</w:t>
      </w:r>
    </w:p>
    <w:p w14:paraId="4462A1A3" w14:textId="77777777" w:rsidR="00AE42EE" w:rsidRPr="00BF0CAC" w:rsidRDefault="00AE42EE" w:rsidP="00AE42EE">
      <w:pPr>
        <w:spacing w:before="100" w:beforeAutospacing="1" w:after="100" w:afterAutospacing="1" w:line="240" w:lineRule="auto"/>
        <w:outlineLvl w:val="1"/>
        <w:rPr>
          <w:rFonts w:eastAsia="Times New Roman" w:cs="Times New Roman"/>
          <w:b/>
          <w:bCs/>
          <w:sz w:val="32"/>
          <w:szCs w:val="32"/>
          <w:lang w:eastAsia="en-GB"/>
        </w:rPr>
      </w:pPr>
      <w:r w:rsidRPr="00BF0CAC">
        <w:rPr>
          <w:rFonts w:eastAsia="Times New Roman" w:cs="Times New Roman"/>
          <w:b/>
          <w:bCs/>
          <w:sz w:val="32"/>
          <w:szCs w:val="32"/>
          <w:lang w:eastAsia="en-GB"/>
        </w:rPr>
        <w:t>Relevant Policies and Legislation</w:t>
      </w:r>
    </w:p>
    <w:p w14:paraId="16DFCB1A"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Several UK policies and legislative frameworks have sought to improve hospital discharge processes and strengthen integration between health and social care services.</w:t>
      </w:r>
    </w:p>
    <w:p w14:paraId="227F529A"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 xml:space="preserve">The </w:t>
      </w:r>
      <w:r w:rsidRPr="00D92EC1">
        <w:rPr>
          <w:rFonts w:eastAsia="Times New Roman" w:cs="Times New Roman"/>
          <w:b/>
          <w:bCs/>
          <w:lang w:eastAsia="en-GB"/>
        </w:rPr>
        <w:t>Care Act 2014</w:t>
      </w:r>
      <w:r w:rsidRPr="00D92EC1">
        <w:rPr>
          <w:rFonts w:eastAsia="Times New Roman" w:cs="Times New Roman"/>
          <w:lang w:eastAsia="en-GB"/>
        </w:rPr>
        <w:t xml:space="preserve"> established a legal framework for adult social care in England, placing duties on local authorities to promote individual wellbeing, assess care needs, and support integrated working between organisations. The Act emphasises person-centred care and aims to ensure that individuals receive appropriate support following hospital discharge.</w:t>
      </w:r>
    </w:p>
    <w:p w14:paraId="0990B398"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 xml:space="preserve">The </w:t>
      </w:r>
      <w:r w:rsidRPr="00D92EC1">
        <w:rPr>
          <w:rFonts w:eastAsia="Times New Roman" w:cs="Times New Roman"/>
          <w:b/>
          <w:bCs/>
          <w:lang w:eastAsia="en-GB"/>
        </w:rPr>
        <w:t>NHS Long Term Plan (2019)</w:t>
      </w:r>
      <w:r w:rsidRPr="00D92EC1">
        <w:rPr>
          <w:rFonts w:eastAsia="Times New Roman" w:cs="Times New Roman"/>
          <w:lang w:eastAsia="en-GB"/>
        </w:rPr>
        <w:t xml:space="preserve"> highlighted the importance of reducing delayed discharges through improved coordination between healthcare providers and social care services. The plan recognised that increasing demand from an ageing population requires more integrated and community-focused approaches to care delivery.</w:t>
      </w:r>
    </w:p>
    <w:p w14:paraId="0F4672F0"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 xml:space="preserve">The </w:t>
      </w:r>
      <w:r w:rsidRPr="00D92EC1">
        <w:rPr>
          <w:rFonts w:eastAsia="Times New Roman" w:cs="Times New Roman"/>
          <w:b/>
          <w:bCs/>
          <w:lang w:eastAsia="en-GB"/>
        </w:rPr>
        <w:t>Discharge to Assess (D2A) Model</w:t>
      </w:r>
      <w:r w:rsidRPr="00D92EC1">
        <w:rPr>
          <w:rFonts w:eastAsia="Times New Roman" w:cs="Times New Roman"/>
          <w:lang w:eastAsia="en-GB"/>
        </w:rPr>
        <w:t xml:space="preserve"> was introduced to enable patients to leave hospital as soon as they are medically stable, with assessments for long-term care needs conducted in community or home settings rather than in hospital. Evidence suggests that this approach can improve patient outcomes and reduce unnecessary bed occupancy.</w:t>
      </w:r>
    </w:p>
    <w:p w14:paraId="1CB414D1"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 xml:space="preserve">The </w:t>
      </w:r>
      <w:r w:rsidRPr="00D92EC1">
        <w:rPr>
          <w:rFonts w:eastAsia="Times New Roman" w:cs="Times New Roman"/>
          <w:b/>
          <w:bCs/>
          <w:lang w:eastAsia="en-GB"/>
        </w:rPr>
        <w:t>Health and Care Act 2022</w:t>
      </w:r>
      <w:r w:rsidRPr="00D92EC1">
        <w:rPr>
          <w:rFonts w:eastAsia="Times New Roman" w:cs="Times New Roman"/>
          <w:lang w:eastAsia="en-GB"/>
        </w:rPr>
        <w:t xml:space="preserve"> further strengthened integrated care arrangements through the establishment of Integrated Care Systems (ICSs). These systems aim to improve collaboration across healthcare, social care, and community services to support more efficient care pathways.</w:t>
      </w:r>
    </w:p>
    <w:p w14:paraId="438F4F2C"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 xml:space="preserve">Additionally, the </w:t>
      </w:r>
      <w:r w:rsidRPr="00D92EC1">
        <w:rPr>
          <w:rFonts w:eastAsia="Times New Roman" w:cs="Times New Roman"/>
          <w:b/>
          <w:bCs/>
          <w:lang w:eastAsia="en-GB"/>
        </w:rPr>
        <w:t>Better Care Fund</w:t>
      </w:r>
      <w:r w:rsidRPr="00D92EC1">
        <w:rPr>
          <w:rFonts w:eastAsia="Times New Roman" w:cs="Times New Roman"/>
          <w:lang w:eastAsia="en-GB"/>
        </w:rPr>
        <w:t xml:space="preserve"> provides financial support to encourage joint working between the NHS and local authorities, with reducing delayed discharge identified as one of its core objectives.</w:t>
      </w:r>
    </w:p>
    <w:p w14:paraId="6BDD1C21" w14:textId="77777777" w:rsidR="00AE42EE" w:rsidRPr="00BF0CAC" w:rsidRDefault="00AE42EE" w:rsidP="00AE42EE">
      <w:pPr>
        <w:spacing w:before="100" w:beforeAutospacing="1" w:after="100" w:afterAutospacing="1" w:line="240" w:lineRule="auto"/>
        <w:outlineLvl w:val="1"/>
        <w:rPr>
          <w:rFonts w:eastAsia="Times New Roman" w:cs="Times New Roman"/>
          <w:b/>
          <w:bCs/>
          <w:sz w:val="32"/>
          <w:szCs w:val="32"/>
          <w:lang w:eastAsia="en-GB"/>
        </w:rPr>
      </w:pPr>
      <w:r w:rsidRPr="00BF0CAC">
        <w:rPr>
          <w:rFonts w:eastAsia="Times New Roman" w:cs="Times New Roman"/>
          <w:b/>
          <w:bCs/>
          <w:sz w:val="32"/>
          <w:szCs w:val="32"/>
          <w:lang w:eastAsia="en-GB"/>
        </w:rPr>
        <w:t>Current Challenges</w:t>
      </w:r>
    </w:p>
    <w:p w14:paraId="1C8D1354"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lastRenderedPageBreak/>
        <w:t>Despite these initiatives, significant challenges remain. Workforce shortages across both health and social care sectors continue to affect service capacity. Recruitment and retention difficulties within residential care settings have been widely reported, limiting the availability of care home placements.</w:t>
      </w:r>
    </w:p>
    <w:p w14:paraId="6B2B425F"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Funding pressures represent another major challenge. Local authorities have experienced increasing demand for social care services alongside financial constraints, affecting their ability to commission sufficient residential care provision. Rising operational costs within the care home sector have also contributed to provider instability and reduced capacity.</w:t>
      </w:r>
    </w:p>
    <w:p w14:paraId="759E33F0"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A shortage of residential and nursing home beds further compounds discharge delays. In some regions, suitable placements for individuals with complex needs are particularly difficult to secure, resulting in extended hospital stays.</w:t>
      </w:r>
    </w:p>
    <w:p w14:paraId="513B8116"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Finally, fragmented communication and coordination between hospitals, social care teams, and care providers continue to create barriers to timely discharge. Although integrated care initiatives have sought to address these issues, variation in practice remains across different parts of the UK.</w:t>
      </w:r>
    </w:p>
    <w:p w14:paraId="72D40F6B" w14:textId="7A06871E" w:rsidR="00AE42EE" w:rsidRPr="00BF0CAC" w:rsidRDefault="000D3E12" w:rsidP="00AE42EE">
      <w:pPr>
        <w:spacing w:before="100" w:beforeAutospacing="1" w:after="100" w:afterAutospacing="1" w:line="240" w:lineRule="auto"/>
        <w:outlineLvl w:val="0"/>
        <w:rPr>
          <w:rFonts w:eastAsia="Times New Roman" w:cs="Times New Roman"/>
          <w:b/>
          <w:bCs/>
          <w:kern w:val="36"/>
          <w:sz w:val="32"/>
          <w:szCs w:val="32"/>
          <w:lang w:eastAsia="en-GB"/>
        </w:rPr>
      </w:pPr>
      <w:r>
        <w:rPr>
          <w:rFonts w:eastAsia="Times New Roman" w:cs="Times New Roman"/>
          <w:b/>
          <w:bCs/>
          <w:kern w:val="36"/>
          <w:sz w:val="32"/>
          <w:szCs w:val="32"/>
          <w:lang w:eastAsia="en-GB"/>
        </w:rPr>
        <w:t>4</w:t>
      </w:r>
      <w:r w:rsidR="00AE42EE" w:rsidRPr="00BF0CAC">
        <w:rPr>
          <w:rFonts w:eastAsia="Times New Roman" w:cs="Times New Roman"/>
          <w:b/>
          <w:bCs/>
          <w:kern w:val="36"/>
          <w:sz w:val="32"/>
          <w:szCs w:val="32"/>
          <w:lang w:eastAsia="en-GB"/>
        </w:rPr>
        <w:t>. Methods</w:t>
      </w:r>
    </w:p>
    <w:p w14:paraId="4C606153" w14:textId="77777777" w:rsidR="00AE42EE" w:rsidRPr="00BF0CAC" w:rsidRDefault="00AE42EE" w:rsidP="00AE42EE">
      <w:pPr>
        <w:spacing w:before="100" w:beforeAutospacing="1" w:after="100" w:afterAutospacing="1" w:line="240" w:lineRule="auto"/>
        <w:outlineLvl w:val="1"/>
        <w:rPr>
          <w:rFonts w:eastAsia="Times New Roman" w:cs="Times New Roman"/>
          <w:b/>
          <w:bCs/>
          <w:sz w:val="32"/>
          <w:szCs w:val="32"/>
          <w:lang w:eastAsia="en-GB"/>
        </w:rPr>
      </w:pPr>
      <w:r w:rsidRPr="00BF0CAC">
        <w:rPr>
          <w:rFonts w:eastAsia="Times New Roman" w:cs="Times New Roman"/>
          <w:b/>
          <w:bCs/>
          <w:sz w:val="32"/>
          <w:szCs w:val="32"/>
          <w:lang w:eastAsia="en-GB"/>
        </w:rPr>
        <w:t>Research Design</w:t>
      </w:r>
    </w:p>
    <w:p w14:paraId="288284E5" w14:textId="795EE6B4"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 xml:space="preserve">This study employed a scoping review methodology to examine </w:t>
      </w:r>
      <w:r w:rsidR="00BF0CAC">
        <w:rPr>
          <w:rFonts w:eastAsia="Times New Roman" w:cs="Times New Roman"/>
          <w:lang w:eastAsia="en-GB"/>
        </w:rPr>
        <w:t>evidence on barriers in residential care that contribute</w:t>
      </w:r>
      <w:r w:rsidRPr="00D92EC1">
        <w:rPr>
          <w:rFonts w:eastAsia="Times New Roman" w:cs="Times New Roman"/>
          <w:lang w:eastAsia="en-GB"/>
        </w:rPr>
        <w:t xml:space="preserve"> to delayed hospital discharge in the UK. Scoping reviews are particularly suitable for exploring broad and complex topics where evidence originates from multiple study designs and disciplines. The review followed the six-stage framework developed by Arksey and O'Malley (2005), alongside recommendations from the Joanna Briggs Institute (Peters et al., 2020).</w:t>
      </w:r>
    </w:p>
    <w:p w14:paraId="32311391"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The stages included:</w:t>
      </w:r>
    </w:p>
    <w:p w14:paraId="1FC87B5E" w14:textId="77777777" w:rsidR="00AE42EE" w:rsidRPr="00D92EC1" w:rsidRDefault="00AE42EE" w:rsidP="00AE42EE">
      <w:pPr>
        <w:numPr>
          <w:ilvl w:val="0"/>
          <w:numId w:val="2"/>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Identifying the research question.</w:t>
      </w:r>
    </w:p>
    <w:p w14:paraId="693188E2" w14:textId="77777777" w:rsidR="00AE42EE" w:rsidRPr="00D92EC1" w:rsidRDefault="00AE42EE" w:rsidP="00AE42EE">
      <w:pPr>
        <w:numPr>
          <w:ilvl w:val="0"/>
          <w:numId w:val="2"/>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Identifying relevant studies.</w:t>
      </w:r>
    </w:p>
    <w:p w14:paraId="2C5D27BC" w14:textId="77777777" w:rsidR="00AE42EE" w:rsidRPr="00D92EC1" w:rsidRDefault="00AE42EE" w:rsidP="00AE42EE">
      <w:pPr>
        <w:numPr>
          <w:ilvl w:val="0"/>
          <w:numId w:val="2"/>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Selecting eligible studies.</w:t>
      </w:r>
    </w:p>
    <w:p w14:paraId="0CCA24C7" w14:textId="77777777" w:rsidR="00AE42EE" w:rsidRPr="00D92EC1" w:rsidRDefault="00AE42EE" w:rsidP="00AE42EE">
      <w:pPr>
        <w:numPr>
          <w:ilvl w:val="0"/>
          <w:numId w:val="2"/>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Charting the data.</w:t>
      </w:r>
    </w:p>
    <w:p w14:paraId="41F192BA" w14:textId="77777777" w:rsidR="00AE42EE" w:rsidRPr="00D92EC1" w:rsidRDefault="00AE42EE" w:rsidP="00AE42EE">
      <w:pPr>
        <w:numPr>
          <w:ilvl w:val="0"/>
          <w:numId w:val="2"/>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Collating and summarising findings.</w:t>
      </w:r>
    </w:p>
    <w:p w14:paraId="6B96B864" w14:textId="77777777" w:rsidR="00AE42EE" w:rsidRPr="00D92EC1" w:rsidRDefault="00AE42EE" w:rsidP="00AE42EE">
      <w:pPr>
        <w:numPr>
          <w:ilvl w:val="0"/>
          <w:numId w:val="2"/>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Reporting the results.</w:t>
      </w:r>
    </w:p>
    <w:p w14:paraId="102CD7D5" w14:textId="77777777" w:rsidR="00AE42EE" w:rsidRPr="00D92EC1" w:rsidRDefault="00AE42EE" w:rsidP="00AE42EE">
      <w:pPr>
        <w:spacing w:before="100" w:beforeAutospacing="1" w:after="100" w:afterAutospacing="1" w:line="240" w:lineRule="auto"/>
        <w:outlineLvl w:val="1"/>
        <w:rPr>
          <w:rFonts w:eastAsia="Times New Roman" w:cs="Times New Roman"/>
          <w:b/>
          <w:bCs/>
          <w:sz w:val="36"/>
          <w:szCs w:val="36"/>
          <w:lang w:eastAsia="en-GB"/>
        </w:rPr>
      </w:pPr>
      <w:r w:rsidRPr="00D92EC1">
        <w:rPr>
          <w:rFonts w:eastAsia="Times New Roman" w:cs="Times New Roman"/>
          <w:b/>
          <w:bCs/>
          <w:sz w:val="36"/>
          <w:szCs w:val="36"/>
          <w:lang w:eastAsia="en-GB"/>
        </w:rPr>
        <w:t>Search Strategy</w:t>
      </w:r>
    </w:p>
    <w:p w14:paraId="2360B177"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A comprehensive literature search was conducted across several academic databases to identify relevant peer-reviewed research. The databases searched included:</w:t>
      </w:r>
    </w:p>
    <w:p w14:paraId="4F84E6B7" w14:textId="77777777" w:rsidR="00AE42EE" w:rsidRPr="00D92EC1" w:rsidRDefault="00AE42EE" w:rsidP="00AE42EE">
      <w:pPr>
        <w:numPr>
          <w:ilvl w:val="0"/>
          <w:numId w:val="3"/>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PubMed</w:t>
      </w:r>
    </w:p>
    <w:p w14:paraId="3893D512" w14:textId="77777777" w:rsidR="00AE42EE" w:rsidRPr="00D92EC1" w:rsidRDefault="00AE42EE" w:rsidP="00AE42EE">
      <w:pPr>
        <w:numPr>
          <w:ilvl w:val="0"/>
          <w:numId w:val="3"/>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MEDLINE</w:t>
      </w:r>
    </w:p>
    <w:p w14:paraId="1A61DE2C" w14:textId="77777777" w:rsidR="00AE42EE" w:rsidRPr="00D92EC1" w:rsidRDefault="00AE42EE" w:rsidP="00AE42EE">
      <w:pPr>
        <w:numPr>
          <w:ilvl w:val="0"/>
          <w:numId w:val="3"/>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CINAHL</w:t>
      </w:r>
    </w:p>
    <w:p w14:paraId="3794EE2A" w14:textId="77777777" w:rsidR="00AE42EE" w:rsidRPr="00D92EC1" w:rsidRDefault="00AE42EE" w:rsidP="00AE42EE">
      <w:pPr>
        <w:numPr>
          <w:ilvl w:val="0"/>
          <w:numId w:val="3"/>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Scopus</w:t>
      </w:r>
    </w:p>
    <w:p w14:paraId="6781933A" w14:textId="77777777" w:rsidR="00AE42EE" w:rsidRPr="00D92EC1" w:rsidRDefault="00AE42EE" w:rsidP="00AE42EE">
      <w:pPr>
        <w:numPr>
          <w:ilvl w:val="0"/>
          <w:numId w:val="3"/>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Social Care Online</w:t>
      </w:r>
    </w:p>
    <w:p w14:paraId="70FA0D55"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lastRenderedPageBreak/>
        <w:t>Searches were conducted using combinations of keywords and Boolean operators. Examples of search terms included:</w:t>
      </w:r>
    </w:p>
    <w:p w14:paraId="43DE59FC"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("delayed hospital discharge" OR "delayed transfers of care")</w:t>
      </w:r>
      <w:r w:rsidRPr="00D92EC1">
        <w:rPr>
          <w:rFonts w:eastAsia="Times New Roman" w:cs="Times New Roman"/>
          <w:lang w:eastAsia="en-GB"/>
        </w:rPr>
        <w:br/>
        <w:t>AND</w:t>
      </w:r>
      <w:r w:rsidRPr="00D92EC1">
        <w:rPr>
          <w:rFonts w:eastAsia="Times New Roman" w:cs="Times New Roman"/>
          <w:lang w:eastAsia="en-GB"/>
        </w:rPr>
        <w:br/>
        <w:t>("residential care" OR "care homes" OR "nursing homes")</w:t>
      </w:r>
      <w:r w:rsidRPr="00D92EC1">
        <w:rPr>
          <w:rFonts w:eastAsia="Times New Roman" w:cs="Times New Roman"/>
          <w:lang w:eastAsia="en-GB"/>
        </w:rPr>
        <w:br/>
        <w:t>AND</w:t>
      </w:r>
      <w:r w:rsidRPr="00D92EC1">
        <w:rPr>
          <w:rFonts w:eastAsia="Times New Roman" w:cs="Times New Roman"/>
          <w:lang w:eastAsia="en-GB"/>
        </w:rPr>
        <w:br/>
        <w:t>("social care" OR "care home capacity")</w:t>
      </w:r>
      <w:r w:rsidRPr="00D92EC1">
        <w:rPr>
          <w:rFonts w:eastAsia="Times New Roman" w:cs="Times New Roman"/>
          <w:lang w:eastAsia="en-GB"/>
        </w:rPr>
        <w:br/>
        <w:t>AND</w:t>
      </w:r>
      <w:r w:rsidRPr="00D92EC1">
        <w:rPr>
          <w:rFonts w:eastAsia="Times New Roman" w:cs="Times New Roman"/>
          <w:lang w:eastAsia="en-GB"/>
        </w:rPr>
        <w:br/>
        <w:t>("United Kingdom" OR "England" OR "Wales" OR "Scotland")</w:t>
      </w:r>
    </w:p>
    <w:p w14:paraId="442EE5CC"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Reference lists of selected studies were also reviewed to identify additional relevant literature.</w:t>
      </w:r>
    </w:p>
    <w:p w14:paraId="5632A75D" w14:textId="77777777" w:rsidR="00AE42EE" w:rsidRPr="00D92EC1" w:rsidRDefault="00AE42EE" w:rsidP="00AE42EE">
      <w:pPr>
        <w:spacing w:before="100" w:beforeAutospacing="1" w:after="100" w:afterAutospacing="1" w:line="240" w:lineRule="auto"/>
        <w:outlineLvl w:val="1"/>
        <w:rPr>
          <w:rFonts w:eastAsia="Times New Roman" w:cs="Times New Roman"/>
          <w:b/>
          <w:bCs/>
          <w:sz w:val="36"/>
          <w:szCs w:val="36"/>
          <w:lang w:eastAsia="en-GB"/>
        </w:rPr>
      </w:pPr>
      <w:r w:rsidRPr="00D92EC1">
        <w:rPr>
          <w:rFonts w:eastAsia="Times New Roman" w:cs="Times New Roman"/>
          <w:b/>
          <w:bCs/>
          <w:sz w:val="36"/>
          <w:szCs w:val="36"/>
          <w:lang w:eastAsia="en-GB"/>
        </w:rPr>
        <w:t>Inclusion Criteria</w:t>
      </w:r>
    </w:p>
    <w:p w14:paraId="704B75F8"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Studies were included if they:</w:t>
      </w:r>
    </w:p>
    <w:p w14:paraId="19F9AD79" w14:textId="77777777" w:rsidR="00AE42EE" w:rsidRPr="00D92EC1" w:rsidRDefault="00AE42EE" w:rsidP="00AE42EE">
      <w:pPr>
        <w:numPr>
          <w:ilvl w:val="0"/>
          <w:numId w:val="4"/>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Were conducted within the UK.</w:t>
      </w:r>
    </w:p>
    <w:p w14:paraId="1A80B089" w14:textId="77777777" w:rsidR="00AE42EE" w:rsidRPr="00D92EC1" w:rsidRDefault="00AE42EE" w:rsidP="00AE42EE">
      <w:pPr>
        <w:numPr>
          <w:ilvl w:val="0"/>
          <w:numId w:val="4"/>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Examined delayed discharge associated with residential care or social care services.</w:t>
      </w:r>
    </w:p>
    <w:p w14:paraId="56012660" w14:textId="77777777" w:rsidR="00AE42EE" w:rsidRPr="00D92EC1" w:rsidRDefault="00AE42EE" w:rsidP="00AE42EE">
      <w:pPr>
        <w:numPr>
          <w:ilvl w:val="0"/>
          <w:numId w:val="4"/>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Were published between 2010 and 2026.</w:t>
      </w:r>
    </w:p>
    <w:p w14:paraId="052A09F8" w14:textId="77777777" w:rsidR="00AE42EE" w:rsidRPr="00D92EC1" w:rsidRDefault="00AE42EE" w:rsidP="00AE42EE">
      <w:pPr>
        <w:numPr>
          <w:ilvl w:val="0"/>
          <w:numId w:val="4"/>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Were peer-reviewed journal articles.</w:t>
      </w:r>
    </w:p>
    <w:p w14:paraId="38CD2172" w14:textId="77777777" w:rsidR="00AE42EE" w:rsidRPr="00D92EC1" w:rsidRDefault="00AE42EE" w:rsidP="00AE42EE">
      <w:pPr>
        <w:numPr>
          <w:ilvl w:val="0"/>
          <w:numId w:val="4"/>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Used qualitative, quantitative, mixed-methods, systematic review, or scoping review designs.</w:t>
      </w:r>
    </w:p>
    <w:p w14:paraId="3088EEA7" w14:textId="77777777" w:rsidR="00AE42EE" w:rsidRPr="00D92EC1" w:rsidRDefault="00AE42EE" w:rsidP="00AE42EE">
      <w:pPr>
        <w:numPr>
          <w:ilvl w:val="0"/>
          <w:numId w:val="4"/>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Included adult populations aged 18 years or older.</w:t>
      </w:r>
    </w:p>
    <w:p w14:paraId="10384726" w14:textId="77777777" w:rsidR="00AE42EE" w:rsidRPr="00D92EC1" w:rsidRDefault="00AE42EE" w:rsidP="00AE42EE">
      <w:pPr>
        <w:spacing w:before="100" w:beforeAutospacing="1" w:after="100" w:afterAutospacing="1" w:line="240" w:lineRule="auto"/>
        <w:outlineLvl w:val="1"/>
        <w:rPr>
          <w:rFonts w:eastAsia="Times New Roman" w:cs="Times New Roman"/>
          <w:b/>
          <w:bCs/>
          <w:sz w:val="36"/>
          <w:szCs w:val="36"/>
          <w:lang w:eastAsia="en-GB"/>
        </w:rPr>
      </w:pPr>
      <w:r w:rsidRPr="00D92EC1">
        <w:rPr>
          <w:rFonts w:eastAsia="Times New Roman" w:cs="Times New Roman"/>
          <w:b/>
          <w:bCs/>
          <w:sz w:val="36"/>
          <w:szCs w:val="36"/>
          <w:lang w:eastAsia="en-GB"/>
        </w:rPr>
        <w:t>Exclusion Criteria</w:t>
      </w:r>
    </w:p>
    <w:p w14:paraId="5A0E4569"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Studies were excluded if they:</w:t>
      </w:r>
    </w:p>
    <w:p w14:paraId="7089A75B" w14:textId="77777777" w:rsidR="00AE42EE" w:rsidRPr="00D92EC1" w:rsidRDefault="00AE42EE" w:rsidP="00AE42EE">
      <w:pPr>
        <w:numPr>
          <w:ilvl w:val="0"/>
          <w:numId w:val="5"/>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Were conducted outside the UK.</w:t>
      </w:r>
    </w:p>
    <w:p w14:paraId="6BE64292" w14:textId="77777777" w:rsidR="00AE42EE" w:rsidRPr="00D92EC1" w:rsidRDefault="00AE42EE" w:rsidP="00AE42EE">
      <w:pPr>
        <w:numPr>
          <w:ilvl w:val="0"/>
          <w:numId w:val="5"/>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Focused exclusively on paediatric populations.</w:t>
      </w:r>
    </w:p>
    <w:p w14:paraId="7B94C642" w14:textId="77777777" w:rsidR="00AE42EE" w:rsidRPr="00D92EC1" w:rsidRDefault="00AE42EE" w:rsidP="00AE42EE">
      <w:pPr>
        <w:numPr>
          <w:ilvl w:val="0"/>
          <w:numId w:val="5"/>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Were editorials, commentaries, policy documents, conference abstracts, dissertations, or opinion pieces.</w:t>
      </w:r>
    </w:p>
    <w:p w14:paraId="1586CF7C" w14:textId="77777777" w:rsidR="00AE42EE" w:rsidRPr="00D92EC1" w:rsidRDefault="00AE42EE" w:rsidP="00AE42EE">
      <w:pPr>
        <w:numPr>
          <w:ilvl w:val="0"/>
          <w:numId w:val="5"/>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Did not examine residential care-related discharge delays.</w:t>
      </w:r>
    </w:p>
    <w:p w14:paraId="6FD2851C" w14:textId="20A636E8" w:rsidR="00AE42EE" w:rsidRPr="00D92EC1" w:rsidRDefault="002839CA" w:rsidP="00AE42EE">
      <w:pPr>
        <w:numPr>
          <w:ilvl w:val="0"/>
          <w:numId w:val="5"/>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We’re</w:t>
      </w:r>
      <w:r w:rsidR="00AE42EE" w:rsidRPr="00D92EC1">
        <w:rPr>
          <w:rFonts w:eastAsia="Times New Roman" w:cs="Times New Roman"/>
          <w:lang w:eastAsia="en-GB"/>
        </w:rPr>
        <w:t xml:space="preserve"> not available in English.</w:t>
      </w:r>
    </w:p>
    <w:p w14:paraId="7A4984CB" w14:textId="77777777" w:rsidR="00AE42EE" w:rsidRPr="00D92EC1" w:rsidRDefault="00AE42EE" w:rsidP="00AE42EE">
      <w:pPr>
        <w:spacing w:before="100" w:beforeAutospacing="1" w:after="100" w:afterAutospacing="1" w:line="240" w:lineRule="auto"/>
        <w:outlineLvl w:val="1"/>
        <w:rPr>
          <w:rFonts w:eastAsia="Times New Roman" w:cs="Times New Roman"/>
          <w:b/>
          <w:bCs/>
          <w:sz w:val="36"/>
          <w:szCs w:val="36"/>
          <w:lang w:eastAsia="en-GB"/>
        </w:rPr>
      </w:pPr>
      <w:r w:rsidRPr="00D92EC1">
        <w:rPr>
          <w:rFonts w:eastAsia="Times New Roman" w:cs="Times New Roman"/>
          <w:b/>
          <w:bCs/>
          <w:sz w:val="36"/>
          <w:szCs w:val="36"/>
          <w:lang w:eastAsia="en-GB"/>
        </w:rPr>
        <w:t>Study Selection Process</w:t>
      </w:r>
    </w:p>
    <w:p w14:paraId="7178693D"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Titles and abstracts identified through database searches were screened against the inclusion and exclusion criteria. Full-text articles were subsequently reviewed to determine eligibility. Duplicate records were removed before screening. The final selection consisted of three to five studies most relevant to the review question.</w:t>
      </w:r>
    </w:p>
    <w:p w14:paraId="336A2EFD" w14:textId="77777777" w:rsidR="00AE42EE" w:rsidRPr="00D92EC1" w:rsidRDefault="00AE42EE" w:rsidP="00AE42EE">
      <w:pPr>
        <w:spacing w:before="100" w:beforeAutospacing="1" w:after="100" w:afterAutospacing="1" w:line="240" w:lineRule="auto"/>
        <w:outlineLvl w:val="1"/>
        <w:rPr>
          <w:rFonts w:eastAsia="Times New Roman" w:cs="Times New Roman"/>
          <w:b/>
          <w:bCs/>
          <w:sz w:val="36"/>
          <w:szCs w:val="36"/>
          <w:lang w:eastAsia="en-GB"/>
        </w:rPr>
      </w:pPr>
      <w:r w:rsidRPr="00D92EC1">
        <w:rPr>
          <w:rFonts w:eastAsia="Times New Roman" w:cs="Times New Roman"/>
          <w:b/>
          <w:bCs/>
          <w:sz w:val="36"/>
          <w:szCs w:val="36"/>
          <w:lang w:eastAsia="en-GB"/>
        </w:rPr>
        <w:t>Data Extraction</w:t>
      </w:r>
    </w:p>
    <w:p w14:paraId="0B99740F"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Data from each study were extracted using a structured charting form. Information collected included:</w:t>
      </w:r>
    </w:p>
    <w:p w14:paraId="19061641" w14:textId="77777777" w:rsidR="00AE42EE" w:rsidRPr="00D92EC1" w:rsidRDefault="00AE42EE" w:rsidP="00AE42EE">
      <w:pPr>
        <w:numPr>
          <w:ilvl w:val="0"/>
          <w:numId w:val="6"/>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lastRenderedPageBreak/>
        <w:t>Author(s) and publication year</w:t>
      </w:r>
    </w:p>
    <w:p w14:paraId="199074F0" w14:textId="77777777" w:rsidR="00AE42EE" w:rsidRPr="00D92EC1" w:rsidRDefault="00AE42EE" w:rsidP="00AE42EE">
      <w:pPr>
        <w:numPr>
          <w:ilvl w:val="0"/>
          <w:numId w:val="6"/>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Study aims</w:t>
      </w:r>
    </w:p>
    <w:p w14:paraId="55E2CCF0" w14:textId="77777777" w:rsidR="00AE42EE" w:rsidRPr="00D92EC1" w:rsidRDefault="00AE42EE" w:rsidP="00AE42EE">
      <w:pPr>
        <w:numPr>
          <w:ilvl w:val="0"/>
          <w:numId w:val="6"/>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Research design</w:t>
      </w:r>
    </w:p>
    <w:p w14:paraId="78DD0467" w14:textId="77777777" w:rsidR="00AE42EE" w:rsidRPr="00D92EC1" w:rsidRDefault="00AE42EE" w:rsidP="00AE42EE">
      <w:pPr>
        <w:numPr>
          <w:ilvl w:val="0"/>
          <w:numId w:val="6"/>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Sample characteristics</w:t>
      </w:r>
    </w:p>
    <w:p w14:paraId="51FECEDD" w14:textId="77777777" w:rsidR="00AE42EE" w:rsidRPr="00D92EC1" w:rsidRDefault="00AE42EE" w:rsidP="00AE42EE">
      <w:pPr>
        <w:numPr>
          <w:ilvl w:val="0"/>
          <w:numId w:val="6"/>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Setting</w:t>
      </w:r>
    </w:p>
    <w:p w14:paraId="3752E068" w14:textId="77777777" w:rsidR="00AE42EE" w:rsidRPr="00D92EC1" w:rsidRDefault="00AE42EE" w:rsidP="00AE42EE">
      <w:pPr>
        <w:numPr>
          <w:ilvl w:val="0"/>
          <w:numId w:val="6"/>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Key findings</w:t>
      </w:r>
    </w:p>
    <w:p w14:paraId="0177D3BF" w14:textId="77777777" w:rsidR="00AE42EE" w:rsidRPr="00D92EC1" w:rsidRDefault="00AE42EE" w:rsidP="00AE42EE">
      <w:pPr>
        <w:numPr>
          <w:ilvl w:val="0"/>
          <w:numId w:val="6"/>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Reported barriers to discharge</w:t>
      </w:r>
    </w:p>
    <w:p w14:paraId="6D02F151" w14:textId="77777777" w:rsidR="00AE42EE" w:rsidRPr="00D92EC1" w:rsidRDefault="00AE42EE" w:rsidP="00AE42EE">
      <w:pPr>
        <w:numPr>
          <w:ilvl w:val="0"/>
          <w:numId w:val="6"/>
        </w:num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Proposed interventions or recommendations</w:t>
      </w:r>
    </w:p>
    <w:p w14:paraId="24F0B3B4" w14:textId="77777777" w:rsidR="00AE42EE" w:rsidRPr="00D92EC1" w:rsidRDefault="00AE42EE" w:rsidP="00AE42EE">
      <w:pPr>
        <w:spacing w:before="100" w:beforeAutospacing="1" w:after="100" w:afterAutospacing="1" w:line="240" w:lineRule="auto"/>
        <w:outlineLvl w:val="1"/>
        <w:rPr>
          <w:rFonts w:eastAsia="Times New Roman" w:cs="Times New Roman"/>
          <w:b/>
          <w:bCs/>
          <w:sz w:val="36"/>
          <w:szCs w:val="36"/>
          <w:lang w:eastAsia="en-GB"/>
        </w:rPr>
      </w:pPr>
      <w:r w:rsidRPr="00D92EC1">
        <w:rPr>
          <w:rFonts w:eastAsia="Times New Roman" w:cs="Times New Roman"/>
          <w:b/>
          <w:bCs/>
          <w:sz w:val="36"/>
          <w:szCs w:val="36"/>
          <w:lang w:eastAsia="en-GB"/>
        </w:rPr>
        <w:t>Data Analysis</w:t>
      </w:r>
    </w:p>
    <w:p w14:paraId="412AC866"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The findings were analysed using thematic analysis. This approach enabled the identification of recurring patterns across studies and facilitated the development of key themes relating to residential care barriers and discharge delays. Themes were compared across studies to identify similarities, differences, and evidence gaps.</w:t>
      </w:r>
    </w:p>
    <w:p w14:paraId="2156B9E3" w14:textId="1F50370C" w:rsidR="00AE42EE" w:rsidRPr="00BF0CAC" w:rsidRDefault="000D3E12" w:rsidP="00AE42EE">
      <w:pPr>
        <w:spacing w:before="100" w:beforeAutospacing="1" w:after="100" w:afterAutospacing="1" w:line="240" w:lineRule="auto"/>
        <w:outlineLvl w:val="1"/>
        <w:rPr>
          <w:rFonts w:eastAsia="Times New Roman" w:cs="Times New Roman"/>
          <w:b/>
          <w:bCs/>
          <w:sz w:val="32"/>
          <w:szCs w:val="32"/>
          <w:lang w:eastAsia="en-GB"/>
        </w:rPr>
      </w:pPr>
      <w:r>
        <w:rPr>
          <w:rFonts w:eastAsia="Times New Roman" w:cs="Times New Roman"/>
          <w:b/>
          <w:bCs/>
          <w:sz w:val="32"/>
          <w:szCs w:val="32"/>
          <w:lang w:eastAsia="en-GB"/>
        </w:rPr>
        <w:t>5</w:t>
      </w:r>
      <w:r w:rsidR="00BF0CAC">
        <w:rPr>
          <w:rFonts w:eastAsia="Times New Roman" w:cs="Times New Roman"/>
          <w:b/>
          <w:bCs/>
          <w:sz w:val="32"/>
          <w:szCs w:val="32"/>
          <w:lang w:eastAsia="en-GB"/>
        </w:rPr>
        <w:t>.</w:t>
      </w:r>
      <w:r>
        <w:rPr>
          <w:rFonts w:eastAsia="Times New Roman" w:cs="Times New Roman"/>
          <w:b/>
          <w:bCs/>
          <w:sz w:val="32"/>
          <w:szCs w:val="32"/>
          <w:lang w:eastAsia="en-GB"/>
        </w:rPr>
        <w:t xml:space="preserve"> </w:t>
      </w:r>
      <w:r w:rsidR="00AE42EE" w:rsidRPr="00BF0CAC">
        <w:rPr>
          <w:rFonts w:eastAsia="Times New Roman" w:cs="Times New Roman"/>
          <w:b/>
          <w:bCs/>
          <w:sz w:val="32"/>
          <w:szCs w:val="32"/>
          <w:lang w:eastAsia="en-GB"/>
        </w:rPr>
        <w:t>Ethical Considerations</w:t>
      </w:r>
    </w:p>
    <w:p w14:paraId="17260239" w14:textId="6D87E402"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 xml:space="preserve">As this study involved analysis of previously published research, ethical approval was not required. No human participants were recruited, and no personal or confidential data were collected. Nevertheless, the review adhered to principles of academic integrity, transparency, and responsible research conduct. All sources were accurately referenced using </w:t>
      </w:r>
      <w:r w:rsidR="00BF0CAC">
        <w:rPr>
          <w:rFonts w:eastAsia="Times New Roman" w:cs="Times New Roman"/>
          <w:lang w:eastAsia="en-GB"/>
        </w:rPr>
        <w:t xml:space="preserve">the </w:t>
      </w:r>
      <w:r w:rsidRPr="00D92EC1">
        <w:rPr>
          <w:rFonts w:eastAsia="Times New Roman" w:cs="Times New Roman"/>
          <w:lang w:eastAsia="en-GB"/>
        </w:rPr>
        <w:t xml:space="preserve">Harvard referencing style, and efforts were made to minimise bias through the systematic application of inclusion and exclusion criteria. The findings are reported objectively to ensure </w:t>
      </w:r>
      <w:r w:rsidR="00BF0CAC">
        <w:rPr>
          <w:rFonts w:eastAsia="Times New Roman" w:cs="Times New Roman"/>
          <w:lang w:eastAsia="en-GB"/>
        </w:rPr>
        <w:t xml:space="preserve">the </w:t>
      </w:r>
      <w:r w:rsidRPr="00D92EC1">
        <w:rPr>
          <w:rFonts w:eastAsia="Times New Roman" w:cs="Times New Roman"/>
          <w:lang w:eastAsia="en-GB"/>
        </w:rPr>
        <w:t>credibility and trustworthiness of the review.</w:t>
      </w:r>
    </w:p>
    <w:p w14:paraId="2830067F" w14:textId="77777777" w:rsidR="00AE42EE" w:rsidRPr="00D92EC1" w:rsidRDefault="00AE42EE" w:rsidP="00AE42EE">
      <w:pPr>
        <w:spacing w:before="100" w:beforeAutospacing="1" w:after="100" w:afterAutospacing="1" w:line="240" w:lineRule="auto"/>
        <w:outlineLvl w:val="2"/>
        <w:rPr>
          <w:rFonts w:eastAsia="Times New Roman" w:cs="Times New Roman"/>
          <w:b/>
          <w:bCs/>
          <w:sz w:val="27"/>
          <w:szCs w:val="27"/>
          <w:lang w:eastAsia="en-GB"/>
        </w:rPr>
      </w:pPr>
      <w:r w:rsidRPr="00D92EC1">
        <w:rPr>
          <w:rFonts w:eastAsia="Times New Roman" w:cs="Times New Roman"/>
          <w:b/>
          <w:bCs/>
          <w:sz w:val="27"/>
          <w:szCs w:val="27"/>
          <w:lang w:eastAsia="en-GB"/>
        </w:rPr>
        <w:t>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6"/>
        <w:gridCol w:w="1643"/>
        <w:gridCol w:w="1343"/>
        <w:gridCol w:w="1836"/>
        <w:gridCol w:w="2628"/>
      </w:tblGrid>
      <w:tr w:rsidR="00AE42EE" w:rsidRPr="00D92EC1" w14:paraId="4B0ED256" w14:textId="77777777" w:rsidTr="00B00B7C">
        <w:trPr>
          <w:tblHeader/>
          <w:tblCellSpacing w:w="15" w:type="dxa"/>
        </w:trPr>
        <w:tc>
          <w:tcPr>
            <w:tcW w:w="0" w:type="auto"/>
            <w:vAlign w:val="center"/>
            <w:hideMark/>
          </w:tcPr>
          <w:p w14:paraId="5575FC0B" w14:textId="77777777" w:rsidR="00AE42EE" w:rsidRPr="00D92EC1" w:rsidRDefault="00AE42EE" w:rsidP="00B00B7C">
            <w:pPr>
              <w:spacing w:after="0" w:line="240" w:lineRule="auto"/>
              <w:jc w:val="center"/>
              <w:rPr>
                <w:rFonts w:eastAsia="Times New Roman" w:cs="Times New Roman"/>
                <w:b/>
                <w:bCs/>
                <w:lang w:eastAsia="en-GB"/>
              </w:rPr>
            </w:pPr>
            <w:r w:rsidRPr="00D92EC1">
              <w:rPr>
                <w:rFonts w:eastAsia="Times New Roman" w:cs="Times New Roman"/>
                <w:b/>
                <w:bCs/>
                <w:lang w:eastAsia="en-GB"/>
              </w:rPr>
              <w:t>Author/Year</w:t>
            </w:r>
          </w:p>
        </w:tc>
        <w:tc>
          <w:tcPr>
            <w:tcW w:w="0" w:type="auto"/>
            <w:vAlign w:val="center"/>
            <w:hideMark/>
          </w:tcPr>
          <w:p w14:paraId="2A531DE5" w14:textId="77777777" w:rsidR="00AE42EE" w:rsidRPr="00D92EC1" w:rsidRDefault="00AE42EE" w:rsidP="00B00B7C">
            <w:pPr>
              <w:spacing w:after="0" w:line="240" w:lineRule="auto"/>
              <w:jc w:val="center"/>
              <w:rPr>
                <w:rFonts w:eastAsia="Times New Roman" w:cs="Times New Roman"/>
                <w:b/>
                <w:bCs/>
                <w:lang w:eastAsia="en-GB"/>
              </w:rPr>
            </w:pPr>
            <w:r w:rsidRPr="00D92EC1">
              <w:rPr>
                <w:rFonts w:eastAsia="Times New Roman" w:cs="Times New Roman"/>
                <w:b/>
                <w:bCs/>
                <w:lang w:eastAsia="en-GB"/>
              </w:rPr>
              <w:t>Aim</w:t>
            </w:r>
          </w:p>
        </w:tc>
        <w:tc>
          <w:tcPr>
            <w:tcW w:w="0" w:type="auto"/>
            <w:vAlign w:val="center"/>
            <w:hideMark/>
          </w:tcPr>
          <w:p w14:paraId="51AEA33F" w14:textId="77777777" w:rsidR="00AE42EE" w:rsidRPr="00D92EC1" w:rsidRDefault="00AE42EE" w:rsidP="00B00B7C">
            <w:pPr>
              <w:spacing w:after="0" w:line="240" w:lineRule="auto"/>
              <w:jc w:val="center"/>
              <w:rPr>
                <w:rFonts w:eastAsia="Times New Roman" w:cs="Times New Roman"/>
                <w:b/>
                <w:bCs/>
                <w:lang w:eastAsia="en-GB"/>
              </w:rPr>
            </w:pPr>
            <w:r w:rsidRPr="00D92EC1">
              <w:rPr>
                <w:rFonts w:eastAsia="Times New Roman" w:cs="Times New Roman"/>
                <w:b/>
                <w:bCs/>
                <w:lang w:eastAsia="en-GB"/>
              </w:rPr>
              <w:t>Design</w:t>
            </w:r>
          </w:p>
        </w:tc>
        <w:tc>
          <w:tcPr>
            <w:tcW w:w="0" w:type="auto"/>
            <w:vAlign w:val="center"/>
            <w:hideMark/>
          </w:tcPr>
          <w:p w14:paraId="33B9858C" w14:textId="77777777" w:rsidR="00AE42EE" w:rsidRPr="00D92EC1" w:rsidRDefault="00AE42EE" w:rsidP="00B00B7C">
            <w:pPr>
              <w:spacing w:after="0" w:line="240" w:lineRule="auto"/>
              <w:jc w:val="center"/>
              <w:rPr>
                <w:rFonts w:eastAsia="Times New Roman" w:cs="Times New Roman"/>
                <w:b/>
                <w:bCs/>
                <w:lang w:eastAsia="en-GB"/>
              </w:rPr>
            </w:pPr>
            <w:r w:rsidRPr="00D92EC1">
              <w:rPr>
                <w:rFonts w:eastAsia="Times New Roman" w:cs="Times New Roman"/>
                <w:b/>
                <w:bCs/>
                <w:lang w:eastAsia="en-GB"/>
              </w:rPr>
              <w:t>Participants</w:t>
            </w:r>
          </w:p>
        </w:tc>
        <w:tc>
          <w:tcPr>
            <w:tcW w:w="0" w:type="auto"/>
            <w:vAlign w:val="center"/>
            <w:hideMark/>
          </w:tcPr>
          <w:p w14:paraId="6F4527A5" w14:textId="77777777" w:rsidR="00AE42EE" w:rsidRPr="00D92EC1" w:rsidRDefault="00AE42EE" w:rsidP="00B00B7C">
            <w:pPr>
              <w:spacing w:after="0" w:line="240" w:lineRule="auto"/>
              <w:jc w:val="center"/>
              <w:rPr>
                <w:rFonts w:eastAsia="Times New Roman" w:cs="Times New Roman"/>
                <w:b/>
                <w:bCs/>
                <w:lang w:eastAsia="en-GB"/>
              </w:rPr>
            </w:pPr>
            <w:r w:rsidRPr="00D92EC1">
              <w:rPr>
                <w:rFonts w:eastAsia="Times New Roman" w:cs="Times New Roman"/>
                <w:b/>
                <w:bCs/>
                <w:lang w:eastAsia="en-GB"/>
              </w:rPr>
              <w:t>Key Findings</w:t>
            </w:r>
          </w:p>
        </w:tc>
      </w:tr>
      <w:tr w:rsidR="00AE42EE" w:rsidRPr="00D92EC1" w14:paraId="75561216" w14:textId="77777777" w:rsidTr="00B00B7C">
        <w:trPr>
          <w:tblCellSpacing w:w="15" w:type="dxa"/>
        </w:trPr>
        <w:tc>
          <w:tcPr>
            <w:tcW w:w="0" w:type="auto"/>
            <w:vAlign w:val="center"/>
            <w:hideMark/>
          </w:tcPr>
          <w:p w14:paraId="12A80E94"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Glasby et al. (2021)</w:t>
            </w:r>
          </w:p>
        </w:tc>
        <w:tc>
          <w:tcPr>
            <w:tcW w:w="0" w:type="auto"/>
            <w:vAlign w:val="center"/>
            <w:hideMark/>
          </w:tcPr>
          <w:p w14:paraId="5443F55E"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Social care workforce issues</w:t>
            </w:r>
          </w:p>
        </w:tc>
        <w:tc>
          <w:tcPr>
            <w:tcW w:w="0" w:type="auto"/>
            <w:vAlign w:val="center"/>
            <w:hideMark/>
          </w:tcPr>
          <w:p w14:paraId="4E28FA6E"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Review</w:t>
            </w:r>
          </w:p>
        </w:tc>
        <w:tc>
          <w:tcPr>
            <w:tcW w:w="0" w:type="auto"/>
            <w:vAlign w:val="center"/>
            <w:hideMark/>
          </w:tcPr>
          <w:p w14:paraId="151C1B4A"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UK social care sector</w:t>
            </w:r>
          </w:p>
        </w:tc>
        <w:tc>
          <w:tcPr>
            <w:tcW w:w="0" w:type="auto"/>
            <w:vAlign w:val="center"/>
            <w:hideMark/>
          </w:tcPr>
          <w:p w14:paraId="724FAABD"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Staffing shortages contribute to discharge delays</w:t>
            </w:r>
          </w:p>
        </w:tc>
      </w:tr>
      <w:tr w:rsidR="00AE42EE" w:rsidRPr="00D92EC1" w14:paraId="7F249F9E" w14:textId="77777777" w:rsidTr="00B00B7C">
        <w:trPr>
          <w:tblCellSpacing w:w="15" w:type="dxa"/>
        </w:trPr>
        <w:tc>
          <w:tcPr>
            <w:tcW w:w="0" w:type="auto"/>
            <w:vAlign w:val="center"/>
            <w:hideMark/>
          </w:tcPr>
          <w:p w14:paraId="0200D8E5"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Jones et al. (2019)</w:t>
            </w:r>
          </w:p>
        </w:tc>
        <w:tc>
          <w:tcPr>
            <w:tcW w:w="0" w:type="auto"/>
            <w:vAlign w:val="center"/>
            <w:hideMark/>
          </w:tcPr>
          <w:p w14:paraId="758D8941"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Care home placement delays</w:t>
            </w:r>
          </w:p>
        </w:tc>
        <w:tc>
          <w:tcPr>
            <w:tcW w:w="0" w:type="auto"/>
            <w:vAlign w:val="center"/>
            <w:hideMark/>
          </w:tcPr>
          <w:p w14:paraId="51D76811"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Qualitative</w:t>
            </w:r>
          </w:p>
        </w:tc>
        <w:tc>
          <w:tcPr>
            <w:tcW w:w="0" w:type="auto"/>
            <w:vAlign w:val="center"/>
            <w:hideMark/>
          </w:tcPr>
          <w:p w14:paraId="4FC042D8"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Older adults and professionals</w:t>
            </w:r>
          </w:p>
        </w:tc>
        <w:tc>
          <w:tcPr>
            <w:tcW w:w="0" w:type="auto"/>
            <w:vAlign w:val="center"/>
            <w:hideMark/>
          </w:tcPr>
          <w:p w14:paraId="1DD13D2D"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Limited bed availability delays discharge</w:t>
            </w:r>
          </w:p>
        </w:tc>
      </w:tr>
      <w:tr w:rsidR="00AE42EE" w:rsidRPr="00D92EC1" w14:paraId="3A424F7A" w14:textId="77777777" w:rsidTr="00B00B7C">
        <w:trPr>
          <w:tblCellSpacing w:w="15" w:type="dxa"/>
        </w:trPr>
        <w:tc>
          <w:tcPr>
            <w:tcW w:w="0" w:type="auto"/>
            <w:vAlign w:val="center"/>
            <w:hideMark/>
          </w:tcPr>
          <w:p w14:paraId="3B0C5A0C"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Baxter et al. (2020)</w:t>
            </w:r>
          </w:p>
        </w:tc>
        <w:tc>
          <w:tcPr>
            <w:tcW w:w="0" w:type="auto"/>
            <w:vAlign w:val="center"/>
            <w:hideMark/>
          </w:tcPr>
          <w:p w14:paraId="63E75CB1"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Discharge-to-Assess model</w:t>
            </w:r>
          </w:p>
        </w:tc>
        <w:tc>
          <w:tcPr>
            <w:tcW w:w="0" w:type="auto"/>
            <w:vAlign w:val="center"/>
            <w:hideMark/>
          </w:tcPr>
          <w:p w14:paraId="3DDBE671"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Systematic review</w:t>
            </w:r>
          </w:p>
        </w:tc>
        <w:tc>
          <w:tcPr>
            <w:tcW w:w="0" w:type="auto"/>
            <w:vAlign w:val="center"/>
            <w:hideMark/>
          </w:tcPr>
          <w:p w14:paraId="3824455B"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Older patients</w:t>
            </w:r>
          </w:p>
        </w:tc>
        <w:tc>
          <w:tcPr>
            <w:tcW w:w="0" w:type="auto"/>
            <w:vAlign w:val="center"/>
            <w:hideMark/>
          </w:tcPr>
          <w:p w14:paraId="628598C3"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Early assessment improves discharge outcomes</w:t>
            </w:r>
          </w:p>
        </w:tc>
      </w:tr>
      <w:tr w:rsidR="00AE42EE" w:rsidRPr="00D92EC1" w14:paraId="728FBD1F" w14:textId="77777777" w:rsidTr="00B00B7C">
        <w:trPr>
          <w:tblCellSpacing w:w="15" w:type="dxa"/>
        </w:trPr>
        <w:tc>
          <w:tcPr>
            <w:tcW w:w="0" w:type="auto"/>
            <w:vAlign w:val="center"/>
            <w:hideMark/>
          </w:tcPr>
          <w:p w14:paraId="1CEFBE9C"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Elston et al. (2022)</w:t>
            </w:r>
          </w:p>
        </w:tc>
        <w:tc>
          <w:tcPr>
            <w:tcW w:w="0" w:type="auto"/>
            <w:vAlign w:val="center"/>
            <w:hideMark/>
          </w:tcPr>
          <w:p w14:paraId="34701E7F"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Integrated care services</w:t>
            </w:r>
          </w:p>
        </w:tc>
        <w:tc>
          <w:tcPr>
            <w:tcW w:w="0" w:type="auto"/>
            <w:vAlign w:val="center"/>
            <w:hideMark/>
          </w:tcPr>
          <w:p w14:paraId="4C4EADFA"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Mixed methods</w:t>
            </w:r>
          </w:p>
        </w:tc>
        <w:tc>
          <w:tcPr>
            <w:tcW w:w="0" w:type="auto"/>
            <w:vAlign w:val="center"/>
            <w:hideMark/>
          </w:tcPr>
          <w:p w14:paraId="0175205F"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NHS and social care staff</w:t>
            </w:r>
          </w:p>
        </w:tc>
        <w:tc>
          <w:tcPr>
            <w:tcW w:w="0" w:type="auto"/>
            <w:vAlign w:val="center"/>
            <w:hideMark/>
          </w:tcPr>
          <w:p w14:paraId="05679A1B"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Better coordination reduces delays</w:t>
            </w:r>
          </w:p>
        </w:tc>
      </w:tr>
      <w:tr w:rsidR="00AE42EE" w:rsidRPr="00D92EC1" w14:paraId="607F550A" w14:textId="77777777" w:rsidTr="00B00B7C">
        <w:trPr>
          <w:tblCellSpacing w:w="15" w:type="dxa"/>
        </w:trPr>
        <w:tc>
          <w:tcPr>
            <w:tcW w:w="0" w:type="auto"/>
            <w:vAlign w:val="center"/>
            <w:hideMark/>
          </w:tcPr>
          <w:p w14:paraId="0F574642"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Oliver (2022)</w:t>
            </w:r>
          </w:p>
        </w:tc>
        <w:tc>
          <w:tcPr>
            <w:tcW w:w="0" w:type="auto"/>
            <w:vAlign w:val="center"/>
            <w:hideMark/>
          </w:tcPr>
          <w:p w14:paraId="222F0D19"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Causes of delayed transfers</w:t>
            </w:r>
          </w:p>
        </w:tc>
        <w:tc>
          <w:tcPr>
            <w:tcW w:w="0" w:type="auto"/>
            <w:vAlign w:val="center"/>
            <w:hideMark/>
          </w:tcPr>
          <w:p w14:paraId="021637A0"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Review</w:t>
            </w:r>
          </w:p>
        </w:tc>
        <w:tc>
          <w:tcPr>
            <w:tcW w:w="0" w:type="auto"/>
            <w:vAlign w:val="center"/>
            <w:hideMark/>
          </w:tcPr>
          <w:p w14:paraId="2960A9CD"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UK healthcare system</w:t>
            </w:r>
          </w:p>
        </w:tc>
        <w:tc>
          <w:tcPr>
            <w:tcW w:w="0" w:type="auto"/>
            <w:vAlign w:val="center"/>
            <w:hideMark/>
          </w:tcPr>
          <w:p w14:paraId="7C5EEB8C" w14:textId="77777777" w:rsidR="00AE42EE" w:rsidRPr="00D92EC1" w:rsidRDefault="00AE42EE" w:rsidP="00B00B7C">
            <w:pPr>
              <w:spacing w:after="0" w:line="240" w:lineRule="auto"/>
              <w:rPr>
                <w:rFonts w:eastAsia="Times New Roman" w:cs="Times New Roman"/>
                <w:lang w:eastAsia="en-GB"/>
              </w:rPr>
            </w:pPr>
            <w:r w:rsidRPr="00D92EC1">
              <w:rPr>
                <w:rFonts w:eastAsia="Times New Roman" w:cs="Times New Roman"/>
                <w:lang w:eastAsia="en-GB"/>
              </w:rPr>
              <w:t>Multifactorial causes requiring whole-system solutions</w:t>
            </w:r>
          </w:p>
        </w:tc>
      </w:tr>
    </w:tbl>
    <w:p w14:paraId="0FEE5227" w14:textId="77777777" w:rsidR="00AE42EE" w:rsidRPr="00D92EC1" w:rsidRDefault="00AE42EE" w:rsidP="00AE42EE">
      <w:pPr>
        <w:spacing w:before="100" w:beforeAutospacing="1" w:after="100" w:afterAutospacing="1" w:line="240" w:lineRule="auto"/>
        <w:outlineLvl w:val="2"/>
        <w:rPr>
          <w:rFonts w:eastAsia="Times New Roman" w:cs="Times New Roman"/>
          <w:b/>
          <w:bCs/>
          <w:sz w:val="27"/>
          <w:szCs w:val="27"/>
          <w:lang w:eastAsia="en-GB"/>
        </w:rPr>
      </w:pPr>
      <w:r w:rsidRPr="00D92EC1">
        <w:rPr>
          <w:rFonts w:eastAsia="Times New Roman" w:cs="Times New Roman"/>
          <w:b/>
          <w:bCs/>
          <w:sz w:val="27"/>
          <w:szCs w:val="27"/>
          <w:lang w:eastAsia="en-GB"/>
        </w:rPr>
        <w:t>Main Themes</w:t>
      </w:r>
    </w:p>
    <w:p w14:paraId="44D25CC3" w14:textId="77777777" w:rsidR="00AE42EE" w:rsidRPr="00D92EC1" w:rsidRDefault="00AE42EE" w:rsidP="00AE42EE">
      <w:pPr>
        <w:spacing w:before="100" w:beforeAutospacing="1" w:after="100" w:afterAutospacing="1" w:line="240" w:lineRule="auto"/>
        <w:outlineLvl w:val="3"/>
        <w:rPr>
          <w:rFonts w:eastAsia="Times New Roman" w:cs="Times New Roman"/>
          <w:b/>
          <w:bCs/>
          <w:lang w:eastAsia="en-GB"/>
        </w:rPr>
      </w:pPr>
      <w:r w:rsidRPr="00D92EC1">
        <w:rPr>
          <w:rFonts w:eastAsia="Times New Roman" w:cs="Times New Roman"/>
          <w:b/>
          <w:bCs/>
          <w:lang w:eastAsia="en-GB"/>
        </w:rPr>
        <w:t>Theme 1: Residential Care Capacity Shortages</w:t>
      </w:r>
    </w:p>
    <w:p w14:paraId="553D8054"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lastRenderedPageBreak/>
        <w:t>Lack of available residential and nursing home placements emerged as a common cause of delayed discharge.</w:t>
      </w:r>
    </w:p>
    <w:p w14:paraId="3370E80A" w14:textId="77777777" w:rsidR="00AE42EE" w:rsidRPr="00D92EC1" w:rsidRDefault="00AE42EE" w:rsidP="00AE42EE">
      <w:pPr>
        <w:spacing w:before="100" w:beforeAutospacing="1" w:after="100" w:afterAutospacing="1" w:line="240" w:lineRule="auto"/>
        <w:outlineLvl w:val="3"/>
        <w:rPr>
          <w:rFonts w:eastAsia="Times New Roman" w:cs="Times New Roman"/>
          <w:b/>
          <w:bCs/>
          <w:lang w:eastAsia="en-GB"/>
        </w:rPr>
      </w:pPr>
      <w:r w:rsidRPr="00D92EC1">
        <w:rPr>
          <w:rFonts w:eastAsia="Times New Roman" w:cs="Times New Roman"/>
          <w:b/>
          <w:bCs/>
          <w:lang w:eastAsia="en-GB"/>
        </w:rPr>
        <w:t>Theme 2: Workforce Shortages</w:t>
      </w:r>
    </w:p>
    <w:p w14:paraId="0D829317"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Staff recruitment and retention difficulties reduced care home capacity and slowed patient transitions.</w:t>
      </w:r>
    </w:p>
    <w:p w14:paraId="65518975" w14:textId="77777777" w:rsidR="00AE42EE" w:rsidRPr="00D92EC1" w:rsidRDefault="00AE42EE" w:rsidP="00AE42EE">
      <w:pPr>
        <w:spacing w:before="100" w:beforeAutospacing="1" w:after="100" w:afterAutospacing="1" w:line="240" w:lineRule="auto"/>
        <w:outlineLvl w:val="3"/>
        <w:rPr>
          <w:rFonts w:eastAsia="Times New Roman" w:cs="Times New Roman"/>
          <w:b/>
          <w:bCs/>
          <w:lang w:eastAsia="en-GB"/>
        </w:rPr>
      </w:pPr>
      <w:r w:rsidRPr="00D92EC1">
        <w:rPr>
          <w:rFonts w:eastAsia="Times New Roman" w:cs="Times New Roman"/>
          <w:b/>
          <w:bCs/>
          <w:lang w:eastAsia="en-GB"/>
        </w:rPr>
        <w:t>Theme 3: Delays in Assessment and Funding</w:t>
      </w:r>
    </w:p>
    <w:p w14:paraId="04133EE0"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Lengthy social care assessments and funding approval processes delayed placement decisions.</w:t>
      </w:r>
    </w:p>
    <w:p w14:paraId="715FC408" w14:textId="77777777" w:rsidR="00AE42EE" w:rsidRPr="00D92EC1" w:rsidRDefault="00AE42EE" w:rsidP="00AE42EE">
      <w:pPr>
        <w:spacing w:before="100" w:beforeAutospacing="1" w:after="100" w:afterAutospacing="1" w:line="240" w:lineRule="auto"/>
        <w:outlineLvl w:val="3"/>
        <w:rPr>
          <w:rFonts w:eastAsia="Times New Roman" w:cs="Times New Roman"/>
          <w:b/>
          <w:bCs/>
          <w:lang w:eastAsia="en-GB"/>
        </w:rPr>
      </w:pPr>
      <w:r w:rsidRPr="00D92EC1">
        <w:rPr>
          <w:rFonts w:eastAsia="Times New Roman" w:cs="Times New Roman"/>
          <w:b/>
          <w:bCs/>
          <w:lang w:eastAsia="en-GB"/>
        </w:rPr>
        <w:t>Theme 4: Poor Coordination Between Services</w:t>
      </w:r>
    </w:p>
    <w:p w14:paraId="01F04AA4"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Communication barriers between hospitals, local authorities, and care providers prolonged discharge processes.</w:t>
      </w:r>
    </w:p>
    <w:p w14:paraId="7A6C200F" w14:textId="77777777" w:rsidR="00AE42EE" w:rsidRPr="00D92EC1" w:rsidRDefault="00AE42EE" w:rsidP="00AE42EE">
      <w:pPr>
        <w:spacing w:before="100" w:beforeAutospacing="1" w:after="100" w:afterAutospacing="1" w:line="240" w:lineRule="auto"/>
        <w:outlineLvl w:val="3"/>
        <w:rPr>
          <w:rFonts w:eastAsia="Times New Roman" w:cs="Times New Roman"/>
          <w:b/>
          <w:bCs/>
          <w:lang w:eastAsia="en-GB"/>
        </w:rPr>
      </w:pPr>
      <w:r w:rsidRPr="00D92EC1">
        <w:rPr>
          <w:rFonts w:eastAsia="Times New Roman" w:cs="Times New Roman"/>
          <w:b/>
          <w:bCs/>
          <w:lang w:eastAsia="en-GB"/>
        </w:rPr>
        <w:t>Theme 5: Interventions and Innovative Models</w:t>
      </w:r>
    </w:p>
    <w:p w14:paraId="2116DF48" w14:textId="77777777" w:rsidR="00AE42EE" w:rsidRPr="00D92EC1" w:rsidRDefault="00AE42EE" w:rsidP="00AE42EE">
      <w:pPr>
        <w:spacing w:before="100" w:beforeAutospacing="1" w:after="100" w:afterAutospacing="1" w:line="240" w:lineRule="auto"/>
        <w:rPr>
          <w:rFonts w:eastAsia="Times New Roman" w:cs="Times New Roman"/>
          <w:lang w:eastAsia="en-GB"/>
        </w:rPr>
      </w:pPr>
      <w:r w:rsidRPr="00D92EC1">
        <w:rPr>
          <w:rFonts w:eastAsia="Times New Roman" w:cs="Times New Roman"/>
          <w:lang w:eastAsia="en-GB"/>
        </w:rPr>
        <w:t>Discharge-to-Assess and integrated care approaches demonstrated potential to reduce delays.</w:t>
      </w:r>
    </w:p>
    <w:p w14:paraId="2138E72D" w14:textId="727040E8" w:rsidR="00AE42EE" w:rsidRPr="00BF0CAC" w:rsidRDefault="000D3E12" w:rsidP="00AE42EE">
      <w:pPr>
        <w:spacing w:before="100" w:beforeAutospacing="1" w:after="100" w:afterAutospacing="1" w:line="240" w:lineRule="auto"/>
        <w:outlineLvl w:val="0"/>
        <w:rPr>
          <w:rFonts w:eastAsia="Times New Roman" w:cs="Times New Roman"/>
          <w:b/>
          <w:bCs/>
          <w:kern w:val="36"/>
          <w:sz w:val="32"/>
          <w:szCs w:val="32"/>
          <w:lang w:eastAsia="en-GB"/>
        </w:rPr>
      </w:pPr>
      <w:r>
        <w:rPr>
          <w:rFonts w:eastAsia="Times New Roman" w:cs="Times New Roman"/>
          <w:b/>
          <w:bCs/>
          <w:kern w:val="36"/>
          <w:sz w:val="32"/>
          <w:szCs w:val="32"/>
          <w:lang w:eastAsia="en-GB"/>
        </w:rPr>
        <w:t>6</w:t>
      </w:r>
      <w:r w:rsidR="00AE42EE" w:rsidRPr="00BF0CAC">
        <w:rPr>
          <w:rFonts w:eastAsia="Times New Roman" w:cs="Times New Roman"/>
          <w:b/>
          <w:bCs/>
          <w:kern w:val="36"/>
          <w:sz w:val="32"/>
          <w:szCs w:val="32"/>
          <w:lang w:eastAsia="en-GB"/>
        </w:rPr>
        <w:t>. Discussion</w:t>
      </w:r>
    </w:p>
    <w:p w14:paraId="7025B44D"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This scoping review explored residential care-related factors contributing to delayed hospital discharge in the UK and identified several recurring themes across the included studies. The findings indicate that delayed discharge is a multifaceted issue influenced by structural challenges within both the NHS and adult social care sectors. The most frequently reported barriers included shortages of residential and nursing home placements, difficulties with workforce recruitment and retention, delays in care assessments and funding approvals, and poor coordination between healthcare and social care organisations (National Audit Office, 2016; The King's Fund, 2022; Health Foundation, 2021).</w:t>
      </w:r>
    </w:p>
    <w:p w14:paraId="7182E3D5"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These findings are consistent with wider UK evidence highlighting increasing pressures on adult social care services. Over the past decade, rising demand for care services has coincided with financial constraints and workforce shortages, limiting the ability of local authorities and care providers to meet growing needs (The King's Fund, 2022; Skills for Care, 2023). The ageing population has further intensified demand for residential and nursing care, resulting in increased competition for available placements (Office for National Statistics (ONS), 2023). Consequently, many patients who are medically fit for discharge remain in hospital while awaiting appropriate care arrangements (National Audit Office, 2016; NHS England, 2023).</w:t>
      </w:r>
    </w:p>
    <w:p w14:paraId="456B637B"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 xml:space="preserve">The review demonstrates a strong relationship between residential care capacity and NHS performance. When care home placements are unavailable, hospital beds remain occupied unnecessarily, reducing capacity for new admissions and contributing to overcrowding within emergency departments (National Audit Office, 2016; NHS England, 2023). This creates a ripple effect throughout the healthcare system, affecting patient flow, increasing waiting times, and placing additional pressure on healthcare professionals. Several studies suggested that delayed discharge should not be viewed solely as a hospital problem but rather as a </w:t>
      </w:r>
      <w:r w:rsidRPr="008D448C">
        <w:rPr>
          <w:rFonts w:eastAsia="Times New Roman" w:cs="Times New Roman"/>
          <w:lang w:eastAsia="en-GB"/>
        </w:rPr>
        <w:lastRenderedPageBreak/>
        <w:t>whole-system challenge requiring coordinated action across health and social care sectors (The King's Fund, 2022; Health Foundation, 2021).</w:t>
      </w:r>
    </w:p>
    <w:p w14:paraId="43D43E53"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Older adults were identified as the group most significantly affected by delayed discharge. Prolonged hospital stays can lead to physical deconditioning, loss of independence, reduced mobility, and increased vulnerability to infections and falls (British Geriatrics Society, 2021; NICE, 2015). In addition to physical consequences, delayed discharge may negatively affect psychological wellbeing through increased anxiety, loneliness, and uncertainty regarding future care arrangements (Healthwatch England, 2021). These findings reinforce existing evidence suggesting that unnecessary hospitalisation can have long-term implications for quality of life among older people (British Geriatrics Society, 2021; NICE, 2015).</w:t>
      </w:r>
    </w:p>
    <w:p w14:paraId="4067CB6C"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A key finding across the reviewed studies was the importance of integrated care approaches. Initiatives such as the Discharge to Assess (D2A) model and Integrated Care Systems (ICSs) aim to improve communication and collaboration between hospitals, local authorities, community services, and care providers (Department of Health and Social Care (DHSC), 2020; NHS England, 2023). Several studies reported positive outcomes associated with integrated discharge pathways, including reduced delays, improved patient experiences, and more efficient use of healthcare resources (NHS England, 2023; Baxter et al., 2020). However, implementation varied considerably across regions, indicating that successful integration remains dependent on local resources, leadership, and organisational culture (The King's Fund, 2022).</w:t>
      </w:r>
    </w:p>
    <w:p w14:paraId="68F3BCD5"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Workforce planning emerged as another critical issue. Staffing shortages within residential and nursing care settings were consistently identified as a barrier to timely discharge (Skills for Care, 2023; Health Foundation, 2021). Difficulties recruiting and retaining qualified staff have reduced care home capacity and increased pressure on existing employees. Factors contributing to workforce challenges include relatively low pay, demanding working conditions, limited career progression opportunities, and competition from other sectors (Skills for Care, 2023). Addressing workforce shortages is therefore essential to improving discharge outcomes and ensuring sufficient care capacity to meet future demand (The King's Fund, 2022).</w:t>
      </w:r>
    </w:p>
    <w:p w14:paraId="69A025F9"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Despite providing valuable insights, the evidence reviewed has several limitations. Many studies focused on specific geographical areas or healthcare organisations, limiting the generalisability of findings across the UK. Regional differences in funding arrangements, service availability, and demographic characteristics may influence the extent and causes of delayed discharge (National Audit Office, 2016). Furthermore, there was limited evidence evaluating the long-term effectiveness of interventions designed to reduce delays. While several initiatives appeared promising, robust longitudinal research examining patient outcomes and cost-effectiveness remains scarce (Baxter et al., 2020). Variation in study design and outcome measures also made direct comparisons between studies challenging, which is a common limitation identified in scoping review methodology (Arksey and O'Malley, 2005; Peters et al., 2020).</w:t>
      </w:r>
    </w:p>
    <w:p w14:paraId="3FDD9F31"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 xml:space="preserve">Overall, the findings suggest that delayed hospital discharge is not solely the result of individual organisational failures but reflects broader systemic challenges within health and social care provision (The King's Fund, 2022; Health Foundation, 2021). Addressing these challenges will require sustained investment, effective workforce planning, stronger </w:t>
      </w:r>
      <w:r w:rsidRPr="008D448C">
        <w:rPr>
          <w:rFonts w:eastAsia="Times New Roman" w:cs="Times New Roman"/>
          <w:lang w:eastAsia="en-GB"/>
        </w:rPr>
        <w:lastRenderedPageBreak/>
        <w:t>interagency collaboration, and ongoing evaluation of discharge initiatives to ensure that patients receive timely and appropriate care (NHS England, 2023; DHSC, 2020).</w:t>
      </w:r>
    </w:p>
    <w:p w14:paraId="3430FD8F"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An important cross-cutting theme emerging from the reviewed literature is the persistent misalignment between hospital discharge processes and the capacity of community-based services to absorb demand. Several studies emphasised that hospitals often operate under performance pressures to reduce length of stay, yet community services lack the resources to support timely transitions (The King's Fund, 2022; Health Foundation, 2021). This mismatch creates a structural bottleneck whereby medically fit patients remain in acute settings due to external constraints rather than clinical need. The review highlights that delayed discharge is therefore not simply a logistical issue but a symptom of deeper systemic fragmentation (National Audit Office, 2016).</w:t>
      </w:r>
    </w:p>
    <w:p w14:paraId="567C19DC"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Financial pressures within adult social care were also identified as a significant contributor to delays. Local authorities have faced sustained budget reductions over the past decade, resulting in reduced commissioning power and fewer available placements (The King's Fund, 2022; Health Foundation, 2021). Some studies noted that funding disputes or delays in financial assessments can prolong hospital stays, particularly for individuals requiring publicly funded residential care (National Audit Office, 2016). These administrative delays illustrate how financial governance structures can inadvertently impede patient flow, reinforcing the need for streamlined funding pathways and clearer accountability between agencies (DHSC, 2020).</w:t>
      </w:r>
    </w:p>
    <w:p w14:paraId="71F8EEA0"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Another recurring theme relates to the variability in service provision across different regions. The review found considerable geographical disparities in residential care availability, workforce stability, and the maturity of integrated care partnerships (Skills for Care, 2023; The King's Fund, 2022). Areas with stronger collaborative cultures and better-resourced social care sectors reported fewer delays, whereas regions facing chronic workforce shortages or limited care home capacity experienced more severe discharge challenges (Health Foundation, 2021). This variation suggests that national policy interventions must be flexible enough to accommodate local contexts while ensuring consistent minimum standards of care availability (NHS England, 2023).</w:t>
      </w:r>
    </w:p>
    <w:p w14:paraId="75E76AEE"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Technology and digital infrastructure also emerged as underdeveloped areas within the discharge process. Several studies highlighted the lack of shared digital records, inconsistent communication systems, and limited interoperability between NHS and social care platforms (NHS England, 2023; DHSC, 2020). These gaps hinder real-time information sharing, delay decision making, and contribute to duplication of assessments. Strengthening digital integration could therefore play a pivotal role in improving coordination and reducing unnecessary delays (NHS England, 2023).</w:t>
      </w:r>
    </w:p>
    <w:p w14:paraId="49FE2193" w14:textId="77777777" w:rsidR="009069EF" w:rsidRPr="008D448C" w:rsidRDefault="009069EF" w:rsidP="009069EF">
      <w:pPr>
        <w:spacing w:before="100" w:beforeAutospacing="1" w:after="100" w:afterAutospacing="1" w:line="240" w:lineRule="auto"/>
        <w:rPr>
          <w:rFonts w:eastAsia="Times New Roman" w:cs="Times New Roman"/>
          <w:lang w:eastAsia="en-GB"/>
        </w:rPr>
      </w:pPr>
      <w:r w:rsidRPr="008D448C">
        <w:rPr>
          <w:rFonts w:eastAsia="Times New Roman" w:cs="Times New Roman"/>
          <w:lang w:eastAsia="en-GB"/>
        </w:rPr>
        <w:t>Finally, the review underscores the importance of adopting a person-centred approach to discharge planning. While operational efficiency is essential, the human impact of delayed discharge, particularly for older adults, must remain central to policy and practice. Ensuring that discharge pathways prioritise dignity, autonomy, and continuity of care is vital for improving both patient outcomes and system performance (NICE, 2015; Healthwatch England, 2021).</w:t>
      </w:r>
    </w:p>
    <w:p w14:paraId="0CBDCC2F" w14:textId="085C042F" w:rsidR="00AE42EE" w:rsidRPr="00BF0CAC" w:rsidRDefault="000D3E12" w:rsidP="00AE42EE">
      <w:pPr>
        <w:spacing w:before="100" w:beforeAutospacing="1" w:after="100" w:afterAutospacing="1" w:line="240" w:lineRule="auto"/>
        <w:outlineLvl w:val="0"/>
        <w:rPr>
          <w:rFonts w:eastAsia="Times New Roman" w:cs="Times New Roman"/>
          <w:b/>
          <w:bCs/>
          <w:kern w:val="36"/>
          <w:sz w:val="32"/>
          <w:szCs w:val="32"/>
          <w:lang w:eastAsia="en-GB"/>
        </w:rPr>
      </w:pPr>
      <w:r>
        <w:rPr>
          <w:rFonts w:eastAsia="Times New Roman" w:cs="Times New Roman"/>
          <w:b/>
          <w:bCs/>
          <w:kern w:val="36"/>
          <w:sz w:val="32"/>
          <w:szCs w:val="32"/>
          <w:lang w:eastAsia="en-GB"/>
        </w:rPr>
        <w:t>7</w:t>
      </w:r>
      <w:r w:rsidR="00AE42EE" w:rsidRPr="00BF0CAC">
        <w:rPr>
          <w:rFonts w:eastAsia="Times New Roman" w:cs="Times New Roman"/>
          <w:b/>
          <w:bCs/>
          <w:kern w:val="36"/>
          <w:sz w:val="32"/>
          <w:szCs w:val="32"/>
          <w:lang w:eastAsia="en-GB"/>
        </w:rPr>
        <w:t>. Conclusion and Recommendations</w:t>
      </w:r>
    </w:p>
    <w:p w14:paraId="684EEEEE" w14:textId="77777777" w:rsidR="00AE42EE" w:rsidRPr="006314E9" w:rsidRDefault="00AE42EE" w:rsidP="00AE42EE">
      <w:pPr>
        <w:spacing w:before="100" w:beforeAutospacing="1" w:after="100" w:afterAutospacing="1" w:line="240" w:lineRule="auto"/>
        <w:outlineLvl w:val="1"/>
        <w:rPr>
          <w:rFonts w:eastAsia="Times New Roman" w:cs="Times New Roman"/>
          <w:b/>
          <w:bCs/>
          <w:sz w:val="32"/>
          <w:szCs w:val="32"/>
          <w:lang w:eastAsia="en-GB"/>
        </w:rPr>
      </w:pPr>
      <w:r w:rsidRPr="006314E9">
        <w:rPr>
          <w:rFonts w:eastAsia="Times New Roman" w:cs="Times New Roman"/>
          <w:b/>
          <w:bCs/>
          <w:sz w:val="32"/>
          <w:szCs w:val="32"/>
          <w:lang w:eastAsia="en-GB"/>
        </w:rPr>
        <w:lastRenderedPageBreak/>
        <w:t>Conclusion</w:t>
      </w:r>
    </w:p>
    <w:p w14:paraId="2B1268A1" w14:textId="77777777" w:rsidR="00A330EE" w:rsidRPr="00466075" w:rsidRDefault="00A330EE" w:rsidP="00A330EE">
      <w:p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This scoping review examined residential care-related factors contributing to delayed hospital discharge in the UK. The findings indicate that delays are strongly influenced by limitations within the adult social care system, particularly shortages of residential and nursing home placements, workforce constraints, funding pressures, delays in assessment processes, and difficulties coordinating services across organisational boundaries (National Audit Office, 2016; The King's Fund, 2022; Skills for Care, 2023).</w:t>
      </w:r>
    </w:p>
    <w:p w14:paraId="7C44A986" w14:textId="77777777" w:rsidR="00A330EE" w:rsidRPr="00466075" w:rsidRDefault="00A330EE" w:rsidP="00A330EE">
      <w:p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The review highlights the interdependence between health and social care systems. Challenges within residential care directly affect hospital capacity, patient flow, and overall NHS performance (Health Foundation, 2021; NHS England, 2023). Older adults are disproportionately affected by delayed discharge and may experience significant physical, psychological, and social consequences because of prolonged hospital stays (British Geriatrics Society, 2021; NICE, 2015). Although policy initiatives such as Discharge to Assess and Integrated Care Systems have demonstrated potential to improve discharge processes, barriers remain widespread and continue to affect timely patient discharge (Department of Health and Social Care (DHSC), 2020; NHS England, 2023).</w:t>
      </w:r>
    </w:p>
    <w:p w14:paraId="71286CFE" w14:textId="77777777" w:rsidR="00A330EE" w:rsidRPr="00466075" w:rsidRDefault="00A330EE" w:rsidP="00A330EE">
      <w:pPr>
        <w:spacing w:before="100" w:beforeAutospacing="1" w:after="100" w:afterAutospacing="1" w:line="240" w:lineRule="auto"/>
        <w:outlineLvl w:val="2"/>
        <w:rPr>
          <w:rFonts w:eastAsia="Times New Roman" w:cs="Times New Roman"/>
          <w:b/>
          <w:bCs/>
          <w:sz w:val="27"/>
          <w:szCs w:val="27"/>
          <w:lang w:eastAsia="en-GB"/>
        </w:rPr>
      </w:pPr>
      <w:r w:rsidRPr="00466075">
        <w:rPr>
          <w:rFonts w:eastAsia="Times New Roman" w:cs="Times New Roman"/>
          <w:b/>
          <w:bCs/>
          <w:sz w:val="27"/>
          <w:szCs w:val="27"/>
          <w:lang w:eastAsia="en-GB"/>
        </w:rPr>
        <w:t>Recommendations for Practice</w:t>
      </w:r>
    </w:p>
    <w:p w14:paraId="36EA3B18" w14:textId="77777777" w:rsidR="00A330EE" w:rsidRPr="00466075" w:rsidRDefault="00A330EE" w:rsidP="00A330EE">
      <w:pPr>
        <w:numPr>
          <w:ilvl w:val="0"/>
          <w:numId w:val="11"/>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Strengthen communication and coordination between hospitals, social care teams, and residential care providers (NHS England, 2023; Health Foundation, 2021). </w:t>
      </w:r>
    </w:p>
    <w:p w14:paraId="52E9D412" w14:textId="77777777" w:rsidR="00A330EE" w:rsidRPr="00466075" w:rsidRDefault="00A330EE" w:rsidP="00A330EE">
      <w:pPr>
        <w:numPr>
          <w:ilvl w:val="0"/>
          <w:numId w:val="11"/>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Expand the implementation of Discharge to Assess pathways to support earlier discharge and community-based assessment (DHSC, 2020; NHS England, 2023). </w:t>
      </w:r>
    </w:p>
    <w:p w14:paraId="6F7993E6" w14:textId="77777777" w:rsidR="00A330EE" w:rsidRPr="00466075" w:rsidRDefault="00A330EE" w:rsidP="00A330EE">
      <w:pPr>
        <w:numPr>
          <w:ilvl w:val="0"/>
          <w:numId w:val="11"/>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Improve workforce recruitment, retention, and professional development within residential and nursing care services (Skills for Care, 2023; The King's Fund, 2022). </w:t>
      </w:r>
    </w:p>
    <w:p w14:paraId="262BC4D5" w14:textId="77777777" w:rsidR="00A330EE" w:rsidRPr="00466075" w:rsidRDefault="00A330EE" w:rsidP="00A330EE">
      <w:pPr>
        <w:numPr>
          <w:ilvl w:val="0"/>
          <w:numId w:val="11"/>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Increase multidisciplinary involvement in discharge planning to ensure continuity of care (NICE, 2015; NHS England, 2023). </w:t>
      </w:r>
    </w:p>
    <w:p w14:paraId="782AF6F8" w14:textId="77777777" w:rsidR="00A330EE" w:rsidRPr="00466075" w:rsidRDefault="00A330EE" w:rsidP="00A330EE">
      <w:pPr>
        <w:spacing w:before="100" w:beforeAutospacing="1" w:after="100" w:afterAutospacing="1" w:line="240" w:lineRule="auto"/>
        <w:outlineLvl w:val="2"/>
        <w:rPr>
          <w:rFonts w:eastAsia="Times New Roman" w:cs="Times New Roman"/>
          <w:b/>
          <w:bCs/>
          <w:sz w:val="27"/>
          <w:szCs w:val="27"/>
          <w:lang w:eastAsia="en-GB"/>
        </w:rPr>
      </w:pPr>
      <w:r w:rsidRPr="00466075">
        <w:rPr>
          <w:rFonts w:eastAsia="Times New Roman" w:cs="Times New Roman"/>
          <w:b/>
          <w:bCs/>
          <w:sz w:val="27"/>
          <w:szCs w:val="27"/>
          <w:lang w:eastAsia="en-GB"/>
        </w:rPr>
        <w:t>Recommendations for Policy</w:t>
      </w:r>
    </w:p>
    <w:p w14:paraId="23516EE6" w14:textId="77777777" w:rsidR="00A330EE" w:rsidRPr="00466075" w:rsidRDefault="00A330EE" w:rsidP="00A330EE">
      <w:pPr>
        <w:numPr>
          <w:ilvl w:val="0"/>
          <w:numId w:val="12"/>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Increase long-term investment in adult social care services to address capacity shortages (Health Foundation, 2021; The King's Fund, 2022). </w:t>
      </w:r>
    </w:p>
    <w:p w14:paraId="06182920" w14:textId="77777777" w:rsidR="00A330EE" w:rsidRPr="00466075" w:rsidRDefault="00A330EE" w:rsidP="00A330EE">
      <w:pPr>
        <w:numPr>
          <w:ilvl w:val="0"/>
          <w:numId w:val="12"/>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Develop national workforce strategies focused on recruitment, retention, and training within the care sector (Skills for Care, 2023). </w:t>
      </w:r>
    </w:p>
    <w:p w14:paraId="67EE739C" w14:textId="77777777" w:rsidR="00A330EE" w:rsidRPr="00466075" w:rsidRDefault="00A330EE" w:rsidP="00A330EE">
      <w:pPr>
        <w:numPr>
          <w:ilvl w:val="0"/>
          <w:numId w:val="12"/>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Support greater integration between NHS organisations and social care providers through Integrated Care Systems (NHS England, 2023). </w:t>
      </w:r>
    </w:p>
    <w:p w14:paraId="41D61059" w14:textId="77777777" w:rsidR="00A330EE" w:rsidRPr="00466075" w:rsidRDefault="00A330EE" w:rsidP="00A330EE">
      <w:pPr>
        <w:numPr>
          <w:ilvl w:val="0"/>
          <w:numId w:val="12"/>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Improve monitoring and reporting of delayed discharge data to support evidence-based decision-making (National Audit Office, 2016; NHS England, 2023). </w:t>
      </w:r>
    </w:p>
    <w:p w14:paraId="4C3DF6A8" w14:textId="77777777" w:rsidR="00A330EE" w:rsidRPr="00466075" w:rsidRDefault="00A330EE" w:rsidP="00A330EE">
      <w:pPr>
        <w:spacing w:before="100" w:beforeAutospacing="1" w:after="100" w:afterAutospacing="1" w:line="240" w:lineRule="auto"/>
        <w:outlineLvl w:val="2"/>
        <w:rPr>
          <w:rFonts w:eastAsia="Times New Roman" w:cs="Times New Roman"/>
          <w:b/>
          <w:bCs/>
          <w:sz w:val="27"/>
          <w:szCs w:val="27"/>
          <w:lang w:eastAsia="en-GB"/>
        </w:rPr>
      </w:pPr>
      <w:r w:rsidRPr="00466075">
        <w:rPr>
          <w:rFonts w:eastAsia="Times New Roman" w:cs="Times New Roman"/>
          <w:b/>
          <w:bCs/>
          <w:sz w:val="27"/>
          <w:szCs w:val="27"/>
          <w:lang w:eastAsia="en-GB"/>
        </w:rPr>
        <w:t>Recommendations for Future Research</w:t>
      </w:r>
    </w:p>
    <w:p w14:paraId="002C5A16" w14:textId="77777777" w:rsidR="00A330EE" w:rsidRPr="00466075" w:rsidRDefault="00A330EE" w:rsidP="00A330EE">
      <w:pPr>
        <w:numPr>
          <w:ilvl w:val="0"/>
          <w:numId w:val="13"/>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Conduct longitudinal studies evaluating the effectiveness and sustainability of discharge interventions (Baxter et al., 2020). </w:t>
      </w:r>
    </w:p>
    <w:p w14:paraId="4088A34F" w14:textId="77777777" w:rsidR="00A330EE" w:rsidRPr="00466075" w:rsidRDefault="00A330EE" w:rsidP="00A330EE">
      <w:pPr>
        <w:numPr>
          <w:ilvl w:val="0"/>
          <w:numId w:val="13"/>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Explore the experiences of patients, families, and care providers affected by delayed discharge (Healthwatch England, 2021). </w:t>
      </w:r>
    </w:p>
    <w:p w14:paraId="54EDD2B5" w14:textId="77777777" w:rsidR="00A330EE" w:rsidRPr="00466075" w:rsidRDefault="00A330EE" w:rsidP="00A330EE">
      <w:pPr>
        <w:numPr>
          <w:ilvl w:val="0"/>
          <w:numId w:val="13"/>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t xml:space="preserve">Investigate regional differences in residential care availability and discharge outcomes across the UK (The King's Fund, 2022; National Audit Office, 2016). </w:t>
      </w:r>
    </w:p>
    <w:p w14:paraId="42B95D25" w14:textId="77777777" w:rsidR="00A330EE" w:rsidRPr="00466075" w:rsidRDefault="00A330EE" w:rsidP="00A330EE">
      <w:pPr>
        <w:numPr>
          <w:ilvl w:val="0"/>
          <w:numId w:val="13"/>
        </w:numPr>
        <w:spacing w:before="100" w:beforeAutospacing="1" w:after="100" w:afterAutospacing="1" w:line="240" w:lineRule="auto"/>
        <w:rPr>
          <w:rFonts w:eastAsia="Times New Roman" w:cs="Times New Roman"/>
          <w:lang w:eastAsia="en-GB"/>
        </w:rPr>
      </w:pPr>
      <w:r w:rsidRPr="00466075">
        <w:rPr>
          <w:rFonts w:eastAsia="Times New Roman" w:cs="Times New Roman"/>
          <w:lang w:eastAsia="en-GB"/>
        </w:rPr>
        <w:lastRenderedPageBreak/>
        <w:t xml:space="preserve">Examine the economic impact of delayed discharge on both healthcare and social care systems (National Audit Office, 2016; Health Foundation, 2021). </w:t>
      </w:r>
    </w:p>
    <w:p w14:paraId="5F5AD7D6" w14:textId="77777777" w:rsidR="00A330EE" w:rsidRDefault="00A330EE" w:rsidP="00BF0CAC">
      <w:pPr>
        <w:pStyle w:val="Heading1"/>
      </w:pPr>
    </w:p>
    <w:p w14:paraId="2E234E41" w14:textId="77777777" w:rsidR="0098731E" w:rsidRDefault="0098731E" w:rsidP="00BF0CAC">
      <w:pPr>
        <w:pStyle w:val="Heading1"/>
      </w:pPr>
    </w:p>
    <w:p w14:paraId="46DAC608" w14:textId="77777777" w:rsidR="0098731E" w:rsidRDefault="0098731E" w:rsidP="00BF0CAC">
      <w:pPr>
        <w:pStyle w:val="Heading1"/>
      </w:pPr>
    </w:p>
    <w:p w14:paraId="64A06753" w14:textId="77777777" w:rsidR="0098731E" w:rsidRDefault="0098731E" w:rsidP="00BF0CAC">
      <w:pPr>
        <w:pStyle w:val="Heading1"/>
      </w:pPr>
    </w:p>
    <w:p w14:paraId="7E4502A3" w14:textId="77777777" w:rsidR="0098731E" w:rsidRDefault="0098731E" w:rsidP="00BF0CAC">
      <w:pPr>
        <w:pStyle w:val="Heading1"/>
      </w:pPr>
    </w:p>
    <w:p w14:paraId="39864D6A" w14:textId="77777777" w:rsidR="00220EDB" w:rsidRDefault="00220EDB" w:rsidP="00BF0CAC">
      <w:pPr>
        <w:pStyle w:val="Heading1"/>
      </w:pPr>
    </w:p>
    <w:p w14:paraId="7EC4F88C" w14:textId="77777777" w:rsidR="00220EDB" w:rsidRDefault="00220EDB" w:rsidP="00BF0CAC">
      <w:pPr>
        <w:pStyle w:val="Heading1"/>
      </w:pPr>
    </w:p>
    <w:p w14:paraId="7C7B0596" w14:textId="77777777" w:rsidR="00EC0087" w:rsidRDefault="00EC0087" w:rsidP="00BF0CAC">
      <w:pPr>
        <w:pStyle w:val="Heading1"/>
      </w:pPr>
    </w:p>
    <w:p w14:paraId="13927FA5" w14:textId="2D6B8FEA" w:rsidR="00EC0087" w:rsidRPr="0008698B" w:rsidRDefault="00EC0087" w:rsidP="00EC0087">
      <w:pPr>
        <w:spacing w:before="100" w:beforeAutospacing="1" w:after="100" w:afterAutospacing="1" w:line="240" w:lineRule="auto"/>
        <w:rPr>
          <w:rFonts w:eastAsia="Times New Roman" w:cs="Times New Roman"/>
          <w:b/>
          <w:bCs/>
          <w:sz w:val="36"/>
          <w:szCs w:val="36"/>
          <w:lang w:eastAsia="en-GB"/>
        </w:rPr>
      </w:pPr>
    </w:p>
    <w:p w14:paraId="4FD9A5F1" w14:textId="77777777" w:rsidR="00EC0087" w:rsidRDefault="00EC0087" w:rsidP="00EC0087">
      <w:pPr>
        <w:spacing w:before="100" w:beforeAutospacing="1" w:after="100" w:afterAutospacing="1" w:line="240" w:lineRule="auto"/>
        <w:rPr>
          <w:rFonts w:eastAsia="Times New Roman" w:cs="Times New Roman"/>
          <w:szCs w:val="24"/>
          <w:lang w:eastAsia="en-GB"/>
        </w:rPr>
      </w:pPr>
    </w:p>
    <w:p w14:paraId="5F29244F" w14:textId="77777777" w:rsidR="00356DB2" w:rsidRDefault="00356DB2" w:rsidP="00EC0087">
      <w:pPr>
        <w:spacing w:before="100" w:beforeAutospacing="1" w:after="100" w:afterAutospacing="1" w:line="240" w:lineRule="auto"/>
        <w:rPr>
          <w:rFonts w:eastAsia="Times New Roman" w:cs="Times New Roman"/>
          <w:szCs w:val="24"/>
          <w:lang w:eastAsia="en-GB"/>
        </w:rPr>
      </w:pPr>
    </w:p>
    <w:p w14:paraId="2A04BECF" w14:textId="77777777" w:rsidR="00E9435D" w:rsidRDefault="00E9435D" w:rsidP="00EC0087">
      <w:pPr>
        <w:spacing w:before="100" w:beforeAutospacing="1" w:after="100" w:afterAutospacing="1" w:line="240" w:lineRule="auto"/>
        <w:rPr>
          <w:rFonts w:eastAsia="Times New Roman" w:cs="Times New Roman"/>
          <w:b/>
          <w:bCs/>
          <w:sz w:val="36"/>
          <w:szCs w:val="36"/>
          <w:lang w:eastAsia="en-GB"/>
        </w:rPr>
      </w:pPr>
    </w:p>
    <w:p w14:paraId="39462E47" w14:textId="77777777" w:rsidR="00E9435D" w:rsidRDefault="00E9435D" w:rsidP="00EC0087">
      <w:pPr>
        <w:spacing w:before="100" w:beforeAutospacing="1" w:after="100" w:afterAutospacing="1" w:line="240" w:lineRule="auto"/>
        <w:rPr>
          <w:rFonts w:eastAsia="Times New Roman" w:cs="Times New Roman"/>
          <w:b/>
          <w:bCs/>
          <w:sz w:val="36"/>
          <w:szCs w:val="36"/>
          <w:lang w:eastAsia="en-GB"/>
        </w:rPr>
      </w:pPr>
    </w:p>
    <w:p w14:paraId="067CFFDC" w14:textId="77777777" w:rsidR="00E9435D" w:rsidRDefault="00E9435D" w:rsidP="00EC0087">
      <w:pPr>
        <w:spacing w:before="100" w:beforeAutospacing="1" w:after="100" w:afterAutospacing="1" w:line="240" w:lineRule="auto"/>
        <w:rPr>
          <w:rFonts w:eastAsia="Times New Roman" w:cs="Times New Roman"/>
          <w:b/>
          <w:bCs/>
          <w:sz w:val="36"/>
          <w:szCs w:val="36"/>
          <w:lang w:eastAsia="en-GB"/>
        </w:rPr>
      </w:pPr>
    </w:p>
    <w:p w14:paraId="62967B12" w14:textId="77777777" w:rsidR="00E9435D" w:rsidRDefault="00E9435D" w:rsidP="00EC0087">
      <w:pPr>
        <w:spacing w:before="100" w:beforeAutospacing="1" w:after="100" w:afterAutospacing="1" w:line="240" w:lineRule="auto"/>
        <w:rPr>
          <w:rFonts w:eastAsia="Times New Roman" w:cs="Times New Roman"/>
          <w:b/>
          <w:bCs/>
          <w:sz w:val="36"/>
          <w:szCs w:val="36"/>
          <w:lang w:eastAsia="en-GB"/>
        </w:rPr>
      </w:pPr>
    </w:p>
    <w:p w14:paraId="07D76360" w14:textId="77777777" w:rsidR="00E9435D" w:rsidRDefault="00E9435D" w:rsidP="00EC0087">
      <w:pPr>
        <w:spacing w:before="100" w:beforeAutospacing="1" w:after="100" w:afterAutospacing="1" w:line="240" w:lineRule="auto"/>
        <w:rPr>
          <w:rFonts w:eastAsia="Times New Roman" w:cs="Times New Roman"/>
          <w:b/>
          <w:bCs/>
          <w:sz w:val="36"/>
          <w:szCs w:val="36"/>
          <w:lang w:eastAsia="en-GB"/>
        </w:rPr>
      </w:pPr>
    </w:p>
    <w:p w14:paraId="024688EC" w14:textId="77777777" w:rsidR="00E9435D" w:rsidRDefault="00E9435D" w:rsidP="00EC0087">
      <w:pPr>
        <w:spacing w:before="100" w:beforeAutospacing="1" w:after="100" w:afterAutospacing="1" w:line="240" w:lineRule="auto"/>
        <w:rPr>
          <w:rFonts w:eastAsia="Times New Roman" w:cs="Times New Roman"/>
          <w:b/>
          <w:bCs/>
          <w:sz w:val="36"/>
          <w:szCs w:val="36"/>
          <w:lang w:eastAsia="en-GB"/>
        </w:rPr>
      </w:pPr>
    </w:p>
    <w:p w14:paraId="7377CBAA" w14:textId="77777777" w:rsidR="00E9435D" w:rsidRDefault="00E9435D" w:rsidP="00EC0087">
      <w:pPr>
        <w:spacing w:before="100" w:beforeAutospacing="1" w:after="100" w:afterAutospacing="1" w:line="240" w:lineRule="auto"/>
        <w:rPr>
          <w:rFonts w:eastAsia="Times New Roman" w:cs="Times New Roman"/>
          <w:b/>
          <w:bCs/>
          <w:sz w:val="36"/>
          <w:szCs w:val="36"/>
          <w:lang w:eastAsia="en-GB"/>
        </w:rPr>
      </w:pPr>
    </w:p>
    <w:p w14:paraId="3DBE5F27" w14:textId="77777777" w:rsidR="00E9435D" w:rsidRDefault="00E9435D" w:rsidP="00EC0087">
      <w:pPr>
        <w:spacing w:before="100" w:beforeAutospacing="1" w:after="100" w:afterAutospacing="1" w:line="240" w:lineRule="auto"/>
        <w:rPr>
          <w:rFonts w:eastAsia="Times New Roman" w:cs="Times New Roman"/>
          <w:b/>
          <w:bCs/>
          <w:sz w:val="36"/>
          <w:szCs w:val="36"/>
          <w:lang w:eastAsia="en-GB"/>
        </w:rPr>
      </w:pPr>
    </w:p>
    <w:p w14:paraId="102ED2E7" w14:textId="55CD3D88" w:rsidR="00356DB2" w:rsidRPr="00356DB2" w:rsidRDefault="000D3E12" w:rsidP="00EC0087">
      <w:pPr>
        <w:spacing w:before="100" w:beforeAutospacing="1" w:after="100" w:afterAutospacing="1" w:line="240" w:lineRule="auto"/>
        <w:rPr>
          <w:rFonts w:eastAsia="Times New Roman" w:cs="Times New Roman"/>
          <w:b/>
          <w:bCs/>
          <w:sz w:val="36"/>
          <w:szCs w:val="36"/>
          <w:lang w:eastAsia="en-GB"/>
        </w:rPr>
      </w:pPr>
      <w:r>
        <w:rPr>
          <w:rFonts w:eastAsia="Times New Roman" w:cs="Times New Roman"/>
          <w:b/>
          <w:bCs/>
          <w:sz w:val="36"/>
          <w:szCs w:val="36"/>
          <w:lang w:eastAsia="en-GB"/>
        </w:rPr>
        <w:t>8</w:t>
      </w:r>
      <w:r w:rsidR="00356DB2" w:rsidRPr="00356DB2">
        <w:rPr>
          <w:rFonts w:eastAsia="Times New Roman" w:cs="Times New Roman"/>
          <w:b/>
          <w:bCs/>
          <w:sz w:val="36"/>
          <w:szCs w:val="36"/>
          <w:lang w:eastAsia="en-GB"/>
        </w:rPr>
        <w:t>-Reference List</w:t>
      </w:r>
    </w:p>
    <w:p w14:paraId="482CD97B" w14:textId="6AB02D04"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Arksey, H. and O'Malley, L. (2005) 'Scoping studies: Towards a methodological framework', </w:t>
      </w:r>
      <w:r w:rsidRPr="00EC0087">
        <w:rPr>
          <w:rFonts w:eastAsia="Times New Roman" w:cs="Times New Roman"/>
          <w:i/>
          <w:iCs/>
          <w:szCs w:val="24"/>
          <w:lang w:eastAsia="en-GB"/>
        </w:rPr>
        <w:t>International Journal of Social Research Methodology</w:t>
      </w:r>
      <w:r w:rsidRPr="00EC0087">
        <w:rPr>
          <w:rFonts w:eastAsia="Times New Roman" w:cs="Times New Roman"/>
          <w:szCs w:val="24"/>
          <w:lang w:eastAsia="en-GB"/>
        </w:rPr>
        <w:t xml:space="preserve">, 8(1), pp. 19–32. </w:t>
      </w:r>
      <w:hyperlink r:id="rId9" w:tgtFrame="_new" w:history="1">
        <w:r w:rsidRPr="00EC0087">
          <w:rPr>
            <w:rFonts w:eastAsia="Times New Roman" w:cs="Times New Roman"/>
            <w:color w:val="0000FF"/>
            <w:szCs w:val="24"/>
            <w:u w:val="single"/>
            <w:lang w:eastAsia="en-GB"/>
          </w:rPr>
          <w:t>https://doi.org/10.1080/1364557032000119616</w:t>
        </w:r>
      </w:hyperlink>
    </w:p>
    <w:p w14:paraId="5C400852" w14:textId="0BC0C260"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Baxter, S., Johnson, M., Chambers, D., Sutton, A., Goyder, E., Booth, A. and Cohen, A. (2020) 'The effects of integrated care: A systematic review of UK and international evidence', </w:t>
      </w:r>
      <w:r w:rsidRPr="00EC0087">
        <w:rPr>
          <w:rFonts w:eastAsia="Times New Roman" w:cs="Times New Roman"/>
          <w:i/>
          <w:iCs/>
          <w:szCs w:val="24"/>
          <w:lang w:eastAsia="en-GB"/>
        </w:rPr>
        <w:t>BMC Health Services Research</w:t>
      </w:r>
      <w:r w:rsidRPr="00EC0087">
        <w:rPr>
          <w:rFonts w:eastAsia="Times New Roman" w:cs="Times New Roman"/>
          <w:szCs w:val="24"/>
          <w:lang w:eastAsia="en-GB"/>
        </w:rPr>
        <w:t>, 20, Article 350. https://doi.org/10.1186/s12913-020-05206-1</w:t>
      </w:r>
    </w:p>
    <w:p w14:paraId="1F8C0A48"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British Geriatrics Society (2021) </w:t>
      </w:r>
      <w:r w:rsidRPr="00EC0087">
        <w:rPr>
          <w:rFonts w:eastAsia="Times New Roman" w:cs="Times New Roman"/>
          <w:i/>
          <w:iCs/>
          <w:szCs w:val="24"/>
          <w:lang w:eastAsia="en-GB"/>
        </w:rPr>
        <w:t>Joining the Dots: A Blueprint for Preventing and Managing Frailty in Older People</w:t>
      </w:r>
      <w:r w:rsidRPr="00EC0087">
        <w:rPr>
          <w:rFonts w:eastAsia="Times New Roman" w:cs="Times New Roman"/>
          <w:szCs w:val="24"/>
          <w:lang w:eastAsia="en-GB"/>
        </w:rPr>
        <w:t>. London: British Geriatrics Society.</w:t>
      </w:r>
    </w:p>
    <w:p w14:paraId="5A73337D"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Care Quality Commission (2023) </w:t>
      </w:r>
      <w:r w:rsidRPr="00EC0087">
        <w:rPr>
          <w:rFonts w:eastAsia="Times New Roman" w:cs="Times New Roman"/>
          <w:i/>
          <w:iCs/>
          <w:szCs w:val="24"/>
          <w:lang w:eastAsia="en-GB"/>
        </w:rPr>
        <w:t>The State of Health Care and Adult Social Care in England 2022/23</w:t>
      </w:r>
      <w:r w:rsidRPr="00EC0087">
        <w:rPr>
          <w:rFonts w:eastAsia="Times New Roman" w:cs="Times New Roman"/>
          <w:szCs w:val="24"/>
          <w:lang w:eastAsia="en-GB"/>
        </w:rPr>
        <w:t xml:space="preserve">. Newcastle upon Tyne: Care Quality Commission. Available at: </w:t>
      </w:r>
      <w:hyperlink r:id="rId10" w:tgtFrame="_new" w:history="1">
        <w:r w:rsidRPr="00EC0087">
          <w:rPr>
            <w:rFonts w:eastAsia="Times New Roman" w:cs="Times New Roman"/>
            <w:color w:val="0000FF"/>
            <w:szCs w:val="24"/>
            <w:u w:val="single"/>
            <w:lang w:eastAsia="en-GB"/>
          </w:rPr>
          <w:t>https://www.cqc.org.uk</w:t>
        </w:r>
      </w:hyperlink>
      <w:r w:rsidRPr="00EC0087">
        <w:rPr>
          <w:rFonts w:eastAsia="Times New Roman" w:cs="Times New Roman"/>
          <w:szCs w:val="24"/>
          <w:lang w:eastAsia="en-GB"/>
        </w:rPr>
        <w:t xml:space="preserve"> (Accessed: 29 July 2026).</w:t>
      </w:r>
    </w:p>
    <w:p w14:paraId="108B1941"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Department of Health and Social Care (2020) </w:t>
      </w:r>
      <w:r w:rsidRPr="00EC0087">
        <w:rPr>
          <w:rFonts w:eastAsia="Times New Roman" w:cs="Times New Roman"/>
          <w:i/>
          <w:iCs/>
          <w:szCs w:val="24"/>
          <w:lang w:eastAsia="en-GB"/>
        </w:rPr>
        <w:t>Hospital Discharge Service: Policy and Operating Model</w:t>
      </w:r>
      <w:r w:rsidRPr="00EC0087">
        <w:rPr>
          <w:rFonts w:eastAsia="Times New Roman" w:cs="Times New Roman"/>
          <w:szCs w:val="24"/>
          <w:lang w:eastAsia="en-GB"/>
        </w:rPr>
        <w:t xml:space="preserve">. London: Department of Health and Social Care. Available at: </w:t>
      </w:r>
      <w:hyperlink r:id="rId11" w:tgtFrame="_new" w:history="1">
        <w:r w:rsidRPr="00EC0087">
          <w:rPr>
            <w:rFonts w:eastAsia="Times New Roman" w:cs="Times New Roman"/>
            <w:color w:val="0000FF"/>
            <w:szCs w:val="24"/>
            <w:u w:val="single"/>
            <w:lang w:eastAsia="en-GB"/>
          </w:rPr>
          <w:t>https://www.gov.uk/government/publications/hospital-discharge-service-policy-and-operating-model</w:t>
        </w:r>
      </w:hyperlink>
      <w:r w:rsidRPr="00EC0087">
        <w:rPr>
          <w:rFonts w:eastAsia="Times New Roman" w:cs="Times New Roman"/>
          <w:szCs w:val="24"/>
          <w:lang w:eastAsia="en-GB"/>
        </w:rPr>
        <w:t xml:space="preserve"> (Accessed: 29 July 2026).</w:t>
      </w:r>
    </w:p>
    <w:p w14:paraId="43549A18"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Health Foundation (2021) </w:t>
      </w:r>
      <w:r w:rsidRPr="00EC0087">
        <w:rPr>
          <w:rFonts w:eastAsia="Times New Roman" w:cs="Times New Roman"/>
          <w:i/>
          <w:iCs/>
          <w:szCs w:val="24"/>
          <w:lang w:eastAsia="en-GB"/>
        </w:rPr>
        <w:t>Adult Social Care and the NHS: Two Sides of the Same Coin</w:t>
      </w:r>
      <w:r w:rsidRPr="00EC0087">
        <w:rPr>
          <w:rFonts w:eastAsia="Times New Roman" w:cs="Times New Roman"/>
          <w:szCs w:val="24"/>
          <w:lang w:eastAsia="en-GB"/>
        </w:rPr>
        <w:t xml:space="preserve">. London: The Health Foundation. Available at: </w:t>
      </w:r>
      <w:hyperlink r:id="rId12" w:tgtFrame="_new" w:history="1">
        <w:r w:rsidRPr="00EC0087">
          <w:rPr>
            <w:rFonts w:eastAsia="Times New Roman" w:cs="Times New Roman"/>
            <w:color w:val="0000FF"/>
            <w:szCs w:val="24"/>
            <w:u w:val="single"/>
            <w:lang w:eastAsia="en-GB"/>
          </w:rPr>
          <w:t>https://www.health.org.uk</w:t>
        </w:r>
      </w:hyperlink>
      <w:r w:rsidRPr="00EC0087">
        <w:rPr>
          <w:rFonts w:eastAsia="Times New Roman" w:cs="Times New Roman"/>
          <w:szCs w:val="24"/>
          <w:lang w:eastAsia="en-GB"/>
        </w:rPr>
        <w:t xml:space="preserve"> (Accessed: 29 July 2026).</w:t>
      </w:r>
    </w:p>
    <w:p w14:paraId="1FA86F80"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Healthwatch England (2021) </w:t>
      </w:r>
      <w:r w:rsidRPr="00EC0087">
        <w:rPr>
          <w:rFonts w:eastAsia="Times New Roman" w:cs="Times New Roman"/>
          <w:i/>
          <w:iCs/>
          <w:szCs w:val="24"/>
          <w:lang w:eastAsia="en-GB"/>
        </w:rPr>
        <w:t>Safely Home: What Happens When People Leave Hospital and Care Settings?</w:t>
      </w:r>
      <w:r w:rsidRPr="00EC0087">
        <w:rPr>
          <w:rFonts w:eastAsia="Times New Roman" w:cs="Times New Roman"/>
          <w:szCs w:val="24"/>
          <w:lang w:eastAsia="en-GB"/>
        </w:rPr>
        <w:t xml:space="preserve"> London: Healthwatch England. Available at: </w:t>
      </w:r>
      <w:hyperlink r:id="rId13" w:tgtFrame="_new" w:history="1">
        <w:r w:rsidRPr="00EC0087">
          <w:rPr>
            <w:rFonts w:eastAsia="Times New Roman" w:cs="Times New Roman"/>
            <w:color w:val="0000FF"/>
            <w:szCs w:val="24"/>
            <w:u w:val="single"/>
            <w:lang w:eastAsia="en-GB"/>
          </w:rPr>
          <w:t>https://www.healthwatch.co.uk</w:t>
        </w:r>
      </w:hyperlink>
      <w:r w:rsidRPr="00EC0087">
        <w:rPr>
          <w:rFonts w:eastAsia="Times New Roman" w:cs="Times New Roman"/>
          <w:szCs w:val="24"/>
          <w:lang w:eastAsia="en-GB"/>
        </w:rPr>
        <w:t xml:space="preserve"> (Accessed: 29 July 2026).</w:t>
      </w:r>
    </w:p>
    <w:p w14:paraId="1BCA40BE"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National Audit Office (2016) </w:t>
      </w:r>
      <w:r w:rsidRPr="00EC0087">
        <w:rPr>
          <w:rFonts w:eastAsia="Times New Roman" w:cs="Times New Roman"/>
          <w:i/>
          <w:iCs/>
          <w:szCs w:val="24"/>
          <w:lang w:eastAsia="en-GB"/>
        </w:rPr>
        <w:t>Discharging Older Patients from Hospital</w:t>
      </w:r>
      <w:r w:rsidRPr="00EC0087">
        <w:rPr>
          <w:rFonts w:eastAsia="Times New Roman" w:cs="Times New Roman"/>
          <w:szCs w:val="24"/>
          <w:lang w:eastAsia="en-GB"/>
        </w:rPr>
        <w:t xml:space="preserve">. London: National Audit Office. Available at: </w:t>
      </w:r>
      <w:hyperlink r:id="rId14" w:tgtFrame="_new" w:history="1">
        <w:r w:rsidRPr="00EC0087">
          <w:rPr>
            <w:rFonts w:eastAsia="Times New Roman" w:cs="Times New Roman"/>
            <w:color w:val="0000FF"/>
            <w:szCs w:val="24"/>
            <w:u w:val="single"/>
            <w:lang w:eastAsia="en-GB"/>
          </w:rPr>
          <w:t>https://www.nao.org.uk/reports/discharging-older-patients-from-hospital/</w:t>
        </w:r>
      </w:hyperlink>
      <w:r w:rsidRPr="00EC0087">
        <w:rPr>
          <w:rFonts w:eastAsia="Times New Roman" w:cs="Times New Roman"/>
          <w:szCs w:val="24"/>
          <w:lang w:eastAsia="en-GB"/>
        </w:rPr>
        <w:t xml:space="preserve"> (Accessed: 29 July 2026).</w:t>
      </w:r>
    </w:p>
    <w:p w14:paraId="39227830"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NHS England (2023) </w:t>
      </w:r>
      <w:r w:rsidRPr="00EC0087">
        <w:rPr>
          <w:rFonts w:eastAsia="Times New Roman" w:cs="Times New Roman"/>
          <w:i/>
          <w:iCs/>
          <w:szCs w:val="24"/>
          <w:lang w:eastAsia="en-GB"/>
        </w:rPr>
        <w:t>Hospital Discharge and Community Support Guidance</w:t>
      </w:r>
      <w:r w:rsidRPr="00EC0087">
        <w:rPr>
          <w:rFonts w:eastAsia="Times New Roman" w:cs="Times New Roman"/>
          <w:szCs w:val="24"/>
          <w:lang w:eastAsia="en-GB"/>
        </w:rPr>
        <w:t>. London: NHS England. Available at: https://www.england.nhs.uk/publication/hospital-discharge-and-community-support-guidance/ (Accessed: 29 July 2026).</w:t>
      </w:r>
    </w:p>
    <w:p w14:paraId="7A69A7FE"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National Institute for Health and Care Excellence (NICE) (2015) </w:t>
      </w:r>
      <w:r w:rsidRPr="00EC0087">
        <w:rPr>
          <w:rFonts w:eastAsia="Times New Roman" w:cs="Times New Roman"/>
          <w:i/>
          <w:iCs/>
          <w:szCs w:val="24"/>
          <w:lang w:eastAsia="en-GB"/>
        </w:rPr>
        <w:t>Transition Between Inpatient Hospital Settings and Community or Care Home Settings for Adults with Social Care Needs (NG27).</w:t>
      </w:r>
      <w:r w:rsidRPr="00EC0087">
        <w:rPr>
          <w:rFonts w:eastAsia="Times New Roman" w:cs="Times New Roman"/>
          <w:szCs w:val="24"/>
          <w:lang w:eastAsia="en-GB"/>
        </w:rPr>
        <w:t xml:space="preserve"> London: NICE. Available at: </w:t>
      </w:r>
      <w:hyperlink r:id="rId15" w:tgtFrame="_new" w:history="1">
        <w:r w:rsidRPr="00EC0087">
          <w:rPr>
            <w:rFonts w:eastAsia="Times New Roman" w:cs="Times New Roman"/>
            <w:color w:val="0000FF"/>
            <w:szCs w:val="24"/>
            <w:u w:val="single"/>
            <w:lang w:eastAsia="en-GB"/>
          </w:rPr>
          <w:t>https://www.nice.org.uk/guidance/ng27</w:t>
        </w:r>
      </w:hyperlink>
      <w:r w:rsidRPr="00EC0087">
        <w:rPr>
          <w:rFonts w:eastAsia="Times New Roman" w:cs="Times New Roman"/>
          <w:szCs w:val="24"/>
          <w:lang w:eastAsia="en-GB"/>
        </w:rPr>
        <w:t xml:space="preserve"> (Accessed: 29 July 2026).</w:t>
      </w:r>
    </w:p>
    <w:p w14:paraId="425EC451"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Office for National Statistics (2023) </w:t>
      </w:r>
      <w:r w:rsidRPr="00EC0087">
        <w:rPr>
          <w:rFonts w:eastAsia="Times New Roman" w:cs="Times New Roman"/>
          <w:i/>
          <w:iCs/>
          <w:szCs w:val="24"/>
          <w:lang w:eastAsia="en-GB"/>
        </w:rPr>
        <w:t>Living Longer: Implications of an Ageing Population</w:t>
      </w:r>
      <w:r w:rsidRPr="00EC0087">
        <w:rPr>
          <w:rFonts w:eastAsia="Times New Roman" w:cs="Times New Roman"/>
          <w:szCs w:val="24"/>
          <w:lang w:eastAsia="en-GB"/>
        </w:rPr>
        <w:t xml:space="preserve">. Newport: Office for National Statistics. Available at: </w:t>
      </w:r>
      <w:hyperlink r:id="rId16" w:tgtFrame="_new" w:history="1">
        <w:r w:rsidRPr="00EC0087">
          <w:rPr>
            <w:rFonts w:eastAsia="Times New Roman" w:cs="Times New Roman"/>
            <w:color w:val="0000FF"/>
            <w:szCs w:val="24"/>
            <w:u w:val="single"/>
            <w:lang w:eastAsia="en-GB"/>
          </w:rPr>
          <w:t>https://www.ons.gov.uk</w:t>
        </w:r>
      </w:hyperlink>
      <w:r w:rsidRPr="00EC0087">
        <w:rPr>
          <w:rFonts w:eastAsia="Times New Roman" w:cs="Times New Roman"/>
          <w:szCs w:val="24"/>
          <w:lang w:eastAsia="en-GB"/>
        </w:rPr>
        <w:t xml:space="preserve"> (Accessed: 29 July 2026).</w:t>
      </w:r>
    </w:p>
    <w:p w14:paraId="489E39CE"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lastRenderedPageBreak/>
        <w:t xml:space="preserve">Peters, M.D.J., Godfrey, C., McInerney, P., Munn, Z., </w:t>
      </w:r>
      <w:proofErr w:type="spellStart"/>
      <w:r w:rsidRPr="00EC0087">
        <w:rPr>
          <w:rFonts w:eastAsia="Times New Roman" w:cs="Times New Roman"/>
          <w:szCs w:val="24"/>
          <w:lang w:eastAsia="en-GB"/>
        </w:rPr>
        <w:t>Tricco</w:t>
      </w:r>
      <w:proofErr w:type="spellEnd"/>
      <w:r w:rsidRPr="00EC0087">
        <w:rPr>
          <w:rFonts w:eastAsia="Times New Roman" w:cs="Times New Roman"/>
          <w:szCs w:val="24"/>
          <w:lang w:eastAsia="en-GB"/>
        </w:rPr>
        <w:t xml:space="preserve">, A.C. and Khalil, H. (2020) 'Chapter 11: Scoping Reviews', in </w:t>
      </w:r>
      <w:proofErr w:type="spellStart"/>
      <w:r w:rsidRPr="00EC0087">
        <w:rPr>
          <w:rFonts w:eastAsia="Times New Roman" w:cs="Times New Roman"/>
          <w:szCs w:val="24"/>
          <w:lang w:eastAsia="en-GB"/>
        </w:rPr>
        <w:t>Aromataris</w:t>
      </w:r>
      <w:proofErr w:type="spellEnd"/>
      <w:r w:rsidRPr="00EC0087">
        <w:rPr>
          <w:rFonts w:eastAsia="Times New Roman" w:cs="Times New Roman"/>
          <w:szCs w:val="24"/>
          <w:lang w:eastAsia="en-GB"/>
        </w:rPr>
        <w:t xml:space="preserve">, E. and Munn, Z. (eds.) </w:t>
      </w:r>
      <w:r w:rsidRPr="00EC0087">
        <w:rPr>
          <w:rFonts w:eastAsia="Times New Roman" w:cs="Times New Roman"/>
          <w:i/>
          <w:iCs/>
          <w:szCs w:val="24"/>
          <w:lang w:eastAsia="en-GB"/>
        </w:rPr>
        <w:t>JBI Manual for Evidence Synthesis</w:t>
      </w:r>
      <w:r w:rsidRPr="00EC0087">
        <w:rPr>
          <w:rFonts w:eastAsia="Times New Roman" w:cs="Times New Roman"/>
          <w:szCs w:val="24"/>
          <w:lang w:eastAsia="en-GB"/>
        </w:rPr>
        <w:t xml:space="preserve">. Adelaide: JBI. Available at: </w:t>
      </w:r>
      <w:hyperlink r:id="rId17" w:tgtFrame="_new" w:history="1">
        <w:r w:rsidRPr="00EC0087">
          <w:rPr>
            <w:rFonts w:eastAsia="Times New Roman" w:cs="Times New Roman"/>
            <w:color w:val="0000FF"/>
            <w:szCs w:val="24"/>
            <w:u w:val="single"/>
            <w:lang w:eastAsia="en-GB"/>
          </w:rPr>
          <w:t>https://jbi-global-wiki.refined.site/space/MANUAL</w:t>
        </w:r>
      </w:hyperlink>
      <w:r w:rsidRPr="00EC0087">
        <w:rPr>
          <w:rFonts w:eastAsia="Times New Roman" w:cs="Times New Roman"/>
          <w:szCs w:val="24"/>
          <w:lang w:eastAsia="en-GB"/>
        </w:rPr>
        <w:t xml:space="preserve"> (Accessed: 29 July 2026).</w:t>
      </w:r>
    </w:p>
    <w:p w14:paraId="791C80A1"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Skills for Care (2023) </w:t>
      </w:r>
      <w:r w:rsidRPr="00EC0087">
        <w:rPr>
          <w:rFonts w:eastAsia="Times New Roman" w:cs="Times New Roman"/>
          <w:i/>
          <w:iCs/>
          <w:szCs w:val="24"/>
          <w:lang w:eastAsia="en-GB"/>
        </w:rPr>
        <w:t>The State of the Adult Social Care Sector and Workforce in England 2023</w:t>
      </w:r>
      <w:r w:rsidRPr="00EC0087">
        <w:rPr>
          <w:rFonts w:eastAsia="Times New Roman" w:cs="Times New Roman"/>
          <w:szCs w:val="24"/>
          <w:lang w:eastAsia="en-GB"/>
        </w:rPr>
        <w:t xml:space="preserve">. Leeds: Skills for Care. Available at: </w:t>
      </w:r>
      <w:hyperlink r:id="rId18" w:tgtFrame="_new" w:history="1">
        <w:r w:rsidRPr="00EC0087">
          <w:rPr>
            <w:rFonts w:eastAsia="Times New Roman" w:cs="Times New Roman"/>
            <w:color w:val="0000FF"/>
            <w:szCs w:val="24"/>
            <w:u w:val="single"/>
            <w:lang w:eastAsia="en-GB"/>
          </w:rPr>
          <w:t>https://www.skillsforcare.org.uk</w:t>
        </w:r>
      </w:hyperlink>
      <w:r w:rsidRPr="00EC0087">
        <w:rPr>
          <w:rFonts w:eastAsia="Times New Roman" w:cs="Times New Roman"/>
          <w:szCs w:val="24"/>
          <w:lang w:eastAsia="en-GB"/>
        </w:rPr>
        <w:t xml:space="preserve"> (Accessed: 29 July 2026).</w:t>
      </w:r>
    </w:p>
    <w:p w14:paraId="557F96CD" w14:textId="77777777" w:rsidR="00EC0087" w:rsidRPr="00EC0087" w:rsidRDefault="00EC0087" w:rsidP="00EC0087">
      <w:pPr>
        <w:spacing w:before="100" w:beforeAutospacing="1" w:after="100" w:afterAutospacing="1" w:line="240" w:lineRule="auto"/>
        <w:rPr>
          <w:rFonts w:eastAsia="Times New Roman" w:cs="Times New Roman"/>
          <w:szCs w:val="24"/>
          <w:lang w:eastAsia="en-GB"/>
        </w:rPr>
      </w:pPr>
      <w:r w:rsidRPr="00EC0087">
        <w:rPr>
          <w:rFonts w:eastAsia="Times New Roman" w:cs="Times New Roman"/>
          <w:szCs w:val="24"/>
          <w:lang w:eastAsia="en-GB"/>
        </w:rPr>
        <w:t xml:space="preserve">The King's Fund (2022) </w:t>
      </w:r>
      <w:r w:rsidRPr="00EC0087">
        <w:rPr>
          <w:rFonts w:eastAsia="Times New Roman" w:cs="Times New Roman"/>
          <w:i/>
          <w:iCs/>
          <w:szCs w:val="24"/>
          <w:lang w:eastAsia="en-GB"/>
        </w:rPr>
        <w:t>Social Care 360</w:t>
      </w:r>
      <w:r w:rsidRPr="00EC0087">
        <w:rPr>
          <w:rFonts w:eastAsia="Times New Roman" w:cs="Times New Roman"/>
          <w:szCs w:val="24"/>
          <w:lang w:eastAsia="en-GB"/>
        </w:rPr>
        <w:t xml:space="preserve">. London: The King's Fund. Available at: </w:t>
      </w:r>
      <w:hyperlink r:id="rId19" w:tgtFrame="_new" w:history="1">
        <w:r w:rsidRPr="00EC0087">
          <w:rPr>
            <w:rFonts w:eastAsia="Times New Roman" w:cs="Times New Roman"/>
            <w:color w:val="0000FF"/>
            <w:szCs w:val="24"/>
            <w:u w:val="single"/>
            <w:lang w:eastAsia="en-GB"/>
          </w:rPr>
          <w:t>https://www.kingsfund.org.uk</w:t>
        </w:r>
      </w:hyperlink>
      <w:r w:rsidRPr="00EC0087">
        <w:rPr>
          <w:rFonts w:eastAsia="Times New Roman" w:cs="Times New Roman"/>
          <w:szCs w:val="24"/>
          <w:lang w:eastAsia="en-GB"/>
        </w:rPr>
        <w:t xml:space="preserve"> (Accessed: 29 July 2026).</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4B8CA" w14:textId="77777777" w:rsidR="00C146D0" w:rsidRDefault="00C146D0" w:rsidP="003E4ECF">
      <w:pPr>
        <w:spacing w:after="0" w:line="240" w:lineRule="auto"/>
      </w:pPr>
      <w:r>
        <w:separator/>
      </w:r>
    </w:p>
  </w:endnote>
  <w:endnote w:type="continuationSeparator" w:id="0">
    <w:p w14:paraId="787406A7" w14:textId="77777777" w:rsidR="00C146D0" w:rsidRDefault="00C146D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1CF88" w14:textId="77777777" w:rsidR="00C146D0" w:rsidRDefault="00C146D0" w:rsidP="003E4ECF">
      <w:pPr>
        <w:spacing w:after="0" w:line="240" w:lineRule="auto"/>
      </w:pPr>
      <w:r>
        <w:separator/>
      </w:r>
    </w:p>
  </w:footnote>
  <w:footnote w:type="continuationSeparator" w:id="0">
    <w:p w14:paraId="3F596412" w14:textId="77777777" w:rsidR="00C146D0" w:rsidRDefault="00C146D0"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31037"/>
    <w:multiLevelType w:val="hybridMultilevel"/>
    <w:tmpl w:val="B1104F7A"/>
    <w:lvl w:ilvl="0" w:tplc="868288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55BC5"/>
    <w:multiLevelType w:val="multilevel"/>
    <w:tmpl w:val="BB8C9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657DE4"/>
    <w:multiLevelType w:val="multilevel"/>
    <w:tmpl w:val="B9429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F97FBF"/>
    <w:multiLevelType w:val="multilevel"/>
    <w:tmpl w:val="328CB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4A56A1"/>
    <w:multiLevelType w:val="multilevel"/>
    <w:tmpl w:val="6FE07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0564C9"/>
    <w:multiLevelType w:val="multilevel"/>
    <w:tmpl w:val="8DBE5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3C7F74"/>
    <w:multiLevelType w:val="multilevel"/>
    <w:tmpl w:val="BAD05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3B056A"/>
    <w:multiLevelType w:val="multilevel"/>
    <w:tmpl w:val="D0E6A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2D477E"/>
    <w:multiLevelType w:val="multilevel"/>
    <w:tmpl w:val="EA0C5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4C158B"/>
    <w:multiLevelType w:val="multilevel"/>
    <w:tmpl w:val="65F4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924043"/>
    <w:multiLevelType w:val="multilevel"/>
    <w:tmpl w:val="26087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DF6208"/>
    <w:multiLevelType w:val="multilevel"/>
    <w:tmpl w:val="215C2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E67933"/>
    <w:multiLevelType w:val="multilevel"/>
    <w:tmpl w:val="F5347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0476D2"/>
    <w:multiLevelType w:val="multilevel"/>
    <w:tmpl w:val="65529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0229343">
    <w:abstractNumId w:val="11"/>
  </w:num>
  <w:num w:numId="2" w16cid:durableId="269320100">
    <w:abstractNumId w:val="1"/>
  </w:num>
  <w:num w:numId="3" w16cid:durableId="509949521">
    <w:abstractNumId w:val="12"/>
  </w:num>
  <w:num w:numId="4" w16cid:durableId="2090272534">
    <w:abstractNumId w:val="2"/>
  </w:num>
  <w:num w:numId="5" w16cid:durableId="152646050">
    <w:abstractNumId w:val="13"/>
  </w:num>
  <w:num w:numId="6" w16cid:durableId="416749256">
    <w:abstractNumId w:val="8"/>
  </w:num>
  <w:num w:numId="7" w16cid:durableId="884365650">
    <w:abstractNumId w:val="5"/>
  </w:num>
  <w:num w:numId="8" w16cid:durableId="363554243">
    <w:abstractNumId w:val="10"/>
  </w:num>
  <w:num w:numId="9" w16cid:durableId="218564660">
    <w:abstractNumId w:val="6"/>
  </w:num>
  <w:num w:numId="10" w16cid:durableId="1707439073">
    <w:abstractNumId w:val="0"/>
  </w:num>
  <w:num w:numId="11" w16cid:durableId="799298800">
    <w:abstractNumId w:val="9"/>
  </w:num>
  <w:num w:numId="12" w16cid:durableId="1750997625">
    <w:abstractNumId w:val="7"/>
  </w:num>
  <w:num w:numId="13" w16cid:durableId="1238591093">
    <w:abstractNumId w:val="4"/>
  </w:num>
  <w:num w:numId="14" w16cid:durableId="16122792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4550"/>
    <w:rsid w:val="000572BF"/>
    <w:rsid w:val="00074402"/>
    <w:rsid w:val="0008698B"/>
    <w:rsid w:val="000D3E12"/>
    <w:rsid w:val="000F507D"/>
    <w:rsid w:val="001D7C03"/>
    <w:rsid w:val="00216C85"/>
    <w:rsid w:val="00220EDB"/>
    <w:rsid w:val="00256B02"/>
    <w:rsid w:val="0026393A"/>
    <w:rsid w:val="00273EDD"/>
    <w:rsid w:val="002839CA"/>
    <w:rsid w:val="002C1776"/>
    <w:rsid w:val="002C3965"/>
    <w:rsid w:val="002C64BD"/>
    <w:rsid w:val="002F7582"/>
    <w:rsid w:val="00321C4C"/>
    <w:rsid w:val="00356DB2"/>
    <w:rsid w:val="00386BEA"/>
    <w:rsid w:val="00392BBC"/>
    <w:rsid w:val="003C27B5"/>
    <w:rsid w:val="003E4ECF"/>
    <w:rsid w:val="00443A72"/>
    <w:rsid w:val="004917B8"/>
    <w:rsid w:val="004A736E"/>
    <w:rsid w:val="004C16D4"/>
    <w:rsid w:val="00513338"/>
    <w:rsid w:val="00592D3C"/>
    <w:rsid w:val="005A16A7"/>
    <w:rsid w:val="005D5E3C"/>
    <w:rsid w:val="006314E9"/>
    <w:rsid w:val="006833C5"/>
    <w:rsid w:val="006925AA"/>
    <w:rsid w:val="00707102"/>
    <w:rsid w:val="00720000"/>
    <w:rsid w:val="007201B3"/>
    <w:rsid w:val="00725177"/>
    <w:rsid w:val="00790204"/>
    <w:rsid w:val="0079167A"/>
    <w:rsid w:val="007A3FCB"/>
    <w:rsid w:val="007C2E39"/>
    <w:rsid w:val="0080408E"/>
    <w:rsid w:val="00814A9E"/>
    <w:rsid w:val="00870195"/>
    <w:rsid w:val="0090040D"/>
    <w:rsid w:val="009069EF"/>
    <w:rsid w:val="00955293"/>
    <w:rsid w:val="00956C76"/>
    <w:rsid w:val="0098731E"/>
    <w:rsid w:val="00997E20"/>
    <w:rsid w:val="009A7759"/>
    <w:rsid w:val="009D052C"/>
    <w:rsid w:val="009D1D1E"/>
    <w:rsid w:val="00A035FD"/>
    <w:rsid w:val="00A330EE"/>
    <w:rsid w:val="00A3330E"/>
    <w:rsid w:val="00A82D51"/>
    <w:rsid w:val="00A90521"/>
    <w:rsid w:val="00AD2375"/>
    <w:rsid w:val="00AE42EE"/>
    <w:rsid w:val="00B02BA7"/>
    <w:rsid w:val="00B300A9"/>
    <w:rsid w:val="00B34763"/>
    <w:rsid w:val="00B35165"/>
    <w:rsid w:val="00B44675"/>
    <w:rsid w:val="00B8304B"/>
    <w:rsid w:val="00B87E75"/>
    <w:rsid w:val="00BF0CAC"/>
    <w:rsid w:val="00C03688"/>
    <w:rsid w:val="00C04809"/>
    <w:rsid w:val="00C146D0"/>
    <w:rsid w:val="00C501DF"/>
    <w:rsid w:val="00CC0F3E"/>
    <w:rsid w:val="00CD33A8"/>
    <w:rsid w:val="00D11EE7"/>
    <w:rsid w:val="00D91F42"/>
    <w:rsid w:val="00DE38FF"/>
    <w:rsid w:val="00E21D2A"/>
    <w:rsid w:val="00E569FD"/>
    <w:rsid w:val="00E620E7"/>
    <w:rsid w:val="00E9435D"/>
    <w:rsid w:val="00EC0087"/>
    <w:rsid w:val="00EE5D51"/>
    <w:rsid w:val="00EF466B"/>
    <w:rsid w:val="00F61052"/>
    <w:rsid w:val="00F62B12"/>
    <w:rsid w:val="00F66E1B"/>
    <w:rsid w:val="00FB7B14"/>
    <w:rsid w:val="00FD169C"/>
    <w:rsid w:val="00FD37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F0CAC"/>
    <w:pPr>
      <w:keepNext/>
      <w:keepLines/>
      <w:spacing w:before="240" w:after="0" w:line="360" w:lineRule="auto"/>
      <w:outlineLvl w:val="0"/>
    </w:pPr>
    <w:rPr>
      <w:rFonts w:ascii="Arial" w:eastAsia="Times New Roman" w:hAnsi="Arial" w:cs="Arial"/>
      <w:b/>
      <w:bCs/>
      <w:kern w:val="36"/>
      <w:sz w:val="32"/>
      <w:szCs w:val="32"/>
      <w:lang w:eastAsia="en-GB"/>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CAC"/>
    <w:rPr>
      <w:rFonts w:ascii="Arial" w:eastAsia="Times New Roman" w:hAnsi="Arial" w:cs="Arial"/>
      <w:b/>
      <w:bCs/>
      <w:kern w:val="36"/>
      <w:sz w:val="32"/>
      <w:szCs w:val="32"/>
      <w:lang w:eastAsia="en-GB"/>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unhideWhenUsed/>
    <w:rsid w:val="005D5E3C"/>
    <w:rPr>
      <w:rFonts w:cs="Times New Roman"/>
      <w:szCs w:val="24"/>
    </w:rPr>
  </w:style>
  <w:style w:type="paragraph" w:styleId="ListParagraph">
    <w:name w:val="List Paragraph"/>
    <w:basedOn w:val="Normal"/>
    <w:uiPriority w:val="34"/>
    <w:qFormat/>
    <w:rsid w:val="00BF0CAC"/>
    <w:pPr>
      <w:ind w:left="720"/>
      <w:contextualSpacing/>
    </w:pPr>
  </w:style>
  <w:style w:type="character" w:styleId="Strong">
    <w:name w:val="Strong"/>
    <w:basedOn w:val="DefaultParagraphFont"/>
    <w:uiPriority w:val="22"/>
    <w:qFormat/>
    <w:rsid w:val="00B34763"/>
    <w:rPr>
      <w:b/>
      <w:bCs/>
    </w:rPr>
  </w:style>
  <w:style w:type="paragraph" w:customStyle="1" w:styleId="isselectedend">
    <w:name w:val="isselectedend"/>
    <w:basedOn w:val="Normal"/>
    <w:rsid w:val="00997E20"/>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healthwatch.co.uk" TargetMode="External"/><Relationship Id="rId18" Type="http://schemas.openxmlformats.org/officeDocument/2006/relationships/hyperlink" Target="https://www.skillsforcare.org.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health.org.uk" TargetMode="External"/><Relationship Id="rId17" Type="http://schemas.openxmlformats.org/officeDocument/2006/relationships/hyperlink" Target="https://jbi-global-wiki.refined.site/space/MANUAL" TargetMode="External"/><Relationship Id="rId2" Type="http://schemas.openxmlformats.org/officeDocument/2006/relationships/styles" Target="styles.xml"/><Relationship Id="rId16" Type="http://schemas.openxmlformats.org/officeDocument/2006/relationships/hyperlink" Target="https://www.ons.gov.uk"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hospital-discharge-service-policy-and-operating-model" TargetMode="External"/><Relationship Id="rId5" Type="http://schemas.openxmlformats.org/officeDocument/2006/relationships/footnotes" Target="footnotes.xml"/><Relationship Id="rId15" Type="http://schemas.openxmlformats.org/officeDocument/2006/relationships/hyperlink" Target="https://www.nice.org.uk/guidance/ng27" TargetMode="External"/><Relationship Id="rId10" Type="http://schemas.openxmlformats.org/officeDocument/2006/relationships/hyperlink" Target="https://www.cqc.org.uk" TargetMode="External"/><Relationship Id="rId19" Type="http://schemas.openxmlformats.org/officeDocument/2006/relationships/hyperlink" Target="https://www.kingsfund.org.uk" TargetMode="External"/><Relationship Id="rId4" Type="http://schemas.openxmlformats.org/officeDocument/2006/relationships/webSettings" Target="webSettings.xml"/><Relationship Id="rId9" Type="http://schemas.openxmlformats.org/officeDocument/2006/relationships/hyperlink" Target="https://doi.org/10.1080/1364557032000119616" TargetMode="External"/><Relationship Id="rId14" Type="http://schemas.openxmlformats.org/officeDocument/2006/relationships/hyperlink" Target="https://www.nao.org.uk/reports/discharging-older-patients-from-hospita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5259</Words>
  <Characters>29978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sylvie kouao</cp:lastModifiedBy>
  <cp:revision>5</cp:revision>
  <dcterms:created xsi:type="dcterms:W3CDTF">2026-07-30T20:44:00Z</dcterms:created>
  <dcterms:modified xsi:type="dcterms:W3CDTF">2026-08-02T12:57:00Z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d6933d16-cf85-44c0-8d17-3953b65113af</vt:lpwstr>
  </property>
</Properties>
</file>