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4E0EF2A" w:rsidR="00BF4C15" w:rsidRPr="0011458E" w:rsidRDefault="000D133C" w:rsidP="00562087">
            <w:pPr>
              <w:rPr>
                <w:rFonts w:cs="Arial"/>
              </w:rPr>
            </w:pPr>
            <w:r>
              <w:rPr>
                <w:rFonts w:cs="Arial"/>
              </w:rPr>
              <w:t>The Lamb and Flag Pub</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65D909F0" w:rsidR="00BF4C15" w:rsidRPr="0011458E" w:rsidRDefault="000D133C" w:rsidP="00562087">
            <w:pPr>
              <w:rPr>
                <w:rFonts w:cs="Arial"/>
              </w:rPr>
            </w:pPr>
            <w:r>
              <w:rPr>
                <w:rFonts w:cs="Arial"/>
              </w:rPr>
              <w:t xml:space="preserve">Catering and </w:t>
            </w:r>
            <w:proofErr w:type="spellStart"/>
            <w:r>
              <w:rPr>
                <w:rFonts w:cs="Arial"/>
              </w:rPr>
              <w:t>Hospitiality</w:t>
            </w:r>
            <w:proofErr w:type="spellEnd"/>
            <w:r>
              <w:rPr>
                <w:rFonts w:cs="Arial"/>
              </w:rPr>
              <w:t xml:space="preserve"> </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AB78D6E" w:rsidR="00BF4C15" w:rsidRPr="0011458E" w:rsidRDefault="000D133C" w:rsidP="00562087">
            <w:pPr>
              <w:rPr>
                <w:rFonts w:cs="Arial"/>
              </w:rPr>
            </w:pPr>
            <w:proofErr w:type="spellStart"/>
            <w:r>
              <w:rPr>
                <w:rFonts w:cs="Arial"/>
              </w:rPr>
              <w:t>Glynneath</w:t>
            </w:r>
            <w:proofErr w:type="spellEnd"/>
            <w:r>
              <w:rPr>
                <w:rFonts w:cs="Arial"/>
              </w:rPr>
              <w:t xml:space="preserve"> </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7777777" w:rsidR="00BF4C15" w:rsidRPr="0011458E" w:rsidRDefault="00BF4C15" w:rsidP="00562087">
            <w:pPr>
              <w:rPr>
                <w:rFonts w:cs="Arial"/>
              </w:rPr>
            </w:pP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EB9BD67" w:rsidR="00BF4C15" w:rsidRPr="0011458E" w:rsidRDefault="000D133C" w:rsidP="00562087">
            <w:pPr>
              <w:rPr>
                <w:rFonts w:cs="Arial"/>
              </w:rPr>
            </w:pPr>
            <w:r>
              <w:rPr>
                <w:rFonts w:cs="Arial"/>
              </w:rPr>
              <w:t>1</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66A40FC7" w:rsidR="00BF4C15" w:rsidRPr="0011458E" w:rsidRDefault="000D133C" w:rsidP="00562087">
            <w:pPr>
              <w:rPr>
                <w:rFonts w:cs="Arial"/>
              </w:rPr>
            </w:pPr>
            <w:r>
              <w:rPr>
                <w:rFonts w:cs="Arial"/>
              </w:rPr>
              <w:t>8</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3EFE2CC5" w:rsidR="00BF4C15" w:rsidRPr="0011458E" w:rsidRDefault="000D133C" w:rsidP="00562087">
            <w:pPr>
              <w:rPr>
                <w:rFonts w:cs="Arial"/>
              </w:rPr>
            </w:pPr>
            <w:r>
              <w:rPr>
                <w:rFonts w:cs="Arial"/>
              </w:rPr>
              <w:t>1</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658EB4A4" w:rsidR="00BF4C15" w:rsidRPr="0011458E" w:rsidRDefault="000D133C" w:rsidP="00562087">
            <w:pPr>
              <w:rPr>
                <w:rFonts w:cs="Arial"/>
              </w:rPr>
            </w:pPr>
            <w:r>
              <w:rPr>
                <w:rFonts w:cs="Arial"/>
              </w:rPr>
              <w:t>04/11/19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6B4E9571" w:rsidR="00BF4C15" w:rsidRPr="0011458E" w:rsidRDefault="000D133C" w:rsidP="00562087">
            <w:pPr>
              <w:rPr>
                <w:rFonts w:cs="Arial"/>
              </w:rPr>
            </w:pPr>
            <w:r w:rsidRPr="000D133C">
              <w:rPr>
                <w:rStyle w:val="PlaceholderText"/>
                <w:color w:val="000000" w:themeColor="text1"/>
              </w:rPr>
              <w:t>04/11/19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56FA5435" w14:textId="3D39F75B" w:rsidR="00FE350B" w:rsidRDefault="00F02D4E" w:rsidP="00C66A28">
            <w:pPr>
              <w:rPr>
                <w:rFonts w:cs="Arial"/>
              </w:rPr>
            </w:pPr>
            <w:r w:rsidRPr="006D6ED2">
              <w:rPr>
                <w:rFonts w:ascii="Times New Roman" w:hAnsi="Times New Roman" w:cs="Times New Roman"/>
              </w:rPr>
              <w:t>A risk assessment was performed, highlighting areas that may be of danger to members of the public or staff. The likelihood of these risks resulting in danger will be evaluated, along with how the risks can be reduced or eliminated. In addition to this, the standards required for the assessed organisation to function will be considered and to what extent these standards are met.</w:t>
            </w:r>
            <w:r>
              <w:rPr>
                <w:rFonts w:ascii="Times New Roman" w:hAnsi="Times New Roman" w:cs="Times New Roman"/>
              </w:rPr>
              <w:t xml:space="preserve"> </w:t>
            </w:r>
            <w:r w:rsidR="006738D0">
              <w:rPr>
                <w:rFonts w:ascii="Times New Roman" w:hAnsi="Times New Roman" w:cs="Times New Roman"/>
              </w:rPr>
              <w:t xml:space="preserve">I </w:t>
            </w:r>
            <w:r w:rsidR="006738D0" w:rsidRPr="006D6ED2">
              <w:rPr>
                <w:rFonts w:ascii="Times New Roman" w:hAnsi="Times New Roman" w:cs="Times New Roman"/>
              </w:rPr>
              <w:t>will also evaluate the effectiveness of regulations that are set by the government and to what degree they are useful.</w:t>
            </w:r>
          </w:p>
          <w:p w14:paraId="529A8CA1" w14:textId="20A6A4C0" w:rsidR="008B713B" w:rsidRPr="001438FD" w:rsidRDefault="006A2A06" w:rsidP="006738D0">
            <w:pPr>
              <w:rPr>
                <w:rFonts w:ascii="Times New Roman" w:hAnsi="Times New Roman" w:cs="Times New Roman"/>
                <w:sz w:val="32"/>
              </w:rPr>
            </w:pPr>
            <w:r w:rsidRPr="006D6ED2">
              <w:rPr>
                <w:rFonts w:ascii="Times New Roman" w:hAnsi="Times New Roman" w:cs="Times New Roman"/>
              </w:rPr>
              <w:t xml:space="preserve">The health and safety executive (2019) states “The health and safety at work etc act 1974 is the primary piece of legislation covering occupational health and safety in Great Britain.” Every workplace in Great Britain must follow this legislation in order to operate legally. An example of a general duty of an employer is “it shall be the duty of every employer to ensure, so far as is reasonably practicable, the health, safety and welfare at work of all of his employees”, as stated by legislation.gov.uk (2019). </w:t>
            </w:r>
            <w:r w:rsidR="001224AF">
              <w:rPr>
                <w:rFonts w:ascii="Times New Roman" w:hAnsi="Times New Roman" w:cs="Times New Roman"/>
              </w:rPr>
              <w:t xml:space="preserve">More specifically, the health and safety at work act contains sections on areas such as nuclear safety which is not as relevant to this organization. Responsibility </w:t>
            </w:r>
            <w:r w:rsidR="001438FD">
              <w:rPr>
                <w:rFonts w:ascii="Times New Roman" w:hAnsi="Times New Roman" w:cs="Times New Roman"/>
              </w:rPr>
              <w:t>if something goes wrong depends on who was at fault for the accident, for example if a member of the public is harmed by standing on broken glass then it is likely that the bar staff will be held responsible. Legislation.gov.uk (2019) states “</w:t>
            </w:r>
            <w:r w:rsidR="001438FD" w:rsidRPr="001438FD">
              <w:rPr>
                <w:rFonts w:ascii="Times New Roman" w:hAnsi="Times New Roman" w:cs="Times New Roman"/>
                <w:color w:val="000000"/>
                <w:szCs w:val="18"/>
                <w:shd w:val="clear" w:color="auto" w:fill="FFFFFF"/>
              </w:rPr>
              <w:t>that other person shall be guilty of the offence, and a person may be charged with and convicted of the offence by virtue</w:t>
            </w:r>
            <w:r w:rsidR="001438FD">
              <w:rPr>
                <w:rFonts w:ascii="Times New Roman" w:hAnsi="Times New Roman" w:cs="Times New Roman"/>
                <w:color w:val="000000"/>
                <w:szCs w:val="18"/>
                <w:shd w:val="clear" w:color="auto" w:fill="FFFFFF"/>
              </w:rPr>
              <w:t xml:space="preserve">”, meaning if an accident is serious enough, regardless of who has been injured then the person responsible could be prosecuted for causing the incident. </w:t>
            </w:r>
          </w:p>
          <w:p w14:paraId="670D5000" w14:textId="13704879" w:rsidR="006A2A06" w:rsidRDefault="00C4146B" w:rsidP="006738D0">
            <w:pPr>
              <w:rPr>
                <w:rFonts w:ascii="Times New Roman" w:hAnsi="Times New Roman" w:cs="Times New Roman"/>
              </w:rPr>
            </w:pPr>
            <w:r w:rsidRPr="006D6ED2">
              <w:rPr>
                <w:rFonts w:ascii="Times New Roman" w:hAnsi="Times New Roman" w:cs="Times New Roman"/>
              </w:rPr>
              <w:t>A bar must follow strict guidelines that are set by the weight and measurements act 1985. Lesislation.gov (2019) states that “certain equipment to be passed and stamped by inspector”, which shows that the organisation has been approved for abiding by these regulations. This equipment includes shot measurements and pint glasses. Similarly, no more than a double measurement is allowed to be poured per glass in order to reduce the amount of alcohol that members of the public consume.</w:t>
            </w:r>
            <w:r w:rsidR="001438FD">
              <w:rPr>
                <w:rFonts w:ascii="Times New Roman" w:hAnsi="Times New Roman" w:cs="Times New Roman"/>
              </w:rPr>
              <w:t xml:space="preserve"> In addition to monitoring the quantities of alcohol at the bar, it is also important for the organization to ensure that food being served to members of the public is of the correct size. If a portion of pre-cooked chips was served and it was smaller than the packaging that it came </w:t>
            </w:r>
            <w:r w:rsidR="00334906">
              <w:rPr>
                <w:rFonts w:ascii="Times New Roman" w:hAnsi="Times New Roman" w:cs="Times New Roman"/>
              </w:rPr>
              <w:t>in,</w:t>
            </w:r>
            <w:r w:rsidR="001438FD">
              <w:rPr>
                <w:rFonts w:ascii="Times New Roman" w:hAnsi="Times New Roman" w:cs="Times New Roman"/>
              </w:rPr>
              <w:t xml:space="preserve"> then the owner of the goods can be prosecuted. This also applies to drinks, such as a pint of soft drink where the amount served must be equal to a pint otherwise further action can be taken. </w:t>
            </w:r>
          </w:p>
          <w:p w14:paraId="1B0135A9" w14:textId="0619030A" w:rsidR="00C4146B" w:rsidRDefault="00B820FC" w:rsidP="006738D0">
            <w:pPr>
              <w:rPr>
                <w:rFonts w:ascii="Times New Roman" w:hAnsi="Times New Roman" w:cs="Times New Roman"/>
              </w:rPr>
            </w:pPr>
            <w:r w:rsidRPr="006D6ED2">
              <w:rPr>
                <w:rFonts w:ascii="Times New Roman" w:hAnsi="Times New Roman" w:cs="Times New Roman"/>
              </w:rPr>
              <w:t xml:space="preserve">Gambling is a popular form of entertainment at bars, as slot machines are readily available, and they are good for making profit. As shown by gamblingcommision.gov.uk (2019) there are many acts related to gambling, such as the gambling act 2005, club gaming and club machine permits 2007 and gaming machines in alcohol licensed premises 2007. The most important act is the gambling act 2005 as this applies to every organisation that provides means of gambling. Thomson Reuters Practical Law (2019) states that the gambling act 2005 is used for “ensuring that gambling is conducted in a fair and open way” and “protecting </w:t>
            </w:r>
            <w:r w:rsidRPr="006D6ED2">
              <w:rPr>
                <w:rFonts w:ascii="Times New Roman" w:hAnsi="Times New Roman" w:cs="Times New Roman"/>
              </w:rPr>
              <w:lastRenderedPageBreak/>
              <w:t>children and other vulnerable persons from being harmed or exploited by gambling”.</w:t>
            </w:r>
            <w:r w:rsidR="00334906">
              <w:rPr>
                <w:rFonts w:ascii="Times New Roman" w:hAnsi="Times New Roman" w:cs="Times New Roman"/>
              </w:rPr>
              <w:t xml:space="preserve"> </w:t>
            </w:r>
            <w:r w:rsidR="00F12200">
              <w:rPr>
                <w:rFonts w:ascii="Times New Roman" w:hAnsi="Times New Roman" w:cs="Times New Roman"/>
              </w:rPr>
              <w:t xml:space="preserve">Gamlingcommision.gov.uk (2019) mentions the club gaming permit system that must be followed in order to be allowed to install games of fair chance. The organization would need either a club gaming permit for live games such as poker or a club machine permit for slot machines. </w:t>
            </w:r>
            <w:r w:rsidR="00D24095">
              <w:rPr>
                <w:rFonts w:ascii="Times New Roman" w:hAnsi="Times New Roman" w:cs="Times New Roman"/>
              </w:rPr>
              <w:t>A club gaming permit only lasts ten years so must be renewed. The risk involved with this is forgetting to renew it if documents are lost or a reminder is not put in place. If the gaming permit is not renewed within the final three months of permit duration then the pub may not be abiding by maximum stakes allowed in games and other rules, so could be prosecuted.</w:t>
            </w:r>
          </w:p>
          <w:p w14:paraId="54B38308" w14:textId="77777777" w:rsidR="00B820FC" w:rsidRPr="006D6ED2" w:rsidRDefault="00B820FC" w:rsidP="006738D0">
            <w:pPr>
              <w:rPr>
                <w:rFonts w:ascii="Times New Roman" w:hAnsi="Times New Roman" w:cs="Times New Roman"/>
              </w:rPr>
            </w:pP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512573CF" w:rsidR="00BF4C15" w:rsidRPr="009374D3" w:rsidRDefault="000D133C" w:rsidP="00562087">
            <w:pPr>
              <w:rPr>
                <w:rFonts w:ascii="Calibri" w:hAnsi="Calibri"/>
              </w:rPr>
            </w:pPr>
            <w:r>
              <w:rPr>
                <w:rFonts w:ascii="Calibri" w:hAnsi="Calibri"/>
              </w:rPr>
              <w:t>Slips, trips and falls</w:t>
            </w:r>
          </w:p>
        </w:tc>
        <w:tc>
          <w:tcPr>
            <w:tcW w:w="2126" w:type="dxa"/>
            <w:shd w:val="clear" w:color="auto" w:fill="auto"/>
          </w:tcPr>
          <w:p w14:paraId="2DFB40C2" w14:textId="1BC24C7E" w:rsidR="00BF4C15" w:rsidRPr="009374D3" w:rsidRDefault="000D133C" w:rsidP="00562087">
            <w:pPr>
              <w:rPr>
                <w:rFonts w:ascii="Calibri" w:hAnsi="Calibri"/>
              </w:rPr>
            </w:pPr>
            <w:r>
              <w:rPr>
                <w:rFonts w:ascii="Calibri" w:hAnsi="Calibri"/>
              </w:rPr>
              <w:t xml:space="preserve">Staff &amp; public members </w:t>
            </w:r>
          </w:p>
        </w:tc>
        <w:tc>
          <w:tcPr>
            <w:tcW w:w="3119" w:type="dxa"/>
            <w:shd w:val="clear" w:color="auto" w:fill="auto"/>
          </w:tcPr>
          <w:p w14:paraId="2DFB40C3" w14:textId="78F315E7" w:rsidR="00BF4C15" w:rsidRPr="009374D3" w:rsidRDefault="000D133C" w:rsidP="00562087">
            <w:pPr>
              <w:rPr>
                <w:rFonts w:ascii="Calibri" w:hAnsi="Calibri"/>
              </w:rPr>
            </w:pPr>
            <w:r>
              <w:rPr>
                <w:rFonts w:ascii="Calibri" w:hAnsi="Calibri"/>
              </w:rPr>
              <w:t>Appropriate signage to be used when required</w:t>
            </w:r>
          </w:p>
        </w:tc>
        <w:tc>
          <w:tcPr>
            <w:tcW w:w="2693" w:type="dxa"/>
            <w:shd w:val="clear" w:color="auto" w:fill="auto"/>
          </w:tcPr>
          <w:p w14:paraId="2DFB40C4" w14:textId="77777777" w:rsidR="00BF4C15" w:rsidRPr="009374D3" w:rsidRDefault="00BF4C15" w:rsidP="00562087">
            <w:pPr>
              <w:rPr>
                <w:rFonts w:ascii="Calibri" w:hAnsi="Calibri"/>
              </w:rPr>
            </w:pPr>
          </w:p>
        </w:tc>
        <w:tc>
          <w:tcPr>
            <w:tcW w:w="1134" w:type="dxa"/>
            <w:shd w:val="clear" w:color="auto" w:fill="auto"/>
          </w:tcPr>
          <w:p w14:paraId="2DFB40C5" w14:textId="77777777" w:rsidR="00BF4C15" w:rsidRPr="0095077A" w:rsidRDefault="00BF4C15" w:rsidP="00562087">
            <w:pPr>
              <w:rPr>
                <w:rFonts w:ascii="Calibri" w:hAnsi="Calibri"/>
                <w:b/>
              </w:rPr>
            </w:pPr>
          </w:p>
        </w:tc>
        <w:tc>
          <w:tcPr>
            <w:tcW w:w="1134" w:type="dxa"/>
            <w:shd w:val="clear" w:color="auto" w:fill="auto"/>
          </w:tcPr>
          <w:p w14:paraId="2DFB40C6" w14:textId="77777777" w:rsidR="00BF4C15" w:rsidRPr="009374D3" w:rsidRDefault="00BF4C15" w:rsidP="00562087">
            <w:pPr>
              <w:rPr>
                <w:rFonts w:ascii="Calibri" w:hAnsi="Calibri"/>
              </w:rPr>
            </w:pP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26E1F6BE" w:rsidR="00BF4C15" w:rsidRPr="009374D3" w:rsidRDefault="000D133C" w:rsidP="00562087">
            <w:pPr>
              <w:rPr>
                <w:rFonts w:ascii="Calibri" w:hAnsi="Calibri"/>
              </w:rPr>
            </w:pPr>
            <w:r>
              <w:rPr>
                <w:rFonts w:ascii="Calibri" w:hAnsi="Calibri"/>
              </w:rPr>
              <w:t>Fire</w:t>
            </w:r>
          </w:p>
        </w:tc>
        <w:tc>
          <w:tcPr>
            <w:tcW w:w="2126" w:type="dxa"/>
            <w:shd w:val="clear" w:color="auto" w:fill="auto"/>
          </w:tcPr>
          <w:p w14:paraId="2DFB40CB" w14:textId="6C598AE1" w:rsidR="00BF4C15" w:rsidRPr="009374D3" w:rsidRDefault="000D133C" w:rsidP="00562087">
            <w:pPr>
              <w:rPr>
                <w:rFonts w:ascii="Calibri" w:hAnsi="Calibri"/>
              </w:rPr>
            </w:pPr>
            <w:r>
              <w:rPr>
                <w:rFonts w:ascii="Calibri" w:hAnsi="Calibri"/>
              </w:rPr>
              <w:t>Staff &amp; public members</w:t>
            </w:r>
          </w:p>
        </w:tc>
        <w:tc>
          <w:tcPr>
            <w:tcW w:w="3119" w:type="dxa"/>
            <w:shd w:val="clear" w:color="auto" w:fill="auto"/>
          </w:tcPr>
          <w:p w14:paraId="2DFB40CC" w14:textId="5BFB8AD6" w:rsidR="00BF4C15" w:rsidRPr="009374D3" w:rsidRDefault="000D133C" w:rsidP="00562087">
            <w:pPr>
              <w:rPr>
                <w:rFonts w:ascii="Calibri" w:hAnsi="Calibri"/>
              </w:rPr>
            </w:pPr>
            <w:r>
              <w:rPr>
                <w:rFonts w:ascii="Calibri" w:hAnsi="Calibri"/>
              </w:rPr>
              <w:t>Approved fire extinguishers, fire blankets and fire exits</w:t>
            </w:r>
          </w:p>
        </w:tc>
        <w:tc>
          <w:tcPr>
            <w:tcW w:w="2693" w:type="dxa"/>
            <w:shd w:val="clear" w:color="auto" w:fill="auto"/>
          </w:tcPr>
          <w:p w14:paraId="2DFB40CD" w14:textId="3A79B1F6" w:rsidR="00BF4C15" w:rsidRPr="009374D3" w:rsidRDefault="000D133C" w:rsidP="00562087">
            <w:pPr>
              <w:rPr>
                <w:rFonts w:ascii="Calibri" w:hAnsi="Calibri"/>
              </w:rPr>
            </w:pPr>
            <w:r>
              <w:rPr>
                <w:rFonts w:ascii="Calibri" w:hAnsi="Calibri"/>
              </w:rPr>
              <w:t>Safety equipment assessment</w:t>
            </w:r>
          </w:p>
        </w:tc>
        <w:tc>
          <w:tcPr>
            <w:tcW w:w="1134" w:type="dxa"/>
            <w:shd w:val="clear" w:color="auto" w:fill="auto"/>
          </w:tcPr>
          <w:p w14:paraId="2DFB40CE" w14:textId="2FE70F20" w:rsidR="00BF4C15" w:rsidRPr="0095077A" w:rsidRDefault="000D133C" w:rsidP="00562087">
            <w:pPr>
              <w:rPr>
                <w:rFonts w:ascii="Calibri" w:hAnsi="Calibri"/>
                <w:b/>
              </w:rPr>
            </w:pPr>
            <w:r>
              <w:rPr>
                <w:rFonts w:ascii="Calibri" w:hAnsi="Calibri"/>
                <w:b/>
              </w:rPr>
              <w:t>Inspector</w:t>
            </w:r>
          </w:p>
        </w:tc>
        <w:tc>
          <w:tcPr>
            <w:tcW w:w="1134" w:type="dxa"/>
            <w:shd w:val="clear" w:color="auto" w:fill="auto"/>
          </w:tcPr>
          <w:p w14:paraId="2DFB40CF" w14:textId="3B490EF0" w:rsidR="00BF4C15" w:rsidRPr="009374D3" w:rsidRDefault="000D133C" w:rsidP="00562087">
            <w:pPr>
              <w:rPr>
                <w:rFonts w:ascii="Calibri" w:hAnsi="Calibri"/>
              </w:rPr>
            </w:pPr>
            <w:r>
              <w:rPr>
                <w:rFonts w:ascii="Calibri" w:hAnsi="Calibri"/>
              </w:rPr>
              <w:t>Annually</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770E70BC" w:rsidR="00BF4C15" w:rsidRPr="009374D3" w:rsidRDefault="000D133C" w:rsidP="00562087">
            <w:pPr>
              <w:rPr>
                <w:rFonts w:ascii="Calibri" w:hAnsi="Calibri"/>
              </w:rPr>
            </w:pPr>
            <w:r>
              <w:rPr>
                <w:rFonts w:ascii="Calibri" w:hAnsi="Calibri"/>
              </w:rPr>
              <w:t>Public unrest</w:t>
            </w:r>
          </w:p>
        </w:tc>
        <w:tc>
          <w:tcPr>
            <w:tcW w:w="2126" w:type="dxa"/>
            <w:shd w:val="clear" w:color="auto" w:fill="auto"/>
          </w:tcPr>
          <w:p w14:paraId="2DFB40D4" w14:textId="032620EB" w:rsidR="00BF4C15" w:rsidRPr="009374D3" w:rsidRDefault="000D133C" w:rsidP="00562087">
            <w:pPr>
              <w:rPr>
                <w:rFonts w:ascii="Calibri" w:hAnsi="Calibri"/>
              </w:rPr>
            </w:pPr>
            <w:r>
              <w:rPr>
                <w:rFonts w:ascii="Calibri" w:hAnsi="Calibri"/>
              </w:rPr>
              <w:t>Staff &amp; public members</w:t>
            </w:r>
          </w:p>
        </w:tc>
        <w:tc>
          <w:tcPr>
            <w:tcW w:w="3119" w:type="dxa"/>
            <w:shd w:val="clear" w:color="auto" w:fill="auto"/>
          </w:tcPr>
          <w:p w14:paraId="2DFB40D5" w14:textId="65605BE1" w:rsidR="00BF4C15" w:rsidRPr="009374D3" w:rsidRDefault="000D133C" w:rsidP="00562087">
            <w:pPr>
              <w:rPr>
                <w:rFonts w:ascii="Calibri" w:hAnsi="Calibri"/>
              </w:rPr>
            </w:pPr>
            <w:r>
              <w:rPr>
                <w:rFonts w:ascii="Calibri" w:hAnsi="Calibri"/>
              </w:rPr>
              <w:t>Qualified security during special events</w:t>
            </w:r>
          </w:p>
        </w:tc>
        <w:tc>
          <w:tcPr>
            <w:tcW w:w="2693" w:type="dxa"/>
            <w:shd w:val="clear" w:color="auto" w:fill="auto"/>
          </w:tcPr>
          <w:p w14:paraId="2DFB40D6" w14:textId="3BCCFDAF" w:rsidR="00BF4C15" w:rsidRPr="009374D3" w:rsidRDefault="000D133C" w:rsidP="00562087">
            <w:pPr>
              <w:rPr>
                <w:rFonts w:ascii="Calibri" w:hAnsi="Calibri"/>
              </w:rPr>
            </w:pPr>
            <w:r>
              <w:rPr>
                <w:rFonts w:ascii="Calibri" w:hAnsi="Calibri"/>
              </w:rPr>
              <w:t>Regular security during late periods</w:t>
            </w:r>
          </w:p>
        </w:tc>
        <w:tc>
          <w:tcPr>
            <w:tcW w:w="1134" w:type="dxa"/>
            <w:shd w:val="clear" w:color="auto" w:fill="auto"/>
          </w:tcPr>
          <w:p w14:paraId="2DFB40D7" w14:textId="645288FC" w:rsidR="00BF4C15" w:rsidRPr="0095077A" w:rsidRDefault="000D133C" w:rsidP="00562087">
            <w:pPr>
              <w:rPr>
                <w:rFonts w:ascii="Calibri" w:hAnsi="Calibri"/>
                <w:b/>
              </w:rPr>
            </w:pPr>
            <w:r>
              <w:rPr>
                <w:rFonts w:ascii="Calibri" w:hAnsi="Calibri"/>
                <w:b/>
              </w:rPr>
              <w:t>Management</w:t>
            </w:r>
          </w:p>
        </w:tc>
        <w:tc>
          <w:tcPr>
            <w:tcW w:w="1134" w:type="dxa"/>
            <w:shd w:val="clear" w:color="auto" w:fill="auto"/>
          </w:tcPr>
          <w:p w14:paraId="2DFB40D8" w14:textId="77777777" w:rsidR="00BF4C15" w:rsidRPr="009374D3" w:rsidRDefault="00BF4C15" w:rsidP="00562087">
            <w:pPr>
              <w:rPr>
                <w:rFonts w:ascii="Calibri" w:hAnsi="Calibri"/>
              </w:rPr>
            </w:pP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7F5982A2" w:rsidR="00BF4C15" w:rsidRPr="009374D3" w:rsidRDefault="000D133C" w:rsidP="00562087">
            <w:pPr>
              <w:rPr>
                <w:rFonts w:ascii="Calibri" w:hAnsi="Calibri"/>
              </w:rPr>
            </w:pPr>
            <w:r>
              <w:rPr>
                <w:rFonts w:ascii="Calibri" w:hAnsi="Calibri"/>
              </w:rPr>
              <w:t>Gambling</w:t>
            </w:r>
          </w:p>
        </w:tc>
        <w:tc>
          <w:tcPr>
            <w:tcW w:w="2126" w:type="dxa"/>
            <w:shd w:val="clear" w:color="auto" w:fill="auto"/>
          </w:tcPr>
          <w:p w14:paraId="2DFB40DD" w14:textId="70420B08" w:rsidR="00BF4C15" w:rsidRPr="009374D3" w:rsidRDefault="000D133C" w:rsidP="00562087">
            <w:pPr>
              <w:rPr>
                <w:rFonts w:ascii="Calibri" w:hAnsi="Calibri"/>
              </w:rPr>
            </w:pPr>
            <w:r>
              <w:rPr>
                <w:rFonts w:ascii="Calibri" w:hAnsi="Calibri"/>
              </w:rPr>
              <w:t>Public members &amp; underaged</w:t>
            </w:r>
          </w:p>
        </w:tc>
        <w:tc>
          <w:tcPr>
            <w:tcW w:w="3119" w:type="dxa"/>
            <w:shd w:val="clear" w:color="auto" w:fill="auto"/>
          </w:tcPr>
          <w:p w14:paraId="2DFB40DE" w14:textId="7AFEFD23" w:rsidR="00BF4C15" w:rsidRPr="009374D3" w:rsidRDefault="000D133C" w:rsidP="00562087">
            <w:pPr>
              <w:rPr>
                <w:rFonts w:ascii="Calibri" w:hAnsi="Calibri"/>
              </w:rPr>
            </w:pPr>
            <w:r>
              <w:rPr>
                <w:rFonts w:ascii="Calibri" w:hAnsi="Calibri"/>
              </w:rPr>
              <w:t>Gambling act 2005, challenge 25</w:t>
            </w:r>
          </w:p>
        </w:tc>
        <w:tc>
          <w:tcPr>
            <w:tcW w:w="2693" w:type="dxa"/>
            <w:shd w:val="clear" w:color="auto" w:fill="auto"/>
          </w:tcPr>
          <w:p w14:paraId="2DFB40DF" w14:textId="77777777" w:rsidR="00BF4C15" w:rsidRPr="009374D3" w:rsidRDefault="00BF4C15" w:rsidP="00562087">
            <w:pPr>
              <w:rPr>
                <w:rFonts w:ascii="Calibri" w:hAnsi="Calibri"/>
              </w:rPr>
            </w:pPr>
          </w:p>
        </w:tc>
        <w:tc>
          <w:tcPr>
            <w:tcW w:w="1134" w:type="dxa"/>
            <w:shd w:val="clear" w:color="auto" w:fill="auto"/>
          </w:tcPr>
          <w:p w14:paraId="2DFB40E0" w14:textId="77777777" w:rsidR="00BF4C15" w:rsidRPr="0095077A" w:rsidRDefault="00BF4C15" w:rsidP="00562087">
            <w:pPr>
              <w:rPr>
                <w:rFonts w:ascii="Calibri" w:hAnsi="Calibri"/>
                <w:b/>
              </w:rPr>
            </w:pPr>
          </w:p>
        </w:tc>
        <w:tc>
          <w:tcPr>
            <w:tcW w:w="1134" w:type="dxa"/>
            <w:shd w:val="clear" w:color="auto" w:fill="auto"/>
          </w:tcPr>
          <w:p w14:paraId="2DFB40E1" w14:textId="77777777" w:rsidR="00BF4C15" w:rsidRPr="009374D3" w:rsidRDefault="00BF4C15" w:rsidP="00562087">
            <w:pPr>
              <w:rPr>
                <w:rFonts w:ascii="Calibri" w:hAnsi="Calibri"/>
              </w:rPr>
            </w:pP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77777777" w:rsidR="00BF4C15" w:rsidRPr="009374D3" w:rsidRDefault="00BF4C15" w:rsidP="00562087">
            <w:pPr>
              <w:rPr>
                <w:rFonts w:ascii="Calibri" w:hAnsi="Calibri"/>
              </w:rPr>
            </w:pPr>
          </w:p>
        </w:tc>
        <w:tc>
          <w:tcPr>
            <w:tcW w:w="2126" w:type="dxa"/>
            <w:shd w:val="clear" w:color="auto" w:fill="auto"/>
          </w:tcPr>
          <w:p w14:paraId="2DFB40E6" w14:textId="77777777" w:rsidR="00BF4C15" w:rsidRPr="009374D3" w:rsidRDefault="00BF4C15" w:rsidP="00562087">
            <w:pPr>
              <w:rPr>
                <w:rFonts w:ascii="Calibri" w:hAnsi="Calibri"/>
              </w:rPr>
            </w:pPr>
          </w:p>
        </w:tc>
        <w:tc>
          <w:tcPr>
            <w:tcW w:w="3119" w:type="dxa"/>
            <w:shd w:val="clear" w:color="auto" w:fill="auto"/>
          </w:tcPr>
          <w:p w14:paraId="2DFB40E7" w14:textId="77777777" w:rsidR="00BF4C15" w:rsidRPr="009374D3" w:rsidRDefault="00BF4C15" w:rsidP="00562087">
            <w:pPr>
              <w:rPr>
                <w:rFonts w:ascii="Calibri" w:hAnsi="Calibri"/>
              </w:rPr>
            </w:pPr>
          </w:p>
        </w:tc>
        <w:tc>
          <w:tcPr>
            <w:tcW w:w="2693" w:type="dxa"/>
            <w:shd w:val="clear" w:color="auto" w:fill="auto"/>
          </w:tcPr>
          <w:p w14:paraId="2DFB40E8" w14:textId="77777777" w:rsidR="00BF4C15" w:rsidRPr="009374D3" w:rsidRDefault="00BF4C15" w:rsidP="00562087">
            <w:pPr>
              <w:rPr>
                <w:rFonts w:ascii="Calibri" w:hAnsi="Calibri"/>
              </w:rPr>
            </w:pPr>
          </w:p>
        </w:tc>
        <w:tc>
          <w:tcPr>
            <w:tcW w:w="1134" w:type="dxa"/>
            <w:shd w:val="clear" w:color="auto" w:fill="auto"/>
          </w:tcPr>
          <w:p w14:paraId="2DFB40E9" w14:textId="77777777" w:rsidR="00BF4C15" w:rsidRPr="0095077A" w:rsidRDefault="00BF4C15" w:rsidP="00562087">
            <w:pPr>
              <w:rPr>
                <w:rFonts w:ascii="Calibri" w:hAnsi="Calibri"/>
                <w:b/>
              </w:rPr>
            </w:pPr>
          </w:p>
        </w:tc>
        <w:tc>
          <w:tcPr>
            <w:tcW w:w="1134" w:type="dxa"/>
            <w:shd w:val="clear" w:color="auto" w:fill="auto"/>
          </w:tcPr>
          <w:p w14:paraId="2DFB40EA" w14:textId="77777777" w:rsidR="00BF4C15" w:rsidRPr="009374D3" w:rsidRDefault="00BF4C15" w:rsidP="00562087">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941DE8" w:rsidRDefault="00BF2A83"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562087">
            <w:pPr>
              <w:rPr>
                <w:rFonts w:cs="Arial"/>
              </w:rPr>
            </w:pPr>
            <w:r w:rsidRPr="007C24FB">
              <w:rPr>
                <w:rStyle w:val="PlaceholderText"/>
              </w:rPr>
              <w:t>Click here to enter a date.</w:t>
            </w:r>
          </w:p>
        </w:tc>
      </w:tr>
      <w:tr w:rsidR="00FB6D7F" w:rsidRPr="009A70EC" w14:paraId="2DFB4111" w14:textId="77777777" w:rsidTr="00A25164">
        <w:tc>
          <w:tcPr>
            <w:tcW w:w="8522" w:type="dxa"/>
            <w:gridSpan w:val="2"/>
            <w:shd w:val="clear" w:color="auto" w:fill="auto"/>
          </w:tcPr>
          <w:p w14:paraId="57F90E7C" w14:textId="77777777" w:rsidR="008B713B" w:rsidRPr="006D6ED2" w:rsidRDefault="008B713B" w:rsidP="008B713B">
            <w:pPr>
              <w:rPr>
                <w:rFonts w:ascii="Times New Roman" w:hAnsi="Times New Roman" w:cs="Times New Roman"/>
              </w:rPr>
            </w:pPr>
            <w:r w:rsidRPr="006D6ED2">
              <w:rPr>
                <w:rFonts w:ascii="Times New Roman" w:hAnsi="Times New Roman" w:cs="Times New Roman"/>
              </w:rPr>
              <w:t>The observed organisation had certificates present that proved it has been assessed for following the health and safety at work act. As well as this, it can clearly be seen that the legislation is followed, for example there are multiple fire exits that all have lit directions which would be used in the event of a power cut. Wet floor signs are available for if the floor is being mopped or a drink is spilled. No more action needs to be taken to follow this legislation, as accidents could only occur due to ignorance from the public such as ignoring a wet floor sign.</w:t>
            </w:r>
          </w:p>
          <w:p w14:paraId="04C13F47" w14:textId="550EEC7B" w:rsidR="008B713B" w:rsidRPr="006D6ED2" w:rsidRDefault="008B713B" w:rsidP="008B713B">
            <w:pPr>
              <w:rPr>
                <w:rFonts w:ascii="Times New Roman" w:hAnsi="Times New Roman" w:cs="Times New Roman"/>
              </w:rPr>
            </w:pPr>
            <w:r w:rsidRPr="006D6ED2">
              <w:rPr>
                <w:rFonts w:ascii="Times New Roman" w:hAnsi="Times New Roman" w:cs="Times New Roman"/>
              </w:rPr>
              <w:t>The largest risk related to th</w:t>
            </w:r>
            <w:r>
              <w:rPr>
                <w:rFonts w:ascii="Times New Roman" w:hAnsi="Times New Roman" w:cs="Times New Roman"/>
              </w:rPr>
              <w:t xml:space="preserve">e weights and measurements </w:t>
            </w:r>
            <w:r w:rsidRPr="006D6ED2">
              <w:rPr>
                <w:rFonts w:ascii="Times New Roman" w:hAnsi="Times New Roman" w:cs="Times New Roman"/>
              </w:rPr>
              <w:t>act is the staff that are employed. If they have not had adequate training, then they may not pour correct measurements or will not know how to use the equipment correctly. This risk can be eliminated by training staff beforehand, however during the risk assessment no training was witnessed, and staff do not have recollection of any serious training. These regulations are not likely to be broken as staff would be informed of an inspection and would receive the necessary training beforehand if there was any doubt about their ability.</w:t>
            </w:r>
          </w:p>
          <w:p w14:paraId="490EB90F" w14:textId="77777777" w:rsidR="00A972A8" w:rsidRPr="006D6ED2" w:rsidRDefault="00A972A8" w:rsidP="00A972A8">
            <w:pPr>
              <w:rPr>
                <w:rFonts w:ascii="Times New Roman" w:hAnsi="Times New Roman" w:cs="Times New Roman"/>
              </w:rPr>
            </w:pPr>
            <w:r w:rsidRPr="006D6ED2">
              <w:rPr>
                <w:rFonts w:ascii="Times New Roman" w:hAnsi="Times New Roman" w:cs="Times New Roman"/>
              </w:rPr>
              <w:t>One method of risk reduction used in the organisation is large signs placed on the gambling machine that state no-one under the age of 18 is allowed to operate the machines and that anyone that looks under the age of 25 can be asked for proof of their age. The risk of underage users of the machines is unavoidable to a certain extent, due to the abundance of fake identification. If someone aged 16 had borrowed identification from a family member who looked similar, it may not be possible for staff to prove they are underage. The likelihood of underage members of the public entering the organisation can be reduced by disallowing entry after a certain time and employing door security who are experienced in analysing identification documents. The organisation does not allow anyone under the age of 18 in after 9pm every night.</w:t>
            </w:r>
          </w:p>
          <w:p w14:paraId="7E247713" w14:textId="77777777" w:rsidR="008B713B" w:rsidRPr="006D6ED2" w:rsidRDefault="008B713B" w:rsidP="008B713B">
            <w:pPr>
              <w:rPr>
                <w:rFonts w:ascii="Times New Roman" w:hAnsi="Times New Roman" w:cs="Times New Roman"/>
              </w:rPr>
            </w:pPr>
          </w:p>
          <w:p w14:paraId="0AD048C2" w14:textId="461C7304" w:rsidR="00FB6D7F" w:rsidRDefault="00FB6D7F" w:rsidP="00562087">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2DFB411A" w14:textId="2052A119" w:rsidR="00BF4C15" w:rsidRDefault="00BF4C15" w:rsidP="001224AF">
      <w:pPr>
        <w:jc w:val="both"/>
        <w:rPr>
          <w:rFonts w:cs="Arial"/>
          <w:b/>
          <w:szCs w:val="20"/>
        </w:rPr>
      </w:pPr>
    </w:p>
    <w:p w14:paraId="1CFB013E" w14:textId="23B46340" w:rsidR="001224AF" w:rsidRDefault="001224AF" w:rsidP="001224AF">
      <w:pPr>
        <w:jc w:val="both"/>
        <w:rPr>
          <w:rFonts w:cs="Arial"/>
          <w:sz w:val="24"/>
          <w:szCs w:val="24"/>
          <w:u w:val="single"/>
        </w:rPr>
      </w:pPr>
      <w:r w:rsidRPr="001224AF">
        <w:rPr>
          <w:rFonts w:cs="Arial"/>
          <w:sz w:val="24"/>
          <w:szCs w:val="24"/>
          <w:u w:val="single"/>
        </w:rPr>
        <w:t>References</w:t>
      </w:r>
    </w:p>
    <w:p w14:paraId="304212E6" w14:textId="20F16459" w:rsidR="001224AF" w:rsidRDefault="001224AF" w:rsidP="001224AF">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Gambling Commission (2019). </w:t>
      </w:r>
      <w:r>
        <w:rPr>
          <w:rFonts w:ascii="Times New Roman" w:hAnsi="Times New Roman" w:cs="Times New Roman"/>
          <w:i/>
        </w:rPr>
        <w:t>Gambling-related legislation.</w:t>
      </w:r>
      <w:r>
        <w:rPr>
          <w:rFonts w:ascii="Times New Roman" w:hAnsi="Times New Roman" w:cs="Times New Roman"/>
        </w:rPr>
        <w:t xml:space="preserve"> Available at: </w:t>
      </w:r>
      <w:hyperlink r:id="rId16" w:history="1">
        <w:r w:rsidRPr="00DB2BF3">
          <w:rPr>
            <w:rStyle w:val="Hyperlink"/>
            <w:rFonts w:ascii="Times New Roman" w:hAnsi="Times New Roman" w:cs="Times New Roman"/>
          </w:rPr>
          <w:t>https://www.gamblingcommission.gov.uk/Footer/Gambling-related-legislation.aspx</w:t>
        </w:r>
      </w:hyperlink>
      <w:r>
        <w:rPr>
          <w:rFonts w:ascii="Times New Roman" w:hAnsi="Times New Roman" w:cs="Times New Roman"/>
        </w:rPr>
        <w:t>. [Accessed 11</w:t>
      </w:r>
      <w:r w:rsidRPr="00B948F2">
        <w:rPr>
          <w:rFonts w:ascii="Times New Roman" w:hAnsi="Times New Roman" w:cs="Times New Roman"/>
          <w:vertAlign w:val="superscript"/>
        </w:rPr>
        <w:t>th</w:t>
      </w:r>
      <w:r>
        <w:rPr>
          <w:rFonts w:ascii="Times New Roman" w:hAnsi="Times New Roman" w:cs="Times New Roman"/>
        </w:rPr>
        <w:t xml:space="preserve"> November 2019].</w:t>
      </w:r>
    </w:p>
    <w:p w14:paraId="67A36107" w14:textId="77777777" w:rsidR="00D24095" w:rsidRDefault="00D24095" w:rsidP="00D24095">
      <w:pPr>
        <w:pStyle w:val="ListParagraph"/>
        <w:spacing w:after="0" w:line="240" w:lineRule="auto"/>
        <w:rPr>
          <w:rFonts w:ascii="Times New Roman" w:hAnsi="Times New Roman" w:cs="Times New Roman"/>
        </w:rPr>
      </w:pPr>
    </w:p>
    <w:p w14:paraId="7770A244" w14:textId="2CD524D1" w:rsidR="00D24095" w:rsidRDefault="00A22FBD" w:rsidP="001224AF">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 Gambling Commission (2019). </w:t>
      </w:r>
      <w:r>
        <w:rPr>
          <w:rFonts w:ascii="Times New Roman" w:hAnsi="Times New Roman" w:cs="Times New Roman"/>
          <w:i/>
        </w:rPr>
        <w:t xml:space="preserve">  Club gaming and machines permits. </w:t>
      </w:r>
      <w:r>
        <w:rPr>
          <w:rFonts w:ascii="Times New Roman" w:hAnsi="Times New Roman" w:cs="Times New Roman"/>
        </w:rPr>
        <w:t xml:space="preserve"> Available a: </w:t>
      </w:r>
      <w:hyperlink r:id="rId17" w:history="1">
        <w:r w:rsidRPr="00875BE2">
          <w:rPr>
            <w:rStyle w:val="Hyperlink"/>
            <w:rFonts w:ascii="Times New Roman" w:hAnsi="Times New Roman" w:cs="Times New Roman"/>
          </w:rPr>
          <w:t>https://www.gamblingcommission.gov.uk/for-licensing-authorities/Licensing-authority-toolkit/Pubs-and-clubs/Club-gaming-and-machine-permits.aspx</w:t>
        </w:r>
      </w:hyperlink>
      <w:r w:rsidR="00D24095">
        <w:rPr>
          <w:rFonts w:ascii="Times New Roman" w:hAnsi="Times New Roman" w:cs="Times New Roman"/>
        </w:rPr>
        <w:t xml:space="preserve"> </w:t>
      </w:r>
      <w:r>
        <w:rPr>
          <w:rFonts w:ascii="Times New Roman" w:hAnsi="Times New Roman" w:cs="Times New Roman"/>
        </w:rPr>
        <w:t>[Accessed 11</w:t>
      </w:r>
      <w:r w:rsidRPr="00A22FBD">
        <w:rPr>
          <w:rFonts w:ascii="Times New Roman" w:hAnsi="Times New Roman" w:cs="Times New Roman"/>
          <w:vertAlign w:val="superscript"/>
        </w:rPr>
        <w:t>th</w:t>
      </w:r>
      <w:r>
        <w:rPr>
          <w:rFonts w:ascii="Times New Roman" w:hAnsi="Times New Roman" w:cs="Times New Roman"/>
        </w:rPr>
        <w:t xml:space="preserve"> November 2019].</w:t>
      </w:r>
      <w:bookmarkStart w:id="0" w:name="_GoBack"/>
      <w:bookmarkEnd w:id="0"/>
    </w:p>
    <w:p w14:paraId="71DBDF70" w14:textId="77777777" w:rsidR="001224AF" w:rsidRDefault="001224AF" w:rsidP="001224AF">
      <w:pPr>
        <w:pStyle w:val="ListParagraph"/>
        <w:rPr>
          <w:rFonts w:ascii="Times New Roman" w:hAnsi="Times New Roman" w:cs="Times New Roman"/>
        </w:rPr>
      </w:pPr>
    </w:p>
    <w:p w14:paraId="1B17BC62" w14:textId="77777777" w:rsidR="001224AF" w:rsidRDefault="001224AF" w:rsidP="001224AF">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 Health and Safety Executive (2019). </w:t>
      </w:r>
      <w:r>
        <w:rPr>
          <w:rFonts w:ascii="Times New Roman" w:hAnsi="Times New Roman" w:cs="Times New Roman"/>
          <w:i/>
        </w:rPr>
        <w:t xml:space="preserve">Health and Safety at Work Act etc 1974. </w:t>
      </w:r>
      <w:r>
        <w:rPr>
          <w:rFonts w:ascii="Times New Roman" w:hAnsi="Times New Roman" w:cs="Times New Roman"/>
        </w:rPr>
        <w:t xml:space="preserve">Available at: </w:t>
      </w:r>
      <w:hyperlink r:id="rId18" w:history="1">
        <w:r w:rsidRPr="00DB2BF3">
          <w:rPr>
            <w:rStyle w:val="Hyperlink"/>
            <w:rFonts w:ascii="Times New Roman" w:hAnsi="Times New Roman" w:cs="Times New Roman"/>
          </w:rPr>
          <w:t>http://www.hse.gov.uk/legislation/h</w:t>
        </w:r>
        <w:r w:rsidRPr="00DB2BF3">
          <w:rPr>
            <w:rStyle w:val="Hyperlink"/>
            <w:rFonts w:ascii="Times New Roman" w:hAnsi="Times New Roman" w:cs="Times New Roman"/>
          </w:rPr>
          <w:t>s</w:t>
        </w:r>
        <w:r w:rsidRPr="00DB2BF3">
          <w:rPr>
            <w:rStyle w:val="Hyperlink"/>
            <w:rFonts w:ascii="Times New Roman" w:hAnsi="Times New Roman" w:cs="Times New Roman"/>
          </w:rPr>
          <w:t>wa.htm</w:t>
        </w:r>
      </w:hyperlink>
      <w:r>
        <w:rPr>
          <w:rFonts w:ascii="Times New Roman" w:hAnsi="Times New Roman" w:cs="Times New Roman"/>
        </w:rPr>
        <w:t>. [Accessed 11</w:t>
      </w:r>
      <w:r w:rsidRPr="008F2057">
        <w:rPr>
          <w:rFonts w:ascii="Times New Roman" w:hAnsi="Times New Roman" w:cs="Times New Roman"/>
          <w:vertAlign w:val="superscript"/>
        </w:rPr>
        <w:t>th</w:t>
      </w:r>
      <w:r>
        <w:rPr>
          <w:rFonts w:ascii="Times New Roman" w:hAnsi="Times New Roman" w:cs="Times New Roman"/>
        </w:rPr>
        <w:t xml:space="preserve"> of November 2019].</w:t>
      </w:r>
    </w:p>
    <w:p w14:paraId="78A2B644" w14:textId="77777777" w:rsidR="001224AF" w:rsidRDefault="001224AF" w:rsidP="001224AF">
      <w:pPr>
        <w:pStyle w:val="ListParagraph"/>
        <w:rPr>
          <w:rFonts w:ascii="Times New Roman" w:hAnsi="Times New Roman" w:cs="Times New Roman"/>
        </w:rPr>
      </w:pPr>
    </w:p>
    <w:p w14:paraId="15375786" w14:textId="77777777" w:rsidR="001224AF" w:rsidRDefault="001224AF" w:rsidP="001224AF">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 Legislation.gov.uk (2019). </w:t>
      </w:r>
      <w:r>
        <w:rPr>
          <w:rFonts w:ascii="Times New Roman" w:hAnsi="Times New Roman" w:cs="Times New Roman"/>
          <w:i/>
        </w:rPr>
        <w:t xml:space="preserve"> Weights and Measures Act 1985. </w:t>
      </w:r>
      <w:r>
        <w:rPr>
          <w:rFonts w:ascii="Times New Roman" w:hAnsi="Times New Roman" w:cs="Times New Roman"/>
        </w:rPr>
        <w:t xml:space="preserve"> Available at: </w:t>
      </w:r>
      <w:hyperlink r:id="rId19" w:history="1">
        <w:r w:rsidRPr="00DB2BF3">
          <w:rPr>
            <w:rStyle w:val="Hyperlink"/>
            <w:rFonts w:ascii="Times New Roman" w:hAnsi="Times New Roman" w:cs="Times New Roman"/>
          </w:rPr>
          <w:t>http://www.legislation.gov.</w:t>
        </w:r>
        <w:r w:rsidRPr="00DB2BF3">
          <w:rPr>
            <w:rStyle w:val="Hyperlink"/>
            <w:rFonts w:ascii="Times New Roman" w:hAnsi="Times New Roman" w:cs="Times New Roman"/>
          </w:rPr>
          <w:t>u</w:t>
        </w:r>
        <w:r w:rsidRPr="00DB2BF3">
          <w:rPr>
            <w:rStyle w:val="Hyperlink"/>
            <w:rFonts w:ascii="Times New Roman" w:hAnsi="Times New Roman" w:cs="Times New Roman"/>
          </w:rPr>
          <w:t>k/ukpga/1985/72</w:t>
        </w:r>
      </w:hyperlink>
      <w:r>
        <w:rPr>
          <w:rFonts w:ascii="Times New Roman" w:hAnsi="Times New Roman" w:cs="Times New Roman"/>
        </w:rPr>
        <w:t>. [Accessed 11</w:t>
      </w:r>
      <w:r w:rsidRPr="008F2057">
        <w:rPr>
          <w:rFonts w:ascii="Times New Roman" w:hAnsi="Times New Roman" w:cs="Times New Roman"/>
          <w:vertAlign w:val="superscript"/>
        </w:rPr>
        <w:t>th</w:t>
      </w:r>
      <w:r>
        <w:rPr>
          <w:rFonts w:ascii="Times New Roman" w:hAnsi="Times New Roman" w:cs="Times New Roman"/>
        </w:rPr>
        <w:t xml:space="preserve"> November 2019].</w:t>
      </w:r>
    </w:p>
    <w:p w14:paraId="07257D3C" w14:textId="77777777" w:rsidR="001224AF" w:rsidRDefault="001224AF" w:rsidP="001224AF">
      <w:pPr>
        <w:pStyle w:val="ListParagraph"/>
        <w:rPr>
          <w:rFonts w:ascii="Times New Roman" w:hAnsi="Times New Roman" w:cs="Times New Roman"/>
        </w:rPr>
      </w:pPr>
    </w:p>
    <w:p w14:paraId="44421A33" w14:textId="77777777" w:rsidR="001224AF" w:rsidRDefault="001224AF" w:rsidP="001224AF">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 Legislation.gov.uk (2019). </w:t>
      </w:r>
      <w:r>
        <w:rPr>
          <w:rFonts w:ascii="Times New Roman" w:hAnsi="Times New Roman" w:cs="Times New Roman"/>
          <w:i/>
        </w:rPr>
        <w:t xml:space="preserve">Health and Safety at Work etc. Act 1974. </w:t>
      </w:r>
      <w:r>
        <w:rPr>
          <w:rFonts w:ascii="Times New Roman" w:hAnsi="Times New Roman" w:cs="Times New Roman"/>
        </w:rPr>
        <w:t xml:space="preserve">Available at: </w:t>
      </w:r>
      <w:hyperlink r:id="rId20" w:history="1">
        <w:r w:rsidRPr="00DB2BF3">
          <w:rPr>
            <w:rStyle w:val="Hyperlink"/>
            <w:rFonts w:ascii="Times New Roman" w:hAnsi="Times New Roman" w:cs="Times New Roman"/>
          </w:rPr>
          <w:t>http://www.legislation.gov.uk/ukpga/1974/37/contents</w:t>
        </w:r>
      </w:hyperlink>
      <w:r>
        <w:rPr>
          <w:rFonts w:ascii="Times New Roman" w:hAnsi="Times New Roman" w:cs="Times New Roman"/>
        </w:rPr>
        <w:t>. [Accessed 11</w:t>
      </w:r>
      <w:r w:rsidRPr="008F2057">
        <w:rPr>
          <w:rFonts w:ascii="Times New Roman" w:hAnsi="Times New Roman" w:cs="Times New Roman"/>
          <w:vertAlign w:val="superscript"/>
        </w:rPr>
        <w:t>th</w:t>
      </w:r>
      <w:r>
        <w:rPr>
          <w:rFonts w:ascii="Times New Roman" w:hAnsi="Times New Roman" w:cs="Times New Roman"/>
        </w:rPr>
        <w:t xml:space="preserve"> November 2019].</w:t>
      </w:r>
    </w:p>
    <w:p w14:paraId="36F3E13B" w14:textId="77777777" w:rsidR="001224AF" w:rsidRDefault="001224AF" w:rsidP="001224AF">
      <w:pPr>
        <w:pStyle w:val="ListParagraph"/>
        <w:rPr>
          <w:rFonts w:ascii="Times New Roman" w:hAnsi="Times New Roman" w:cs="Times New Roman"/>
        </w:rPr>
      </w:pPr>
    </w:p>
    <w:p w14:paraId="451471F2" w14:textId="77777777" w:rsidR="001224AF" w:rsidRPr="006D6ED2" w:rsidRDefault="001224AF" w:rsidP="001224AF">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 Thomson Reuters Practical Law (2019). </w:t>
      </w:r>
      <w:r>
        <w:rPr>
          <w:rFonts w:ascii="Times New Roman" w:hAnsi="Times New Roman" w:cs="Times New Roman"/>
          <w:i/>
        </w:rPr>
        <w:t xml:space="preserve">Gaming in the UK (England and Wales). </w:t>
      </w:r>
      <w:r>
        <w:rPr>
          <w:rFonts w:ascii="Times New Roman" w:hAnsi="Times New Roman" w:cs="Times New Roman"/>
        </w:rPr>
        <w:t xml:space="preserve">  Available at:</w:t>
      </w:r>
      <w:hyperlink r:id="rId21" w:history="1">
        <w:r w:rsidRPr="00DB2BF3">
          <w:rPr>
            <w:rStyle w:val="Hyperlink"/>
            <w:rFonts w:ascii="Times New Roman" w:hAnsi="Times New Roman" w:cs="Times New Roman"/>
          </w:rPr>
          <w:t>https://uk.practicallaw.thomsonreuters.com/6-634-9345?transitionType=Default&amp;contextData=(sc.Default)&amp;firstPage=true&amp;bhcp=1</w:t>
        </w:r>
      </w:hyperlink>
      <w:r>
        <w:rPr>
          <w:rFonts w:ascii="Times New Roman" w:hAnsi="Times New Roman" w:cs="Times New Roman"/>
        </w:rPr>
        <w:t>. [Accessed 11</w:t>
      </w:r>
      <w:r w:rsidRPr="00B948F2">
        <w:rPr>
          <w:rFonts w:ascii="Times New Roman" w:hAnsi="Times New Roman" w:cs="Times New Roman"/>
          <w:vertAlign w:val="superscript"/>
        </w:rPr>
        <w:t>th</w:t>
      </w:r>
      <w:r>
        <w:rPr>
          <w:rFonts w:ascii="Times New Roman" w:hAnsi="Times New Roman" w:cs="Times New Roman"/>
        </w:rPr>
        <w:t xml:space="preserve"> November 2019].</w:t>
      </w:r>
    </w:p>
    <w:p w14:paraId="5A50585A" w14:textId="77777777" w:rsidR="001224AF" w:rsidRPr="001224AF" w:rsidRDefault="001224AF" w:rsidP="001224AF">
      <w:pPr>
        <w:jc w:val="both"/>
        <w:rPr>
          <w:rFonts w:cs="Arial"/>
          <w:sz w:val="24"/>
          <w:szCs w:val="24"/>
          <w:u w:val="single"/>
        </w:rPr>
      </w:pP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9DECD" w14:textId="77777777" w:rsidR="00BF2A83" w:rsidRDefault="00BF2A83" w:rsidP="0095454D">
      <w:pPr>
        <w:spacing w:after="0" w:line="240" w:lineRule="auto"/>
      </w:pPr>
      <w:r>
        <w:separator/>
      </w:r>
    </w:p>
  </w:endnote>
  <w:endnote w:type="continuationSeparator" w:id="0">
    <w:p w14:paraId="76A85856" w14:textId="77777777" w:rsidR="00BF2A83" w:rsidRDefault="00BF2A83"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4EB41" w14:textId="77777777" w:rsidR="00BF2A83" w:rsidRDefault="00BF2A83" w:rsidP="0095454D">
      <w:pPr>
        <w:spacing w:after="0" w:line="240" w:lineRule="auto"/>
      </w:pPr>
      <w:r>
        <w:separator/>
      </w:r>
    </w:p>
  </w:footnote>
  <w:footnote w:type="continuationSeparator" w:id="0">
    <w:p w14:paraId="30312D2D" w14:textId="77777777" w:rsidR="00BF2A83" w:rsidRDefault="00BF2A83"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977F22"/>
    <w:multiLevelType w:val="hybridMultilevel"/>
    <w:tmpl w:val="BA640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D133C"/>
    <w:rsid w:val="001224AF"/>
    <w:rsid w:val="0013693F"/>
    <w:rsid w:val="001438FD"/>
    <w:rsid w:val="001A161E"/>
    <w:rsid w:val="001E5CEE"/>
    <w:rsid w:val="002A3A20"/>
    <w:rsid w:val="00334906"/>
    <w:rsid w:val="00367A62"/>
    <w:rsid w:val="004002F3"/>
    <w:rsid w:val="004C30DB"/>
    <w:rsid w:val="004E0774"/>
    <w:rsid w:val="00580151"/>
    <w:rsid w:val="00591468"/>
    <w:rsid w:val="0062771E"/>
    <w:rsid w:val="00672C2C"/>
    <w:rsid w:val="006738D0"/>
    <w:rsid w:val="006A2A06"/>
    <w:rsid w:val="007413DA"/>
    <w:rsid w:val="00811982"/>
    <w:rsid w:val="008B713B"/>
    <w:rsid w:val="0095454D"/>
    <w:rsid w:val="00971B5F"/>
    <w:rsid w:val="00A22FBD"/>
    <w:rsid w:val="00A73A00"/>
    <w:rsid w:val="00A972A8"/>
    <w:rsid w:val="00B1745D"/>
    <w:rsid w:val="00B24E3E"/>
    <w:rsid w:val="00B609D0"/>
    <w:rsid w:val="00B820FC"/>
    <w:rsid w:val="00BF2A83"/>
    <w:rsid w:val="00BF4C15"/>
    <w:rsid w:val="00C4146B"/>
    <w:rsid w:val="00CA76BF"/>
    <w:rsid w:val="00CD77F0"/>
    <w:rsid w:val="00D24095"/>
    <w:rsid w:val="00DA46F0"/>
    <w:rsid w:val="00DE48FC"/>
    <w:rsid w:val="00F02D4E"/>
    <w:rsid w:val="00F12200"/>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FollowedHyperlink">
    <w:name w:val="FollowedHyperlink"/>
    <w:basedOn w:val="DefaultParagraphFont"/>
    <w:uiPriority w:val="99"/>
    <w:semiHidden/>
    <w:unhideWhenUsed/>
    <w:rsid w:val="001224AF"/>
    <w:rPr>
      <w:color w:val="800080" w:themeColor="followedHyperlink"/>
      <w:u w:val="single"/>
    </w:rPr>
  </w:style>
  <w:style w:type="character" w:styleId="UnresolvedMention">
    <w:name w:val="Unresolved Mention"/>
    <w:basedOn w:val="DefaultParagraphFont"/>
    <w:uiPriority w:val="99"/>
    <w:semiHidden/>
    <w:unhideWhenUsed/>
    <w:rsid w:val="00D24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48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www.hse.gov.uk/legislation/hswa.htm" TargetMode="External"/><Relationship Id="rId3" Type="http://schemas.openxmlformats.org/officeDocument/2006/relationships/customXml" Target="../customXml/item3.xml"/><Relationship Id="rId21" Type="http://schemas.openxmlformats.org/officeDocument/2006/relationships/hyperlink" Target="https://uk.practicallaw.thomsonreuters.com/6-634-9345?transitionType=Default&amp;contextData=(sc.Default)&amp;firstPage=true&amp;bhcp=1"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gamblingcommission.gov.uk/for-licensing-authorities/Licensing-authority-toolkit/Pubs-and-clubs/Club-gaming-and-machine-permits.aspx" TargetMode="External"/><Relationship Id="rId2" Type="http://schemas.openxmlformats.org/officeDocument/2006/relationships/customXml" Target="../customXml/item2.xml"/><Relationship Id="rId16" Type="http://schemas.openxmlformats.org/officeDocument/2006/relationships/hyperlink" Target="https://www.gamblingcommission.gov.uk/Footer/Gambling-related-legislation.aspx" TargetMode="External"/><Relationship Id="rId20" Type="http://schemas.openxmlformats.org/officeDocument/2006/relationships/hyperlink" Target="http://www.legislation.gov.uk/ukpga/1974/37/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legislation.gov.uk/ukpga/1985/7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Microsoft Office User</cp:lastModifiedBy>
  <cp:revision>13</cp:revision>
  <dcterms:created xsi:type="dcterms:W3CDTF">2019-09-29T20:10:00Z</dcterms:created>
  <dcterms:modified xsi:type="dcterms:W3CDTF">2019-12-10T12:07:00Z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