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300006" w14:textId="77777777" w:rsidR="008C0636" w:rsidRDefault="008C0636" w:rsidP="008C0636">
      <w:r>
        <w:rPr>
          <w:noProof/>
        </w:rPr>
        <w:drawing>
          <wp:anchor distT="0" distB="0" distL="114300" distR="114300" simplePos="0" relativeHeight="251659264" behindDoc="1" locked="0" layoutInCell="1" allowOverlap="1" wp14:anchorId="5784E7B3" wp14:editId="20B9A6B4">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7">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4E7DE721" w14:textId="77777777" w:rsidR="008C0636" w:rsidRDefault="008C0636" w:rsidP="008C0636"/>
    <w:p w14:paraId="4F18CDFB" w14:textId="77777777" w:rsidR="008C0636" w:rsidRDefault="008C0636" w:rsidP="008C0636"/>
    <w:p w14:paraId="05A2ECBB" w14:textId="77777777" w:rsidR="008C0636" w:rsidRDefault="008C0636" w:rsidP="008C0636"/>
    <w:p w14:paraId="56606D8A" w14:textId="77777777" w:rsidR="008C0636" w:rsidRDefault="008C0636" w:rsidP="008C0636">
      <w:pPr>
        <w:ind w:right="1229"/>
      </w:pPr>
    </w:p>
    <w:p w14:paraId="4C573C65" w14:textId="77777777" w:rsidR="008C0636" w:rsidRPr="00063B4C" w:rsidRDefault="008C0636" w:rsidP="008C0636">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49B4D2CC" w14:textId="77777777" w:rsidR="008C0636" w:rsidRPr="00063B4C" w:rsidRDefault="008C0636" w:rsidP="008C0636">
      <w:pPr>
        <w:pStyle w:val="BodyText"/>
        <w:jc w:val="center"/>
        <w:rPr>
          <w:rFonts w:ascii="Aptos" w:hAnsi="Aptos" w:cs="Arial"/>
          <w:sz w:val="20"/>
        </w:rPr>
      </w:pPr>
    </w:p>
    <w:p w14:paraId="3907A95C" w14:textId="77777777" w:rsidR="008C0636" w:rsidRPr="00063B4C" w:rsidRDefault="008C0636" w:rsidP="008C0636">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75F912AC" w14:textId="77777777" w:rsidR="008C0636" w:rsidRPr="00063B4C" w:rsidRDefault="008C0636" w:rsidP="008C0636">
      <w:pPr>
        <w:spacing w:line="1342" w:lineRule="exac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6F4E5208" w14:textId="77777777" w:rsidR="008C0636" w:rsidRDefault="008C0636" w:rsidP="008C0636"/>
    <w:p w14:paraId="2AADFF5C" w14:textId="77777777" w:rsidR="008C0636" w:rsidRDefault="008C0636" w:rsidP="008C0636">
      <w:pPr>
        <w:pStyle w:val="Heading1"/>
        <w:rPr>
          <w:rFonts w:ascii="Aptos" w:hAnsi="Aptos"/>
        </w:rPr>
      </w:pPr>
    </w:p>
    <w:p w14:paraId="702A2909" w14:textId="77777777" w:rsidR="008C0636" w:rsidRPr="00063B4C" w:rsidRDefault="008C0636" w:rsidP="00D3461B">
      <w:pPr>
        <w:pStyle w:val="Heading1"/>
        <w:jc w:val="left"/>
        <w:rPr>
          <w:rFonts w:ascii="Aptos" w:hAnsi="Aptos"/>
        </w:rPr>
      </w:pPr>
      <w:bookmarkStart w:id="0" w:name="_Toc236054985"/>
      <w:r w:rsidRPr="00063B4C">
        <w:rPr>
          <w:rFonts w:ascii="Aptos" w:hAnsi="Aptos"/>
        </w:rPr>
        <w:t>Disclaimer</w:t>
      </w:r>
      <w:bookmarkEnd w:id="0"/>
    </w:p>
    <w:p w14:paraId="1C753C74" w14:textId="77777777" w:rsidR="008C0636" w:rsidRPr="00D3461B" w:rsidRDefault="008C0636" w:rsidP="008C0636">
      <w:pPr>
        <w:spacing w:before="62"/>
        <w:ind w:right="96"/>
        <w:rPr>
          <w:rFonts w:ascii="Arial" w:hAnsi="Arial" w:cs="Arial"/>
          <w:sz w:val="22"/>
          <w:szCs w:val="22"/>
        </w:rPr>
      </w:pPr>
      <w:r w:rsidRPr="00D3461B">
        <w:rPr>
          <w:rFonts w:ascii="Arial" w:hAnsi="Arial" w:cs="Arial"/>
          <w:sz w:val="22"/>
          <w:szCs w:val="22"/>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589CDD1F" w14:textId="77777777" w:rsidR="008C0636" w:rsidRDefault="008C0636" w:rsidP="008C0636">
      <w:pPr>
        <w:rPr>
          <w:rFonts w:eastAsia="Times New Roman" w:cs="Arial"/>
          <w:b/>
          <w:sz w:val="28"/>
          <w:szCs w:val="28"/>
        </w:rPr>
      </w:pPr>
    </w:p>
    <w:p w14:paraId="4CA34B5C" w14:textId="77777777" w:rsidR="00961253" w:rsidRDefault="00961253" w:rsidP="008C0636">
      <w:pPr>
        <w:rPr>
          <w:rFonts w:eastAsia="Times New Roman" w:cs="Arial"/>
          <w:b/>
          <w:sz w:val="28"/>
          <w:szCs w:val="28"/>
        </w:rPr>
      </w:pPr>
    </w:p>
    <w:p w14:paraId="14DBC3D5" w14:textId="77777777" w:rsidR="008C0636" w:rsidRPr="0073280B" w:rsidRDefault="008C0636" w:rsidP="00D3461B">
      <w:pPr>
        <w:pStyle w:val="Heading1"/>
        <w:jc w:val="left"/>
      </w:pPr>
      <w:bookmarkStart w:id="1" w:name="_Toc236054986"/>
      <w:r w:rsidRPr="0073280B">
        <w:lastRenderedPageBreak/>
        <w:t>DECLARATION</w:t>
      </w:r>
      <w:bookmarkEnd w:id="1"/>
    </w:p>
    <w:p w14:paraId="4DF4867D" w14:textId="77777777" w:rsidR="008C0636" w:rsidRPr="00604A87" w:rsidRDefault="008C0636" w:rsidP="008C0636">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8D84785" w14:textId="284BA1C0" w:rsidR="008C0636" w:rsidRPr="00604A87" w:rsidRDefault="002038E7" w:rsidP="008C0636">
      <w:pPr>
        <w:rPr>
          <w:rFonts w:eastAsia="Times New Roman" w:cs="Arial"/>
        </w:rPr>
      </w:pPr>
      <w:r w:rsidRPr="00651CD6">
        <w:rPr>
          <w:rFonts w:eastAsia="Times New Roman" w:cs="Arial"/>
          <w:b/>
          <w:bCs/>
        </w:rPr>
        <w:t>Signed:</w:t>
      </w:r>
      <w:r>
        <w:rPr>
          <w:rFonts w:eastAsia="Times New Roman" w:cs="Arial"/>
        </w:rPr>
        <w:t xml:space="preserve"> </w:t>
      </w:r>
      <w:r w:rsidR="00A8285B">
        <w:rPr>
          <w:rFonts w:eastAsia="Times New Roman" w:cs="Arial"/>
        </w:rPr>
        <w:t>LUCRESHA LEWIS</w:t>
      </w:r>
      <w:r w:rsidR="008C0636" w:rsidRPr="00604A87">
        <w:rPr>
          <w:rFonts w:eastAsia="Times New Roman" w:cs="Arial"/>
        </w:rPr>
        <w:t>……………………………………</w:t>
      </w:r>
    </w:p>
    <w:p w14:paraId="5C3C988D" w14:textId="327A7E52" w:rsidR="008C0636" w:rsidRPr="00604A87" w:rsidRDefault="008C0636" w:rsidP="008C0636">
      <w:pPr>
        <w:rPr>
          <w:rFonts w:eastAsia="Times New Roman" w:cs="Arial"/>
        </w:rPr>
      </w:pPr>
      <w:r w:rsidRPr="00B42777">
        <w:rPr>
          <w:rFonts w:eastAsia="Times New Roman" w:cs="Arial"/>
          <w:b/>
          <w:bCs/>
        </w:rPr>
        <w:t>Date</w:t>
      </w:r>
      <w:r w:rsidR="00B42777" w:rsidRPr="00A8285B">
        <w:rPr>
          <w:rFonts w:eastAsia="Times New Roman" w:cs="Arial"/>
        </w:rPr>
        <w:t>:</w:t>
      </w:r>
      <w:r w:rsidR="00B34509" w:rsidRPr="00A8285B">
        <w:rPr>
          <w:rFonts w:eastAsia="Times New Roman" w:cs="Arial"/>
        </w:rPr>
        <w:t>29.07</w:t>
      </w:r>
      <w:r w:rsidR="00651CD6" w:rsidRPr="00A8285B">
        <w:rPr>
          <w:rFonts w:eastAsia="Times New Roman" w:cs="Arial"/>
        </w:rPr>
        <w:t>.2026</w:t>
      </w:r>
      <w:r w:rsidRPr="00A8285B">
        <w:rPr>
          <w:rFonts w:eastAsia="Times New Roman" w:cs="Arial"/>
        </w:rPr>
        <w:t>………………………………………………</w:t>
      </w:r>
    </w:p>
    <w:p w14:paraId="1BB52DE5" w14:textId="77777777" w:rsidR="008C0636" w:rsidRPr="00604A87" w:rsidRDefault="008C0636" w:rsidP="008C0636">
      <w:pPr>
        <w:rPr>
          <w:rFonts w:eastAsia="Times New Roman" w:cs="Arial"/>
          <w:bCs/>
          <w:kern w:val="32"/>
        </w:rPr>
      </w:pPr>
      <w:r w:rsidRPr="00604A87">
        <w:rPr>
          <w:rFonts w:eastAsia="Times New Roman" w:cs="Arial"/>
          <w:b/>
        </w:rPr>
        <w:t xml:space="preserve">STATEMENT 1 </w:t>
      </w:r>
    </w:p>
    <w:p w14:paraId="10AE6769" w14:textId="77777777" w:rsidR="008C0636" w:rsidRPr="00604A87" w:rsidRDefault="008C0636" w:rsidP="008C0636">
      <w:pPr>
        <w:rPr>
          <w:rFonts w:eastAsia="Times New Roman" w:cs="Arial"/>
        </w:rPr>
      </w:pPr>
      <w:r w:rsidRPr="00604A87">
        <w:rPr>
          <w:rFonts w:eastAsia="Times New Roman" w:cs="Arial"/>
        </w:rPr>
        <w:t>This dissertation is being submitted in partial fulfilment of the requirements for the degree of BSc.</w:t>
      </w:r>
    </w:p>
    <w:p w14:paraId="0DC1E9FC" w14:textId="7624E609" w:rsidR="008C0636" w:rsidRPr="003F528F" w:rsidRDefault="003F528F" w:rsidP="008C0636">
      <w:pPr>
        <w:rPr>
          <w:rFonts w:eastAsia="Times New Roman" w:cs="Arial"/>
          <w:b/>
          <w:bCs/>
        </w:rPr>
      </w:pPr>
      <w:r w:rsidRPr="003F528F">
        <w:rPr>
          <w:rFonts w:eastAsia="Times New Roman" w:cs="Arial"/>
          <w:b/>
          <w:bCs/>
        </w:rPr>
        <w:t>Signed</w:t>
      </w:r>
      <w:r w:rsidRPr="003F528F">
        <w:rPr>
          <w:rFonts w:eastAsia="Times New Roman" w:cs="Arial"/>
        </w:rPr>
        <w:t>: LUCRESHA LEWIS</w:t>
      </w:r>
      <w:r w:rsidR="008C0636" w:rsidRPr="003F528F">
        <w:rPr>
          <w:rFonts w:eastAsia="Times New Roman" w:cs="Arial"/>
        </w:rPr>
        <w:t>……………………………………….</w:t>
      </w:r>
      <w:r w:rsidR="008C0636" w:rsidRPr="003F528F">
        <w:rPr>
          <w:rFonts w:eastAsia="Times New Roman" w:cs="Arial"/>
          <w:b/>
          <w:bCs/>
        </w:rPr>
        <w:t xml:space="preserve"> </w:t>
      </w:r>
    </w:p>
    <w:p w14:paraId="633A1CEC" w14:textId="12DFB419" w:rsidR="008C0636" w:rsidRPr="00604A87" w:rsidRDefault="008C0636" w:rsidP="008C0636">
      <w:pPr>
        <w:rPr>
          <w:rFonts w:eastAsia="Times New Roman" w:cs="Arial"/>
        </w:rPr>
      </w:pPr>
      <w:r w:rsidRPr="002D1BE9">
        <w:rPr>
          <w:rFonts w:eastAsia="Times New Roman" w:cs="Arial"/>
          <w:b/>
          <w:bCs/>
        </w:rPr>
        <w:t>Date</w:t>
      </w:r>
      <w:r w:rsidR="002D1BE9">
        <w:rPr>
          <w:rFonts w:eastAsia="Times New Roman" w:cs="Arial"/>
          <w:b/>
          <w:bCs/>
        </w:rPr>
        <w:t>:</w:t>
      </w:r>
      <w:r w:rsidR="00A8285B" w:rsidRPr="00A8285B">
        <w:rPr>
          <w:rFonts w:eastAsia="Times New Roman" w:cs="Arial"/>
        </w:rPr>
        <w:t>29.0</w:t>
      </w:r>
      <w:r w:rsidR="001347F9">
        <w:rPr>
          <w:rFonts w:eastAsia="Times New Roman" w:cs="Arial"/>
        </w:rPr>
        <w:t>7</w:t>
      </w:r>
      <w:r w:rsidR="00A8285B" w:rsidRPr="00A8285B">
        <w:rPr>
          <w:rFonts w:eastAsia="Times New Roman" w:cs="Arial"/>
        </w:rPr>
        <w:t>.2026</w:t>
      </w:r>
      <w:r w:rsidRPr="00A8285B">
        <w:rPr>
          <w:rFonts w:eastAsia="Times New Roman" w:cs="Arial"/>
        </w:rPr>
        <w:t>………………………………………………</w:t>
      </w:r>
    </w:p>
    <w:p w14:paraId="4774624D" w14:textId="77777777" w:rsidR="008C0636" w:rsidRPr="00604A87" w:rsidRDefault="008C0636" w:rsidP="008C0636">
      <w:pPr>
        <w:rPr>
          <w:rFonts w:eastAsia="Times New Roman" w:cs="Arial"/>
        </w:rPr>
      </w:pPr>
      <w:r w:rsidRPr="00604A87">
        <w:rPr>
          <w:rFonts w:eastAsia="Times New Roman" w:cs="Arial"/>
          <w:b/>
        </w:rPr>
        <w:t>STATEMENT 2</w:t>
      </w:r>
    </w:p>
    <w:p w14:paraId="56EBF246" w14:textId="77777777" w:rsidR="008C0636" w:rsidRPr="00604A87" w:rsidRDefault="008C0636" w:rsidP="008C0636">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4BA3A27" w14:textId="357D802D" w:rsidR="008C0636" w:rsidRPr="006802A2" w:rsidRDefault="006802A2" w:rsidP="008C0636">
      <w:pPr>
        <w:rPr>
          <w:rFonts w:eastAsia="Times New Roman" w:cs="Arial"/>
          <w:b/>
          <w:bCs/>
        </w:rPr>
      </w:pPr>
      <w:r w:rsidRPr="00A82680">
        <w:rPr>
          <w:rFonts w:eastAsia="Times New Roman" w:cs="Arial"/>
          <w:b/>
          <w:bCs/>
        </w:rPr>
        <w:t>Signed</w:t>
      </w:r>
      <w:r w:rsidRPr="006802A2">
        <w:rPr>
          <w:rFonts w:eastAsia="Times New Roman" w:cs="Arial"/>
          <w:b/>
          <w:bCs/>
        </w:rPr>
        <w:t>:</w:t>
      </w:r>
      <w:r w:rsidR="001D6F5E">
        <w:rPr>
          <w:rFonts w:eastAsia="Times New Roman" w:cs="Arial"/>
          <w:b/>
          <w:bCs/>
        </w:rPr>
        <w:t xml:space="preserve"> </w:t>
      </w:r>
      <w:r w:rsidR="001D6F5E" w:rsidRPr="001D6F5E">
        <w:rPr>
          <w:rFonts w:eastAsia="Times New Roman" w:cs="Arial"/>
        </w:rPr>
        <w:t>LUCRESHA LEWIS</w:t>
      </w:r>
      <w:r w:rsidR="008C0636" w:rsidRPr="006802A2">
        <w:rPr>
          <w:rFonts w:eastAsia="Times New Roman" w:cs="Arial"/>
          <w:b/>
          <w:bCs/>
        </w:rPr>
        <w:t>…………………………………………</w:t>
      </w:r>
    </w:p>
    <w:p w14:paraId="6755B206" w14:textId="2A83D01A" w:rsidR="008C0636" w:rsidRPr="00BA3CBC" w:rsidRDefault="00BA3CBC" w:rsidP="008C0636">
      <w:pPr>
        <w:rPr>
          <w:rFonts w:eastAsia="Times New Roman" w:cs="Arial"/>
          <w:b/>
          <w:bCs/>
        </w:rPr>
      </w:pPr>
      <w:r w:rsidRPr="008E09F9">
        <w:rPr>
          <w:rFonts w:eastAsia="Times New Roman" w:cs="Arial"/>
          <w:b/>
          <w:bCs/>
        </w:rPr>
        <w:t>Date:</w:t>
      </w:r>
      <w:r w:rsidR="008E09F9">
        <w:rPr>
          <w:rFonts w:eastAsia="Times New Roman" w:cs="Arial"/>
          <w:b/>
          <w:bCs/>
        </w:rPr>
        <w:t xml:space="preserve"> </w:t>
      </w:r>
      <w:r w:rsidR="00A82680">
        <w:rPr>
          <w:rFonts w:eastAsia="Times New Roman" w:cs="Arial"/>
        </w:rPr>
        <w:t>29.0</w:t>
      </w:r>
      <w:r w:rsidR="001347F9">
        <w:rPr>
          <w:rFonts w:eastAsia="Times New Roman" w:cs="Arial"/>
        </w:rPr>
        <w:t>7</w:t>
      </w:r>
      <w:r w:rsidR="00A82680">
        <w:rPr>
          <w:rFonts w:eastAsia="Times New Roman" w:cs="Arial"/>
        </w:rPr>
        <w:t>.</w:t>
      </w:r>
      <w:r w:rsidR="00A41311">
        <w:rPr>
          <w:rFonts w:eastAsia="Times New Roman" w:cs="Arial"/>
        </w:rPr>
        <w:t>2026</w:t>
      </w:r>
      <w:r w:rsidR="008C0636" w:rsidRPr="008E09F9">
        <w:rPr>
          <w:rFonts w:eastAsia="Times New Roman" w:cs="Arial"/>
        </w:rPr>
        <w:t>…………………………………………</w:t>
      </w:r>
      <w:r w:rsidR="008C0636" w:rsidRPr="00BA3CBC">
        <w:rPr>
          <w:rFonts w:eastAsia="Times New Roman" w:cs="Arial"/>
          <w:b/>
          <w:bCs/>
        </w:rPr>
        <w:t xml:space="preserve"> </w:t>
      </w:r>
    </w:p>
    <w:p w14:paraId="5D9B716F" w14:textId="77777777" w:rsidR="008C0636" w:rsidRPr="00604A87" w:rsidRDefault="008C0636" w:rsidP="008C0636">
      <w:pPr>
        <w:rPr>
          <w:rFonts w:eastAsia="Times New Roman" w:cs="Arial"/>
        </w:rPr>
      </w:pPr>
      <w:r w:rsidRPr="00604A87">
        <w:rPr>
          <w:rFonts w:eastAsia="Times New Roman" w:cs="Arial"/>
          <w:b/>
        </w:rPr>
        <w:t>STATEMENT 3</w:t>
      </w:r>
    </w:p>
    <w:p w14:paraId="2F5BA6B0" w14:textId="77777777" w:rsidR="008C0636" w:rsidRPr="00604A87" w:rsidRDefault="008C0636" w:rsidP="008C0636">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6A166EF9" w14:textId="316FE137" w:rsidR="008C0636" w:rsidRPr="00A41311" w:rsidRDefault="008C0636" w:rsidP="008C0636">
      <w:pPr>
        <w:rPr>
          <w:rFonts w:eastAsia="Times New Roman" w:cs="Arial"/>
          <w:b/>
          <w:bCs/>
        </w:rPr>
      </w:pPr>
      <w:r w:rsidRPr="00A41311">
        <w:rPr>
          <w:rFonts w:eastAsia="Times New Roman" w:cs="Arial"/>
          <w:b/>
          <w:bCs/>
        </w:rPr>
        <w:t>Signed</w:t>
      </w:r>
      <w:r w:rsidR="00A41311" w:rsidRPr="00984028">
        <w:rPr>
          <w:rFonts w:eastAsia="Times New Roman" w:cs="Arial"/>
        </w:rPr>
        <w:t>:</w:t>
      </w:r>
      <w:r w:rsidR="00984028">
        <w:rPr>
          <w:rFonts w:eastAsia="Times New Roman" w:cs="Arial"/>
        </w:rPr>
        <w:t xml:space="preserve"> </w:t>
      </w:r>
      <w:r w:rsidR="00984028" w:rsidRPr="00984028">
        <w:rPr>
          <w:rFonts w:eastAsia="Times New Roman" w:cs="Arial"/>
        </w:rPr>
        <w:t>LUCRESHA LEWIS</w:t>
      </w:r>
      <w:r w:rsidRPr="00984028">
        <w:rPr>
          <w:rFonts w:eastAsia="Times New Roman" w:cs="Arial"/>
        </w:rPr>
        <w:t>……………………………………………</w:t>
      </w:r>
    </w:p>
    <w:p w14:paraId="79AC39C5" w14:textId="49D86BC4" w:rsidR="008C0636" w:rsidRPr="00E516A1" w:rsidRDefault="008C0636" w:rsidP="008C063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b/>
          <w:bCs/>
        </w:rPr>
      </w:pPr>
      <w:r w:rsidRPr="00E516A1">
        <w:rPr>
          <w:rFonts w:eastAsia="Times New Roman" w:cs="Arial"/>
          <w:b/>
          <w:bCs/>
        </w:rPr>
        <w:t>Date</w:t>
      </w:r>
      <w:r w:rsidR="00E516A1" w:rsidRPr="00E516A1">
        <w:rPr>
          <w:rFonts w:eastAsia="Times New Roman" w:cs="Arial"/>
          <w:b/>
          <w:bCs/>
        </w:rPr>
        <w:t>:</w:t>
      </w:r>
      <w:r w:rsidR="00035D9C" w:rsidRPr="00035D9C">
        <w:rPr>
          <w:rFonts w:eastAsia="Times New Roman" w:cs="Arial"/>
        </w:rPr>
        <w:t>29.0</w:t>
      </w:r>
      <w:r w:rsidR="001347F9">
        <w:rPr>
          <w:rFonts w:eastAsia="Times New Roman" w:cs="Arial"/>
        </w:rPr>
        <w:t>7</w:t>
      </w:r>
      <w:r w:rsidR="00035D9C" w:rsidRPr="00035D9C">
        <w:rPr>
          <w:rFonts w:eastAsia="Times New Roman" w:cs="Arial"/>
        </w:rPr>
        <w:t>.2026</w:t>
      </w:r>
      <w:r w:rsidRPr="00035D9C">
        <w:rPr>
          <w:rFonts w:eastAsia="Times New Roman" w:cs="Arial"/>
        </w:rPr>
        <w:t>…………………………………………………</w:t>
      </w:r>
    </w:p>
    <w:p w14:paraId="5F31294F" w14:textId="77777777" w:rsidR="008C0636" w:rsidRPr="00604A87" w:rsidRDefault="008C0636" w:rsidP="008C0636">
      <w:pPr>
        <w:rPr>
          <w:rFonts w:eastAsia="Times New Roman" w:cs="Arial"/>
          <w:b/>
        </w:rPr>
      </w:pPr>
      <w:r w:rsidRPr="00604A87">
        <w:rPr>
          <w:rFonts w:eastAsia="Times New Roman" w:cs="Arial"/>
          <w:b/>
        </w:rPr>
        <w:t>STATEMENT 4</w:t>
      </w:r>
    </w:p>
    <w:p w14:paraId="7C0AA785" w14:textId="77777777" w:rsidR="008C0636" w:rsidRPr="00604A87" w:rsidRDefault="008C0636" w:rsidP="008C0636">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3FC981C4" w14:textId="0D30E69A" w:rsidR="008C0636" w:rsidRPr="00604A87" w:rsidRDefault="008C0636" w:rsidP="008C0636">
      <w:pPr>
        <w:rPr>
          <w:rFonts w:eastAsia="Times New Roman" w:cs="Arial"/>
        </w:rPr>
      </w:pPr>
      <w:r w:rsidRPr="00B006BF">
        <w:rPr>
          <w:rFonts w:eastAsia="Times New Roman" w:cs="Arial"/>
          <w:b/>
          <w:bCs/>
        </w:rPr>
        <w:t>Signed</w:t>
      </w:r>
      <w:r w:rsidR="00B53153">
        <w:rPr>
          <w:rFonts w:eastAsia="Times New Roman" w:cs="Arial"/>
          <w:b/>
          <w:bCs/>
        </w:rPr>
        <w:t xml:space="preserve">: </w:t>
      </w:r>
      <w:r w:rsidR="00B53153" w:rsidRPr="00C24F92">
        <w:rPr>
          <w:rFonts w:eastAsia="Times New Roman" w:cs="Arial"/>
        </w:rPr>
        <w:t>LUC</w:t>
      </w:r>
      <w:r w:rsidR="00C24F92" w:rsidRPr="00C24F92">
        <w:rPr>
          <w:rFonts w:eastAsia="Times New Roman" w:cs="Arial"/>
        </w:rPr>
        <w:t>RESHA LEWIS</w:t>
      </w:r>
      <w:r w:rsidRPr="00C24F92">
        <w:rPr>
          <w:rFonts w:eastAsia="Times New Roman" w:cs="Arial"/>
        </w:rPr>
        <w:t>………………………………………………</w:t>
      </w:r>
    </w:p>
    <w:p w14:paraId="30841E23" w14:textId="015BCC2D" w:rsidR="008C0636" w:rsidRPr="00B006BF" w:rsidRDefault="008C0636" w:rsidP="008C063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B006BF">
        <w:rPr>
          <w:rFonts w:eastAsia="Times New Roman" w:cs="Arial"/>
          <w:b/>
          <w:bCs/>
        </w:rPr>
        <w:t>Date</w:t>
      </w:r>
      <w:r w:rsidR="00C718D1">
        <w:rPr>
          <w:rFonts w:eastAsia="Times New Roman" w:cs="Arial"/>
        </w:rPr>
        <w:t xml:space="preserve"> 29.0</w:t>
      </w:r>
      <w:r w:rsidR="00D9779A">
        <w:rPr>
          <w:rFonts w:eastAsia="Times New Roman" w:cs="Arial"/>
        </w:rPr>
        <w:t>7</w:t>
      </w:r>
      <w:r w:rsidR="00C718D1">
        <w:rPr>
          <w:rFonts w:eastAsia="Times New Roman" w:cs="Arial"/>
        </w:rPr>
        <w:t>.2</w:t>
      </w:r>
      <w:r w:rsidR="00B53153">
        <w:rPr>
          <w:rFonts w:eastAsia="Times New Roman" w:cs="Arial"/>
        </w:rPr>
        <w:t>026</w:t>
      </w:r>
      <w:r w:rsidRPr="00B006BF">
        <w:rPr>
          <w:rFonts w:eastAsia="Times New Roman" w:cs="Arial"/>
        </w:rPr>
        <w:t>…………………………………………………</w:t>
      </w:r>
    </w:p>
    <w:p w14:paraId="35F778D7" w14:textId="77777777" w:rsidR="00DB09AE" w:rsidRDefault="00DB09AE" w:rsidP="003E3922">
      <w:pPr>
        <w:spacing w:line="360" w:lineRule="auto"/>
        <w:jc w:val="center"/>
        <w:rPr>
          <w:rFonts w:ascii="Arial" w:eastAsia="Arial" w:hAnsi="Arial" w:cs="Arial"/>
          <w:b/>
          <w:bCs/>
          <w:sz w:val="22"/>
          <w:szCs w:val="22"/>
        </w:rPr>
      </w:pPr>
    </w:p>
    <w:p w14:paraId="71E39AE2" w14:textId="77777777" w:rsidR="00DB09AE" w:rsidRDefault="00DB09AE" w:rsidP="003E3922">
      <w:pPr>
        <w:spacing w:line="360" w:lineRule="auto"/>
        <w:jc w:val="center"/>
        <w:rPr>
          <w:rFonts w:ascii="Arial" w:eastAsia="Arial" w:hAnsi="Arial" w:cs="Arial"/>
          <w:b/>
          <w:bCs/>
          <w:sz w:val="22"/>
          <w:szCs w:val="22"/>
        </w:rPr>
      </w:pPr>
    </w:p>
    <w:p w14:paraId="43B9B495" w14:textId="77777777" w:rsidR="00DB09AE" w:rsidRDefault="00DB09AE" w:rsidP="003E3922">
      <w:pPr>
        <w:spacing w:line="360" w:lineRule="auto"/>
        <w:jc w:val="center"/>
        <w:rPr>
          <w:rFonts w:ascii="Arial" w:eastAsia="Arial" w:hAnsi="Arial" w:cs="Arial"/>
          <w:b/>
          <w:bCs/>
          <w:sz w:val="22"/>
          <w:szCs w:val="22"/>
        </w:rPr>
      </w:pPr>
    </w:p>
    <w:p w14:paraId="465181EF" w14:textId="77777777" w:rsidR="00DB09AE" w:rsidRDefault="00DB09AE" w:rsidP="003E3922">
      <w:pPr>
        <w:spacing w:line="360" w:lineRule="auto"/>
        <w:jc w:val="center"/>
        <w:rPr>
          <w:rFonts w:ascii="Arial" w:eastAsia="Arial" w:hAnsi="Arial" w:cs="Arial"/>
          <w:b/>
          <w:bCs/>
          <w:sz w:val="22"/>
          <w:szCs w:val="22"/>
        </w:rPr>
      </w:pPr>
    </w:p>
    <w:p w14:paraId="3FF28471" w14:textId="77777777" w:rsidR="00DB09AE" w:rsidRDefault="00DB09AE" w:rsidP="003E3922">
      <w:pPr>
        <w:spacing w:line="360" w:lineRule="auto"/>
        <w:jc w:val="center"/>
        <w:rPr>
          <w:rFonts w:ascii="Arial" w:eastAsia="Arial" w:hAnsi="Arial" w:cs="Arial"/>
          <w:b/>
          <w:bCs/>
          <w:sz w:val="22"/>
          <w:szCs w:val="22"/>
        </w:rPr>
      </w:pPr>
    </w:p>
    <w:p w14:paraId="55CFBBFD" w14:textId="77777777" w:rsidR="00DB09AE" w:rsidRPr="00A92493" w:rsidRDefault="00000000" w:rsidP="003E3922">
      <w:pPr>
        <w:spacing w:line="360" w:lineRule="auto"/>
        <w:jc w:val="center"/>
        <w:rPr>
          <w:rFonts w:ascii="Arial" w:eastAsia="Arial" w:hAnsi="Arial" w:cs="Arial"/>
          <w:b/>
          <w:bCs/>
          <w:sz w:val="28"/>
          <w:szCs w:val="28"/>
        </w:rPr>
      </w:pPr>
      <w:r w:rsidRPr="00A92493">
        <w:rPr>
          <w:rFonts w:ascii="Arial" w:eastAsia="Arial" w:hAnsi="Arial" w:cs="Arial"/>
          <w:b/>
          <w:bCs/>
          <w:sz w:val="28"/>
          <w:szCs w:val="28"/>
        </w:rPr>
        <w:t>Healthcare Inequalities and Diagnostic Delays in Paget's Disease of the Breast Among Young Women: A Critical Literature Review</w:t>
      </w:r>
    </w:p>
    <w:p w14:paraId="3E3C6E1D" w14:textId="77777777" w:rsidR="00D51075" w:rsidRDefault="00D51075" w:rsidP="00D51075">
      <w:pPr>
        <w:spacing w:line="360" w:lineRule="auto"/>
        <w:rPr>
          <w:rFonts w:ascii="Arial" w:eastAsia="Arial" w:hAnsi="Arial" w:cs="Arial"/>
          <w:sz w:val="22"/>
          <w:szCs w:val="22"/>
        </w:rPr>
      </w:pPr>
    </w:p>
    <w:p w14:paraId="0AADF9B5" w14:textId="77777777" w:rsidR="00D51075" w:rsidRDefault="00D51075" w:rsidP="00D51075">
      <w:pPr>
        <w:spacing w:line="360" w:lineRule="auto"/>
        <w:rPr>
          <w:rFonts w:ascii="Arial" w:eastAsia="Arial" w:hAnsi="Arial" w:cs="Arial"/>
          <w:sz w:val="22"/>
          <w:szCs w:val="22"/>
        </w:rPr>
      </w:pPr>
    </w:p>
    <w:p w14:paraId="4B26B0E7" w14:textId="77777777" w:rsidR="00A92493" w:rsidRDefault="00A92493" w:rsidP="00D51075">
      <w:pPr>
        <w:spacing w:line="360" w:lineRule="auto"/>
        <w:rPr>
          <w:rFonts w:ascii="Arial" w:eastAsia="Arial" w:hAnsi="Arial" w:cs="Arial"/>
          <w:sz w:val="22"/>
          <w:szCs w:val="22"/>
        </w:rPr>
      </w:pPr>
    </w:p>
    <w:p w14:paraId="6A0BBC02" w14:textId="77777777" w:rsidR="00A92493" w:rsidRDefault="00A92493" w:rsidP="00D51075">
      <w:pPr>
        <w:spacing w:line="360" w:lineRule="auto"/>
        <w:rPr>
          <w:rFonts w:ascii="Arial" w:eastAsia="Arial" w:hAnsi="Arial" w:cs="Arial"/>
          <w:sz w:val="22"/>
          <w:szCs w:val="22"/>
        </w:rPr>
      </w:pPr>
    </w:p>
    <w:p w14:paraId="14143067" w14:textId="77777777" w:rsidR="00A92493" w:rsidRDefault="00A92493" w:rsidP="00D51075">
      <w:pPr>
        <w:spacing w:line="360" w:lineRule="auto"/>
        <w:rPr>
          <w:rFonts w:ascii="Arial" w:eastAsia="Arial" w:hAnsi="Arial" w:cs="Arial"/>
          <w:sz w:val="22"/>
          <w:szCs w:val="22"/>
        </w:rPr>
      </w:pPr>
    </w:p>
    <w:p w14:paraId="61B78D84" w14:textId="6BEA5E52" w:rsidR="00961253" w:rsidRPr="00FA30A6" w:rsidRDefault="00D51075" w:rsidP="00D51075">
      <w:pPr>
        <w:spacing w:line="360" w:lineRule="auto"/>
        <w:rPr>
          <w:rFonts w:ascii="Arial" w:eastAsia="Arial" w:hAnsi="Arial" w:cs="Arial"/>
          <w:b/>
          <w:sz w:val="22"/>
          <w:szCs w:val="22"/>
        </w:rPr>
      </w:pPr>
      <w:r w:rsidRPr="00EA61FC">
        <w:rPr>
          <w:rFonts w:ascii="Arial" w:eastAsia="Arial" w:hAnsi="Arial" w:cs="Arial"/>
          <w:b/>
          <w:bCs/>
          <w:sz w:val="22"/>
          <w:szCs w:val="22"/>
        </w:rPr>
        <w:t>STUDENT NAM</w:t>
      </w:r>
      <w:r w:rsidRPr="00A520AB">
        <w:rPr>
          <w:rFonts w:ascii="Arial" w:eastAsia="Arial" w:hAnsi="Arial" w:cs="Arial"/>
          <w:b/>
          <w:bCs/>
          <w:sz w:val="22"/>
          <w:szCs w:val="22"/>
        </w:rPr>
        <w:t>E</w:t>
      </w:r>
      <w:r w:rsidR="00A520AB" w:rsidRPr="00A520AB">
        <w:rPr>
          <w:rFonts w:ascii="Arial" w:eastAsia="Arial" w:hAnsi="Arial" w:cs="Arial"/>
          <w:b/>
          <w:bCs/>
          <w:sz w:val="22"/>
          <w:szCs w:val="22"/>
        </w:rPr>
        <w:t>:</w:t>
      </w:r>
      <w:r w:rsidR="00EA61FC">
        <w:rPr>
          <w:rFonts w:ascii="Arial" w:eastAsia="Arial" w:hAnsi="Arial" w:cs="Arial"/>
          <w:sz w:val="22"/>
          <w:szCs w:val="22"/>
        </w:rPr>
        <w:t xml:space="preserve"> </w:t>
      </w:r>
      <w:r w:rsidR="00672D22">
        <w:rPr>
          <w:rFonts w:ascii="Arial" w:eastAsia="Arial" w:hAnsi="Arial" w:cs="Arial"/>
          <w:sz w:val="22"/>
          <w:szCs w:val="22"/>
        </w:rPr>
        <w:t xml:space="preserve"> </w:t>
      </w:r>
      <w:r w:rsidR="00D14DBF" w:rsidRPr="00EA61FC">
        <w:rPr>
          <w:rFonts w:ascii="Arial" w:eastAsia="Arial" w:hAnsi="Arial" w:cs="Arial"/>
          <w:bCs/>
          <w:sz w:val="22"/>
          <w:szCs w:val="22"/>
        </w:rPr>
        <w:t>LUCRESHA LEWIS</w:t>
      </w:r>
    </w:p>
    <w:p w14:paraId="51200978" w14:textId="56EA4FFD" w:rsidR="00672D22" w:rsidRDefault="00F55AFC" w:rsidP="00EA61FC">
      <w:pPr>
        <w:spacing w:line="360" w:lineRule="auto"/>
        <w:rPr>
          <w:rFonts w:ascii="Arial" w:eastAsia="Arial" w:hAnsi="Arial" w:cs="Arial"/>
          <w:bCs/>
          <w:sz w:val="22"/>
          <w:szCs w:val="22"/>
        </w:rPr>
      </w:pPr>
      <w:r>
        <w:rPr>
          <w:rFonts w:ascii="Arial" w:eastAsia="Arial" w:hAnsi="Arial" w:cs="Arial"/>
          <w:b/>
          <w:sz w:val="22"/>
          <w:szCs w:val="22"/>
        </w:rPr>
        <w:t>ST</w:t>
      </w:r>
      <w:r w:rsidR="00D51075">
        <w:rPr>
          <w:rFonts w:ascii="Arial" w:eastAsia="Arial" w:hAnsi="Arial" w:cs="Arial"/>
          <w:b/>
          <w:sz w:val="22"/>
          <w:szCs w:val="22"/>
        </w:rPr>
        <w:t>UDENT NUMBER</w:t>
      </w:r>
      <w:r w:rsidR="00EA61FC">
        <w:rPr>
          <w:rFonts w:ascii="Arial" w:eastAsia="Arial" w:hAnsi="Arial" w:cs="Arial"/>
          <w:b/>
          <w:sz w:val="22"/>
          <w:szCs w:val="22"/>
        </w:rPr>
        <w:t>:</w:t>
      </w:r>
      <w:r w:rsidR="00672D22">
        <w:rPr>
          <w:rFonts w:ascii="Arial" w:eastAsia="Arial" w:hAnsi="Arial" w:cs="Arial"/>
          <w:b/>
          <w:sz w:val="22"/>
          <w:szCs w:val="22"/>
        </w:rPr>
        <w:t xml:space="preserve"> </w:t>
      </w:r>
      <w:r w:rsidR="00A520AB">
        <w:rPr>
          <w:rFonts w:ascii="Arial" w:eastAsia="Arial" w:hAnsi="Arial" w:cs="Arial"/>
          <w:b/>
          <w:sz w:val="22"/>
          <w:szCs w:val="22"/>
        </w:rPr>
        <w:t xml:space="preserve"> </w:t>
      </w:r>
      <w:r w:rsidR="00F00EBA" w:rsidRPr="00672D22">
        <w:rPr>
          <w:rFonts w:ascii="Arial" w:eastAsia="Arial" w:hAnsi="Arial" w:cs="Arial"/>
          <w:bCs/>
          <w:sz w:val="22"/>
          <w:szCs w:val="22"/>
        </w:rPr>
        <w:t>2315415</w:t>
      </w:r>
    </w:p>
    <w:p w14:paraId="323625A5" w14:textId="7332D065" w:rsidR="00672D22" w:rsidRDefault="00C9582C" w:rsidP="00EA61FC">
      <w:pPr>
        <w:spacing w:line="360" w:lineRule="auto"/>
        <w:rPr>
          <w:rFonts w:ascii="Arial" w:eastAsia="Arial" w:hAnsi="Arial" w:cs="Arial"/>
          <w:bCs/>
          <w:sz w:val="22"/>
          <w:szCs w:val="22"/>
        </w:rPr>
      </w:pPr>
      <w:r w:rsidRPr="00C9582C">
        <w:rPr>
          <w:rFonts w:ascii="Arial" w:eastAsia="Arial" w:hAnsi="Arial" w:cs="Arial"/>
          <w:b/>
          <w:sz w:val="22"/>
          <w:szCs w:val="22"/>
        </w:rPr>
        <w:t>MODULE NUMBER:</w:t>
      </w:r>
      <w:r>
        <w:rPr>
          <w:rFonts w:ascii="Arial" w:eastAsia="Arial" w:hAnsi="Arial" w:cs="Arial"/>
          <w:b/>
          <w:sz w:val="22"/>
          <w:szCs w:val="22"/>
        </w:rPr>
        <w:t xml:space="preserve"> </w:t>
      </w:r>
      <w:r w:rsidR="0078529C" w:rsidRPr="00986B19">
        <w:rPr>
          <w:rFonts w:ascii="Arial" w:eastAsia="Arial" w:hAnsi="Arial" w:cs="Arial"/>
          <w:bCs/>
          <w:sz w:val="22"/>
          <w:szCs w:val="22"/>
        </w:rPr>
        <w:t>BMHP</w:t>
      </w:r>
      <w:r w:rsidR="00986B19" w:rsidRPr="00986B19">
        <w:rPr>
          <w:rFonts w:ascii="Arial" w:eastAsia="Arial" w:hAnsi="Arial" w:cs="Arial"/>
          <w:bCs/>
          <w:sz w:val="22"/>
          <w:szCs w:val="22"/>
        </w:rPr>
        <w:t xml:space="preserve"> 6020</w:t>
      </w:r>
    </w:p>
    <w:p w14:paraId="488405F4" w14:textId="2DBC25DA" w:rsidR="00986B19" w:rsidRDefault="00986B19" w:rsidP="00EA61FC">
      <w:pPr>
        <w:spacing w:line="360" w:lineRule="auto"/>
        <w:rPr>
          <w:rFonts w:ascii="Arial" w:eastAsia="Arial" w:hAnsi="Arial" w:cs="Arial"/>
          <w:bCs/>
          <w:sz w:val="22"/>
          <w:szCs w:val="22"/>
        </w:rPr>
      </w:pPr>
      <w:r w:rsidRPr="008B1420">
        <w:rPr>
          <w:rFonts w:ascii="Arial" w:eastAsia="Arial" w:hAnsi="Arial" w:cs="Arial"/>
          <w:b/>
          <w:sz w:val="22"/>
          <w:szCs w:val="22"/>
        </w:rPr>
        <w:t xml:space="preserve">MODULE </w:t>
      </w:r>
      <w:r w:rsidRPr="005A6A74">
        <w:rPr>
          <w:rFonts w:ascii="Arial" w:eastAsia="Arial" w:hAnsi="Arial" w:cs="Arial"/>
          <w:b/>
          <w:sz w:val="22"/>
          <w:szCs w:val="22"/>
        </w:rPr>
        <w:t>NAME</w:t>
      </w:r>
      <w:r w:rsidR="008B1420" w:rsidRPr="005A6A74">
        <w:rPr>
          <w:rFonts w:ascii="Arial" w:eastAsia="Arial" w:hAnsi="Arial" w:cs="Arial"/>
          <w:b/>
          <w:sz w:val="22"/>
          <w:szCs w:val="22"/>
        </w:rPr>
        <w:t>:</w:t>
      </w:r>
      <w:r w:rsidR="005A6A74" w:rsidRPr="005A6A74">
        <w:rPr>
          <w:rFonts w:ascii="Arial" w:eastAsia="Arial" w:hAnsi="Arial" w:cs="Arial"/>
          <w:bCs/>
          <w:sz w:val="22"/>
          <w:szCs w:val="22"/>
        </w:rPr>
        <w:t xml:space="preserve"> INDEPENDENT PROJECT</w:t>
      </w:r>
    </w:p>
    <w:p w14:paraId="259C3D3F" w14:textId="6DD0248A" w:rsidR="005A6A74" w:rsidRPr="0044557C" w:rsidRDefault="00A92493" w:rsidP="00EA61FC">
      <w:pPr>
        <w:spacing w:line="360" w:lineRule="auto"/>
        <w:rPr>
          <w:rFonts w:ascii="Arial" w:eastAsia="Arial" w:hAnsi="Arial" w:cs="Arial"/>
          <w:b/>
          <w:sz w:val="22"/>
          <w:szCs w:val="22"/>
        </w:rPr>
      </w:pPr>
      <w:r w:rsidRPr="00A92493">
        <w:rPr>
          <w:rFonts w:ascii="Arial" w:eastAsia="Arial" w:hAnsi="Arial" w:cs="Arial"/>
          <w:b/>
          <w:sz w:val="22"/>
          <w:szCs w:val="22"/>
        </w:rPr>
        <w:t>LECTURER'S</w:t>
      </w:r>
      <w:r w:rsidR="0044557C" w:rsidRPr="00A92493">
        <w:rPr>
          <w:rFonts w:ascii="Arial" w:eastAsia="Arial" w:hAnsi="Arial" w:cs="Arial"/>
          <w:b/>
          <w:sz w:val="22"/>
          <w:szCs w:val="22"/>
        </w:rPr>
        <w:t xml:space="preserve"> </w:t>
      </w:r>
      <w:r w:rsidR="0044557C" w:rsidRPr="0044557C">
        <w:rPr>
          <w:rFonts w:ascii="Arial" w:eastAsia="Arial" w:hAnsi="Arial" w:cs="Arial"/>
          <w:b/>
          <w:sz w:val="22"/>
          <w:szCs w:val="22"/>
        </w:rPr>
        <w:t>NAME:</w:t>
      </w:r>
      <w:r w:rsidR="0044557C">
        <w:rPr>
          <w:rFonts w:ascii="Arial" w:eastAsia="Arial" w:hAnsi="Arial" w:cs="Arial"/>
          <w:b/>
          <w:sz w:val="22"/>
          <w:szCs w:val="22"/>
        </w:rPr>
        <w:t xml:space="preserve"> </w:t>
      </w:r>
      <w:r w:rsidR="0044557C" w:rsidRPr="00240386">
        <w:rPr>
          <w:rFonts w:ascii="Arial" w:eastAsia="Arial" w:hAnsi="Arial" w:cs="Arial"/>
          <w:bCs/>
          <w:sz w:val="22"/>
          <w:szCs w:val="22"/>
        </w:rPr>
        <w:t xml:space="preserve">CHOLE HARRIS / </w:t>
      </w:r>
      <w:r w:rsidR="00240386" w:rsidRPr="00240386">
        <w:rPr>
          <w:rFonts w:ascii="Arial" w:eastAsia="Arial" w:hAnsi="Arial" w:cs="Arial"/>
          <w:bCs/>
          <w:sz w:val="22"/>
          <w:szCs w:val="22"/>
        </w:rPr>
        <w:t>JOANNE DAVIES</w:t>
      </w:r>
    </w:p>
    <w:p w14:paraId="56B06835" w14:textId="77777777" w:rsidR="00672D22" w:rsidRPr="00672D22" w:rsidRDefault="00672D22" w:rsidP="00EA61FC">
      <w:pPr>
        <w:spacing w:line="360" w:lineRule="auto"/>
        <w:rPr>
          <w:rFonts w:ascii="Arial" w:eastAsia="Arial" w:hAnsi="Arial" w:cs="Arial"/>
          <w:bCs/>
          <w:sz w:val="22"/>
          <w:szCs w:val="22"/>
        </w:rPr>
      </w:pPr>
    </w:p>
    <w:p w14:paraId="2F85649D" w14:textId="77777777" w:rsidR="00D51075" w:rsidRDefault="00D51075" w:rsidP="00050DD0">
      <w:pPr>
        <w:spacing w:line="360" w:lineRule="auto"/>
        <w:jc w:val="center"/>
        <w:rPr>
          <w:rFonts w:ascii="Arial" w:eastAsia="Arial" w:hAnsi="Arial" w:cs="Arial"/>
          <w:b/>
          <w:sz w:val="22"/>
          <w:szCs w:val="22"/>
        </w:rPr>
      </w:pPr>
    </w:p>
    <w:p w14:paraId="59BCED86" w14:textId="22FC88B8" w:rsidR="00961253" w:rsidRPr="00CE20B6" w:rsidRDefault="00961253" w:rsidP="00CE20B6">
      <w:pPr>
        <w:spacing w:line="360" w:lineRule="auto"/>
        <w:jc w:val="center"/>
        <w:rPr>
          <w:rFonts w:ascii="Arial" w:eastAsia="Arial" w:hAnsi="Arial" w:cs="Arial"/>
          <w:b/>
          <w:sz w:val="22"/>
          <w:szCs w:val="22"/>
        </w:rPr>
      </w:pPr>
    </w:p>
    <w:p w14:paraId="3FF10F16" w14:textId="77777777" w:rsidR="00961253" w:rsidRDefault="00961253" w:rsidP="00961253">
      <w:pPr>
        <w:spacing w:line="360" w:lineRule="auto"/>
        <w:jc w:val="both"/>
        <w:rPr>
          <w:rFonts w:ascii="Arial" w:eastAsia="Arial" w:hAnsi="Arial" w:cs="Arial"/>
          <w:sz w:val="22"/>
          <w:szCs w:val="22"/>
        </w:rPr>
      </w:pPr>
      <w:r w:rsidRPr="00961253">
        <w:rPr>
          <w:rFonts w:ascii="Arial" w:eastAsia="Arial" w:hAnsi="Arial" w:cs="Arial"/>
          <w:sz w:val="22"/>
          <w:szCs w:val="22"/>
        </w:rPr>
        <w:tab/>
      </w:r>
    </w:p>
    <w:p w14:paraId="5390D11E" w14:textId="77777777" w:rsidR="00050DD0" w:rsidRDefault="00050DD0" w:rsidP="00961253">
      <w:pPr>
        <w:spacing w:line="360" w:lineRule="auto"/>
        <w:jc w:val="both"/>
        <w:rPr>
          <w:rFonts w:ascii="Arial" w:eastAsia="Arial" w:hAnsi="Arial" w:cs="Arial"/>
          <w:sz w:val="22"/>
          <w:szCs w:val="22"/>
        </w:rPr>
      </w:pPr>
    </w:p>
    <w:p w14:paraId="7D4D09E0" w14:textId="77777777" w:rsidR="00050DD0" w:rsidRDefault="00050DD0" w:rsidP="00961253">
      <w:pPr>
        <w:spacing w:line="360" w:lineRule="auto"/>
        <w:jc w:val="both"/>
        <w:rPr>
          <w:rFonts w:ascii="Arial" w:eastAsia="Arial" w:hAnsi="Arial" w:cs="Arial"/>
          <w:sz w:val="22"/>
          <w:szCs w:val="22"/>
        </w:rPr>
      </w:pPr>
    </w:p>
    <w:p w14:paraId="5C1F443C" w14:textId="77777777" w:rsidR="00050DD0" w:rsidRDefault="00050DD0" w:rsidP="00961253">
      <w:pPr>
        <w:spacing w:line="360" w:lineRule="auto"/>
        <w:jc w:val="both"/>
        <w:rPr>
          <w:rFonts w:ascii="Arial" w:eastAsia="Arial" w:hAnsi="Arial" w:cs="Arial"/>
          <w:sz w:val="22"/>
          <w:szCs w:val="22"/>
        </w:rPr>
      </w:pPr>
    </w:p>
    <w:p w14:paraId="5A172BD6" w14:textId="77777777" w:rsidR="00050DD0" w:rsidRPr="00961253" w:rsidRDefault="00050DD0" w:rsidP="00961253">
      <w:pPr>
        <w:spacing w:line="360" w:lineRule="auto"/>
        <w:jc w:val="both"/>
        <w:rPr>
          <w:rFonts w:ascii="Arial" w:eastAsia="Arial" w:hAnsi="Arial" w:cs="Arial"/>
          <w:sz w:val="22"/>
          <w:szCs w:val="22"/>
        </w:rPr>
      </w:pPr>
    </w:p>
    <w:p w14:paraId="1DDC9DEE" w14:textId="77777777" w:rsidR="00961253" w:rsidRDefault="00961253" w:rsidP="00961253">
      <w:pPr>
        <w:spacing w:line="360" w:lineRule="auto"/>
        <w:jc w:val="both"/>
        <w:rPr>
          <w:rFonts w:ascii="Arial" w:eastAsia="Arial" w:hAnsi="Arial" w:cs="Arial"/>
          <w:sz w:val="22"/>
          <w:szCs w:val="22"/>
        </w:rPr>
      </w:pPr>
    </w:p>
    <w:p w14:paraId="510BABE5" w14:textId="77777777" w:rsidR="00050DD0" w:rsidRDefault="00050DD0" w:rsidP="00961253">
      <w:pPr>
        <w:spacing w:line="360" w:lineRule="auto"/>
        <w:jc w:val="both"/>
        <w:rPr>
          <w:rFonts w:ascii="Arial" w:eastAsia="Arial" w:hAnsi="Arial" w:cs="Arial"/>
          <w:sz w:val="22"/>
          <w:szCs w:val="22"/>
        </w:rPr>
      </w:pPr>
    </w:p>
    <w:p w14:paraId="4E34BB03" w14:textId="77777777" w:rsidR="00050DD0" w:rsidRDefault="00050DD0" w:rsidP="00961253">
      <w:pPr>
        <w:spacing w:line="360" w:lineRule="auto"/>
        <w:jc w:val="both"/>
        <w:rPr>
          <w:rFonts w:ascii="Arial" w:eastAsia="Arial" w:hAnsi="Arial" w:cs="Arial"/>
          <w:sz w:val="22"/>
          <w:szCs w:val="22"/>
        </w:rPr>
      </w:pPr>
    </w:p>
    <w:p w14:paraId="1F7CEDAE" w14:textId="0778FA84" w:rsidR="00961253" w:rsidRPr="00961253" w:rsidRDefault="00961253" w:rsidP="00961253">
      <w:pPr>
        <w:spacing w:line="360" w:lineRule="auto"/>
        <w:jc w:val="both"/>
        <w:rPr>
          <w:rFonts w:ascii="Arial" w:eastAsia="Arial" w:hAnsi="Arial" w:cs="Arial"/>
          <w:sz w:val="22"/>
          <w:szCs w:val="22"/>
        </w:rPr>
      </w:pPr>
    </w:p>
    <w:p w14:paraId="4502D41F" w14:textId="05868FD3" w:rsidR="00090769" w:rsidRDefault="00D3461B" w:rsidP="00B05F63">
      <w:pPr>
        <w:pStyle w:val="Heading1"/>
        <w:jc w:val="left"/>
      </w:pPr>
      <w:bookmarkStart w:id="2" w:name="_Toc236054987"/>
      <w:r w:rsidRPr="00995444">
        <w:lastRenderedPageBreak/>
        <w:t>ACKNOWLEDGEMENTS</w:t>
      </w:r>
      <w:bookmarkEnd w:id="2"/>
    </w:p>
    <w:p w14:paraId="0021BB5B" w14:textId="77777777" w:rsidR="00B05F63" w:rsidRPr="00332C47" w:rsidRDefault="00B05F63" w:rsidP="00B05F63">
      <w:pPr>
        <w:spacing w:before="240" w:after="240" w:line="360" w:lineRule="auto"/>
        <w:jc w:val="both"/>
        <w:rPr>
          <w:rFonts w:ascii="Arial" w:eastAsia="Arial" w:hAnsi="Arial" w:cs="Arial"/>
          <w:color w:val="000000" w:themeColor="text1"/>
          <w:sz w:val="22"/>
          <w:szCs w:val="22"/>
        </w:rPr>
      </w:pPr>
      <w:r w:rsidRPr="5C0856E9">
        <w:rPr>
          <w:rFonts w:ascii="Arial" w:eastAsia="Arial" w:hAnsi="Arial" w:cs="Arial"/>
          <w:color w:val="000000" w:themeColor="text1"/>
          <w:sz w:val="22"/>
          <w:szCs w:val="22"/>
        </w:rPr>
        <w:t>First and foremost, I would like to thank my university and all the staff for all the amazing academic support and services that helped me throughout my degree. Your patience, kindness, and encouragement carried me through the hardest moments, and I truly could not have reached this point without you.</w:t>
      </w:r>
    </w:p>
    <w:p w14:paraId="291D5439" w14:textId="77777777" w:rsidR="00B05F63" w:rsidRPr="00332C47" w:rsidRDefault="00B05F63" w:rsidP="00B05F63">
      <w:pPr>
        <w:spacing w:before="240" w:after="240" w:line="360" w:lineRule="auto"/>
        <w:jc w:val="both"/>
        <w:rPr>
          <w:rFonts w:ascii="Arial" w:eastAsia="Arial" w:hAnsi="Arial" w:cs="Arial"/>
          <w:color w:val="000000" w:themeColor="text1"/>
          <w:sz w:val="22"/>
          <w:szCs w:val="22"/>
        </w:rPr>
      </w:pPr>
      <w:r w:rsidRPr="34932C4F">
        <w:rPr>
          <w:rFonts w:ascii="Arial" w:eastAsia="Arial" w:hAnsi="Arial" w:cs="Arial"/>
          <w:color w:val="000000" w:themeColor="text1"/>
          <w:sz w:val="22"/>
          <w:szCs w:val="22"/>
        </w:rPr>
        <w:t>I am especially grateful to my first semester lecturer Nassir Ibrahim for laying strong academic foundations, and to Michaela Buttler, Helen Pulman-Slater, and Hanna Jacobson for their constant guidance and support. Also, a special thank you to Michael Thomas for always believing in me, consistently motivating me forward, and showing me what’s possible. And Olivia Edmonds for all your endless patience and bubbly personality, which got me through some frustrating days.</w:t>
      </w:r>
    </w:p>
    <w:p w14:paraId="6534D118" w14:textId="77777777" w:rsidR="00B05F63" w:rsidRPr="00332C47" w:rsidRDefault="00B05F63" w:rsidP="00B05F63">
      <w:pPr>
        <w:spacing w:before="240" w:after="240" w:line="360" w:lineRule="auto"/>
        <w:jc w:val="both"/>
        <w:rPr>
          <w:rFonts w:ascii="Arial" w:eastAsia="Arial" w:hAnsi="Arial" w:cs="Arial"/>
          <w:sz w:val="22"/>
          <w:szCs w:val="22"/>
        </w:rPr>
      </w:pPr>
      <w:r w:rsidRPr="34932C4F">
        <w:rPr>
          <w:rFonts w:ascii="Arial" w:eastAsia="Arial" w:hAnsi="Arial" w:cs="Arial"/>
          <w:sz w:val="22"/>
          <w:szCs w:val="22"/>
        </w:rPr>
        <w:t>And to my final semester lecturers Chloe Harris and Joanne Davies; your knowledge, enthusiasm and approachable nature made learning feel easier and more enjoyable. Your good humour helped to make difficult moments feel less daunting, while your guidance and encouragement helped me to develop confidence in my own voice and abilities. I am truly grateful for everything you have taught me.</w:t>
      </w:r>
    </w:p>
    <w:p w14:paraId="36466B66" w14:textId="77777777" w:rsidR="00B05F63" w:rsidRPr="00332C47" w:rsidRDefault="00B05F63" w:rsidP="00B05F63">
      <w:pPr>
        <w:spacing w:line="360" w:lineRule="auto"/>
        <w:jc w:val="both"/>
        <w:rPr>
          <w:rFonts w:ascii="Arial" w:eastAsia="Arial" w:hAnsi="Arial" w:cs="Arial"/>
          <w:sz w:val="22"/>
          <w:szCs w:val="22"/>
        </w:rPr>
      </w:pPr>
      <w:r w:rsidRPr="34932C4F">
        <w:rPr>
          <w:rFonts w:ascii="Arial" w:eastAsia="Arial" w:hAnsi="Arial" w:cs="Arial"/>
          <w:sz w:val="22"/>
          <w:szCs w:val="22"/>
        </w:rPr>
        <w:t>To my children, thank you for your unconditional love, patience and understanding throughout this journey. Thank you for allowing me the many hours I spent studying, writing and working towards completing this degree. Your love gave me the strength to keep going, even when the journey felt overwhelming. A special thank you to my big daughter, who has been such a wonderful source of support and encouragement throughout it all. I am incredibly grateful to have you all in my life.</w:t>
      </w:r>
    </w:p>
    <w:p w14:paraId="4692EE30" w14:textId="77777777" w:rsidR="00B05F63" w:rsidRPr="00F42E2D" w:rsidRDefault="00B05F63" w:rsidP="00B05F63">
      <w:pPr>
        <w:spacing w:line="360" w:lineRule="auto"/>
        <w:jc w:val="both"/>
        <w:rPr>
          <w:rFonts w:ascii="Arial" w:eastAsia="Arial" w:hAnsi="Arial" w:cs="Arial"/>
          <w:sz w:val="22"/>
          <w:szCs w:val="22"/>
        </w:rPr>
      </w:pPr>
      <w:r w:rsidRPr="34932C4F">
        <w:rPr>
          <w:rFonts w:ascii="Arial" w:eastAsia="Arial" w:hAnsi="Arial" w:cs="Arial"/>
          <w:sz w:val="22"/>
          <w:szCs w:val="22"/>
        </w:rPr>
        <w:t xml:space="preserve">Finally, and most importantly, this dissertation is dedicated to my little sister, Joey. Although you lost your fight </w:t>
      </w:r>
      <w:r w:rsidRPr="7CAAD86D">
        <w:rPr>
          <w:rFonts w:ascii="Arial" w:eastAsia="Arial" w:hAnsi="Arial" w:cs="Arial"/>
          <w:sz w:val="22"/>
          <w:szCs w:val="22"/>
        </w:rPr>
        <w:t xml:space="preserve">to breast </w:t>
      </w:r>
      <w:r w:rsidRPr="34932C4F">
        <w:rPr>
          <w:rFonts w:ascii="Arial" w:eastAsia="Arial" w:hAnsi="Arial" w:cs="Arial"/>
          <w:sz w:val="22"/>
          <w:szCs w:val="22"/>
        </w:rPr>
        <w:t xml:space="preserve">cancer at the early age of 40, I will never forget what you told me right until the end; you remained my biggest fan and one of my greatest sources of strength. You said to me, </w:t>
      </w:r>
      <w:r w:rsidRPr="34932C4F">
        <w:rPr>
          <w:rFonts w:ascii="Arial" w:eastAsia="Arial" w:hAnsi="Arial" w:cs="Arial"/>
          <w:i/>
          <w:iCs/>
          <w:sz w:val="22"/>
          <w:szCs w:val="22"/>
        </w:rPr>
        <w:t>“Finish your degree, big sis. You can do this; do it for you and me. I believe in you.”</w:t>
      </w:r>
    </w:p>
    <w:p w14:paraId="0DC881E1" w14:textId="5BDA36A7" w:rsidR="00B05F63" w:rsidRDefault="00B05F63" w:rsidP="00B05F63">
      <w:pPr>
        <w:spacing w:line="360" w:lineRule="auto"/>
        <w:jc w:val="both"/>
        <w:rPr>
          <w:rFonts w:ascii="Arial" w:hAnsi="Arial" w:cs="Arial"/>
          <w:sz w:val="22"/>
          <w:szCs w:val="22"/>
        </w:rPr>
      </w:pPr>
      <w:r w:rsidRPr="34932C4F">
        <w:rPr>
          <w:rFonts w:ascii="Arial" w:hAnsi="Arial" w:cs="Arial"/>
          <w:sz w:val="22"/>
          <w:szCs w:val="22"/>
        </w:rPr>
        <w:t>Those words have carried me through every single step of this journey. On the days when I felt like giving up, I remembered your words and found the strength to carry on. I wish you could have been here to see me complete this journey, but I know that you would have been incredibly proud.</w:t>
      </w:r>
      <w:r>
        <w:rPr>
          <w:rFonts w:ascii="Arial" w:hAnsi="Arial" w:cs="Arial"/>
          <w:sz w:val="22"/>
          <w:szCs w:val="22"/>
        </w:rPr>
        <w:t xml:space="preserve"> </w:t>
      </w:r>
      <w:r w:rsidRPr="34932C4F">
        <w:rPr>
          <w:rFonts w:ascii="Arial" w:hAnsi="Arial" w:cs="Arial"/>
          <w:sz w:val="22"/>
          <w:szCs w:val="22"/>
        </w:rPr>
        <w:t xml:space="preserve">Joey, I love you always, and I will never forget you. This achievement is for you, and I know you're looking down from heaven; so, you know that I did </w:t>
      </w:r>
      <w:r w:rsidR="0013511F">
        <w:rPr>
          <w:rFonts w:ascii="Arial" w:hAnsi="Arial" w:cs="Arial"/>
          <w:sz w:val="22"/>
          <w:szCs w:val="22"/>
        </w:rPr>
        <w:t>it for us</w:t>
      </w:r>
      <w:r w:rsidRPr="34932C4F">
        <w:rPr>
          <w:rFonts w:ascii="Arial" w:hAnsi="Arial" w:cs="Arial"/>
          <w:sz w:val="22"/>
          <w:szCs w:val="22"/>
        </w:rPr>
        <w:t xml:space="preserve">. You will </w:t>
      </w:r>
      <w:r w:rsidRPr="34932C4F">
        <w:rPr>
          <w:rFonts w:ascii="Arial" w:hAnsi="Arial" w:cs="Arial"/>
          <w:sz w:val="22"/>
          <w:szCs w:val="22"/>
        </w:rPr>
        <w:lastRenderedPageBreak/>
        <w:t xml:space="preserve">forever remain in my heart, my sweet baby sis and your belief in me will continue to inspire me for </w:t>
      </w:r>
      <w:r>
        <w:rPr>
          <w:rFonts w:ascii="Arial" w:hAnsi="Arial" w:cs="Arial"/>
          <w:sz w:val="22"/>
          <w:szCs w:val="22"/>
        </w:rPr>
        <w:t xml:space="preserve">the rest of my life. </w:t>
      </w:r>
    </w:p>
    <w:p w14:paraId="602B516E" w14:textId="77777777" w:rsidR="00B05F63" w:rsidRDefault="00B05F63" w:rsidP="00B05F63">
      <w:pPr>
        <w:spacing w:line="360" w:lineRule="auto"/>
        <w:jc w:val="both"/>
        <w:rPr>
          <w:rFonts w:ascii="Arial" w:eastAsia="Arial" w:hAnsi="Arial" w:cs="Arial"/>
          <w:b/>
          <w:bCs/>
        </w:rPr>
      </w:pPr>
      <w:r>
        <w:rPr>
          <w:rFonts w:ascii="Arial" w:eastAsia="Arial" w:hAnsi="Arial" w:cs="Arial"/>
          <w:b/>
          <w:bCs/>
        </w:rPr>
        <w:t xml:space="preserve">                                              </w:t>
      </w:r>
    </w:p>
    <w:p w14:paraId="6C1565BB" w14:textId="77777777" w:rsidR="00B05F63" w:rsidRPr="00B05F63" w:rsidRDefault="00B05F63" w:rsidP="00B05F63">
      <w:pPr>
        <w:rPr>
          <w:rFonts w:ascii="Congenial Black" w:hAnsi="Congenial Black"/>
          <w:sz w:val="22"/>
          <w:szCs w:val="22"/>
        </w:rPr>
      </w:pPr>
    </w:p>
    <w:p w14:paraId="0E72028F" w14:textId="77777777" w:rsidR="00B05F63" w:rsidRPr="00B05F63" w:rsidRDefault="00B05F63" w:rsidP="00B05F63"/>
    <w:p w14:paraId="16B6ED8D" w14:textId="77777777" w:rsidR="00961253" w:rsidRDefault="00961253" w:rsidP="00961253">
      <w:pPr>
        <w:spacing w:line="360" w:lineRule="auto"/>
        <w:jc w:val="both"/>
        <w:rPr>
          <w:rFonts w:ascii="Arial" w:eastAsia="Arial" w:hAnsi="Arial" w:cs="Arial"/>
          <w:sz w:val="22"/>
          <w:szCs w:val="22"/>
        </w:rPr>
      </w:pPr>
    </w:p>
    <w:p w14:paraId="677BAAF8" w14:textId="77777777" w:rsidR="00D3461B" w:rsidRDefault="00D3461B" w:rsidP="00961253">
      <w:pPr>
        <w:spacing w:line="360" w:lineRule="auto"/>
        <w:jc w:val="both"/>
        <w:rPr>
          <w:rFonts w:ascii="Arial" w:eastAsia="Arial" w:hAnsi="Arial" w:cs="Arial"/>
          <w:sz w:val="22"/>
          <w:szCs w:val="22"/>
        </w:rPr>
      </w:pPr>
    </w:p>
    <w:p w14:paraId="6979377C" w14:textId="77777777" w:rsidR="00D3461B" w:rsidRDefault="00D3461B" w:rsidP="00961253">
      <w:pPr>
        <w:spacing w:line="360" w:lineRule="auto"/>
        <w:jc w:val="both"/>
        <w:rPr>
          <w:rFonts w:ascii="Arial" w:eastAsia="Arial" w:hAnsi="Arial" w:cs="Arial"/>
          <w:sz w:val="22"/>
          <w:szCs w:val="22"/>
        </w:rPr>
      </w:pPr>
    </w:p>
    <w:p w14:paraId="7BDF3FA5" w14:textId="77777777" w:rsidR="00D3461B" w:rsidRDefault="00D3461B" w:rsidP="00961253">
      <w:pPr>
        <w:spacing w:line="360" w:lineRule="auto"/>
        <w:jc w:val="both"/>
        <w:rPr>
          <w:rFonts w:ascii="Arial" w:eastAsia="Arial" w:hAnsi="Arial" w:cs="Arial"/>
          <w:sz w:val="22"/>
          <w:szCs w:val="22"/>
        </w:rPr>
      </w:pPr>
    </w:p>
    <w:p w14:paraId="2BFCE82D" w14:textId="77777777" w:rsidR="00D3461B" w:rsidRDefault="00D3461B" w:rsidP="00961253">
      <w:pPr>
        <w:spacing w:line="360" w:lineRule="auto"/>
        <w:jc w:val="both"/>
        <w:rPr>
          <w:rFonts w:ascii="Arial" w:eastAsia="Arial" w:hAnsi="Arial" w:cs="Arial"/>
          <w:sz w:val="22"/>
          <w:szCs w:val="22"/>
        </w:rPr>
      </w:pPr>
    </w:p>
    <w:p w14:paraId="0A3DDCF4" w14:textId="77777777" w:rsidR="00D3461B" w:rsidRDefault="00D3461B" w:rsidP="00961253">
      <w:pPr>
        <w:spacing w:line="360" w:lineRule="auto"/>
        <w:jc w:val="both"/>
        <w:rPr>
          <w:rFonts w:ascii="Arial" w:eastAsia="Arial" w:hAnsi="Arial" w:cs="Arial"/>
          <w:sz w:val="22"/>
          <w:szCs w:val="22"/>
        </w:rPr>
      </w:pPr>
    </w:p>
    <w:p w14:paraId="0426B019" w14:textId="77777777" w:rsidR="00D3461B" w:rsidRDefault="00D3461B" w:rsidP="00961253">
      <w:pPr>
        <w:spacing w:line="360" w:lineRule="auto"/>
        <w:jc w:val="both"/>
        <w:rPr>
          <w:rFonts w:ascii="Arial" w:eastAsia="Arial" w:hAnsi="Arial" w:cs="Arial"/>
          <w:sz w:val="22"/>
          <w:szCs w:val="22"/>
        </w:rPr>
      </w:pPr>
    </w:p>
    <w:p w14:paraId="19E885E1" w14:textId="77777777" w:rsidR="00D3461B" w:rsidRDefault="00D3461B" w:rsidP="00961253">
      <w:pPr>
        <w:spacing w:line="360" w:lineRule="auto"/>
        <w:jc w:val="both"/>
        <w:rPr>
          <w:rFonts w:ascii="Arial" w:eastAsia="Arial" w:hAnsi="Arial" w:cs="Arial"/>
          <w:sz w:val="22"/>
          <w:szCs w:val="22"/>
        </w:rPr>
      </w:pPr>
    </w:p>
    <w:p w14:paraId="5B385657" w14:textId="77777777" w:rsidR="00D3461B" w:rsidRDefault="00D3461B" w:rsidP="00961253">
      <w:pPr>
        <w:spacing w:line="360" w:lineRule="auto"/>
        <w:jc w:val="both"/>
        <w:rPr>
          <w:rFonts w:ascii="Arial" w:eastAsia="Arial" w:hAnsi="Arial" w:cs="Arial"/>
          <w:sz w:val="22"/>
          <w:szCs w:val="22"/>
        </w:rPr>
      </w:pPr>
    </w:p>
    <w:p w14:paraId="70705FC0" w14:textId="77777777" w:rsidR="00D3461B" w:rsidRDefault="00D3461B" w:rsidP="00961253">
      <w:pPr>
        <w:spacing w:line="360" w:lineRule="auto"/>
        <w:jc w:val="both"/>
        <w:rPr>
          <w:rFonts w:ascii="Arial" w:eastAsia="Arial" w:hAnsi="Arial" w:cs="Arial"/>
          <w:sz w:val="22"/>
          <w:szCs w:val="22"/>
        </w:rPr>
      </w:pPr>
    </w:p>
    <w:p w14:paraId="68001E3C" w14:textId="77777777" w:rsidR="00D3461B" w:rsidRDefault="00D3461B" w:rsidP="00961253">
      <w:pPr>
        <w:spacing w:line="360" w:lineRule="auto"/>
        <w:jc w:val="both"/>
        <w:rPr>
          <w:rFonts w:ascii="Arial" w:eastAsia="Arial" w:hAnsi="Arial" w:cs="Arial"/>
          <w:sz w:val="22"/>
          <w:szCs w:val="22"/>
        </w:rPr>
      </w:pPr>
    </w:p>
    <w:p w14:paraId="10D22528" w14:textId="77777777" w:rsidR="00D3461B" w:rsidRDefault="00D3461B" w:rsidP="00961253">
      <w:pPr>
        <w:spacing w:line="360" w:lineRule="auto"/>
        <w:jc w:val="both"/>
        <w:rPr>
          <w:rFonts w:ascii="Arial" w:eastAsia="Arial" w:hAnsi="Arial" w:cs="Arial"/>
          <w:sz w:val="22"/>
          <w:szCs w:val="22"/>
        </w:rPr>
      </w:pPr>
    </w:p>
    <w:p w14:paraId="161750C9" w14:textId="77777777" w:rsidR="00D3461B" w:rsidRDefault="00D3461B" w:rsidP="00961253">
      <w:pPr>
        <w:spacing w:line="360" w:lineRule="auto"/>
        <w:jc w:val="both"/>
        <w:rPr>
          <w:rFonts w:ascii="Arial" w:eastAsia="Arial" w:hAnsi="Arial" w:cs="Arial"/>
          <w:sz w:val="22"/>
          <w:szCs w:val="22"/>
        </w:rPr>
      </w:pPr>
    </w:p>
    <w:p w14:paraId="563A2536" w14:textId="77777777" w:rsidR="00D3461B" w:rsidRPr="00961253" w:rsidRDefault="00D3461B" w:rsidP="00961253">
      <w:pPr>
        <w:spacing w:line="360" w:lineRule="auto"/>
        <w:jc w:val="both"/>
        <w:rPr>
          <w:rFonts w:ascii="Arial" w:eastAsia="Arial" w:hAnsi="Arial" w:cs="Arial"/>
          <w:sz w:val="22"/>
          <w:szCs w:val="22"/>
        </w:rPr>
      </w:pPr>
    </w:p>
    <w:p w14:paraId="2FB56725" w14:textId="77777777" w:rsidR="00D95029" w:rsidRDefault="00D95029" w:rsidP="00D3461B">
      <w:pPr>
        <w:pStyle w:val="Heading1"/>
        <w:jc w:val="left"/>
      </w:pPr>
      <w:bookmarkStart w:id="3" w:name="_Toc236054988"/>
    </w:p>
    <w:p w14:paraId="66C19163" w14:textId="77777777" w:rsidR="00D95029" w:rsidRDefault="00D95029" w:rsidP="00D3461B">
      <w:pPr>
        <w:pStyle w:val="Heading1"/>
        <w:jc w:val="left"/>
      </w:pPr>
    </w:p>
    <w:p w14:paraId="58BA1449" w14:textId="77777777" w:rsidR="00D95029" w:rsidRDefault="00D95029" w:rsidP="00D3461B">
      <w:pPr>
        <w:pStyle w:val="Heading1"/>
        <w:jc w:val="left"/>
      </w:pPr>
    </w:p>
    <w:p w14:paraId="74EE6AAE" w14:textId="77777777" w:rsidR="00D95029" w:rsidRDefault="00D95029" w:rsidP="00D3461B">
      <w:pPr>
        <w:pStyle w:val="Heading1"/>
        <w:jc w:val="left"/>
      </w:pPr>
    </w:p>
    <w:p w14:paraId="5D4A8B20" w14:textId="77777777" w:rsidR="00253978" w:rsidRDefault="00253978" w:rsidP="00D3461B">
      <w:pPr>
        <w:pStyle w:val="Heading1"/>
        <w:jc w:val="left"/>
      </w:pPr>
    </w:p>
    <w:p w14:paraId="60C5226E" w14:textId="28ABAE4D" w:rsidR="00961253" w:rsidRPr="00961253" w:rsidRDefault="00961253" w:rsidP="00D3461B">
      <w:pPr>
        <w:pStyle w:val="Heading1"/>
        <w:jc w:val="left"/>
      </w:pPr>
      <w:r w:rsidRPr="00961253">
        <w:t>ABSTRACT</w:t>
      </w:r>
      <w:bookmarkEnd w:id="3"/>
    </w:p>
    <w:p w14:paraId="438FDBCA" w14:textId="77777777" w:rsidR="00C94280" w:rsidRDefault="00C94280" w:rsidP="00A352F4">
      <w:pPr>
        <w:spacing w:line="360" w:lineRule="auto"/>
        <w:jc w:val="both"/>
        <w:rPr>
          <w:rFonts w:ascii="Arial" w:eastAsia="Arial" w:hAnsi="Arial" w:cs="Arial"/>
          <w:sz w:val="22"/>
          <w:szCs w:val="22"/>
        </w:rPr>
      </w:pPr>
    </w:p>
    <w:p w14:paraId="2E1E50D7" w14:textId="79EAE63E" w:rsidR="00A352F4" w:rsidRPr="00A352F4" w:rsidRDefault="00A352F4" w:rsidP="00A352F4">
      <w:pPr>
        <w:spacing w:line="360" w:lineRule="auto"/>
        <w:jc w:val="both"/>
        <w:rPr>
          <w:rFonts w:ascii="Arial" w:eastAsia="Arial" w:hAnsi="Arial" w:cs="Arial"/>
          <w:sz w:val="22"/>
          <w:szCs w:val="22"/>
        </w:rPr>
      </w:pPr>
      <w:r w:rsidRPr="00A352F4">
        <w:rPr>
          <w:rFonts w:ascii="Arial" w:eastAsia="Arial" w:hAnsi="Arial" w:cs="Arial"/>
          <w:sz w:val="22"/>
          <w:szCs w:val="22"/>
        </w:rPr>
        <w:t>Paget's disease of the breast is a rare form of breast cancer that is frequently misdiagnosed as a benign dermatological condition, contributing to delayed diagnosis among women aged 18–40 years. This dissertation aimed to critically examine the factors contributing to diagnostic delays in the West Midlands, focusing on atypical presentation, healthcare inequalities, and barriers to early detection. A structured literature review was undertaken using published academic evidence, which was critically appraised and analysed through Braun and Clarke's thematic analysis. Three themes emerged: diagnostic challenges associated with atypical presentation, healthcare inequalities affecting ethnically diverse young women, and opportunities to strengthen diagnosis through education, clinical practice, and healthcare system improvement. The findings indicate that delayed diagnosis results from the interaction of symptom ambiguity, limited clinical familiarity with Paget's disease, and structural inequalities within healthcare. A key limitation was the limited UK evidence focusing specifically on younger women with the condition. The dissertation recommends strengthening professional education, improving referral pathways for persistent nipple abnormalities, promoting equitable implementation of national cancer policies, and supporting further research into Paget's disease among younger women.</w:t>
      </w:r>
    </w:p>
    <w:p w14:paraId="05C6B93F" w14:textId="77777777" w:rsidR="00961253" w:rsidRPr="00961253" w:rsidRDefault="00961253" w:rsidP="00961253">
      <w:pPr>
        <w:spacing w:line="360" w:lineRule="auto"/>
        <w:jc w:val="both"/>
        <w:rPr>
          <w:rFonts w:ascii="Arial" w:eastAsia="Arial" w:hAnsi="Arial" w:cs="Arial"/>
          <w:sz w:val="22"/>
          <w:szCs w:val="22"/>
        </w:rPr>
      </w:pPr>
    </w:p>
    <w:p w14:paraId="33BD4CDA" w14:textId="77777777" w:rsidR="00961253" w:rsidRPr="00961253" w:rsidRDefault="00961253" w:rsidP="00961253">
      <w:pPr>
        <w:spacing w:line="360" w:lineRule="auto"/>
        <w:jc w:val="both"/>
        <w:rPr>
          <w:rFonts w:ascii="Arial" w:eastAsia="Arial" w:hAnsi="Arial" w:cs="Arial"/>
          <w:sz w:val="22"/>
          <w:szCs w:val="22"/>
        </w:rPr>
      </w:pPr>
    </w:p>
    <w:p w14:paraId="003A0C0F" w14:textId="77777777" w:rsidR="00961253" w:rsidRPr="00961253" w:rsidRDefault="00961253" w:rsidP="00961253">
      <w:pPr>
        <w:spacing w:line="360" w:lineRule="auto"/>
        <w:jc w:val="both"/>
        <w:rPr>
          <w:rFonts w:ascii="Arial" w:eastAsia="Arial" w:hAnsi="Arial" w:cs="Arial"/>
          <w:sz w:val="22"/>
          <w:szCs w:val="22"/>
        </w:rPr>
      </w:pPr>
    </w:p>
    <w:p w14:paraId="4DED4C27" w14:textId="77777777" w:rsidR="00961253" w:rsidRPr="00961253" w:rsidRDefault="00961253" w:rsidP="00961253">
      <w:pPr>
        <w:spacing w:line="360" w:lineRule="auto"/>
        <w:jc w:val="both"/>
        <w:rPr>
          <w:rFonts w:ascii="Arial" w:eastAsia="Arial" w:hAnsi="Arial" w:cs="Arial"/>
          <w:sz w:val="22"/>
          <w:szCs w:val="22"/>
        </w:rPr>
      </w:pPr>
    </w:p>
    <w:p w14:paraId="238F508F" w14:textId="77777777" w:rsidR="00961253" w:rsidRPr="00961253" w:rsidRDefault="00961253" w:rsidP="00961253">
      <w:pPr>
        <w:spacing w:line="360" w:lineRule="auto"/>
        <w:jc w:val="both"/>
        <w:rPr>
          <w:rFonts w:ascii="Arial" w:eastAsia="Arial" w:hAnsi="Arial" w:cs="Arial"/>
          <w:sz w:val="22"/>
          <w:szCs w:val="22"/>
        </w:rPr>
      </w:pPr>
    </w:p>
    <w:p w14:paraId="4C123E63" w14:textId="77777777" w:rsidR="00961253" w:rsidRPr="00961253" w:rsidRDefault="00961253" w:rsidP="00961253">
      <w:pPr>
        <w:spacing w:line="360" w:lineRule="auto"/>
        <w:jc w:val="both"/>
        <w:rPr>
          <w:rFonts w:ascii="Arial" w:eastAsia="Arial" w:hAnsi="Arial" w:cs="Arial"/>
          <w:sz w:val="22"/>
          <w:szCs w:val="22"/>
        </w:rPr>
      </w:pPr>
    </w:p>
    <w:p w14:paraId="72F03DE5" w14:textId="77777777" w:rsidR="00961253" w:rsidRPr="00961253" w:rsidRDefault="00961253" w:rsidP="00961253">
      <w:pPr>
        <w:spacing w:line="360" w:lineRule="auto"/>
        <w:jc w:val="both"/>
        <w:rPr>
          <w:rFonts w:ascii="Arial" w:eastAsia="Arial" w:hAnsi="Arial" w:cs="Arial"/>
          <w:sz w:val="22"/>
          <w:szCs w:val="22"/>
        </w:rPr>
      </w:pPr>
    </w:p>
    <w:p w14:paraId="0583638B" w14:textId="77777777" w:rsidR="00961253" w:rsidRPr="00961253" w:rsidRDefault="00961253" w:rsidP="00961253">
      <w:pPr>
        <w:spacing w:line="360" w:lineRule="auto"/>
        <w:jc w:val="both"/>
        <w:rPr>
          <w:rFonts w:ascii="Arial" w:eastAsia="Arial" w:hAnsi="Arial" w:cs="Arial"/>
          <w:sz w:val="22"/>
          <w:szCs w:val="22"/>
        </w:rPr>
      </w:pPr>
    </w:p>
    <w:p w14:paraId="2B6A3413" w14:textId="77777777" w:rsidR="00DB09AE" w:rsidRDefault="00DB09AE" w:rsidP="003E3922">
      <w:pPr>
        <w:spacing w:line="360" w:lineRule="auto"/>
        <w:jc w:val="both"/>
        <w:rPr>
          <w:rFonts w:ascii="Arial" w:eastAsia="Arial" w:hAnsi="Arial" w:cs="Arial"/>
          <w:sz w:val="22"/>
          <w:szCs w:val="22"/>
        </w:rPr>
      </w:pPr>
    </w:p>
    <w:p w14:paraId="2E3001C0" w14:textId="77777777" w:rsidR="008C0636" w:rsidRDefault="008C0636" w:rsidP="003E3922">
      <w:pPr>
        <w:spacing w:line="360" w:lineRule="auto"/>
        <w:jc w:val="both"/>
        <w:rPr>
          <w:rFonts w:ascii="Arial" w:eastAsia="Arial" w:hAnsi="Arial" w:cs="Arial"/>
          <w:sz w:val="22"/>
          <w:szCs w:val="22"/>
        </w:rPr>
      </w:pPr>
    </w:p>
    <w:p w14:paraId="57E9E3CC" w14:textId="77777777" w:rsidR="00D3461B" w:rsidRDefault="00D3461B" w:rsidP="003E3922">
      <w:pPr>
        <w:spacing w:line="360" w:lineRule="auto"/>
        <w:jc w:val="both"/>
        <w:rPr>
          <w:rFonts w:ascii="Arial" w:eastAsia="Arial" w:hAnsi="Arial" w:cs="Arial"/>
          <w:sz w:val="22"/>
          <w:szCs w:val="22"/>
        </w:rPr>
      </w:pPr>
    </w:p>
    <w:p w14:paraId="1A0079B1" w14:textId="77777777" w:rsidR="00961253" w:rsidRDefault="00961253" w:rsidP="003E3922">
      <w:pPr>
        <w:spacing w:line="360" w:lineRule="auto"/>
        <w:jc w:val="both"/>
        <w:rPr>
          <w:rFonts w:ascii="Arial" w:eastAsia="Arial" w:hAnsi="Arial" w:cs="Arial"/>
          <w:sz w:val="22"/>
          <w:szCs w:val="22"/>
        </w:rPr>
      </w:pPr>
    </w:p>
    <w:p w14:paraId="245C7E9E" w14:textId="77777777" w:rsidR="00DB09AE" w:rsidRPr="00A352F4" w:rsidRDefault="00000000" w:rsidP="00D3461B">
      <w:pPr>
        <w:pStyle w:val="Heading1"/>
        <w:jc w:val="left"/>
        <w:rPr>
          <w:sz w:val="22"/>
          <w:szCs w:val="22"/>
        </w:rPr>
      </w:pPr>
      <w:bookmarkStart w:id="4" w:name="_Toc236054989"/>
      <w:r w:rsidRPr="00A352F4">
        <w:rPr>
          <w:sz w:val="22"/>
          <w:szCs w:val="22"/>
        </w:rPr>
        <w:t>Table of Contents</w:t>
      </w:r>
      <w:bookmarkEnd w:id="4"/>
    </w:p>
    <w:sdt>
      <w:sdtPr>
        <w:rPr>
          <w:rFonts w:ascii="Arial" w:hAnsi="Arial" w:cs="Arial"/>
          <w:sz w:val="22"/>
          <w:szCs w:val="22"/>
        </w:rPr>
        <w:id w:val="1102217025"/>
        <w:docPartObj>
          <w:docPartGallery w:val="Table of Contents"/>
          <w:docPartUnique/>
        </w:docPartObj>
      </w:sdtPr>
      <w:sdtContent>
        <w:p w14:paraId="23C80E70" w14:textId="29839360" w:rsidR="00D3461B" w:rsidRDefault="00000000">
          <w:pPr>
            <w:pStyle w:val="TOC1"/>
            <w:tabs>
              <w:tab w:val="right" w:pos="9016"/>
            </w:tabs>
            <w:rPr>
              <w:rFonts w:asciiTheme="minorHAnsi" w:eastAsiaTheme="minorEastAsia" w:hAnsiTheme="minorHAnsi" w:cstheme="minorBidi"/>
              <w:noProof/>
              <w:kern w:val="2"/>
              <w:lang w:eastAsia="en-GB"/>
              <w14:ligatures w14:val="standardContextual"/>
            </w:rPr>
          </w:pPr>
          <w:r w:rsidRPr="00A352F4">
            <w:rPr>
              <w:rFonts w:ascii="Arial" w:hAnsi="Arial" w:cs="Arial"/>
              <w:sz w:val="22"/>
              <w:szCs w:val="22"/>
            </w:rPr>
            <w:fldChar w:fldCharType="begin"/>
          </w:r>
          <w:r w:rsidRPr="00A352F4">
            <w:rPr>
              <w:rFonts w:ascii="Arial" w:hAnsi="Arial" w:cs="Arial"/>
              <w:sz w:val="22"/>
              <w:szCs w:val="22"/>
            </w:rPr>
            <w:instrText xml:space="preserve"> TOC \h \u \z \t "Heading 1,1,Heading 2,2,Heading 3,3,"</w:instrText>
          </w:r>
          <w:r w:rsidRPr="00A352F4">
            <w:rPr>
              <w:rFonts w:ascii="Arial" w:hAnsi="Arial" w:cs="Arial"/>
              <w:sz w:val="22"/>
              <w:szCs w:val="22"/>
            </w:rPr>
            <w:fldChar w:fldCharType="separate"/>
          </w:r>
          <w:hyperlink w:anchor="_Toc236054985" w:history="1">
            <w:r w:rsidR="00D3461B" w:rsidRPr="00C00796">
              <w:rPr>
                <w:rStyle w:val="Hyperlink"/>
                <w:rFonts w:ascii="Aptos" w:hAnsi="Aptos"/>
                <w:noProof/>
              </w:rPr>
              <w:t>Disclaimer</w:t>
            </w:r>
            <w:r w:rsidR="00D3461B">
              <w:rPr>
                <w:noProof/>
                <w:webHidden/>
              </w:rPr>
              <w:tab/>
            </w:r>
            <w:r w:rsidR="00D3461B">
              <w:rPr>
                <w:noProof/>
                <w:webHidden/>
              </w:rPr>
              <w:fldChar w:fldCharType="begin"/>
            </w:r>
            <w:r w:rsidR="00D3461B">
              <w:rPr>
                <w:noProof/>
                <w:webHidden/>
              </w:rPr>
              <w:instrText xml:space="preserve"> PAGEREF _Toc236054985 \h </w:instrText>
            </w:r>
            <w:r w:rsidR="00D3461B">
              <w:rPr>
                <w:noProof/>
                <w:webHidden/>
              </w:rPr>
            </w:r>
            <w:r w:rsidR="00D3461B">
              <w:rPr>
                <w:noProof/>
                <w:webHidden/>
              </w:rPr>
              <w:fldChar w:fldCharType="separate"/>
            </w:r>
            <w:r w:rsidR="00D3461B">
              <w:rPr>
                <w:noProof/>
                <w:webHidden/>
              </w:rPr>
              <w:t>1</w:t>
            </w:r>
            <w:r w:rsidR="00D3461B">
              <w:rPr>
                <w:noProof/>
                <w:webHidden/>
              </w:rPr>
              <w:fldChar w:fldCharType="end"/>
            </w:r>
          </w:hyperlink>
        </w:p>
        <w:p w14:paraId="4CDE9708" w14:textId="654971FD" w:rsidR="00D3461B" w:rsidRDefault="00D3461B">
          <w:pPr>
            <w:pStyle w:val="TOC1"/>
            <w:tabs>
              <w:tab w:val="right" w:pos="9016"/>
            </w:tabs>
            <w:rPr>
              <w:rFonts w:asciiTheme="minorHAnsi" w:eastAsiaTheme="minorEastAsia" w:hAnsiTheme="minorHAnsi" w:cstheme="minorBidi"/>
              <w:noProof/>
              <w:kern w:val="2"/>
              <w:lang w:eastAsia="en-GB"/>
              <w14:ligatures w14:val="standardContextual"/>
            </w:rPr>
          </w:pPr>
          <w:hyperlink w:anchor="_Toc236054986" w:history="1">
            <w:r w:rsidRPr="00C00796">
              <w:rPr>
                <w:rStyle w:val="Hyperlink"/>
                <w:noProof/>
              </w:rPr>
              <w:t>DECLARATION</w:t>
            </w:r>
            <w:r>
              <w:rPr>
                <w:noProof/>
                <w:webHidden/>
              </w:rPr>
              <w:tab/>
            </w:r>
            <w:r>
              <w:rPr>
                <w:noProof/>
                <w:webHidden/>
              </w:rPr>
              <w:fldChar w:fldCharType="begin"/>
            </w:r>
            <w:r>
              <w:rPr>
                <w:noProof/>
                <w:webHidden/>
              </w:rPr>
              <w:instrText xml:space="preserve"> PAGEREF _Toc236054986 \h </w:instrText>
            </w:r>
            <w:r>
              <w:rPr>
                <w:noProof/>
                <w:webHidden/>
              </w:rPr>
            </w:r>
            <w:r>
              <w:rPr>
                <w:noProof/>
                <w:webHidden/>
              </w:rPr>
              <w:fldChar w:fldCharType="separate"/>
            </w:r>
            <w:r>
              <w:rPr>
                <w:noProof/>
                <w:webHidden/>
              </w:rPr>
              <w:t>2</w:t>
            </w:r>
            <w:r>
              <w:rPr>
                <w:noProof/>
                <w:webHidden/>
              </w:rPr>
              <w:fldChar w:fldCharType="end"/>
            </w:r>
          </w:hyperlink>
        </w:p>
        <w:p w14:paraId="1254FE87" w14:textId="190F88F6" w:rsidR="00D3461B" w:rsidRDefault="00D3461B">
          <w:pPr>
            <w:pStyle w:val="TOC1"/>
            <w:tabs>
              <w:tab w:val="right" w:pos="9016"/>
            </w:tabs>
            <w:rPr>
              <w:rFonts w:asciiTheme="minorHAnsi" w:eastAsiaTheme="minorEastAsia" w:hAnsiTheme="minorHAnsi" w:cstheme="minorBidi"/>
              <w:noProof/>
              <w:kern w:val="2"/>
              <w:lang w:eastAsia="en-GB"/>
              <w14:ligatures w14:val="standardContextual"/>
            </w:rPr>
          </w:pPr>
          <w:hyperlink w:anchor="_Toc236054987" w:history="1">
            <w:r w:rsidRPr="00C00796">
              <w:rPr>
                <w:rStyle w:val="Hyperlink"/>
                <w:noProof/>
              </w:rPr>
              <w:t>ACKNOWLEDGEMENTS</w:t>
            </w:r>
            <w:r>
              <w:rPr>
                <w:noProof/>
                <w:webHidden/>
              </w:rPr>
              <w:tab/>
            </w:r>
            <w:r>
              <w:rPr>
                <w:noProof/>
                <w:webHidden/>
              </w:rPr>
              <w:fldChar w:fldCharType="begin"/>
            </w:r>
            <w:r>
              <w:rPr>
                <w:noProof/>
                <w:webHidden/>
              </w:rPr>
              <w:instrText xml:space="preserve"> PAGEREF _Toc236054987 \h </w:instrText>
            </w:r>
            <w:r>
              <w:rPr>
                <w:noProof/>
                <w:webHidden/>
              </w:rPr>
            </w:r>
            <w:r>
              <w:rPr>
                <w:noProof/>
                <w:webHidden/>
              </w:rPr>
              <w:fldChar w:fldCharType="separate"/>
            </w:r>
            <w:r>
              <w:rPr>
                <w:noProof/>
                <w:webHidden/>
              </w:rPr>
              <w:t>4</w:t>
            </w:r>
            <w:r>
              <w:rPr>
                <w:noProof/>
                <w:webHidden/>
              </w:rPr>
              <w:fldChar w:fldCharType="end"/>
            </w:r>
          </w:hyperlink>
        </w:p>
        <w:p w14:paraId="61B534BE" w14:textId="74C0A149" w:rsidR="00D3461B" w:rsidRDefault="00D3461B">
          <w:pPr>
            <w:pStyle w:val="TOC1"/>
            <w:tabs>
              <w:tab w:val="right" w:pos="9016"/>
            </w:tabs>
            <w:rPr>
              <w:rFonts w:asciiTheme="minorHAnsi" w:eastAsiaTheme="minorEastAsia" w:hAnsiTheme="minorHAnsi" w:cstheme="minorBidi"/>
              <w:noProof/>
              <w:kern w:val="2"/>
              <w:lang w:eastAsia="en-GB"/>
              <w14:ligatures w14:val="standardContextual"/>
            </w:rPr>
          </w:pPr>
          <w:hyperlink w:anchor="_Toc236054988" w:history="1">
            <w:r w:rsidRPr="00C00796">
              <w:rPr>
                <w:rStyle w:val="Hyperlink"/>
                <w:noProof/>
              </w:rPr>
              <w:t>ABSTRACT</w:t>
            </w:r>
            <w:r>
              <w:rPr>
                <w:noProof/>
                <w:webHidden/>
              </w:rPr>
              <w:tab/>
            </w:r>
            <w:r>
              <w:rPr>
                <w:noProof/>
                <w:webHidden/>
              </w:rPr>
              <w:fldChar w:fldCharType="begin"/>
            </w:r>
            <w:r>
              <w:rPr>
                <w:noProof/>
                <w:webHidden/>
              </w:rPr>
              <w:instrText xml:space="preserve"> PAGEREF _Toc236054988 \h </w:instrText>
            </w:r>
            <w:r>
              <w:rPr>
                <w:noProof/>
                <w:webHidden/>
              </w:rPr>
            </w:r>
            <w:r>
              <w:rPr>
                <w:noProof/>
                <w:webHidden/>
              </w:rPr>
              <w:fldChar w:fldCharType="separate"/>
            </w:r>
            <w:r>
              <w:rPr>
                <w:noProof/>
                <w:webHidden/>
              </w:rPr>
              <w:t>6</w:t>
            </w:r>
            <w:r>
              <w:rPr>
                <w:noProof/>
                <w:webHidden/>
              </w:rPr>
              <w:fldChar w:fldCharType="end"/>
            </w:r>
          </w:hyperlink>
        </w:p>
        <w:p w14:paraId="7FB54399" w14:textId="7D8872B6" w:rsidR="00D3461B" w:rsidRDefault="00D3461B">
          <w:pPr>
            <w:pStyle w:val="TOC1"/>
            <w:tabs>
              <w:tab w:val="right" w:pos="9016"/>
            </w:tabs>
            <w:rPr>
              <w:rFonts w:asciiTheme="minorHAnsi" w:eastAsiaTheme="minorEastAsia" w:hAnsiTheme="minorHAnsi" w:cstheme="minorBidi"/>
              <w:noProof/>
              <w:kern w:val="2"/>
              <w:lang w:eastAsia="en-GB"/>
              <w14:ligatures w14:val="standardContextual"/>
            </w:rPr>
          </w:pPr>
          <w:hyperlink w:anchor="_Toc236054989" w:history="1">
            <w:r w:rsidRPr="00C00796">
              <w:rPr>
                <w:rStyle w:val="Hyperlink"/>
                <w:noProof/>
              </w:rPr>
              <w:t>Table of Contents</w:t>
            </w:r>
            <w:r>
              <w:rPr>
                <w:noProof/>
                <w:webHidden/>
              </w:rPr>
              <w:tab/>
            </w:r>
            <w:r>
              <w:rPr>
                <w:noProof/>
                <w:webHidden/>
              </w:rPr>
              <w:fldChar w:fldCharType="begin"/>
            </w:r>
            <w:r>
              <w:rPr>
                <w:noProof/>
                <w:webHidden/>
              </w:rPr>
              <w:instrText xml:space="preserve"> PAGEREF _Toc236054989 \h </w:instrText>
            </w:r>
            <w:r>
              <w:rPr>
                <w:noProof/>
                <w:webHidden/>
              </w:rPr>
            </w:r>
            <w:r>
              <w:rPr>
                <w:noProof/>
                <w:webHidden/>
              </w:rPr>
              <w:fldChar w:fldCharType="separate"/>
            </w:r>
            <w:r>
              <w:rPr>
                <w:noProof/>
                <w:webHidden/>
              </w:rPr>
              <w:t>7</w:t>
            </w:r>
            <w:r>
              <w:rPr>
                <w:noProof/>
                <w:webHidden/>
              </w:rPr>
              <w:fldChar w:fldCharType="end"/>
            </w:r>
          </w:hyperlink>
        </w:p>
        <w:p w14:paraId="67EF37F8" w14:textId="4E2AA2F2" w:rsidR="00D3461B" w:rsidRDefault="00D3461B">
          <w:pPr>
            <w:pStyle w:val="TOC1"/>
            <w:tabs>
              <w:tab w:val="right" w:pos="9016"/>
            </w:tabs>
            <w:rPr>
              <w:rFonts w:asciiTheme="minorHAnsi" w:eastAsiaTheme="minorEastAsia" w:hAnsiTheme="minorHAnsi" w:cstheme="minorBidi"/>
              <w:noProof/>
              <w:kern w:val="2"/>
              <w:lang w:eastAsia="en-GB"/>
              <w14:ligatures w14:val="standardContextual"/>
            </w:rPr>
          </w:pPr>
          <w:hyperlink w:anchor="_Toc236054990" w:history="1">
            <w:r w:rsidRPr="00C00796">
              <w:rPr>
                <w:rStyle w:val="Hyperlink"/>
                <w:noProof/>
              </w:rPr>
              <w:t>CHAPTER 1: Introduction</w:t>
            </w:r>
            <w:r>
              <w:rPr>
                <w:noProof/>
                <w:webHidden/>
              </w:rPr>
              <w:tab/>
            </w:r>
            <w:r>
              <w:rPr>
                <w:noProof/>
                <w:webHidden/>
              </w:rPr>
              <w:fldChar w:fldCharType="begin"/>
            </w:r>
            <w:r>
              <w:rPr>
                <w:noProof/>
                <w:webHidden/>
              </w:rPr>
              <w:instrText xml:space="preserve"> PAGEREF _Toc236054990 \h </w:instrText>
            </w:r>
            <w:r>
              <w:rPr>
                <w:noProof/>
                <w:webHidden/>
              </w:rPr>
            </w:r>
            <w:r>
              <w:rPr>
                <w:noProof/>
                <w:webHidden/>
              </w:rPr>
              <w:fldChar w:fldCharType="separate"/>
            </w:r>
            <w:r>
              <w:rPr>
                <w:noProof/>
                <w:webHidden/>
              </w:rPr>
              <w:t>9</w:t>
            </w:r>
            <w:r>
              <w:rPr>
                <w:noProof/>
                <w:webHidden/>
              </w:rPr>
              <w:fldChar w:fldCharType="end"/>
            </w:r>
          </w:hyperlink>
        </w:p>
        <w:p w14:paraId="5F431ACE" w14:textId="7E486E70"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4991" w:history="1">
            <w:r w:rsidRPr="00C00796">
              <w:rPr>
                <w:rStyle w:val="Hyperlink"/>
                <w:noProof/>
              </w:rPr>
              <w:t>1.1 Introduction.</w:t>
            </w:r>
            <w:r>
              <w:rPr>
                <w:noProof/>
                <w:webHidden/>
              </w:rPr>
              <w:tab/>
            </w:r>
            <w:r>
              <w:rPr>
                <w:noProof/>
                <w:webHidden/>
              </w:rPr>
              <w:fldChar w:fldCharType="begin"/>
            </w:r>
            <w:r>
              <w:rPr>
                <w:noProof/>
                <w:webHidden/>
              </w:rPr>
              <w:instrText xml:space="preserve"> PAGEREF _Toc236054991 \h </w:instrText>
            </w:r>
            <w:r>
              <w:rPr>
                <w:noProof/>
                <w:webHidden/>
              </w:rPr>
            </w:r>
            <w:r>
              <w:rPr>
                <w:noProof/>
                <w:webHidden/>
              </w:rPr>
              <w:fldChar w:fldCharType="separate"/>
            </w:r>
            <w:r>
              <w:rPr>
                <w:noProof/>
                <w:webHidden/>
              </w:rPr>
              <w:t>9</w:t>
            </w:r>
            <w:r>
              <w:rPr>
                <w:noProof/>
                <w:webHidden/>
              </w:rPr>
              <w:fldChar w:fldCharType="end"/>
            </w:r>
          </w:hyperlink>
        </w:p>
        <w:p w14:paraId="2C683863" w14:textId="0F49EAAB"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4992" w:history="1">
            <w:r w:rsidRPr="00C00796">
              <w:rPr>
                <w:rStyle w:val="Hyperlink"/>
                <w:noProof/>
              </w:rPr>
              <w:t>1.2 Definitions and Terminology.</w:t>
            </w:r>
            <w:r>
              <w:rPr>
                <w:noProof/>
                <w:webHidden/>
              </w:rPr>
              <w:tab/>
            </w:r>
            <w:r>
              <w:rPr>
                <w:noProof/>
                <w:webHidden/>
              </w:rPr>
              <w:fldChar w:fldCharType="begin"/>
            </w:r>
            <w:r>
              <w:rPr>
                <w:noProof/>
                <w:webHidden/>
              </w:rPr>
              <w:instrText xml:space="preserve"> PAGEREF _Toc236054992 \h </w:instrText>
            </w:r>
            <w:r>
              <w:rPr>
                <w:noProof/>
                <w:webHidden/>
              </w:rPr>
            </w:r>
            <w:r>
              <w:rPr>
                <w:noProof/>
                <w:webHidden/>
              </w:rPr>
              <w:fldChar w:fldCharType="separate"/>
            </w:r>
            <w:r>
              <w:rPr>
                <w:noProof/>
                <w:webHidden/>
              </w:rPr>
              <w:t>10</w:t>
            </w:r>
            <w:r>
              <w:rPr>
                <w:noProof/>
                <w:webHidden/>
              </w:rPr>
              <w:fldChar w:fldCharType="end"/>
            </w:r>
          </w:hyperlink>
        </w:p>
        <w:p w14:paraId="354808DB" w14:textId="53E16116"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4993" w:history="1">
            <w:r w:rsidRPr="00C00796">
              <w:rPr>
                <w:rStyle w:val="Hyperlink"/>
                <w:noProof/>
              </w:rPr>
              <w:t>1.3 Rationale for Research</w:t>
            </w:r>
            <w:r>
              <w:rPr>
                <w:noProof/>
                <w:webHidden/>
              </w:rPr>
              <w:tab/>
            </w:r>
            <w:r>
              <w:rPr>
                <w:noProof/>
                <w:webHidden/>
              </w:rPr>
              <w:fldChar w:fldCharType="begin"/>
            </w:r>
            <w:r>
              <w:rPr>
                <w:noProof/>
                <w:webHidden/>
              </w:rPr>
              <w:instrText xml:space="preserve"> PAGEREF _Toc236054993 \h </w:instrText>
            </w:r>
            <w:r>
              <w:rPr>
                <w:noProof/>
                <w:webHidden/>
              </w:rPr>
            </w:r>
            <w:r>
              <w:rPr>
                <w:noProof/>
                <w:webHidden/>
              </w:rPr>
              <w:fldChar w:fldCharType="separate"/>
            </w:r>
            <w:r>
              <w:rPr>
                <w:noProof/>
                <w:webHidden/>
              </w:rPr>
              <w:t>10</w:t>
            </w:r>
            <w:r>
              <w:rPr>
                <w:noProof/>
                <w:webHidden/>
              </w:rPr>
              <w:fldChar w:fldCharType="end"/>
            </w:r>
          </w:hyperlink>
        </w:p>
        <w:p w14:paraId="278879B3" w14:textId="75ACF074"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4994" w:history="1">
            <w:r w:rsidRPr="00C00796">
              <w:rPr>
                <w:rStyle w:val="Hyperlink"/>
                <w:noProof/>
              </w:rPr>
              <w:t>1.4 Aim and Objectives</w:t>
            </w:r>
            <w:r>
              <w:rPr>
                <w:noProof/>
                <w:webHidden/>
              </w:rPr>
              <w:tab/>
            </w:r>
            <w:r>
              <w:rPr>
                <w:noProof/>
                <w:webHidden/>
              </w:rPr>
              <w:fldChar w:fldCharType="begin"/>
            </w:r>
            <w:r>
              <w:rPr>
                <w:noProof/>
                <w:webHidden/>
              </w:rPr>
              <w:instrText xml:space="preserve"> PAGEREF _Toc236054994 \h </w:instrText>
            </w:r>
            <w:r>
              <w:rPr>
                <w:noProof/>
                <w:webHidden/>
              </w:rPr>
            </w:r>
            <w:r>
              <w:rPr>
                <w:noProof/>
                <w:webHidden/>
              </w:rPr>
              <w:fldChar w:fldCharType="separate"/>
            </w:r>
            <w:r>
              <w:rPr>
                <w:noProof/>
                <w:webHidden/>
              </w:rPr>
              <w:t>11</w:t>
            </w:r>
            <w:r>
              <w:rPr>
                <w:noProof/>
                <w:webHidden/>
              </w:rPr>
              <w:fldChar w:fldCharType="end"/>
            </w:r>
          </w:hyperlink>
        </w:p>
        <w:p w14:paraId="39B18E16" w14:textId="16D68C1B"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4995" w:history="1">
            <w:r w:rsidRPr="00C00796">
              <w:rPr>
                <w:rStyle w:val="Hyperlink"/>
                <w:noProof/>
              </w:rPr>
              <w:t>1.5 Conclusion</w:t>
            </w:r>
            <w:r>
              <w:rPr>
                <w:noProof/>
                <w:webHidden/>
              </w:rPr>
              <w:tab/>
            </w:r>
            <w:r>
              <w:rPr>
                <w:noProof/>
                <w:webHidden/>
              </w:rPr>
              <w:fldChar w:fldCharType="begin"/>
            </w:r>
            <w:r>
              <w:rPr>
                <w:noProof/>
                <w:webHidden/>
              </w:rPr>
              <w:instrText xml:space="preserve"> PAGEREF _Toc236054995 \h </w:instrText>
            </w:r>
            <w:r>
              <w:rPr>
                <w:noProof/>
                <w:webHidden/>
              </w:rPr>
            </w:r>
            <w:r>
              <w:rPr>
                <w:noProof/>
                <w:webHidden/>
              </w:rPr>
              <w:fldChar w:fldCharType="separate"/>
            </w:r>
            <w:r>
              <w:rPr>
                <w:noProof/>
                <w:webHidden/>
              </w:rPr>
              <w:t>11</w:t>
            </w:r>
            <w:r>
              <w:rPr>
                <w:noProof/>
                <w:webHidden/>
              </w:rPr>
              <w:fldChar w:fldCharType="end"/>
            </w:r>
          </w:hyperlink>
        </w:p>
        <w:p w14:paraId="6BA4B576" w14:textId="340F346D" w:rsidR="00D3461B" w:rsidRDefault="00D3461B">
          <w:pPr>
            <w:pStyle w:val="TOC1"/>
            <w:tabs>
              <w:tab w:val="right" w:pos="9016"/>
            </w:tabs>
            <w:rPr>
              <w:rFonts w:asciiTheme="minorHAnsi" w:eastAsiaTheme="minorEastAsia" w:hAnsiTheme="minorHAnsi" w:cstheme="minorBidi"/>
              <w:noProof/>
              <w:kern w:val="2"/>
              <w:lang w:eastAsia="en-GB"/>
              <w14:ligatures w14:val="standardContextual"/>
            </w:rPr>
          </w:pPr>
          <w:hyperlink w:anchor="_Toc236054996" w:history="1">
            <w:r w:rsidRPr="00C00796">
              <w:rPr>
                <w:rStyle w:val="Hyperlink"/>
                <w:noProof/>
              </w:rPr>
              <w:t>CHAPTER 2 – Background Information and Analysis.</w:t>
            </w:r>
            <w:r>
              <w:rPr>
                <w:noProof/>
                <w:webHidden/>
              </w:rPr>
              <w:tab/>
            </w:r>
            <w:r>
              <w:rPr>
                <w:noProof/>
                <w:webHidden/>
              </w:rPr>
              <w:fldChar w:fldCharType="begin"/>
            </w:r>
            <w:r>
              <w:rPr>
                <w:noProof/>
                <w:webHidden/>
              </w:rPr>
              <w:instrText xml:space="preserve"> PAGEREF _Toc236054996 \h </w:instrText>
            </w:r>
            <w:r>
              <w:rPr>
                <w:noProof/>
                <w:webHidden/>
              </w:rPr>
            </w:r>
            <w:r>
              <w:rPr>
                <w:noProof/>
                <w:webHidden/>
              </w:rPr>
              <w:fldChar w:fldCharType="separate"/>
            </w:r>
            <w:r>
              <w:rPr>
                <w:noProof/>
                <w:webHidden/>
              </w:rPr>
              <w:t>12</w:t>
            </w:r>
            <w:r>
              <w:rPr>
                <w:noProof/>
                <w:webHidden/>
              </w:rPr>
              <w:fldChar w:fldCharType="end"/>
            </w:r>
          </w:hyperlink>
        </w:p>
        <w:p w14:paraId="28D2570C" w14:textId="2D2576F5"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4997" w:history="1">
            <w:r w:rsidRPr="00C00796">
              <w:rPr>
                <w:rStyle w:val="Hyperlink"/>
                <w:noProof/>
              </w:rPr>
              <w:t>2.1 Introduction.</w:t>
            </w:r>
            <w:r>
              <w:rPr>
                <w:noProof/>
                <w:webHidden/>
              </w:rPr>
              <w:tab/>
            </w:r>
            <w:r>
              <w:rPr>
                <w:noProof/>
                <w:webHidden/>
              </w:rPr>
              <w:fldChar w:fldCharType="begin"/>
            </w:r>
            <w:r>
              <w:rPr>
                <w:noProof/>
                <w:webHidden/>
              </w:rPr>
              <w:instrText xml:space="preserve"> PAGEREF _Toc236054997 \h </w:instrText>
            </w:r>
            <w:r>
              <w:rPr>
                <w:noProof/>
                <w:webHidden/>
              </w:rPr>
            </w:r>
            <w:r>
              <w:rPr>
                <w:noProof/>
                <w:webHidden/>
              </w:rPr>
              <w:fldChar w:fldCharType="separate"/>
            </w:r>
            <w:r>
              <w:rPr>
                <w:noProof/>
                <w:webHidden/>
              </w:rPr>
              <w:t>12</w:t>
            </w:r>
            <w:r>
              <w:rPr>
                <w:noProof/>
                <w:webHidden/>
              </w:rPr>
              <w:fldChar w:fldCharType="end"/>
            </w:r>
          </w:hyperlink>
        </w:p>
        <w:p w14:paraId="28621F7C" w14:textId="7BABCAEC"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4998" w:history="1">
            <w:r w:rsidRPr="00C00796">
              <w:rPr>
                <w:rStyle w:val="Hyperlink"/>
                <w:noProof/>
              </w:rPr>
              <w:t>2.2 Historical Background</w:t>
            </w:r>
            <w:r>
              <w:rPr>
                <w:noProof/>
                <w:webHidden/>
              </w:rPr>
              <w:tab/>
            </w:r>
            <w:r>
              <w:rPr>
                <w:noProof/>
                <w:webHidden/>
              </w:rPr>
              <w:fldChar w:fldCharType="begin"/>
            </w:r>
            <w:r>
              <w:rPr>
                <w:noProof/>
                <w:webHidden/>
              </w:rPr>
              <w:instrText xml:space="preserve"> PAGEREF _Toc236054998 \h </w:instrText>
            </w:r>
            <w:r>
              <w:rPr>
                <w:noProof/>
                <w:webHidden/>
              </w:rPr>
            </w:r>
            <w:r>
              <w:rPr>
                <w:noProof/>
                <w:webHidden/>
              </w:rPr>
              <w:fldChar w:fldCharType="separate"/>
            </w:r>
            <w:r>
              <w:rPr>
                <w:noProof/>
                <w:webHidden/>
              </w:rPr>
              <w:t>12</w:t>
            </w:r>
            <w:r>
              <w:rPr>
                <w:noProof/>
                <w:webHidden/>
              </w:rPr>
              <w:fldChar w:fldCharType="end"/>
            </w:r>
          </w:hyperlink>
        </w:p>
        <w:p w14:paraId="575E8D65" w14:textId="4D5D8E51"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4999" w:history="1">
            <w:r w:rsidRPr="00C00796">
              <w:rPr>
                <w:rStyle w:val="Hyperlink"/>
                <w:noProof/>
              </w:rPr>
              <w:t>2.3 Theoretical Background.</w:t>
            </w:r>
            <w:r>
              <w:rPr>
                <w:noProof/>
                <w:webHidden/>
              </w:rPr>
              <w:tab/>
            </w:r>
            <w:r>
              <w:rPr>
                <w:noProof/>
                <w:webHidden/>
              </w:rPr>
              <w:fldChar w:fldCharType="begin"/>
            </w:r>
            <w:r>
              <w:rPr>
                <w:noProof/>
                <w:webHidden/>
              </w:rPr>
              <w:instrText xml:space="preserve"> PAGEREF _Toc236054999 \h </w:instrText>
            </w:r>
            <w:r>
              <w:rPr>
                <w:noProof/>
                <w:webHidden/>
              </w:rPr>
            </w:r>
            <w:r>
              <w:rPr>
                <w:noProof/>
                <w:webHidden/>
              </w:rPr>
              <w:fldChar w:fldCharType="separate"/>
            </w:r>
            <w:r>
              <w:rPr>
                <w:noProof/>
                <w:webHidden/>
              </w:rPr>
              <w:t>13</w:t>
            </w:r>
            <w:r>
              <w:rPr>
                <w:noProof/>
                <w:webHidden/>
              </w:rPr>
              <w:fldChar w:fldCharType="end"/>
            </w:r>
          </w:hyperlink>
        </w:p>
        <w:p w14:paraId="6163421E" w14:textId="6B2E876F"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00" w:history="1">
            <w:r w:rsidRPr="00C00796">
              <w:rPr>
                <w:rStyle w:val="Hyperlink"/>
                <w:noProof/>
              </w:rPr>
              <w:t>2.4 International Context</w:t>
            </w:r>
            <w:r>
              <w:rPr>
                <w:noProof/>
                <w:webHidden/>
              </w:rPr>
              <w:tab/>
            </w:r>
            <w:r>
              <w:rPr>
                <w:noProof/>
                <w:webHidden/>
              </w:rPr>
              <w:fldChar w:fldCharType="begin"/>
            </w:r>
            <w:r>
              <w:rPr>
                <w:noProof/>
                <w:webHidden/>
              </w:rPr>
              <w:instrText xml:space="preserve"> PAGEREF _Toc236055000 \h </w:instrText>
            </w:r>
            <w:r>
              <w:rPr>
                <w:noProof/>
                <w:webHidden/>
              </w:rPr>
            </w:r>
            <w:r>
              <w:rPr>
                <w:noProof/>
                <w:webHidden/>
              </w:rPr>
              <w:fldChar w:fldCharType="separate"/>
            </w:r>
            <w:r>
              <w:rPr>
                <w:noProof/>
                <w:webHidden/>
              </w:rPr>
              <w:t>15</w:t>
            </w:r>
            <w:r>
              <w:rPr>
                <w:noProof/>
                <w:webHidden/>
              </w:rPr>
              <w:fldChar w:fldCharType="end"/>
            </w:r>
          </w:hyperlink>
        </w:p>
        <w:p w14:paraId="37EC5E5A" w14:textId="118EEEF9"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01" w:history="1">
            <w:r w:rsidRPr="00C00796">
              <w:rPr>
                <w:rStyle w:val="Hyperlink"/>
                <w:noProof/>
              </w:rPr>
              <w:t>2.5 National/Local UK Context</w:t>
            </w:r>
            <w:r>
              <w:rPr>
                <w:noProof/>
                <w:webHidden/>
              </w:rPr>
              <w:tab/>
            </w:r>
            <w:r>
              <w:rPr>
                <w:noProof/>
                <w:webHidden/>
              </w:rPr>
              <w:fldChar w:fldCharType="begin"/>
            </w:r>
            <w:r>
              <w:rPr>
                <w:noProof/>
                <w:webHidden/>
              </w:rPr>
              <w:instrText xml:space="preserve"> PAGEREF _Toc236055001 \h </w:instrText>
            </w:r>
            <w:r>
              <w:rPr>
                <w:noProof/>
                <w:webHidden/>
              </w:rPr>
            </w:r>
            <w:r>
              <w:rPr>
                <w:noProof/>
                <w:webHidden/>
              </w:rPr>
              <w:fldChar w:fldCharType="separate"/>
            </w:r>
            <w:r>
              <w:rPr>
                <w:noProof/>
                <w:webHidden/>
              </w:rPr>
              <w:t>16</w:t>
            </w:r>
            <w:r>
              <w:rPr>
                <w:noProof/>
                <w:webHidden/>
              </w:rPr>
              <w:fldChar w:fldCharType="end"/>
            </w:r>
          </w:hyperlink>
        </w:p>
        <w:p w14:paraId="01EC7A4A" w14:textId="4B38066D"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02" w:history="1">
            <w:r w:rsidRPr="00C00796">
              <w:rPr>
                <w:rStyle w:val="Hyperlink"/>
                <w:noProof/>
              </w:rPr>
              <w:t>2.6 Conclusion.</w:t>
            </w:r>
            <w:r>
              <w:rPr>
                <w:noProof/>
                <w:webHidden/>
              </w:rPr>
              <w:tab/>
            </w:r>
            <w:r>
              <w:rPr>
                <w:noProof/>
                <w:webHidden/>
              </w:rPr>
              <w:fldChar w:fldCharType="begin"/>
            </w:r>
            <w:r>
              <w:rPr>
                <w:noProof/>
                <w:webHidden/>
              </w:rPr>
              <w:instrText xml:space="preserve"> PAGEREF _Toc236055002 \h </w:instrText>
            </w:r>
            <w:r>
              <w:rPr>
                <w:noProof/>
                <w:webHidden/>
              </w:rPr>
            </w:r>
            <w:r>
              <w:rPr>
                <w:noProof/>
                <w:webHidden/>
              </w:rPr>
              <w:fldChar w:fldCharType="separate"/>
            </w:r>
            <w:r>
              <w:rPr>
                <w:noProof/>
                <w:webHidden/>
              </w:rPr>
              <w:t>17</w:t>
            </w:r>
            <w:r>
              <w:rPr>
                <w:noProof/>
                <w:webHidden/>
              </w:rPr>
              <w:fldChar w:fldCharType="end"/>
            </w:r>
          </w:hyperlink>
        </w:p>
        <w:p w14:paraId="681C2952" w14:textId="2E02B009" w:rsidR="00D3461B" w:rsidRDefault="00D3461B">
          <w:pPr>
            <w:pStyle w:val="TOC1"/>
            <w:tabs>
              <w:tab w:val="right" w:pos="9016"/>
            </w:tabs>
            <w:rPr>
              <w:rFonts w:asciiTheme="minorHAnsi" w:eastAsiaTheme="minorEastAsia" w:hAnsiTheme="minorHAnsi" w:cstheme="minorBidi"/>
              <w:noProof/>
              <w:kern w:val="2"/>
              <w:lang w:eastAsia="en-GB"/>
              <w14:ligatures w14:val="standardContextual"/>
            </w:rPr>
          </w:pPr>
          <w:hyperlink w:anchor="_Toc236055003" w:history="1">
            <w:r w:rsidRPr="00C00796">
              <w:rPr>
                <w:rStyle w:val="Hyperlink"/>
                <w:noProof/>
              </w:rPr>
              <w:t>CHAPTER 3:  Methods and Search Strategy</w:t>
            </w:r>
            <w:r>
              <w:rPr>
                <w:noProof/>
                <w:webHidden/>
              </w:rPr>
              <w:tab/>
            </w:r>
            <w:r>
              <w:rPr>
                <w:noProof/>
                <w:webHidden/>
              </w:rPr>
              <w:fldChar w:fldCharType="begin"/>
            </w:r>
            <w:r>
              <w:rPr>
                <w:noProof/>
                <w:webHidden/>
              </w:rPr>
              <w:instrText xml:space="preserve"> PAGEREF _Toc236055003 \h </w:instrText>
            </w:r>
            <w:r>
              <w:rPr>
                <w:noProof/>
                <w:webHidden/>
              </w:rPr>
            </w:r>
            <w:r>
              <w:rPr>
                <w:noProof/>
                <w:webHidden/>
              </w:rPr>
              <w:fldChar w:fldCharType="separate"/>
            </w:r>
            <w:r>
              <w:rPr>
                <w:noProof/>
                <w:webHidden/>
              </w:rPr>
              <w:t>18</w:t>
            </w:r>
            <w:r>
              <w:rPr>
                <w:noProof/>
                <w:webHidden/>
              </w:rPr>
              <w:fldChar w:fldCharType="end"/>
            </w:r>
          </w:hyperlink>
        </w:p>
        <w:p w14:paraId="1B6A10BA" w14:textId="740EDAEA"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04" w:history="1">
            <w:r w:rsidRPr="00C00796">
              <w:rPr>
                <w:rStyle w:val="Hyperlink"/>
                <w:noProof/>
              </w:rPr>
              <w:t>3.1 Introduction</w:t>
            </w:r>
            <w:r>
              <w:rPr>
                <w:noProof/>
                <w:webHidden/>
              </w:rPr>
              <w:tab/>
            </w:r>
            <w:r>
              <w:rPr>
                <w:noProof/>
                <w:webHidden/>
              </w:rPr>
              <w:fldChar w:fldCharType="begin"/>
            </w:r>
            <w:r>
              <w:rPr>
                <w:noProof/>
                <w:webHidden/>
              </w:rPr>
              <w:instrText xml:space="preserve"> PAGEREF _Toc236055004 \h </w:instrText>
            </w:r>
            <w:r>
              <w:rPr>
                <w:noProof/>
                <w:webHidden/>
              </w:rPr>
            </w:r>
            <w:r>
              <w:rPr>
                <w:noProof/>
                <w:webHidden/>
              </w:rPr>
              <w:fldChar w:fldCharType="separate"/>
            </w:r>
            <w:r>
              <w:rPr>
                <w:noProof/>
                <w:webHidden/>
              </w:rPr>
              <w:t>18</w:t>
            </w:r>
            <w:r>
              <w:rPr>
                <w:noProof/>
                <w:webHidden/>
              </w:rPr>
              <w:fldChar w:fldCharType="end"/>
            </w:r>
          </w:hyperlink>
        </w:p>
        <w:p w14:paraId="4F106332" w14:textId="588A18EF"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05" w:history="1">
            <w:r w:rsidRPr="00C00796">
              <w:rPr>
                <w:rStyle w:val="Hyperlink"/>
                <w:noProof/>
              </w:rPr>
              <w:t>3.2 Search Strategy</w:t>
            </w:r>
            <w:r>
              <w:rPr>
                <w:noProof/>
                <w:webHidden/>
              </w:rPr>
              <w:tab/>
            </w:r>
            <w:r>
              <w:rPr>
                <w:noProof/>
                <w:webHidden/>
              </w:rPr>
              <w:fldChar w:fldCharType="begin"/>
            </w:r>
            <w:r>
              <w:rPr>
                <w:noProof/>
                <w:webHidden/>
              </w:rPr>
              <w:instrText xml:space="preserve"> PAGEREF _Toc236055005 \h </w:instrText>
            </w:r>
            <w:r>
              <w:rPr>
                <w:noProof/>
                <w:webHidden/>
              </w:rPr>
            </w:r>
            <w:r>
              <w:rPr>
                <w:noProof/>
                <w:webHidden/>
              </w:rPr>
              <w:fldChar w:fldCharType="separate"/>
            </w:r>
            <w:r>
              <w:rPr>
                <w:noProof/>
                <w:webHidden/>
              </w:rPr>
              <w:t>18</w:t>
            </w:r>
            <w:r>
              <w:rPr>
                <w:noProof/>
                <w:webHidden/>
              </w:rPr>
              <w:fldChar w:fldCharType="end"/>
            </w:r>
          </w:hyperlink>
        </w:p>
        <w:p w14:paraId="42BA54C6" w14:textId="188D7EE5"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06" w:history="1">
            <w:r w:rsidRPr="00C00796">
              <w:rPr>
                <w:rStyle w:val="Hyperlink"/>
                <w:noProof/>
              </w:rPr>
              <w:t>3.3 Searching for Information</w:t>
            </w:r>
            <w:r>
              <w:rPr>
                <w:noProof/>
                <w:webHidden/>
              </w:rPr>
              <w:tab/>
            </w:r>
            <w:r>
              <w:rPr>
                <w:noProof/>
                <w:webHidden/>
              </w:rPr>
              <w:fldChar w:fldCharType="begin"/>
            </w:r>
            <w:r>
              <w:rPr>
                <w:noProof/>
                <w:webHidden/>
              </w:rPr>
              <w:instrText xml:space="preserve"> PAGEREF _Toc236055006 \h </w:instrText>
            </w:r>
            <w:r>
              <w:rPr>
                <w:noProof/>
                <w:webHidden/>
              </w:rPr>
            </w:r>
            <w:r>
              <w:rPr>
                <w:noProof/>
                <w:webHidden/>
              </w:rPr>
              <w:fldChar w:fldCharType="separate"/>
            </w:r>
            <w:r>
              <w:rPr>
                <w:noProof/>
                <w:webHidden/>
              </w:rPr>
              <w:t>18</w:t>
            </w:r>
            <w:r>
              <w:rPr>
                <w:noProof/>
                <w:webHidden/>
              </w:rPr>
              <w:fldChar w:fldCharType="end"/>
            </w:r>
          </w:hyperlink>
        </w:p>
        <w:p w14:paraId="01530115" w14:textId="34CE5559"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07" w:history="1">
            <w:r w:rsidRPr="00C00796">
              <w:rPr>
                <w:rStyle w:val="Hyperlink"/>
                <w:noProof/>
              </w:rPr>
              <w:t>3.4 Research Validation</w:t>
            </w:r>
            <w:r>
              <w:rPr>
                <w:noProof/>
                <w:webHidden/>
              </w:rPr>
              <w:tab/>
            </w:r>
            <w:r>
              <w:rPr>
                <w:noProof/>
                <w:webHidden/>
              </w:rPr>
              <w:fldChar w:fldCharType="begin"/>
            </w:r>
            <w:r>
              <w:rPr>
                <w:noProof/>
                <w:webHidden/>
              </w:rPr>
              <w:instrText xml:space="preserve"> PAGEREF _Toc236055007 \h </w:instrText>
            </w:r>
            <w:r>
              <w:rPr>
                <w:noProof/>
                <w:webHidden/>
              </w:rPr>
            </w:r>
            <w:r>
              <w:rPr>
                <w:noProof/>
                <w:webHidden/>
              </w:rPr>
              <w:fldChar w:fldCharType="separate"/>
            </w:r>
            <w:r>
              <w:rPr>
                <w:noProof/>
                <w:webHidden/>
              </w:rPr>
              <w:t>19</w:t>
            </w:r>
            <w:r>
              <w:rPr>
                <w:noProof/>
                <w:webHidden/>
              </w:rPr>
              <w:fldChar w:fldCharType="end"/>
            </w:r>
          </w:hyperlink>
        </w:p>
        <w:p w14:paraId="685D2B3D" w14:textId="08510683"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08" w:history="1">
            <w:r w:rsidRPr="00C00796">
              <w:rPr>
                <w:rStyle w:val="Hyperlink"/>
                <w:noProof/>
              </w:rPr>
              <w:t>3.5 Inclusion and Exclusion Criteria</w:t>
            </w:r>
            <w:r>
              <w:rPr>
                <w:noProof/>
                <w:webHidden/>
              </w:rPr>
              <w:tab/>
            </w:r>
            <w:r>
              <w:rPr>
                <w:noProof/>
                <w:webHidden/>
              </w:rPr>
              <w:fldChar w:fldCharType="begin"/>
            </w:r>
            <w:r>
              <w:rPr>
                <w:noProof/>
                <w:webHidden/>
              </w:rPr>
              <w:instrText xml:space="preserve"> PAGEREF _Toc236055008 \h </w:instrText>
            </w:r>
            <w:r>
              <w:rPr>
                <w:noProof/>
                <w:webHidden/>
              </w:rPr>
            </w:r>
            <w:r>
              <w:rPr>
                <w:noProof/>
                <w:webHidden/>
              </w:rPr>
              <w:fldChar w:fldCharType="separate"/>
            </w:r>
            <w:r>
              <w:rPr>
                <w:noProof/>
                <w:webHidden/>
              </w:rPr>
              <w:t>19</w:t>
            </w:r>
            <w:r>
              <w:rPr>
                <w:noProof/>
                <w:webHidden/>
              </w:rPr>
              <w:fldChar w:fldCharType="end"/>
            </w:r>
          </w:hyperlink>
        </w:p>
        <w:p w14:paraId="5950AE3C" w14:textId="13F10670"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09" w:history="1">
            <w:r w:rsidRPr="00C00796">
              <w:rPr>
                <w:rStyle w:val="Hyperlink"/>
                <w:noProof/>
              </w:rPr>
              <w:t>3.6 Analysing Research</w:t>
            </w:r>
            <w:r>
              <w:rPr>
                <w:noProof/>
                <w:webHidden/>
              </w:rPr>
              <w:tab/>
            </w:r>
            <w:r>
              <w:rPr>
                <w:noProof/>
                <w:webHidden/>
              </w:rPr>
              <w:fldChar w:fldCharType="begin"/>
            </w:r>
            <w:r>
              <w:rPr>
                <w:noProof/>
                <w:webHidden/>
              </w:rPr>
              <w:instrText xml:space="preserve"> PAGEREF _Toc236055009 \h </w:instrText>
            </w:r>
            <w:r>
              <w:rPr>
                <w:noProof/>
                <w:webHidden/>
              </w:rPr>
            </w:r>
            <w:r>
              <w:rPr>
                <w:noProof/>
                <w:webHidden/>
              </w:rPr>
              <w:fldChar w:fldCharType="separate"/>
            </w:r>
            <w:r>
              <w:rPr>
                <w:noProof/>
                <w:webHidden/>
              </w:rPr>
              <w:t>20</w:t>
            </w:r>
            <w:r>
              <w:rPr>
                <w:noProof/>
                <w:webHidden/>
              </w:rPr>
              <w:fldChar w:fldCharType="end"/>
            </w:r>
          </w:hyperlink>
        </w:p>
        <w:p w14:paraId="07390865" w14:textId="6C4C775B"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10" w:history="1">
            <w:r w:rsidRPr="00C00796">
              <w:rPr>
                <w:rStyle w:val="Hyperlink"/>
                <w:noProof/>
              </w:rPr>
              <w:t>3.7 Ethical Considerations</w:t>
            </w:r>
            <w:r>
              <w:rPr>
                <w:noProof/>
                <w:webHidden/>
              </w:rPr>
              <w:tab/>
            </w:r>
            <w:r>
              <w:rPr>
                <w:noProof/>
                <w:webHidden/>
              </w:rPr>
              <w:fldChar w:fldCharType="begin"/>
            </w:r>
            <w:r>
              <w:rPr>
                <w:noProof/>
                <w:webHidden/>
              </w:rPr>
              <w:instrText xml:space="preserve"> PAGEREF _Toc236055010 \h </w:instrText>
            </w:r>
            <w:r>
              <w:rPr>
                <w:noProof/>
                <w:webHidden/>
              </w:rPr>
            </w:r>
            <w:r>
              <w:rPr>
                <w:noProof/>
                <w:webHidden/>
              </w:rPr>
              <w:fldChar w:fldCharType="separate"/>
            </w:r>
            <w:r>
              <w:rPr>
                <w:noProof/>
                <w:webHidden/>
              </w:rPr>
              <w:t>20</w:t>
            </w:r>
            <w:r>
              <w:rPr>
                <w:noProof/>
                <w:webHidden/>
              </w:rPr>
              <w:fldChar w:fldCharType="end"/>
            </w:r>
          </w:hyperlink>
        </w:p>
        <w:p w14:paraId="3203C0F1" w14:textId="27C73C8B"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11" w:history="1">
            <w:r w:rsidRPr="00C00796">
              <w:rPr>
                <w:rStyle w:val="Hyperlink"/>
                <w:noProof/>
              </w:rPr>
              <w:t>3.8. Chapter Conclusion</w:t>
            </w:r>
            <w:r>
              <w:rPr>
                <w:noProof/>
                <w:webHidden/>
              </w:rPr>
              <w:tab/>
            </w:r>
            <w:r>
              <w:rPr>
                <w:noProof/>
                <w:webHidden/>
              </w:rPr>
              <w:fldChar w:fldCharType="begin"/>
            </w:r>
            <w:r>
              <w:rPr>
                <w:noProof/>
                <w:webHidden/>
              </w:rPr>
              <w:instrText xml:space="preserve"> PAGEREF _Toc236055011 \h </w:instrText>
            </w:r>
            <w:r>
              <w:rPr>
                <w:noProof/>
                <w:webHidden/>
              </w:rPr>
            </w:r>
            <w:r>
              <w:rPr>
                <w:noProof/>
                <w:webHidden/>
              </w:rPr>
              <w:fldChar w:fldCharType="separate"/>
            </w:r>
            <w:r>
              <w:rPr>
                <w:noProof/>
                <w:webHidden/>
              </w:rPr>
              <w:t>21</w:t>
            </w:r>
            <w:r>
              <w:rPr>
                <w:noProof/>
                <w:webHidden/>
              </w:rPr>
              <w:fldChar w:fldCharType="end"/>
            </w:r>
          </w:hyperlink>
        </w:p>
        <w:p w14:paraId="550DA482" w14:textId="0B4EB927" w:rsidR="00D3461B" w:rsidRDefault="00D3461B">
          <w:pPr>
            <w:pStyle w:val="TOC1"/>
            <w:tabs>
              <w:tab w:val="right" w:pos="9016"/>
            </w:tabs>
            <w:rPr>
              <w:rFonts w:asciiTheme="minorHAnsi" w:eastAsiaTheme="minorEastAsia" w:hAnsiTheme="minorHAnsi" w:cstheme="minorBidi"/>
              <w:noProof/>
              <w:kern w:val="2"/>
              <w:lang w:eastAsia="en-GB"/>
              <w14:ligatures w14:val="standardContextual"/>
            </w:rPr>
          </w:pPr>
          <w:hyperlink w:anchor="_Toc236055012" w:history="1">
            <w:r w:rsidRPr="00C00796">
              <w:rPr>
                <w:rStyle w:val="Hyperlink"/>
                <w:noProof/>
              </w:rPr>
              <w:t>CHAPTER 4 – Findings and Discussion</w:t>
            </w:r>
            <w:r>
              <w:rPr>
                <w:noProof/>
                <w:webHidden/>
              </w:rPr>
              <w:tab/>
            </w:r>
            <w:r>
              <w:rPr>
                <w:noProof/>
                <w:webHidden/>
              </w:rPr>
              <w:fldChar w:fldCharType="begin"/>
            </w:r>
            <w:r>
              <w:rPr>
                <w:noProof/>
                <w:webHidden/>
              </w:rPr>
              <w:instrText xml:space="preserve"> PAGEREF _Toc236055012 \h </w:instrText>
            </w:r>
            <w:r>
              <w:rPr>
                <w:noProof/>
                <w:webHidden/>
              </w:rPr>
            </w:r>
            <w:r>
              <w:rPr>
                <w:noProof/>
                <w:webHidden/>
              </w:rPr>
              <w:fldChar w:fldCharType="separate"/>
            </w:r>
            <w:r>
              <w:rPr>
                <w:noProof/>
                <w:webHidden/>
              </w:rPr>
              <w:t>22</w:t>
            </w:r>
            <w:r>
              <w:rPr>
                <w:noProof/>
                <w:webHidden/>
              </w:rPr>
              <w:fldChar w:fldCharType="end"/>
            </w:r>
          </w:hyperlink>
        </w:p>
        <w:p w14:paraId="076CE998" w14:textId="38AEA2B1"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13" w:history="1">
            <w:r w:rsidRPr="00C00796">
              <w:rPr>
                <w:rStyle w:val="Hyperlink"/>
                <w:noProof/>
              </w:rPr>
              <w:t>4.1 Introduction</w:t>
            </w:r>
            <w:r>
              <w:rPr>
                <w:noProof/>
                <w:webHidden/>
              </w:rPr>
              <w:tab/>
            </w:r>
            <w:r>
              <w:rPr>
                <w:noProof/>
                <w:webHidden/>
              </w:rPr>
              <w:fldChar w:fldCharType="begin"/>
            </w:r>
            <w:r>
              <w:rPr>
                <w:noProof/>
                <w:webHidden/>
              </w:rPr>
              <w:instrText xml:space="preserve"> PAGEREF _Toc236055013 \h </w:instrText>
            </w:r>
            <w:r>
              <w:rPr>
                <w:noProof/>
                <w:webHidden/>
              </w:rPr>
            </w:r>
            <w:r>
              <w:rPr>
                <w:noProof/>
                <w:webHidden/>
              </w:rPr>
              <w:fldChar w:fldCharType="separate"/>
            </w:r>
            <w:r>
              <w:rPr>
                <w:noProof/>
                <w:webHidden/>
              </w:rPr>
              <w:t>22</w:t>
            </w:r>
            <w:r>
              <w:rPr>
                <w:noProof/>
                <w:webHidden/>
              </w:rPr>
              <w:fldChar w:fldCharType="end"/>
            </w:r>
          </w:hyperlink>
        </w:p>
        <w:p w14:paraId="784A21F0" w14:textId="1AE784D1"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14" w:history="1">
            <w:r w:rsidRPr="00C00796">
              <w:rPr>
                <w:rStyle w:val="Hyperlink"/>
                <w:noProof/>
              </w:rPr>
              <w:t>4.2 Thematic Analysis</w:t>
            </w:r>
            <w:r>
              <w:rPr>
                <w:noProof/>
                <w:webHidden/>
              </w:rPr>
              <w:tab/>
            </w:r>
            <w:r>
              <w:rPr>
                <w:noProof/>
                <w:webHidden/>
              </w:rPr>
              <w:fldChar w:fldCharType="begin"/>
            </w:r>
            <w:r>
              <w:rPr>
                <w:noProof/>
                <w:webHidden/>
              </w:rPr>
              <w:instrText xml:space="preserve"> PAGEREF _Toc236055014 \h </w:instrText>
            </w:r>
            <w:r>
              <w:rPr>
                <w:noProof/>
                <w:webHidden/>
              </w:rPr>
            </w:r>
            <w:r>
              <w:rPr>
                <w:noProof/>
                <w:webHidden/>
              </w:rPr>
              <w:fldChar w:fldCharType="separate"/>
            </w:r>
            <w:r>
              <w:rPr>
                <w:noProof/>
                <w:webHidden/>
              </w:rPr>
              <w:t>22</w:t>
            </w:r>
            <w:r>
              <w:rPr>
                <w:noProof/>
                <w:webHidden/>
              </w:rPr>
              <w:fldChar w:fldCharType="end"/>
            </w:r>
          </w:hyperlink>
        </w:p>
        <w:p w14:paraId="4F04FD75" w14:textId="0CCA824E"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15" w:history="1">
            <w:r w:rsidRPr="00C00796">
              <w:rPr>
                <w:rStyle w:val="Hyperlink"/>
                <w:noProof/>
              </w:rPr>
              <w:t>4.3 – Theme 1  Diagnostic challenges associated with atypical presentation of Paget's disease</w:t>
            </w:r>
            <w:r>
              <w:rPr>
                <w:noProof/>
                <w:webHidden/>
              </w:rPr>
              <w:tab/>
            </w:r>
            <w:r>
              <w:rPr>
                <w:noProof/>
                <w:webHidden/>
              </w:rPr>
              <w:fldChar w:fldCharType="begin"/>
            </w:r>
            <w:r>
              <w:rPr>
                <w:noProof/>
                <w:webHidden/>
              </w:rPr>
              <w:instrText xml:space="preserve"> PAGEREF _Toc236055015 \h </w:instrText>
            </w:r>
            <w:r>
              <w:rPr>
                <w:noProof/>
                <w:webHidden/>
              </w:rPr>
            </w:r>
            <w:r>
              <w:rPr>
                <w:noProof/>
                <w:webHidden/>
              </w:rPr>
              <w:fldChar w:fldCharType="separate"/>
            </w:r>
            <w:r>
              <w:rPr>
                <w:noProof/>
                <w:webHidden/>
              </w:rPr>
              <w:t>23</w:t>
            </w:r>
            <w:r>
              <w:rPr>
                <w:noProof/>
                <w:webHidden/>
              </w:rPr>
              <w:fldChar w:fldCharType="end"/>
            </w:r>
          </w:hyperlink>
        </w:p>
        <w:p w14:paraId="0D7C425B" w14:textId="1FE181A3" w:rsidR="00D3461B" w:rsidRDefault="00D3461B">
          <w:pPr>
            <w:pStyle w:val="TOC3"/>
            <w:tabs>
              <w:tab w:val="right" w:pos="9016"/>
            </w:tabs>
            <w:rPr>
              <w:rFonts w:asciiTheme="minorHAnsi" w:eastAsiaTheme="minorEastAsia" w:hAnsiTheme="minorHAnsi" w:cstheme="minorBidi"/>
              <w:noProof/>
              <w:kern w:val="2"/>
              <w:lang w:eastAsia="en-GB"/>
              <w14:ligatures w14:val="standardContextual"/>
            </w:rPr>
          </w:pPr>
          <w:hyperlink w:anchor="_Toc236055016" w:history="1">
            <w:r w:rsidRPr="00C00796">
              <w:rPr>
                <w:rStyle w:val="Hyperlink"/>
                <w:noProof/>
              </w:rPr>
              <w:t>Definition</w:t>
            </w:r>
            <w:r>
              <w:rPr>
                <w:noProof/>
                <w:webHidden/>
              </w:rPr>
              <w:tab/>
            </w:r>
            <w:r>
              <w:rPr>
                <w:noProof/>
                <w:webHidden/>
              </w:rPr>
              <w:fldChar w:fldCharType="begin"/>
            </w:r>
            <w:r>
              <w:rPr>
                <w:noProof/>
                <w:webHidden/>
              </w:rPr>
              <w:instrText xml:space="preserve"> PAGEREF _Toc236055016 \h </w:instrText>
            </w:r>
            <w:r>
              <w:rPr>
                <w:noProof/>
                <w:webHidden/>
              </w:rPr>
            </w:r>
            <w:r>
              <w:rPr>
                <w:noProof/>
                <w:webHidden/>
              </w:rPr>
              <w:fldChar w:fldCharType="separate"/>
            </w:r>
            <w:r>
              <w:rPr>
                <w:noProof/>
                <w:webHidden/>
              </w:rPr>
              <w:t>23</w:t>
            </w:r>
            <w:r>
              <w:rPr>
                <w:noProof/>
                <w:webHidden/>
              </w:rPr>
              <w:fldChar w:fldCharType="end"/>
            </w:r>
          </w:hyperlink>
        </w:p>
        <w:p w14:paraId="730A5028" w14:textId="41107A0C" w:rsidR="00D3461B" w:rsidRDefault="00D3461B">
          <w:pPr>
            <w:pStyle w:val="TOC3"/>
            <w:tabs>
              <w:tab w:val="right" w:pos="9016"/>
            </w:tabs>
            <w:rPr>
              <w:rFonts w:asciiTheme="minorHAnsi" w:eastAsiaTheme="minorEastAsia" w:hAnsiTheme="minorHAnsi" w:cstheme="minorBidi"/>
              <w:noProof/>
              <w:kern w:val="2"/>
              <w:lang w:eastAsia="en-GB"/>
              <w14:ligatures w14:val="standardContextual"/>
            </w:rPr>
          </w:pPr>
          <w:hyperlink w:anchor="_Toc236055017" w:history="1">
            <w:r w:rsidRPr="00C00796">
              <w:rPr>
                <w:rStyle w:val="Hyperlink"/>
                <w:noProof/>
              </w:rPr>
              <w:t>Background Information</w:t>
            </w:r>
            <w:r>
              <w:rPr>
                <w:noProof/>
                <w:webHidden/>
              </w:rPr>
              <w:tab/>
            </w:r>
            <w:r>
              <w:rPr>
                <w:noProof/>
                <w:webHidden/>
              </w:rPr>
              <w:fldChar w:fldCharType="begin"/>
            </w:r>
            <w:r>
              <w:rPr>
                <w:noProof/>
                <w:webHidden/>
              </w:rPr>
              <w:instrText xml:space="preserve"> PAGEREF _Toc236055017 \h </w:instrText>
            </w:r>
            <w:r>
              <w:rPr>
                <w:noProof/>
                <w:webHidden/>
              </w:rPr>
            </w:r>
            <w:r>
              <w:rPr>
                <w:noProof/>
                <w:webHidden/>
              </w:rPr>
              <w:fldChar w:fldCharType="separate"/>
            </w:r>
            <w:r>
              <w:rPr>
                <w:noProof/>
                <w:webHidden/>
              </w:rPr>
              <w:t>23</w:t>
            </w:r>
            <w:r>
              <w:rPr>
                <w:noProof/>
                <w:webHidden/>
              </w:rPr>
              <w:fldChar w:fldCharType="end"/>
            </w:r>
          </w:hyperlink>
        </w:p>
        <w:p w14:paraId="6DB20A16" w14:textId="600FC517" w:rsidR="00D3461B" w:rsidRDefault="00D3461B">
          <w:pPr>
            <w:pStyle w:val="TOC3"/>
            <w:tabs>
              <w:tab w:val="right" w:pos="9016"/>
            </w:tabs>
            <w:rPr>
              <w:rFonts w:asciiTheme="minorHAnsi" w:eastAsiaTheme="minorEastAsia" w:hAnsiTheme="minorHAnsi" w:cstheme="minorBidi"/>
              <w:noProof/>
              <w:kern w:val="2"/>
              <w:lang w:eastAsia="en-GB"/>
              <w14:ligatures w14:val="standardContextual"/>
            </w:rPr>
          </w:pPr>
          <w:hyperlink w:anchor="_Toc236055018" w:history="1">
            <w:r w:rsidRPr="00C00796">
              <w:rPr>
                <w:rStyle w:val="Hyperlink"/>
                <w:noProof/>
              </w:rPr>
              <w:t>Impact on the Research Question</w:t>
            </w:r>
            <w:r>
              <w:rPr>
                <w:noProof/>
                <w:webHidden/>
              </w:rPr>
              <w:tab/>
            </w:r>
            <w:r>
              <w:rPr>
                <w:noProof/>
                <w:webHidden/>
              </w:rPr>
              <w:fldChar w:fldCharType="begin"/>
            </w:r>
            <w:r>
              <w:rPr>
                <w:noProof/>
                <w:webHidden/>
              </w:rPr>
              <w:instrText xml:space="preserve"> PAGEREF _Toc236055018 \h </w:instrText>
            </w:r>
            <w:r>
              <w:rPr>
                <w:noProof/>
                <w:webHidden/>
              </w:rPr>
            </w:r>
            <w:r>
              <w:rPr>
                <w:noProof/>
                <w:webHidden/>
              </w:rPr>
              <w:fldChar w:fldCharType="separate"/>
            </w:r>
            <w:r>
              <w:rPr>
                <w:noProof/>
                <w:webHidden/>
              </w:rPr>
              <w:t>23</w:t>
            </w:r>
            <w:r>
              <w:rPr>
                <w:noProof/>
                <w:webHidden/>
              </w:rPr>
              <w:fldChar w:fldCharType="end"/>
            </w:r>
          </w:hyperlink>
        </w:p>
        <w:p w14:paraId="6239DC0F" w14:textId="671D78B4" w:rsidR="00D3461B" w:rsidRDefault="00D3461B">
          <w:pPr>
            <w:pStyle w:val="TOC3"/>
            <w:tabs>
              <w:tab w:val="right" w:pos="9016"/>
            </w:tabs>
            <w:rPr>
              <w:rFonts w:asciiTheme="minorHAnsi" w:eastAsiaTheme="minorEastAsia" w:hAnsiTheme="minorHAnsi" w:cstheme="minorBidi"/>
              <w:noProof/>
              <w:kern w:val="2"/>
              <w:lang w:eastAsia="en-GB"/>
              <w14:ligatures w14:val="standardContextual"/>
            </w:rPr>
          </w:pPr>
          <w:hyperlink w:anchor="_Toc236055019" w:history="1">
            <w:r w:rsidRPr="00C00796">
              <w:rPr>
                <w:rStyle w:val="Hyperlink"/>
                <w:noProof/>
              </w:rPr>
              <w:t>Statistical Information and Significance</w:t>
            </w:r>
            <w:r>
              <w:rPr>
                <w:noProof/>
                <w:webHidden/>
              </w:rPr>
              <w:tab/>
            </w:r>
            <w:r>
              <w:rPr>
                <w:noProof/>
                <w:webHidden/>
              </w:rPr>
              <w:fldChar w:fldCharType="begin"/>
            </w:r>
            <w:r>
              <w:rPr>
                <w:noProof/>
                <w:webHidden/>
              </w:rPr>
              <w:instrText xml:space="preserve"> PAGEREF _Toc236055019 \h </w:instrText>
            </w:r>
            <w:r>
              <w:rPr>
                <w:noProof/>
                <w:webHidden/>
              </w:rPr>
            </w:r>
            <w:r>
              <w:rPr>
                <w:noProof/>
                <w:webHidden/>
              </w:rPr>
              <w:fldChar w:fldCharType="separate"/>
            </w:r>
            <w:r>
              <w:rPr>
                <w:noProof/>
                <w:webHidden/>
              </w:rPr>
              <w:t>24</w:t>
            </w:r>
            <w:r>
              <w:rPr>
                <w:noProof/>
                <w:webHidden/>
              </w:rPr>
              <w:fldChar w:fldCharType="end"/>
            </w:r>
          </w:hyperlink>
        </w:p>
        <w:p w14:paraId="60BC2535" w14:textId="26AAEDC8" w:rsidR="00D3461B" w:rsidRDefault="00D3461B">
          <w:pPr>
            <w:pStyle w:val="TOC3"/>
            <w:tabs>
              <w:tab w:val="right" w:pos="9016"/>
            </w:tabs>
            <w:rPr>
              <w:rFonts w:asciiTheme="minorHAnsi" w:eastAsiaTheme="minorEastAsia" w:hAnsiTheme="minorHAnsi" w:cstheme="minorBidi"/>
              <w:noProof/>
              <w:kern w:val="2"/>
              <w:lang w:eastAsia="en-GB"/>
              <w14:ligatures w14:val="standardContextual"/>
            </w:rPr>
          </w:pPr>
          <w:hyperlink w:anchor="_Toc236055020" w:history="1">
            <w:r w:rsidRPr="00C00796">
              <w:rPr>
                <w:rStyle w:val="Hyperlink"/>
                <w:noProof/>
              </w:rPr>
              <w:t>Critical Discussion of the findings with examples from results summary table, theories, policies, implications and connection with other themes</w:t>
            </w:r>
            <w:r>
              <w:rPr>
                <w:noProof/>
                <w:webHidden/>
              </w:rPr>
              <w:tab/>
            </w:r>
            <w:r>
              <w:rPr>
                <w:noProof/>
                <w:webHidden/>
              </w:rPr>
              <w:fldChar w:fldCharType="begin"/>
            </w:r>
            <w:r>
              <w:rPr>
                <w:noProof/>
                <w:webHidden/>
              </w:rPr>
              <w:instrText xml:space="preserve"> PAGEREF _Toc236055020 \h </w:instrText>
            </w:r>
            <w:r>
              <w:rPr>
                <w:noProof/>
                <w:webHidden/>
              </w:rPr>
            </w:r>
            <w:r>
              <w:rPr>
                <w:noProof/>
                <w:webHidden/>
              </w:rPr>
              <w:fldChar w:fldCharType="separate"/>
            </w:r>
            <w:r>
              <w:rPr>
                <w:noProof/>
                <w:webHidden/>
              </w:rPr>
              <w:t>24</w:t>
            </w:r>
            <w:r>
              <w:rPr>
                <w:noProof/>
                <w:webHidden/>
              </w:rPr>
              <w:fldChar w:fldCharType="end"/>
            </w:r>
          </w:hyperlink>
        </w:p>
        <w:p w14:paraId="2CEC4277" w14:textId="32669712" w:rsidR="00D3461B" w:rsidRDefault="00D3461B">
          <w:pPr>
            <w:pStyle w:val="TOC3"/>
            <w:tabs>
              <w:tab w:val="right" w:pos="9016"/>
            </w:tabs>
            <w:rPr>
              <w:rFonts w:asciiTheme="minorHAnsi" w:eastAsiaTheme="minorEastAsia" w:hAnsiTheme="minorHAnsi" w:cstheme="minorBidi"/>
              <w:noProof/>
              <w:kern w:val="2"/>
              <w:lang w:eastAsia="en-GB"/>
              <w14:ligatures w14:val="standardContextual"/>
            </w:rPr>
          </w:pPr>
          <w:hyperlink w:anchor="_Toc236055021" w:history="1">
            <w:r w:rsidRPr="00C00796">
              <w:rPr>
                <w:rStyle w:val="Hyperlink"/>
                <w:noProof/>
              </w:rPr>
              <w:t>Definition</w:t>
            </w:r>
            <w:r>
              <w:rPr>
                <w:noProof/>
                <w:webHidden/>
              </w:rPr>
              <w:tab/>
            </w:r>
            <w:r>
              <w:rPr>
                <w:noProof/>
                <w:webHidden/>
              </w:rPr>
              <w:fldChar w:fldCharType="begin"/>
            </w:r>
            <w:r>
              <w:rPr>
                <w:noProof/>
                <w:webHidden/>
              </w:rPr>
              <w:instrText xml:space="preserve"> PAGEREF _Toc236055021 \h </w:instrText>
            </w:r>
            <w:r>
              <w:rPr>
                <w:noProof/>
                <w:webHidden/>
              </w:rPr>
            </w:r>
            <w:r>
              <w:rPr>
                <w:noProof/>
                <w:webHidden/>
              </w:rPr>
              <w:fldChar w:fldCharType="separate"/>
            </w:r>
            <w:r>
              <w:rPr>
                <w:noProof/>
                <w:webHidden/>
              </w:rPr>
              <w:t>26</w:t>
            </w:r>
            <w:r>
              <w:rPr>
                <w:noProof/>
                <w:webHidden/>
              </w:rPr>
              <w:fldChar w:fldCharType="end"/>
            </w:r>
          </w:hyperlink>
        </w:p>
        <w:p w14:paraId="7EBE8B65" w14:textId="3848BDA2" w:rsidR="00D3461B" w:rsidRDefault="00D3461B">
          <w:pPr>
            <w:pStyle w:val="TOC3"/>
            <w:tabs>
              <w:tab w:val="right" w:pos="9016"/>
            </w:tabs>
            <w:rPr>
              <w:rFonts w:asciiTheme="minorHAnsi" w:eastAsiaTheme="minorEastAsia" w:hAnsiTheme="minorHAnsi" w:cstheme="minorBidi"/>
              <w:noProof/>
              <w:kern w:val="2"/>
              <w:lang w:eastAsia="en-GB"/>
              <w14:ligatures w14:val="standardContextual"/>
            </w:rPr>
          </w:pPr>
          <w:hyperlink w:anchor="_Toc236055022" w:history="1">
            <w:r w:rsidRPr="00C00796">
              <w:rPr>
                <w:rStyle w:val="Hyperlink"/>
                <w:noProof/>
              </w:rPr>
              <w:t>Critical Discussion of Findings</w:t>
            </w:r>
            <w:r>
              <w:rPr>
                <w:noProof/>
                <w:webHidden/>
              </w:rPr>
              <w:tab/>
            </w:r>
            <w:r>
              <w:rPr>
                <w:noProof/>
                <w:webHidden/>
              </w:rPr>
              <w:fldChar w:fldCharType="begin"/>
            </w:r>
            <w:r>
              <w:rPr>
                <w:noProof/>
                <w:webHidden/>
              </w:rPr>
              <w:instrText xml:space="preserve"> PAGEREF _Toc236055022 \h </w:instrText>
            </w:r>
            <w:r>
              <w:rPr>
                <w:noProof/>
                <w:webHidden/>
              </w:rPr>
            </w:r>
            <w:r>
              <w:rPr>
                <w:noProof/>
                <w:webHidden/>
              </w:rPr>
              <w:fldChar w:fldCharType="separate"/>
            </w:r>
            <w:r>
              <w:rPr>
                <w:noProof/>
                <w:webHidden/>
              </w:rPr>
              <w:t>27</w:t>
            </w:r>
            <w:r>
              <w:rPr>
                <w:noProof/>
                <w:webHidden/>
              </w:rPr>
              <w:fldChar w:fldCharType="end"/>
            </w:r>
          </w:hyperlink>
        </w:p>
        <w:p w14:paraId="6EF69C6C" w14:textId="62B01578"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23" w:history="1">
            <w:r w:rsidRPr="00C00796">
              <w:rPr>
                <w:rStyle w:val="Hyperlink"/>
                <w:noProof/>
              </w:rPr>
              <w:t>4.5 Theme 3: Strengthening Diagnostic Capacity through Education, Clinical Practice and Healthcare System Improvement</w:t>
            </w:r>
            <w:r>
              <w:rPr>
                <w:noProof/>
                <w:webHidden/>
              </w:rPr>
              <w:tab/>
            </w:r>
            <w:r>
              <w:rPr>
                <w:noProof/>
                <w:webHidden/>
              </w:rPr>
              <w:fldChar w:fldCharType="begin"/>
            </w:r>
            <w:r>
              <w:rPr>
                <w:noProof/>
                <w:webHidden/>
              </w:rPr>
              <w:instrText xml:space="preserve"> PAGEREF _Toc236055023 \h </w:instrText>
            </w:r>
            <w:r>
              <w:rPr>
                <w:noProof/>
                <w:webHidden/>
              </w:rPr>
            </w:r>
            <w:r>
              <w:rPr>
                <w:noProof/>
                <w:webHidden/>
              </w:rPr>
              <w:fldChar w:fldCharType="separate"/>
            </w:r>
            <w:r>
              <w:rPr>
                <w:noProof/>
                <w:webHidden/>
              </w:rPr>
              <w:t>29</w:t>
            </w:r>
            <w:r>
              <w:rPr>
                <w:noProof/>
                <w:webHidden/>
              </w:rPr>
              <w:fldChar w:fldCharType="end"/>
            </w:r>
          </w:hyperlink>
        </w:p>
        <w:p w14:paraId="05DBC975" w14:textId="340B9FD2" w:rsidR="00D3461B" w:rsidRDefault="00D3461B">
          <w:pPr>
            <w:pStyle w:val="TOC3"/>
            <w:tabs>
              <w:tab w:val="right" w:pos="9016"/>
            </w:tabs>
            <w:rPr>
              <w:rFonts w:asciiTheme="minorHAnsi" w:eastAsiaTheme="minorEastAsia" w:hAnsiTheme="minorHAnsi" w:cstheme="minorBidi"/>
              <w:noProof/>
              <w:kern w:val="2"/>
              <w:lang w:eastAsia="en-GB"/>
              <w14:ligatures w14:val="standardContextual"/>
            </w:rPr>
          </w:pPr>
          <w:hyperlink w:anchor="_Toc236055024" w:history="1">
            <w:r w:rsidRPr="00C00796">
              <w:rPr>
                <w:rStyle w:val="Hyperlink"/>
                <w:noProof/>
              </w:rPr>
              <w:t>Definition</w:t>
            </w:r>
            <w:r>
              <w:rPr>
                <w:noProof/>
                <w:webHidden/>
              </w:rPr>
              <w:tab/>
            </w:r>
            <w:r>
              <w:rPr>
                <w:noProof/>
                <w:webHidden/>
              </w:rPr>
              <w:fldChar w:fldCharType="begin"/>
            </w:r>
            <w:r>
              <w:rPr>
                <w:noProof/>
                <w:webHidden/>
              </w:rPr>
              <w:instrText xml:space="preserve"> PAGEREF _Toc236055024 \h </w:instrText>
            </w:r>
            <w:r>
              <w:rPr>
                <w:noProof/>
                <w:webHidden/>
              </w:rPr>
            </w:r>
            <w:r>
              <w:rPr>
                <w:noProof/>
                <w:webHidden/>
              </w:rPr>
              <w:fldChar w:fldCharType="separate"/>
            </w:r>
            <w:r>
              <w:rPr>
                <w:noProof/>
                <w:webHidden/>
              </w:rPr>
              <w:t>29</w:t>
            </w:r>
            <w:r>
              <w:rPr>
                <w:noProof/>
                <w:webHidden/>
              </w:rPr>
              <w:fldChar w:fldCharType="end"/>
            </w:r>
          </w:hyperlink>
        </w:p>
        <w:p w14:paraId="5BCC4879" w14:textId="1CE0D272" w:rsidR="00D3461B" w:rsidRDefault="00D3461B">
          <w:pPr>
            <w:pStyle w:val="TOC3"/>
            <w:tabs>
              <w:tab w:val="right" w:pos="9016"/>
            </w:tabs>
            <w:rPr>
              <w:rFonts w:asciiTheme="minorHAnsi" w:eastAsiaTheme="minorEastAsia" w:hAnsiTheme="minorHAnsi" w:cstheme="minorBidi"/>
              <w:noProof/>
              <w:kern w:val="2"/>
              <w:lang w:eastAsia="en-GB"/>
              <w14:ligatures w14:val="standardContextual"/>
            </w:rPr>
          </w:pPr>
          <w:hyperlink w:anchor="_Toc236055025" w:history="1">
            <w:r w:rsidRPr="00C00796">
              <w:rPr>
                <w:rStyle w:val="Hyperlink"/>
                <w:noProof/>
              </w:rPr>
              <w:t>Background Information</w:t>
            </w:r>
            <w:r>
              <w:rPr>
                <w:noProof/>
                <w:webHidden/>
              </w:rPr>
              <w:tab/>
            </w:r>
            <w:r>
              <w:rPr>
                <w:noProof/>
                <w:webHidden/>
              </w:rPr>
              <w:fldChar w:fldCharType="begin"/>
            </w:r>
            <w:r>
              <w:rPr>
                <w:noProof/>
                <w:webHidden/>
              </w:rPr>
              <w:instrText xml:space="preserve"> PAGEREF _Toc236055025 \h </w:instrText>
            </w:r>
            <w:r>
              <w:rPr>
                <w:noProof/>
                <w:webHidden/>
              </w:rPr>
            </w:r>
            <w:r>
              <w:rPr>
                <w:noProof/>
                <w:webHidden/>
              </w:rPr>
              <w:fldChar w:fldCharType="separate"/>
            </w:r>
            <w:r>
              <w:rPr>
                <w:noProof/>
                <w:webHidden/>
              </w:rPr>
              <w:t>29</w:t>
            </w:r>
            <w:r>
              <w:rPr>
                <w:noProof/>
                <w:webHidden/>
              </w:rPr>
              <w:fldChar w:fldCharType="end"/>
            </w:r>
          </w:hyperlink>
        </w:p>
        <w:p w14:paraId="470521EC" w14:textId="36568577" w:rsidR="00D3461B" w:rsidRDefault="00D3461B">
          <w:pPr>
            <w:pStyle w:val="TOC3"/>
            <w:tabs>
              <w:tab w:val="right" w:pos="9016"/>
            </w:tabs>
            <w:rPr>
              <w:rFonts w:asciiTheme="minorHAnsi" w:eastAsiaTheme="minorEastAsia" w:hAnsiTheme="minorHAnsi" w:cstheme="minorBidi"/>
              <w:noProof/>
              <w:kern w:val="2"/>
              <w:lang w:eastAsia="en-GB"/>
              <w14:ligatures w14:val="standardContextual"/>
            </w:rPr>
          </w:pPr>
          <w:hyperlink w:anchor="_Toc236055026" w:history="1">
            <w:r w:rsidRPr="00C00796">
              <w:rPr>
                <w:rStyle w:val="Hyperlink"/>
                <w:noProof/>
              </w:rPr>
              <w:t>Impact on the Research Question</w:t>
            </w:r>
            <w:r>
              <w:rPr>
                <w:noProof/>
                <w:webHidden/>
              </w:rPr>
              <w:tab/>
            </w:r>
            <w:r>
              <w:rPr>
                <w:noProof/>
                <w:webHidden/>
              </w:rPr>
              <w:fldChar w:fldCharType="begin"/>
            </w:r>
            <w:r>
              <w:rPr>
                <w:noProof/>
                <w:webHidden/>
              </w:rPr>
              <w:instrText xml:space="preserve"> PAGEREF _Toc236055026 \h </w:instrText>
            </w:r>
            <w:r>
              <w:rPr>
                <w:noProof/>
                <w:webHidden/>
              </w:rPr>
            </w:r>
            <w:r>
              <w:rPr>
                <w:noProof/>
                <w:webHidden/>
              </w:rPr>
              <w:fldChar w:fldCharType="separate"/>
            </w:r>
            <w:r>
              <w:rPr>
                <w:noProof/>
                <w:webHidden/>
              </w:rPr>
              <w:t>30</w:t>
            </w:r>
            <w:r>
              <w:rPr>
                <w:noProof/>
                <w:webHidden/>
              </w:rPr>
              <w:fldChar w:fldCharType="end"/>
            </w:r>
          </w:hyperlink>
        </w:p>
        <w:p w14:paraId="2AF33E04" w14:textId="4911FB6B" w:rsidR="00D3461B" w:rsidRDefault="00D3461B">
          <w:pPr>
            <w:pStyle w:val="TOC3"/>
            <w:tabs>
              <w:tab w:val="right" w:pos="9016"/>
            </w:tabs>
            <w:rPr>
              <w:rFonts w:asciiTheme="minorHAnsi" w:eastAsiaTheme="minorEastAsia" w:hAnsiTheme="minorHAnsi" w:cstheme="minorBidi"/>
              <w:noProof/>
              <w:kern w:val="2"/>
              <w:lang w:eastAsia="en-GB"/>
              <w14:ligatures w14:val="standardContextual"/>
            </w:rPr>
          </w:pPr>
          <w:hyperlink w:anchor="_Toc236055027" w:history="1">
            <w:r w:rsidRPr="00C00796">
              <w:rPr>
                <w:rStyle w:val="Hyperlink"/>
                <w:noProof/>
              </w:rPr>
              <w:t>Statistical Information and Significance</w:t>
            </w:r>
            <w:r>
              <w:rPr>
                <w:noProof/>
                <w:webHidden/>
              </w:rPr>
              <w:tab/>
            </w:r>
            <w:r>
              <w:rPr>
                <w:noProof/>
                <w:webHidden/>
              </w:rPr>
              <w:fldChar w:fldCharType="begin"/>
            </w:r>
            <w:r>
              <w:rPr>
                <w:noProof/>
                <w:webHidden/>
              </w:rPr>
              <w:instrText xml:space="preserve"> PAGEREF _Toc236055027 \h </w:instrText>
            </w:r>
            <w:r>
              <w:rPr>
                <w:noProof/>
                <w:webHidden/>
              </w:rPr>
            </w:r>
            <w:r>
              <w:rPr>
                <w:noProof/>
                <w:webHidden/>
              </w:rPr>
              <w:fldChar w:fldCharType="separate"/>
            </w:r>
            <w:r>
              <w:rPr>
                <w:noProof/>
                <w:webHidden/>
              </w:rPr>
              <w:t>30</w:t>
            </w:r>
            <w:r>
              <w:rPr>
                <w:noProof/>
                <w:webHidden/>
              </w:rPr>
              <w:fldChar w:fldCharType="end"/>
            </w:r>
          </w:hyperlink>
        </w:p>
        <w:p w14:paraId="509EECC7" w14:textId="26CD99BE" w:rsidR="00D3461B" w:rsidRDefault="00D3461B">
          <w:pPr>
            <w:pStyle w:val="TOC3"/>
            <w:tabs>
              <w:tab w:val="right" w:pos="9016"/>
            </w:tabs>
            <w:rPr>
              <w:rFonts w:asciiTheme="minorHAnsi" w:eastAsiaTheme="minorEastAsia" w:hAnsiTheme="minorHAnsi" w:cstheme="minorBidi"/>
              <w:noProof/>
              <w:kern w:val="2"/>
              <w:lang w:eastAsia="en-GB"/>
              <w14:ligatures w14:val="standardContextual"/>
            </w:rPr>
          </w:pPr>
          <w:hyperlink w:anchor="_Toc236055028" w:history="1">
            <w:r w:rsidRPr="00C00796">
              <w:rPr>
                <w:rStyle w:val="Hyperlink"/>
                <w:noProof/>
              </w:rPr>
              <w:t>Critical Discussion of Findings</w:t>
            </w:r>
            <w:r>
              <w:rPr>
                <w:noProof/>
                <w:webHidden/>
              </w:rPr>
              <w:tab/>
            </w:r>
            <w:r>
              <w:rPr>
                <w:noProof/>
                <w:webHidden/>
              </w:rPr>
              <w:fldChar w:fldCharType="begin"/>
            </w:r>
            <w:r>
              <w:rPr>
                <w:noProof/>
                <w:webHidden/>
              </w:rPr>
              <w:instrText xml:space="preserve"> PAGEREF _Toc236055028 \h </w:instrText>
            </w:r>
            <w:r>
              <w:rPr>
                <w:noProof/>
                <w:webHidden/>
              </w:rPr>
            </w:r>
            <w:r>
              <w:rPr>
                <w:noProof/>
                <w:webHidden/>
              </w:rPr>
              <w:fldChar w:fldCharType="separate"/>
            </w:r>
            <w:r>
              <w:rPr>
                <w:noProof/>
                <w:webHidden/>
              </w:rPr>
              <w:t>30</w:t>
            </w:r>
            <w:r>
              <w:rPr>
                <w:noProof/>
                <w:webHidden/>
              </w:rPr>
              <w:fldChar w:fldCharType="end"/>
            </w:r>
          </w:hyperlink>
        </w:p>
        <w:p w14:paraId="7BEE7983" w14:textId="003E0350"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29" w:history="1">
            <w:r w:rsidRPr="00C00796">
              <w:rPr>
                <w:rStyle w:val="Hyperlink"/>
                <w:noProof/>
              </w:rPr>
              <w:t>4.6 Conclusion</w:t>
            </w:r>
            <w:r>
              <w:rPr>
                <w:noProof/>
                <w:webHidden/>
              </w:rPr>
              <w:tab/>
            </w:r>
            <w:r>
              <w:rPr>
                <w:noProof/>
                <w:webHidden/>
              </w:rPr>
              <w:fldChar w:fldCharType="begin"/>
            </w:r>
            <w:r>
              <w:rPr>
                <w:noProof/>
                <w:webHidden/>
              </w:rPr>
              <w:instrText xml:space="preserve"> PAGEREF _Toc236055029 \h </w:instrText>
            </w:r>
            <w:r>
              <w:rPr>
                <w:noProof/>
                <w:webHidden/>
              </w:rPr>
            </w:r>
            <w:r>
              <w:rPr>
                <w:noProof/>
                <w:webHidden/>
              </w:rPr>
              <w:fldChar w:fldCharType="separate"/>
            </w:r>
            <w:r>
              <w:rPr>
                <w:noProof/>
                <w:webHidden/>
              </w:rPr>
              <w:t>32</w:t>
            </w:r>
            <w:r>
              <w:rPr>
                <w:noProof/>
                <w:webHidden/>
              </w:rPr>
              <w:fldChar w:fldCharType="end"/>
            </w:r>
          </w:hyperlink>
        </w:p>
        <w:p w14:paraId="06B89406" w14:textId="5046ABA7" w:rsidR="00D3461B" w:rsidRDefault="00D3461B">
          <w:pPr>
            <w:pStyle w:val="TOC1"/>
            <w:tabs>
              <w:tab w:val="right" w:pos="9016"/>
            </w:tabs>
            <w:rPr>
              <w:rFonts w:asciiTheme="minorHAnsi" w:eastAsiaTheme="minorEastAsia" w:hAnsiTheme="minorHAnsi" w:cstheme="minorBidi"/>
              <w:noProof/>
              <w:kern w:val="2"/>
              <w:lang w:eastAsia="en-GB"/>
              <w14:ligatures w14:val="standardContextual"/>
            </w:rPr>
          </w:pPr>
          <w:hyperlink w:anchor="_Toc236055030" w:history="1">
            <w:r w:rsidRPr="00C00796">
              <w:rPr>
                <w:rStyle w:val="Hyperlink"/>
                <w:noProof/>
              </w:rPr>
              <w:t>CHAPTER 5 – Conclusion and Recommendations</w:t>
            </w:r>
            <w:r>
              <w:rPr>
                <w:noProof/>
                <w:webHidden/>
              </w:rPr>
              <w:tab/>
            </w:r>
            <w:r>
              <w:rPr>
                <w:noProof/>
                <w:webHidden/>
              </w:rPr>
              <w:fldChar w:fldCharType="begin"/>
            </w:r>
            <w:r>
              <w:rPr>
                <w:noProof/>
                <w:webHidden/>
              </w:rPr>
              <w:instrText xml:space="preserve"> PAGEREF _Toc236055030 \h </w:instrText>
            </w:r>
            <w:r>
              <w:rPr>
                <w:noProof/>
                <w:webHidden/>
              </w:rPr>
            </w:r>
            <w:r>
              <w:rPr>
                <w:noProof/>
                <w:webHidden/>
              </w:rPr>
              <w:fldChar w:fldCharType="separate"/>
            </w:r>
            <w:r>
              <w:rPr>
                <w:noProof/>
                <w:webHidden/>
              </w:rPr>
              <w:t>33</w:t>
            </w:r>
            <w:r>
              <w:rPr>
                <w:noProof/>
                <w:webHidden/>
              </w:rPr>
              <w:fldChar w:fldCharType="end"/>
            </w:r>
          </w:hyperlink>
        </w:p>
        <w:p w14:paraId="7213605A" w14:textId="639844F6"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31" w:history="1">
            <w:r w:rsidRPr="00C00796">
              <w:rPr>
                <w:rStyle w:val="Hyperlink"/>
                <w:noProof/>
              </w:rPr>
              <w:t>5.1 Overall Conclusion</w:t>
            </w:r>
            <w:r>
              <w:rPr>
                <w:noProof/>
                <w:webHidden/>
              </w:rPr>
              <w:tab/>
            </w:r>
            <w:r>
              <w:rPr>
                <w:noProof/>
                <w:webHidden/>
              </w:rPr>
              <w:fldChar w:fldCharType="begin"/>
            </w:r>
            <w:r>
              <w:rPr>
                <w:noProof/>
                <w:webHidden/>
              </w:rPr>
              <w:instrText xml:space="preserve"> PAGEREF _Toc236055031 \h </w:instrText>
            </w:r>
            <w:r>
              <w:rPr>
                <w:noProof/>
                <w:webHidden/>
              </w:rPr>
            </w:r>
            <w:r>
              <w:rPr>
                <w:noProof/>
                <w:webHidden/>
              </w:rPr>
              <w:fldChar w:fldCharType="separate"/>
            </w:r>
            <w:r>
              <w:rPr>
                <w:noProof/>
                <w:webHidden/>
              </w:rPr>
              <w:t>33</w:t>
            </w:r>
            <w:r>
              <w:rPr>
                <w:noProof/>
                <w:webHidden/>
              </w:rPr>
              <w:fldChar w:fldCharType="end"/>
            </w:r>
          </w:hyperlink>
        </w:p>
        <w:p w14:paraId="6C64430C" w14:textId="37ECCC75" w:rsidR="00D3461B" w:rsidRDefault="00D3461B">
          <w:pPr>
            <w:pStyle w:val="TOC2"/>
            <w:tabs>
              <w:tab w:val="right" w:pos="9016"/>
            </w:tabs>
            <w:rPr>
              <w:rFonts w:asciiTheme="minorHAnsi" w:eastAsiaTheme="minorEastAsia" w:hAnsiTheme="minorHAnsi" w:cstheme="minorBidi"/>
              <w:noProof/>
              <w:kern w:val="2"/>
              <w:lang w:eastAsia="en-GB"/>
              <w14:ligatures w14:val="standardContextual"/>
            </w:rPr>
          </w:pPr>
          <w:hyperlink w:anchor="_Toc236055032" w:history="1">
            <w:r w:rsidRPr="00C00796">
              <w:rPr>
                <w:rStyle w:val="Hyperlink"/>
                <w:noProof/>
              </w:rPr>
              <w:t>5.2 Recommendations</w:t>
            </w:r>
            <w:r>
              <w:rPr>
                <w:noProof/>
                <w:webHidden/>
              </w:rPr>
              <w:tab/>
            </w:r>
            <w:r>
              <w:rPr>
                <w:noProof/>
                <w:webHidden/>
              </w:rPr>
              <w:fldChar w:fldCharType="begin"/>
            </w:r>
            <w:r>
              <w:rPr>
                <w:noProof/>
                <w:webHidden/>
              </w:rPr>
              <w:instrText xml:space="preserve"> PAGEREF _Toc236055032 \h </w:instrText>
            </w:r>
            <w:r>
              <w:rPr>
                <w:noProof/>
                <w:webHidden/>
              </w:rPr>
            </w:r>
            <w:r>
              <w:rPr>
                <w:noProof/>
                <w:webHidden/>
              </w:rPr>
              <w:fldChar w:fldCharType="separate"/>
            </w:r>
            <w:r>
              <w:rPr>
                <w:noProof/>
                <w:webHidden/>
              </w:rPr>
              <w:t>33</w:t>
            </w:r>
            <w:r>
              <w:rPr>
                <w:noProof/>
                <w:webHidden/>
              </w:rPr>
              <w:fldChar w:fldCharType="end"/>
            </w:r>
          </w:hyperlink>
        </w:p>
        <w:p w14:paraId="5D6D01FE" w14:textId="681DBD4B" w:rsidR="00D3461B" w:rsidRDefault="00D3461B">
          <w:pPr>
            <w:pStyle w:val="TOC3"/>
            <w:tabs>
              <w:tab w:val="right" w:pos="9016"/>
            </w:tabs>
            <w:rPr>
              <w:rFonts w:asciiTheme="minorHAnsi" w:eastAsiaTheme="minorEastAsia" w:hAnsiTheme="minorHAnsi" w:cstheme="minorBidi"/>
              <w:noProof/>
              <w:kern w:val="2"/>
              <w:lang w:eastAsia="en-GB"/>
              <w14:ligatures w14:val="standardContextual"/>
            </w:rPr>
          </w:pPr>
          <w:hyperlink w:anchor="_Toc236055033" w:history="1">
            <w:r w:rsidRPr="00C00796">
              <w:rPr>
                <w:rStyle w:val="Hyperlink"/>
                <w:noProof/>
              </w:rPr>
              <w:t>5.2.1 Recommendation 1: Enhance Education and Continuing Professional Development on Paget's Disease of the Breast</w:t>
            </w:r>
            <w:r>
              <w:rPr>
                <w:noProof/>
                <w:webHidden/>
              </w:rPr>
              <w:tab/>
            </w:r>
            <w:r>
              <w:rPr>
                <w:noProof/>
                <w:webHidden/>
              </w:rPr>
              <w:fldChar w:fldCharType="begin"/>
            </w:r>
            <w:r>
              <w:rPr>
                <w:noProof/>
                <w:webHidden/>
              </w:rPr>
              <w:instrText xml:space="preserve"> PAGEREF _Toc236055033 \h </w:instrText>
            </w:r>
            <w:r>
              <w:rPr>
                <w:noProof/>
                <w:webHidden/>
              </w:rPr>
            </w:r>
            <w:r>
              <w:rPr>
                <w:noProof/>
                <w:webHidden/>
              </w:rPr>
              <w:fldChar w:fldCharType="separate"/>
            </w:r>
            <w:r>
              <w:rPr>
                <w:noProof/>
                <w:webHidden/>
              </w:rPr>
              <w:t>33</w:t>
            </w:r>
            <w:r>
              <w:rPr>
                <w:noProof/>
                <w:webHidden/>
              </w:rPr>
              <w:fldChar w:fldCharType="end"/>
            </w:r>
          </w:hyperlink>
        </w:p>
        <w:p w14:paraId="39F256FF" w14:textId="3F61838A" w:rsidR="00D3461B" w:rsidRDefault="00D3461B">
          <w:pPr>
            <w:pStyle w:val="TOC3"/>
            <w:tabs>
              <w:tab w:val="right" w:pos="9016"/>
            </w:tabs>
            <w:rPr>
              <w:rFonts w:asciiTheme="minorHAnsi" w:eastAsiaTheme="minorEastAsia" w:hAnsiTheme="minorHAnsi" w:cstheme="minorBidi"/>
              <w:noProof/>
              <w:kern w:val="2"/>
              <w:lang w:eastAsia="en-GB"/>
              <w14:ligatures w14:val="standardContextual"/>
            </w:rPr>
          </w:pPr>
          <w:hyperlink w:anchor="_Toc236055034" w:history="1">
            <w:r w:rsidRPr="00C00796">
              <w:rPr>
                <w:rStyle w:val="Hyperlink"/>
                <w:noProof/>
              </w:rPr>
              <w:t>5.2.2 Recommendation 2: Develop Equitable Diagnostic Pathways for Women at Risk of Diagnostic Delay</w:t>
            </w:r>
            <w:r>
              <w:rPr>
                <w:noProof/>
                <w:webHidden/>
              </w:rPr>
              <w:tab/>
            </w:r>
            <w:r>
              <w:rPr>
                <w:noProof/>
                <w:webHidden/>
              </w:rPr>
              <w:fldChar w:fldCharType="begin"/>
            </w:r>
            <w:r>
              <w:rPr>
                <w:noProof/>
                <w:webHidden/>
              </w:rPr>
              <w:instrText xml:space="preserve"> PAGEREF _Toc236055034 \h </w:instrText>
            </w:r>
            <w:r>
              <w:rPr>
                <w:noProof/>
                <w:webHidden/>
              </w:rPr>
            </w:r>
            <w:r>
              <w:rPr>
                <w:noProof/>
                <w:webHidden/>
              </w:rPr>
              <w:fldChar w:fldCharType="separate"/>
            </w:r>
            <w:r>
              <w:rPr>
                <w:noProof/>
                <w:webHidden/>
              </w:rPr>
              <w:t>34</w:t>
            </w:r>
            <w:r>
              <w:rPr>
                <w:noProof/>
                <w:webHidden/>
              </w:rPr>
              <w:fldChar w:fldCharType="end"/>
            </w:r>
          </w:hyperlink>
        </w:p>
        <w:p w14:paraId="210059CB" w14:textId="705A74FC" w:rsidR="00D3461B" w:rsidRDefault="00D3461B">
          <w:pPr>
            <w:pStyle w:val="TOC3"/>
            <w:tabs>
              <w:tab w:val="right" w:pos="9016"/>
            </w:tabs>
            <w:rPr>
              <w:rFonts w:asciiTheme="minorHAnsi" w:eastAsiaTheme="minorEastAsia" w:hAnsiTheme="minorHAnsi" w:cstheme="minorBidi"/>
              <w:noProof/>
              <w:kern w:val="2"/>
              <w:lang w:eastAsia="en-GB"/>
              <w14:ligatures w14:val="standardContextual"/>
            </w:rPr>
          </w:pPr>
          <w:hyperlink w:anchor="_Toc236055035" w:history="1">
            <w:r w:rsidRPr="00C00796">
              <w:rPr>
                <w:rStyle w:val="Hyperlink"/>
                <w:noProof/>
              </w:rPr>
              <w:t>5.2.3 Recommendation 3: Embed Continuous Quality Improvement Through Audit and Multidisciplinary Learning</w:t>
            </w:r>
            <w:r>
              <w:rPr>
                <w:noProof/>
                <w:webHidden/>
              </w:rPr>
              <w:tab/>
            </w:r>
            <w:r>
              <w:rPr>
                <w:noProof/>
                <w:webHidden/>
              </w:rPr>
              <w:fldChar w:fldCharType="begin"/>
            </w:r>
            <w:r>
              <w:rPr>
                <w:noProof/>
                <w:webHidden/>
              </w:rPr>
              <w:instrText xml:space="preserve"> PAGEREF _Toc236055035 \h </w:instrText>
            </w:r>
            <w:r>
              <w:rPr>
                <w:noProof/>
                <w:webHidden/>
              </w:rPr>
            </w:r>
            <w:r>
              <w:rPr>
                <w:noProof/>
                <w:webHidden/>
              </w:rPr>
              <w:fldChar w:fldCharType="separate"/>
            </w:r>
            <w:r>
              <w:rPr>
                <w:noProof/>
                <w:webHidden/>
              </w:rPr>
              <w:t>35</w:t>
            </w:r>
            <w:r>
              <w:rPr>
                <w:noProof/>
                <w:webHidden/>
              </w:rPr>
              <w:fldChar w:fldCharType="end"/>
            </w:r>
          </w:hyperlink>
        </w:p>
        <w:p w14:paraId="25817C77" w14:textId="10B9BC8D" w:rsidR="00D3461B" w:rsidRDefault="00D3461B">
          <w:pPr>
            <w:pStyle w:val="TOC1"/>
            <w:tabs>
              <w:tab w:val="right" w:pos="9016"/>
            </w:tabs>
            <w:rPr>
              <w:rFonts w:asciiTheme="minorHAnsi" w:eastAsiaTheme="minorEastAsia" w:hAnsiTheme="minorHAnsi" w:cstheme="minorBidi"/>
              <w:noProof/>
              <w:kern w:val="2"/>
              <w:lang w:eastAsia="en-GB"/>
              <w14:ligatures w14:val="standardContextual"/>
            </w:rPr>
          </w:pPr>
          <w:hyperlink w:anchor="_Toc236055036" w:history="1">
            <w:r w:rsidRPr="00C00796">
              <w:rPr>
                <w:rStyle w:val="Hyperlink"/>
                <w:noProof/>
              </w:rPr>
              <w:t>References</w:t>
            </w:r>
            <w:r>
              <w:rPr>
                <w:noProof/>
                <w:webHidden/>
              </w:rPr>
              <w:tab/>
            </w:r>
            <w:r>
              <w:rPr>
                <w:noProof/>
                <w:webHidden/>
              </w:rPr>
              <w:fldChar w:fldCharType="begin"/>
            </w:r>
            <w:r>
              <w:rPr>
                <w:noProof/>
                <w:webHidden/>
              </w:rPr>
              <w:instrText xml:space="preserve"> PAGEREF _Toc236055036 \h </w:instrText>
            </w:r>
            <w:r>
              <w:rPr>
                <w:noProof/>
                <w:webHidden/>
              </w:rPr>
            </w:r>
            <w:r>
              <w:rPr>
                <w:noProof/>
                <w:webHidden/>
              </w:rPr>
              <w:fldChar w:fldCharType="separate"/>
            </w:r>
            <w:r>
              <w:rPr>
                <w:noProof/>
                <w:webHidden/>
              </w:rPr>
              <w:t>36</w:t>
            </w:r>
            <w:r>
              <w:rPr>
                <w:noProof/>
                <w:webHidden/>
              </w:rPr>
              <w:fldChar w:fldCharType="end"/>
            </w:r>
          </w:hyperlink>
        </w:p>
        <w:p w14:paraId="7390B226" w14:textId="02DA9592" w:rsidR="00D3461B" w:rsidRDefault="00D3461B">
          <w:pPr>
            <w:pStyle w:val="TOC1"/>
            <w:tabs>
              <w:tab w:val="right" w:pos="9016"/>
            </w:tabs>
            <w:rPr>
              <w:rFonts w:asciiTheme="minorHAnsi" w:eastAsiaTheme="minorEastAsia" w:hAnsiTheme="minorHAnsi" w:cstheme="minorBidi"/>
              <w:noProof/>
              <w:kern w:val="2"/>
              <w:lang w:eastAsia="en-GB"/>
              <w14:ligatures w14:val="standardContextual"/>
            </w:rPr>
          </w:pPr>
          <w:hyperlink w:anchor="_Toc236055037" w:history="1">
            <w:r w:rsidRPr="00C00796">
              <w:rPr>
                <w:rStyle w:val="Hyperlink"/>
                <w:noProof/>
              </w:rPr>
              <w:t>Appendices</w:t>
            </w:r>
            <w:r>
              <w:rPr>
                <w:noProof/>
                <w:webHidden/>
              </w:rPr>
              <w:tab/>
            </w:r>
            <w:r>
              <w:rPr>
                <w:noProof/>
                <w:webHidden/>
              </w:rPr>
              <w:fldChar w:fldCharType="begin"/>
            </w:r>
            <w:r>
              <w:rPr>
                <w:noProof/>
                <w:webHidden/>
              </w:rPr>
              <w:instrText xml:space="preserve"> PAGEREF _Toc236055037 \h </w:instrText>
            </w:r>
            <w:r>
              <w:rPr>
                <w:noProof/>
                <w:webHidden/>
              </w:rPr>
            </w:r>
            <w:r>
              <w:rPr>
                <w:noProof/>
                <w:webHidden/>
              </w:rPr>
              <w:fldChar w:fldCharType="separate"/>
            </w:r>
            <w:r>
              <w:rPr>
                <w:noProof/>
                <w:webHidden/>
              </w:rPr>
              <w:t>43</w:t>
            </w:r>
            <w:r>
              <w:rPr>
                <w:noProof/>
                <w:webHidden/>
              </w:rPr>
              <w:fldChar w:fldCharType="end"/>
            </w:r>
          </w:hyperlink>
        </w:p>
        <w:p w14:paraId="110F629B" w14:textId="63B25ED2" w:rsidR="00D3461B" w:rsidRDefault="00D3461B">
          <w:pPr>
            <w:pStyle w:val="TOC1"/>
            <w:tabs>
              <w:tab w:val="right" w:pos="9016"/>
            </w:tabs>
            <w:rPr>
              <w:rFonts w:asciiTheme="minorHAnsi" w:eastAsiaTheme="minorEastAsia" w:hAnsiTheme="minorHAnsi" w:cstheme="minorBidi"/>
              <w:noProof/>
              <w:kern w:val="2"/>
              <w:lang w:eastAsia="en-GB"/>
              <w14:ligatures w14:val="standardContextual"/>
            </w:rPr>
          </w:pPr>
          <w:hyperlink w:anchor="_Toc236055038" w:history="1">
            <w:r w:rsidRPr="00C00796">
              <w:rPr>
                <w:rStyle w:val="Hyperlink"/>
                <w:noProof/>
              </w:rPr>
              <w:t>BMHP6020 Independent Project Results Summary Table</w:t>
            </w:r>
            <w:r>
              <w:rPr>
                <w:noProof/>
                <w:webHidden/>
              </w:rPr>
              <w:tab/>
            </w:r>
            <w:r>
              <w:rPr>
                <w:noProof/>
                <w:webHidden/>
              </w:rPr>
              <w:fldChar w:fldCharType="begin"/>
            </w:r>
            <w:r>
              <w:rPr>
                <w:noProof/>
                <w:webHidden/>
              </w:rPr>
              <w:instrText xml:space="preserve"> PAGEREF _Toc236055038 \h </w:instrText>
            </w:r>
            <w:r>
              <w:rPr>
                <w:noProof/>
                <w:webHidden/>
              </w:rPr>
            </w:r>
            <w:r>
              <w:rPr>
                <w:noProof/>
                <w:webHidden/>
              </w:rPr>
              <w:fldChar w:fldCharType="separate"/>
            </w:r>
            <w:r>
              <w:rPr>
                <w:noProof/>
                <w:webHidden/>
              </w:rPr>
              <w:t>48</w:t>
            </w:r>
            <w:r>
              <w:rPr>
                <w:noProof/>
                <w:webHidden/>
              </w:rPr>
              <w:fldChar w:fldCharType="end"/>
            </w:r>
          </w:hyperlink>
        </w:p>
        <w:p w14:paraId="344E49BB" w14:textId="16467F18" w:rsidR="00DB09AE" w:rsidRDefault="00000000" w:rsidP="003E3922">
          <w:pPr>
            <w:spacing w:line="360" w:lineRule="auto"/>
            <w:jc w:val="both"/>
            <w:rPr>
              <w:rFonts w:ascii="Arial" w:eastAsia="Arial" w:hAnsi="Arial" w:cs="Arial"/>
            </w:rPr>
          </w:pPr>
          <w:r w:rsidRPr="00A352F4">
            <w:rPr>
              <w:rFonts w:ascii="Arial" w:hAnsi="Arial" w:cs="Arial"/>
              <w:sz w:val="22"/>
              <w:szCs w:val="22"/>
            </w:rPr>
            <w:fldChar w:fldCharType="end"/>
          </w:r>
        </w:p>
      </w:sdtContent>
    </w:sdt>
    <w:p w14:paraId="3A6F4AED" w14:textId="77777777" w:rsidR="00DB09AE" w:rsidRDefault="00DB09AE" w:rsidP="003E3922">
      <w:pPr>
        <w:spacing w:line="360" w:lineRule="auto"/>
        <w:jc w:val="both"/>
        <w:rPr>
          <w:rFonts w:ascii="Arial" w:eastAsia="Arial" w:hAnsi="Arial" w:cs="Arial"/>
          <w:sz w:val="22"/>
          <w:szCs w:val="22"/>
        </w:rPr>
      </w:pPr>
    </w:p>
    <w:p w14:paraId="5A9A3538" w14:textId="77777777" w:rsidR="00DB09AE" w:rsidRDefault="00DB09AE" w:rsidP="003E3922">
      <w:pPr>
        <w:spacing w:line="360" w:lineRule="auto"/>
        <w:jc w:val="both"/>
        <w:rPr>
          <w:rFonts w:ascii="Arial" w:eastAsia="Arial" w:hAnsi="Arial" w:cs="Arial"/>
          <w:sz w:val="22"/>
          <w:szCs w:val="22"/>
        </w:rPr>
      </w:pPr>
    </w:p>
    <w:p w14:paraId="38532E4B" w14:textId="77777777" w:rsidR="00DB09AE" w:rsidRPr="00D3461B" w:rsidRDefault="00000000" w:rsidP="00D3461B">
      <w:pPr>
        <w:pStyle w:val="Heading1"/>
        <w:jc w:val="left"/>
      </w:pPr>
      <w:bookmarkStart w:id="5" w:name="_Toc236054990"/>
      <w:r w:rsidRPr="00D3461B">
        <w:t>CHAPTER 1: Introduction</w:t>
      </w:r>
      <w:bookmarkEnd w:id="5"/>
    </w:p>
    <w:p w14:paraId="6A23C3DE" w14:textId="77777777" w:rsidR="00DB09AE" w:rsidRDefault="00000000" w:rsidP="003E3922">
      <w:pPr>
        <w:pStyle w:val="Heading2"/>
        <w:spacing w:line="360" w:lineRule="auto"/>
        <w:jc w:val="both"/>
      </w:pPr>
      <w:bookmarkStart w:id="6" w:name="_Toc236054991"/>
      <w:r>
        <w:t>1.1 Introduction.</w:t>
      </w:r>
      <w:bookmarkEnd w:id="6"/>
      <w:r>
        <w:t xml:space="preserve"> </w:t>
      </w:r>
    </w:p>
    <w:p w14:paraId="791E0691" w14:textId="77777777" w:rsidR="00DB09AE" w:rsidRDefault="00000000"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r>
        <w:rPr>
          <w:rFonts w:ascii="Arial" w:eastAsia="Arial" w:hAnsi="Arial" w:cs="Arial"/>
          <w:color w:val="000000"/>
          <w:sz w:val="22"/>
          <w:szCs w:val="22"/>
        </w:rPr>
        <w:t>Cancer is a leading societal, economic and public health menace in the 21</w:t>
      </w:r>
      <w:r>
        <w:rPr>
          <w:rFonts w:ascii="Arial" w:eastAsia="Arial" w:hAnsi="Arial" w:cs="Arial"/>
          <w:color w:val="000000"/>
          <w:sz w:val="22"/>
          <w:szCs w:val="22"/>
          <w:vertAlign w:val="superscript"/>
        </w:rPr>
        <w:t>st</w:t>
      </w:r>
      <w:r>
        <w:rPr>
          <w:rFonts w:ascii="Arial" w:eastAsia="Arial" w:hAnsi="Arial" w:cs="Arial"/>
          <w:color w:val="000000"/>
          <w:sz w:val="22"/>
          <w:szCs w:val="22"/>
        </w:rPr>
        <w:t xml:space="preserve"> century, accounting for nearly one in six deaths globally and 22.8% of deaths from non-communicable diseases (NCDs) (Bray et al., 2022). In addition to being a significant barrier to increasing life expectancy, cancer is also linked to remarkable macroeconomic and societal costs that can vary in magnitude across cancer types, gender and geography (Chen et al., 2023). Breast cancer is currently the most commonly diagnosed cancer among women in the UK, with 60,000 new diagnoses annually (Barclay et al., 2024). However, not all forms of breast cancer are equally recognised or diagnosed in a timely manner. While the early diagnosis is identified as a critical determinant of survival and the quality of life of persons with cancer, delays in diagnosis still continue to undermine patient outcomes and the trajectory (Butnari et al., 2025). The delays are more prevalent in women aged 18–40, who are frequently perceived as low-risk and thus less likely to be prioritised within screening frameworks or clinical suspicion (Cancer Research UK, 2023). Furthermore, the issue is complicated by the rare and under-recognised forms of breast cancer, such as Paget's disease of the breast, that presents with dermatological symptoms that can resemble benign conditions such as Eczema (Karakas, 2011). In West Midland, the complex interaction between ethnic diversity and socioeconomic inequality underpin the relevance and urgency of the issue. Current empirical evidence </w:t>
      </w:r>
      <w:r>
        <w:rPr>
          <w:rFonts w:ascii="Arial" w:eastAsia="Arial" w:hAnsi="Arial" w:cs="Arial"/>
          <w:sz w:val="22"/>
          <w:szCs w:val="22"/>
        </w:rPr>
        <w:t>suggests</w:t>
      </w:r>
      <w:r>
        <w:rPr>
          <w:rFonts w:ascii="Arial" w:eastAsia="Arial" w:hAnsi="Arial" w:cs="Arial"/>
          <w:color w:val="000000"/>
          <w:sz w:val="22"/>
          <w:szCs w:val="22"/>
        </w:rPr>
        <w:t xml:space="preserve"> that dermatological signs may be less visible on darker skin, increasing the diagnostic difficulties. In addition to that, young women aged 18-40 record high levels of delayed recognition due to the presumption of low cancer risk. </w:t>
      </w:r>
    </w:p>
    <w:p w14:paraId="0FEEF099" w14:textId="77777777" w:rsidR="00DB09AE" w:rsidRDefault="00000000"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r>
        <w:rPr>
          <w:rFonts w:ascii="Arial" w:eastAsia="Arial" w:hAnsi="Arial" w:cs="Arial"/>
          <w:color w:val="000000"/>
          <w:sz w:val="22"/>
          <w:szCs w:val="22"/>
        </w:rPr>
        <w:t xml:space="preserve">The aim of the dissertation is to explore the factors contributing to diagnostic delays among younger women aged 18-40 in the West Midlands with a focus on healthcare inequalities, ethnicities, and the challenges associated with recognising atypical presentations </w:t>
      </w:r>
      <w:r>
        <w:rPr>
          <w:rFonts w:ascii="Arial" w:eastAsia="Arial" w:hAnsi="Arial" w:cs="Arial"/>
          <w:color w:val="000000"/>
          <w:sz w:val="22"/>
          <w:szCs w:val="22"/>
        </w:rPr>
        <w:lastRenderedPageBreak/>
        <w:t xml:space="preserve">of breast cancer. Comprehensive analysis and appraisal of the current literature and policy guidelines will boost understanding and influence equitable diagnostic practices for all. </w:t>
      </w:r>
    </w:p>
    <w:p w14:paraId="41C651D1" w14:textId="77777777" w:rsidR="003E3922" w:rsidRDefault="003E3922"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p>
    <w:p w14:paraId="084DCF88" w14:textId="77777777" w:rsidR="003E3922" w:rsidRDefault="003E3922"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p>
    <w:p w14:paraId="46B97EE9" w14:textId="77777777" w:rsidR="003E3922" w:rsidRDefault="003E3922"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p>
    <w:p w14:paraId="10AE2C87" w14:textId="77777777" w:rsidR="003E3922" w:rsidRDefault="003E3922"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p>
    <w:p w14:paraId="5FEF1C39" w14:textId="77777777" w:rsidR="003E3922" w:rsidRDefault="003E3922"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p>
    <w:p w14:paraId="5C90E43D" w14:textId="77777777" w:rsidR="00DB09AE" w:rsidRDefault="00DB09AE"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p>
    <w:p w14:paraId="3D90DD04" w14:textId="77777777" w:rsidR="00DB09AE" w:rsidRDefault="00000000" w:rsidP="003E3922">
      <w:pPr>
        <w:pStyle w:val="Heading2"/>
        <w:spacing w:line="360" w:lineRule="auto"/>
        <w:jc w:val="both"/>
      </w:pPr>
      <w:bookmarkStart w:id="7" w:name="_Toc236054992"/>
      <w:r>
        <w:t>1.2 Definitions and Terminology.</w:t>
      </w:r>
      <w:bookmarkEnd w:id="7"/>
      <w:r>
        <w:t> </w:t>
      </w:r>
    </w:p>
    <w:p w14:paraId="797BA8A8" w14:textId="77777777" w:rsidR="00DB09AE" w:rsidRDefault="00000000" w:rsidP="003E392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b/>
          <w:bCs/>
          <w:color w:val="000000"/>
          <w:sz w:val="22"/>
          <w:szCs w:val="22"/>
        </w:rPr>
        <w:t>Breast Cancer</w:t>
      </w:r>
      <w:r>
        <w:rPr>
          <w:rFonts w:ascii="Arial" w:eastAsia="Arial" w:hAnsi="Arial" w:cs="Arial"/>
          <w:color w:val="000000"/>
          <w:sz w:val="22"/>
          <w:szCs w:val="22"/>
        </w:rPr>
        <w:t xml:space="preserve"> : a disease in which abnormal cells in the breast grow out of control and form tumours</w:t>
      </w:r>
    </w:p>
    <w:p w14:paraId="18023CCE" w14:textId="77777777" w:rsidR="00DB09AE" w:rsidRDefault="00000000" w:rsidP="003E392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b/>
          <w:bCs/>
          <w:color w:val="000000"/>
          <w:sz w:val="22"/>
          <w:szCs w:val="22"/>
        </w:rPr>
        <w:t xml:space="preserve">Paget’s disease of the breast: </w:t>
      </w:r>
      <w:r>
        <w:rPr>
          <w:rFonts w:ascii="Arial" w:eastAsia="Arial" w:hAnsi="Arial" w:cs="Arial"/>
          <w:color w:val="000000"/>
          <w:sz w:val="22"/>
          <w:szCs w:val="22"/>
        </w:rPr>
        <w:t>A rare disorder of the nipple-areola complex that is often associated with an underlying in situ or invasive carcinoma. </w:t>
      </w:r>
    </w:p>
    <w:p w14:paraId="28E36369" w14:textId="77777777" w:rsidR="00DB09AE" w:rsidRDefault="00000000" w:rsidP="003E392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b/>
          <w:bCs/>
          <w:color w:val="000000"/>
          <w:sz w:val="22"/>
          <w:szCs w:val="22"/>
        </w:rPr>
        <w:t>Diagnostic delay</w:t>
      </w:r>
      <w:r>
        <w:rPr>
          <w:rFonts w:ascii="Arial" w:eastAsia="Arial" w:hAnsi="Arial" w:cs="Arial"/>
          <w:color w:val="000000"/>
          <w:sz w:val="22"/>
          <w:szCs w:val="22"/>
        </w:rPr>
        <w:t>:  refers to the time interval between initial symptom recognition and confirmed diagnosis.</w:t>
      </w:r>
    </w:p>
    <w:p w14:paraId="36696BF1" w14:textId="77777777" w:rsidR="00DB09AE" w:rsidRDefault="00000000" w:rsidP="003E392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b/>
          <w:bCs/>
          <w:color w:val="000000"/>
          <w:sz w:val="22"/>
          <w:szCs w:val="22"/>
        </w:rPr>
        <w:t>Health inequalities</w:t>
      </w:r>
      <w:r>
        <w:rPr>
          <w:rFonts w:ascii="Arial" w:eastAsia="Arial" w:hAnsi="Arial" w:cs="Arial"/>
          <w:color w:val="000000"/>
          <w:sz w:val="22"/>
          <w:szCs w:val="22"/>
        </w:rPr>
        <w:t xml:space="preserve">: describes the avoidable differences in health outcomes between population  groups, and is often driven by socioeconomic status, ethnicity and </w:t>
      </w:r>
      <w:r>
        <w:rPr>
          <w:rFonts w:ascii="Arial" w:eastAsia="Arial" w:hAnsi="Arial" w:cs="Arial"/>
          <w:sz w:val="22"/>
          <w:szCs w:val="22"/>
        </w:rPr>
        <w:t>access to healthcare</w:t>
      </w:r>
      <w:r>
        <w:rPr>
          <w:rFonts w:ascii="Arial" w:eastAsia="Arial" w:hAnsi="Arial" w:cs="Arial"/>
          <w:color w:val="000000"/>
          <w:sz w:val="22"/>
          <w:szCs w:val="22"/>
        </w:rPr>
        <w:t xml:space="preserve"> services (Marmot et al., 2020).</w:t>
      </w:r>
    </w:p>
    <w:p w14:paraId="055ECA41" w14:textId="77777777" w:rsidR="00DB09AE" w:rsidRDefault="00000000" w:rsidP="003E392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Misdiagnosis: The incorrect or delayed identification of a disease, leading to the inappropriate management and disease progression. </w:t>
      </w:r>
    </w:p>
    <w:p w14:paraId="2081E0F4" w14:textId="77777777" w:rsidR="00DB09AE" w:rsidRDefault="00000000" w:rsidP="003E392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b/>
          <w:bCs/>
          <w:color w:val="000000"/>
          <w:sz w:val="22"/>
          <w:szCs w:val="22"/>
        </w:rPr>
        <w:t>Intersectionality:</w:t>
      </w:r>
      <w:r>
        <w:rPr>
          <w:rFonts w:ascii="Arial" w:eastAsia="Arial" w:hAnsi="Arial" w:cs="Arial"/>
          <w:color w:val="000000"/>
          <w:sz w:val="22"/>
          <w:szCs w:val="22"/>
        </w:rPr>
        <w:t xml:space="preserve"> A theoretical framework describing how overlapping social identities interact to produce compounded disadvantage (Crenshaw, 1989; Vohra-Gupta et al., 2023).</w:t>
      </w:r>
    </w:p>
    <w:p w14:paraId="319FB31A" w14:textId="77777777" w:rsidR="00DB09AE" w:rsidRDefault="00000000" w:rsidP="003E392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b/>
          <w:bCs/>
          <w:color w:val="000000"/>
          <w:sz w:val="22"/>
          <w:szCs w:val="22"/>
        </w:rPr>
        <w:t>Acronyms and Abbreviations</w:t>
      </w:r>
    </w:p>
    <w:p w14:paraId="56A6CAB4" w14:textId="77777777" w:rsidR="00DB09AE" w:rsidRDefault="00000000" w:rsidP="003E3922">
      <w:pPr>
        <w:spacing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NHS – National Health Service </w:t>
      </w:r>
    </w:p>
    <w:p w14:paraId="57BB488F" w14:textId="77777777" w:rsidR="00DB09AE" w:rsidRDefault="00000000" w:rsidP="003E3922">
      <w:pPr>
        <w:spacing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NICE – National Institute for Health and Care Excellence </w:t>
      </w:r>
    </w:p>
    <w:p w14:paraId="46DB88BD" w14:textId="77777777" w:rsidR="00DB09AE" w:rsidRDefault="00000000" w:rsidP="003E3922">
      <w:pPr>
        <w:spacing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NMC – Nursing and Midwifery Council </w:t>
      </w:r>
    </w:p>
    <w:p w14:paraId="6F199EFD" w14:textId="77777777" w:rsidR="00DB09AE" w:rsidRDefault="00000000" w:rsidP="003E3922">
      <w:pPr>
        <w:spacing w:line="360" w:lineRule="auto"/>
        <w:jc w:val="both"/>
        <w:rPr>
          <w:rFonts w:ascii="Arial" w:eastAsia="Arial" w:hAnsi="Arial" w:cs="Arial"/>
          <w:color w:val="000000"/>
          <w:sz w:val="22"/>
          <w:szCs w:val="22"/>
        </w:rPr>
      </w:pPr>
      <w:r>
        <w:rPr>
          <w:rFonts w:ascii="Arial" w:eastAsia="Arial" w:hAnsi="Arial" w:cs="Arial"/>
          <w:color w:val="000000"/>
          <w:sz w:val="22"/>
          <w:szCs w:val="22"/>
        </w:rPr>
        <w:t>WHO – World Health Organization</w:t>
      </w:r>
    </w:p>
    <w:p w14:paraId="44F53211" w14:textId="77777777" w:rsidR="00DB09AE" w:rsidRDefault="00000000" w:rsidP="003E3922">
      <w:pPr>
        <w:pStyle w:val="Heading2"/>
        <w:spacing w:line="360" w:lineRule="auto"/>
        <w:jc w:val="both"/>
      </w:pPr>
      <w:bookmarkStart w:id="8" w:name="_Toc236054993"/>
      <w:r>
        <w:t>1.3 Rationale for Research</w:t>
      </w:r>
      <w:bookmarkEnd w:id="8"/>
      <w:r>
        <w:t> </w:t>
      </w:r>
    </w:p>
    <w:p w14:paraId="0D8E8E38" w14:textId="77777777" w:rsidR="00DB09AE" w:rsidRDefault="00000000"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r>
        <w:rPr>
          <w:rFonts w:ascii="Arial" w:eastAsia="Arial" w:hAnsi="Arial" w:cs="Arial"/>
          <w:color w:val="000000"/>
          <w:sz w:val="22"/>
          <w:szCs w:val="22"/>
        </w:rPr>
        <w:t xml:space="preserve">The research is driven by the need to sustainably address the diagnostic inequalities in rare breast cancer presentations. Despite the policy  emphasis on early detection, Paget’s disease still remains under-detected due to the resemblance to other begin-dermatological conditions (Scott-Emuakpor et al., 2024). In addition to the high vulnerability in younger women, who are dismissed to the perceived low risk, inequalities in dermatological recognitions further </w:t>
      </w:r>
      <w:r>
        <w:rPr>
          <w:rFonts w:ascii="Arial" w:eastAsia="Arial" w:hAnsi="Arial" w:cs="Arial"/>
          <w:sz w:val="22"/>
          <w:szCs w:val="22"/>
        </w:rPr>
        <w:t>compound</w:t>
      </w:r>
      <w:r>
        <w:rPr>
          <w:rFonts w:ascii="Arial" w:eastAsia="Arial" w:hAnsi="Arial" w:cs="Arial"/>
          <w:color w:val="000000"/>
          <w:sz w:val="22"/>
          <w:szCs w:val="22"/>
        </w:rPr>
        <w:t xml:space="preserve"> the issue (Huang et al., 2021). Clinical training has historically </w:t>
      </w:r>
      <w:r>
        <w:rPr>
          <w:rFonts w:ascii="Arial" w:eastAsia="Arial" w:hAnsi="Arial" w:cs="Arial"/>
          <w:color w:val="000000"/>
          <w:sz w:val="22"/>
          <w:szCs w:val="22"/>
        </w:rPr>
        <w:lastRenderedPageBreak/>
        <w:t xml:space="preserve">prioritised the lighter skin tone, hence creating diagnostic blind spots and contributing to health inequalities (Lyons et al., 2026). The research is also informed by personal experiences, since the researcher lost a sister to Paget’s disease of the breast. While the NHS and NICE guidelines continue to </w:t>
      </w:r>
      <w:r>
        <w:rPr>
          <w:rFonts w:ascii="Arial" w:eastAsia="Arial" w:hAnsi="Arial" w:cs="Arial"/>
          <w:sz w:val="22"/>
          <w:szCs w:val="22"/>
        </w:rPr>
        <w:t>champion early</w:t>
      </w:r>
      <w:r>
        <w:rPr>
          <w:rFonts w:ascii="Arial" w:eastAsia="Arial" w:hAnsi="Arial" w:cs="Arial"/>
          <w:color w:val="000000"/>
          <w:sz w:val="22"/>
          <w:szCs w:val="22"/>
        </w:rPr>
        <w:t xml:space="preserve"> cancer detection, there is limited empirical evidence on how the guidelines account for variation in symptom presentation across skin tones and demographic groups. The lack of research specifically focused on young women </w:t>
      </w:r>
      <w:r>
        <w:rPr>
          <w:rFonts w:ascii="Arial" w:eastAsia="Arial" w:hAnsi="Arial" w:cs="Arial"/>
          <w:sz w:val="22"/>
          <w:szCs w:val="22"/>
        </w:rPr>
        <w:t>in the West</w:t>
      </w:r>
      <w:r>
        <w:rPr>
          <w:rFonts w:ascii="Arial" w:eastAsia="Arial" w:hAnsi="Arial" w:cs="Arial"/>
          <w:color w:val="000000"/>
          <w:sz w:val="22"/>
          <w:szCs w:val="22"/>
        </w:rPr>
        <w:t xml:space="preserve"> Midlands also informed the current analysis because of the ethnic diversity and socioeconomic deprivation. The study addresses the identified gaps by investigating the interaction between age, ethnicity, socioeconomic status and atypical presentation while fulfilling the professional obligations of developing a culture of continuous quality improvement in nursing. </w:t>
      </w:r>
    </w:p>
    <w:p w14:paraId="30F2BE3B" w14:textId="77777777" w:rsidR="00DB09AE" w:rsidRDefault="00000000" w:rsidP="003E3922">
      <w:pPr>
        <w:pStyle w:val="Heading2"/>
        <w:spacing w:line="360" w:lineRule="auto"/>
        <w:jc w:val="both"/>
      </w:pPr>
      <w:bookmarkStart w:id="9" w:name="_Toc236054994"/>
      <w:r>
        <w:t>1.4 Aim and Objectives</w:t>
      </w:r>
      <w:bookmarkEnd w:id="9"/>
    </w:p>
    <w:p w14:paraId="6B78A6A3" w14:textId="77777777" w:rsidR="00DB09AE" w:rsidRDefault="00000000" w:rsidP="003E392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b/>
          <w:bCs/>
          <w:color w:val="000000"/>
          <w:sz w:val="22"/>
          <w:szCs w:val="22"/>
        </w:rPr>
        <w:t>Research Aim:</w:t>
      </w:r>
      <w:r>
        <w:rPr>
          <w:rFonts w:ascii="Arial" w:eastAsia="Arial" w:hAnsi="Arial" w:cs="Arial"/>
          <w:color w:val="000000"/>
          <w:sz w:val="22"/>
          <w:szCs w:val="22"/>
        </w:rPr>
        <w:t xml:space="preserve"> To explore factors contributing to diagnostic delays among women aged 18–40 in the West Midlands, focusing on inequalities related to ethnicity, skin tone and recognition of Paget’s disease of the breast. To facilitate the robust fulfilment of the aim, the following objectives have been developed </w:t>
      </w:r>
    </w:p>
    <w:p w14:paraId="0E9DA6D1" w14:textId="77777777" w:rsidR="00DB09AE" w:rsidRDefault="00000000" w:rsidP="003E392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b/>
          <w:bCs/>
          <w:color w:val="000000"/>
          <w:sz w:val="22"/>
          <w:szCs w:val="22"/>
        </w:rPr>
        <w:t>Objective 1:</w:t>
      </w:r>
      <w:r>
        <w:rPr>
          <w:rFonts w:ascii="Arial" w:eastAsia="Arial" w:hAnsi="Arial" w:cs="Arial"/>
          <w:color w:val="000000"/>
          <w:sz w:val="22"/>
          <w:szCs w:val="22"/>
        </w:rPr>
        <w:t>  To examine the patterns and impacts of diagnostic delays in cancer care among females aged 18–40 using regional and national data.</w:t>
      </w:r>
    </w:p>
    <w:p w14:paraId="51154D1B" w14:textId="77777777" w:rsidR="00DB09AE" w:rsidRDefault="00000000" w:rsidP="003E392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b/>
          <w:bCs/>
          <w:color w:val="000000"/>
          <w:sz w:val="22"/>
          <w:szCs w:val="22"/>
        </w:rPr>
        <w:t>Objective 2:</w:t>
      </w:r>
      <w:r>
        <w:rPr>
          <w:rFonts w:ascii="Arial" w:eastAsia="Arial" w:hAnsi="Arial" w:cs="Arial"/>
          <w:color w:val="000000"/>
          <w:sz w:val="22"/>
          <w:szCs w:val="22"/>
        </w:rPr>
        <w:t>  To explore how ethnicity, skin tone and socioeconomic factors influence recognition and referral.</w:t>
      </w:r>
    </w:p>
    <w:p w14:paraId="393BF2F4" w14:textId="77777777" w:rsidR="00DB09AE" w:rsidRDefault="00000000" w:rsidP="003E392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b/>
          <w:bCs/>
          <w:color w:val="000000"/>
          <w:sz w:val="22"/>
          <w:szCs w:val="22"/>
        </w:rPr>
        <w:t>Objective 3:</w:t>
      </w:r>
      <w:r>
        <w:rPr>
          <w:rFonts w:ascii="Arial" w:eastAsia="Arial" w:hAnsi="Arial" w:cs="Arial"/>
          <w:color w:val="000000"/>
          <w:sz w:val="22"/>
          <w:szCs w:val="22"/>
        </w:rPr>
        <w:t>  To evaluate national and regional policies focused on reducing diagnostic delays.</w:t>
      </w:r>
    </w:p>
    <w:p w14:paraId="4BE454EE" w14:textId="77777777" w:rsidR="00DB09AE" w:rsidRDefault="00000000" w:rsidP="003E392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b/>
          <w:bCs/>
          <w:color w:val="000000"/>
          <w:sz w:val="22"/>
          <w:szCs w:val="22"/>
        </w:rPr>
        <w:t>Objective 4:</w:t>
      </w:r>
      <w:r>
        <w:rPr>
          <w:rFonts w:ascii="Arial" w:eastAsia="Arial" w:hAnsi="Arial" w:cs="Arial"/>
          <w:color w:val="000000"/>
          <w:sz w:val="22"/>
          <w:szCs w:val="22"/>
        </w:rPr>
        <w:t>  To provide evidence-based recommendations to improve early diagnosis and promote equitable access to cancer care services.</w:t>
      </w:r>
    </w:p>
    <w:p w14:paraId="119B0395" w14:textId="77777777" w:rsidR="00DB09AE" w:rsidRDefault="00000000" w:rsidP="003E392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w:t>
      </w:r>
    </w:p>
    <w:p w14:paraId="02E52BCC" w14:textId="77777777" w:rsidR="00DB09AE" w:rsidRDefault="00000000" w:rsidP="003E3922">
      <w:pPr>
        <w:pStyle w:val="Heading2"/>
        <w:spacing w:line="360" w:lineRule="auto"/>
        <w:jc w:val="both"/>
      </w:pPr>
      <w:bookmarkStart w:id="10" w:name="_Toc236054995"/>
      <w:r>
        <w:t>1.5 Conclusion</w:t>
      </w:r>
      <w:bookmarkEnd w:id="10"/>
    </w:p>
    <w:p w14:paraId="2CCDDB38" w14:textId="77777777" w:rsidR="00DB09AE" w:rsidRDefault="00000000"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r>
        <w:rPr>
          <w:rFonts w:ascii="Arial" w:eastAsia="Arial" w:hAnsi="Arial" w:cs="Arial"/>
          <w:color w:val="000000"/>
          <w:sz w:val="22"/>
          <w:szCs w:val="22"/>
        </w:rPr>
        <w:t xml:space="preserve">The chapter has introduced the issue of diagnostic delays in Paget’s disease of the breast among young women in the West Midlands as the dissertation topic. The discussion has also outlined the key challenges such as misdiagnosis and inequalities associated with skin tone and ethnicity, as well the systematic barriers in healthcare. The guiding key terms were defined and the rationale established the value of addressing the gaps in current research and practice. The research aims and objectives outlined will provide the structured foundation for the study. Chapter 2 will build on the foundation by situating the research within the broader context through examination of the historical development of cancer diagnosis, theoretical perspectives and evolution of healthcare inequalities. The local, national and international frameworks and policies shaping cancer detection and service delivery will also </w:t>
      </w:r>
      <w:r>
        <w:rPr>
          <w:rFonts w:ascii="Arial" w:eastAsia="Arial" w:hAnsi="Arial" w:cs="Arial"/>
          <w:color w:val="000000"/>
          <w:sz w:val="22"/>
          <w:szCs w:val="22"/>
        </w:rPr>
        <w:lastRenderedPageBreak/>
        <w:t xml:space="preserve">be discussed to establish the groundwork that will inform the methodological approach selected in chapter 3. </w:t>
      </w:r>
    </w:p>
    <w:p w14:paraId="705FD054" w14:textId="77777777" w:rsidR="00DB09AE" w:rsidRDefault="00DB09AE" w:rsidP="003E3922">
      <w:pPr>
        <w:spacing w:line="360" w:lineRule="auto"/>
        <w:jc w:val="both"/>
        <w:rPr>
          <w:rFonts w:ascii="Arial" w:eastAsia="Arial" w:hAnsi="Arial" w:cs="Arial"/>
          <w:color w:val="000000"/>
          <w:sz w:val="22"/>
          <w:szCs w:val="22"/>
        </w:rPr>
      </w:pPr>
    </w:p>
    <w:p w14:paraId="26C82752" w14:textId="77777777" w:rsidR="00DB09AE" w:rsidRDefault="00DB09AE" w:rsidP="003E3922">
      <w:pPr>
        <w:spacing w:line="360" w:lineRule="auto"/>
        <w:jc w:val="both"/>
        <w:rPr>
          <w:rFonts w:ascii="Arial" w:eastAsia="Arial" w:hAnsi="Arial" w:cs="Arial"/>
          <w:color w:val="000000"/>
          <w:sz w:val="22"/>
          <w:szCs w:val="22"/>
        </w:rPr>
      </w:pPr>
    </w:p>
    <w:p w14:paraId="6799318E" w14:textId="77777777" w:rsidR="00DB09AE" w:rsidRDefault="00DB09AE" w:rsidP="003E3922">
      <w:pPr>
        <w:spacing w:line="360" w:lineRule="auto"/>
        <w:jc w:val="both"/>
        <w:rPr>
          <w:rFonts w:ascii="Arial" w:eastAsia="Arial" w:hAnsi="Arial" w:cs="Arial"/>
          <w:color w:val="000000"/>
          <w:sz w:val="22"/>
          <w:szCs w:val="22"/>
        </w:rPr>
      </w:pPr>
    </w:p>
    <w:p w14:paraId="052610D2" w14:textId="77777777" w:rsidR="00DB09AE" w:rsidRDefault="00DB09AE" w:rsidP="003E3922">
      <w:pPr>
        <w:spacing w:line="360" w:lineRule="auto"/>
        <w:jc w:val="both"/>
        <w:rPr>
          <w:rFonts w:ascii="Arial" w:eastAsia="Arial" w:hAnsi="Arial" w:cs="Arial"/>
          <w:color w:val="000000"/>
          <w:sz w:val="22"/>
          <w:szCs w:val="22"/>
        </w:rPr>
      </w:pPr>
    </w:p>
    <w:p w14:paraId="2060091B" w14:textId="77777777" w:rsidR="00DB09AE" w:rsidRDefault="00000000" w:rsidP="003E3922">
      <w:pPr>
        <w:pStyle w:val="Heading1"/>
        <w:spacing w:line="360" w:lineRule="auto"/>
        <w:jc w:val="both"/>
      </w:pPr>
      <w:bookmarkStart w:id="11" w:name="_Toc236054996"/>
      <w:r>
        <w:t>CHAPTER 2 – Background Information and Analysis.</w:t>
      </w:r>
      <w:bookmarkEnd w:id="11"/>
    </w:p>
    <w:p w14:paraId="1F4A08DB" w14:textId="77777777" w:rsidR="00DB09AE" w:rsidRDefault="00DB09AE" w:rsidP="003E3922">
      <w:pPr>
        <w:pBdr>
          <w:top w:val="nil"/>
          <w:left w:val="nil"/>
          <w:bottom w:val="nil"/>
          <w:right w:val="nil"/>
          <w:between w:val="nil"/>
        </w:pBdr>
        <w:spacing w:after="0" w:line="360" w:lineRule="auto"/>
        <w:jc w:val="both"/>
        <w:rPr>
          <w:rFonts w:ascii="Arial" w:eastAsia="Arial" w:hAnsi="Arial" w:cs="Arial"/>
          <w:color w:val="000000"/>
          <w:sz w:val="22"/>
          <w:szCs w:val="22"/>
        </w:rPr>
      </w:pPr>
    </w:p>
    <w:p w14:paraId="76428E4D" w14:textId="77777777" w:rsidR="00DB09AE" w:rsidRDefault="00000000" w:rsidP="003E3922">
      <w:pPr>
        <w:pStyle w:val="Heading2"/>
        <w:spacing w:line="360" w:lineRule="auto"/>
        <w:jc w:val="both"/>
      </w:pPr>
      <w:bookmarkStart w:id="12" w:name="_Toc236054997"/>
      <w:r>
        <w:t>2.1 Introduction.</w:t>
      </w:r>
      <w:bookmarkEnd w:id="12"/>
      <w:r>
        <w:t> </w:t>
      </w:r>
    </w:p>
    <w:p w14:paraId="725A0A85" w14:textId="77777777" w:rsidR="00DB09AE" w:rsidRDefault="00000000"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r>
        <w:rPr>
          <w:rFonts w:ascii="Arial" w:eastAsia="Arial" w:hAnsi="Arial" w:cs="Arial"/>
          <w:color w:val="000000"/>
          <w:sz w:val="22"/>
          <w:szCs w:val="22"/>
        </w:rPr>
        <w:t xml:space="preserve">The </w:t>
      </w:r>
      <w:r>
        <w:rPr>
          <w:rFonts w:ascii="Arial" w:eastAsia="Arial" w:hAnsi="Arial" w:cs="Arial"/>
          <w:sz w:val="22"/>
          <w:szCs w:val="22"/>
        </w:rPr>
        <w:t>following chapter</w:t>
      </w:r>
      <w:r>
        <w:rPr>
          <w:rFonts w:ascii="Arial" w:eastAsia="Arial" w:hAnsi="Arial" w:cs="Arial"/>
          <w:color w:val="000000"/>
          <w:sz w:val="22"/>
          <w:szCs w:val="22"/>
        </w:rPr>
        <w:t xml:space="preserve"> provides the intellectual foundation for the dissertation by examining diagnostic delays through the lenses of historical progression, theoretical frameworks and systemic influences. Moreover, it </w:t>
      </w:r>
      <w:r>
        <w:rPr>
          <w:rFonts w:ascii="Arial" w:eastAsia="Arial" w:hAnsi="Arial" w:cs="Arial"/>
          <w:sz w:val="22"/>
          <w:szCs w:val="22"/>
        </w:rPr>
        <w:t>will show how</w:t>
      </w:r>
      <w:r>
        <w:rPr>
          <w:rFonts w:ascii="Arial" w:eastAsia="Arial" w:hAnsi="Arial" w:cs="Arial"/>
          <w:color w:val="000000"/>
          <w:sz w:val="22"/>
          <w:szCs w:val="22"/>
        </w:rPr>
        <w:t xml:space="preserve"> the conceptualisation of breast cancer diagnosis has evolved </w:t>
      </w:r>
      <w:r>
        <w:rPr>
          <w:rFonts w:ascii="Arial" w:eastAsia="Arial" w:hAnsi="Arial" w:cs="Arial"/>
          <w:sz w:val="22"/>
          <w:szCs w:val="22"/>
        </w:rPr>
        <w:t>over time</w:t>
      </w:r>
      <w:r>
        <w:rPr>
          <w:rFonts w:ascii="Arial" w:eastAsia="Arial" w:hAnsi="Arial" w:cs="Arial"/>
          <w:color w:val="000000"/>
          <w:sz w:val="22"/>
          <w:szCs w:val="22"/>
        </w:rPr>
        <w:t xml:space="preserve"> and the theoretical perspectives that explain the persistence in diagnostic disparities. In so doing, it will establish a foundation for analysing inequalities affecting younger women, especially those aged 18-40, who are underrepresented in screening frameworks. The chapter also considers the challenges and complexities associated with the diagnosis of Paget's disease of the breast, whose </w:t>
      </w:r>
      <w:r>
        <w:rPr>
          <w:rFonts w:ascii="Arial" w:eastAsia="Arial" w:hAnsi="Arial" w:cs="Arial"/>
          <w:sz w:val="22"/>
          <w:szCs w:val="22"/>
        </w:rPr>
        <w:t>symptoms</w:t>
      </w:r>
      <w:r>
        <w:rPr>
          <w:rFonts w:ascii="Arial" w:eastAsia="Arial" w:hAnsi="Arial" w:cs="Arial"/>
          <w:color w:val="000000"/>
          <w:sz w:val="22"/>
          <w:szCs w:val="22"/>
        </w:rPr>
        <w:t xml:space="preserve"> are similar to Eczema, leading to high risks of misdiagnosis. Analysing the national and specific policy guidance not only highlights how the structural, social and clinical factors intersect to influence diagnostic pathways, but also the role of policies in developing a long-term solution to diagnostic delays. The issue is contextualised </w:t>
      </w:r>
      <w:r>
        <w:rPr>
          <w:rFonts w:ascii="Arial" w:eastAsia="Arial" w:hAnsi="Arial" w:cs="Arial"/>
          <w:sz w:val="22"/>
          <w:szCs w:val="22"/>
        </w:rPr>
        <w:t>within the West</w:t>
      </w:r>
      <w:r>
        <w:rPr>
          <w:rFonts w:ascii="Arial" w:eastAsia="Arial" w:hAnsi="Arial" w:cs="Arial"/>
          <w:color w:val="000000"/>
          <w:sz w:val="22"/>
          <w:szCs w:val="22"/>
        </w:rPr>
        <w:t xml:space="preserve"> Midlands due to the intersection of demographic and socioeconomic factors to influence healthcare outcomes. The robust analysis in this section sets the groundwork for the methodological approach developed in chapter. </w:t>
      </w:r>
    </w:p>
    <w:p w14:paraId="0352758C" w14:textId="77777777" w:rsidR="00DB09AE" w:rsidRDefault="00000000" w:rsidP="003E392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w:t>
      </w:r>
    </w:p>
    <w:p w14:paraId="0D743EA0" w14:textId="77777777" w:rsidR="00DB09AE" w:rsidRDefault="00000000" w:rsidP="003E3922">
      <w:pPr>
        <w:pStyle w:val="Heading2"/>
        <w:spacing w:line="360" w:lineRule="auto"/>
        <w:jc w:val="both"/>
      </w:pPr>
      <w:bookmarkStart w:id="13" w:name="_Toc236054998"/>
      <w:r>
        <w:t>2.2 Historical Background</w:t>
      </w:r>
      <w:bookmarkEnd w:id="13"/>
    </w:p>
    <w:p w14:paraId="3F932D89" w14:textId="77777777" w:rsidR="00DB09AE" w:rsidRDefault="00000000"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r>
        <w:rPr>
          <w:rFonts w:ascii="Arial" w:eastAsia="Arial" w:hAnsi="Arial" w:cs="Arial"/>
          <w:color w:val="000000"/>
          <w:sz w:val="22"/>
          <w:szCs w:val="22"/>
        </w:rPr>
        <w:t xml:space="preserve"> The history of cancer diagnosis  portrays an evolution from the symptom-based, late-stage identification to earlier detection and screening-led pathways. In the 19</w:t>
      </w:r>
      <w:r>
        <w:rPr>
          <w:rFonts w:ascii="Arial" w:eastAsia="Arial" w:hAnsi="Arial" w:cs="Arial"/>
          <w:color w:val="000000"/>
          <w:sz w:val="22"/>
          <w:szCs w:val="22"/>
          <w:vertAlign w:val="superscript"/>
        </w:rPr>
        <w:t>th</w:t>
      </w:r>
      <w:r>
        <w:rPr>
          <w:rFonts w:ascii="Arial" w:eastAsia="Arial" w:hAnsi="Arial" w:cs="Arial"/>
          <w:color w:val="000000"/>
          <w:sz w:val="22"/>
          <w:szCs w:val="22"/>
        </w:rPr>
        <w:t xml:space="preserve"> century, diagnosis of cancer heavily depended on the visible or palpable changes leading to late presentations and poor outcomes (Gump et al., 2024). Sir James Paget provided the first clinical understanding of the Paget’s disease in 1874, upon identifying an association between chronic eczematous changes of the nipple and underlying breast carcinoma. The observation officially marked the transition from perceiving the lesions as dermatological conditions to </w:t>
      </w:r>
      <w:r>
        <w:rPr>
          <w:rFonts w:ascii="Arial" w:eastAsia="Arial" w:hAnsi="Arial" w:cs="Arial"/>
          <w:color w:val="000000"/>
          <w:sz w:val="22"/>
          <w:szCs w:val="22"/>
        </w:rPr>
        <w:lastRenderedPageBreak/>
        <w:t>recognising the malignant potential (Paget, 1874). Karakas (2011) further states that subsequent histopathological advancements in the late 19</w:t>
      </w:r>
      <w:r>
        <w:rPr>
          <w:rFonts w:ascii="Arial" w:eastAsia="Arial" w:hAnsi="Arial" w:cs="Arial"/>
          <w:color w:val="000000"/>
          <w:sz w:val="22"/>
          <w:szCs w:val="22"/>
          <w:vertAlign w:val="superscript"/>
        </w:rPr>
        <w:t>th</w:t>
      </w:r>
      <w:r>
        <w:rPr>
          <w:rFonts w:ascii="Arial" w:eastAsia="Arial" w:hAnsi="Arial" w:cs="Arial"/>
          <w:color w:val="000000"/>
          <w:sz w:val="22"/>
          <w:szCs w:val="22"/>
        </w:rPr>
        <w:t xml:space="preserve"> and early 20</w:t>
      </w:r>
      <w:r>
        <w:rPr>
          <w:rFonts w:ascii="Arial" w:eastAsia="Arial" w:hAnsi="Arial" w:cs="Arial"/>
          <w:color w:val="000000"/>
          <w:sz w:val="22"/>
          <w:szCs w:val="22"/>
          <w:vertAlign w:val="superscript"/>
        </w:rPr>
        <w:t>th</w:t>
      </w:r>
      <w:r>
        <w:rPr>
          <w:rFonts w:ascii="Arial" w:eastAsia="Arial" w:hAnsi="Arial" w:cs="Arial"/>
          <w:color w:val="000000"/>
          <w:sz w:val="22"/>
          <w:szCs w:val="22"/>
        </w:rPr>
        <w:t xml:space="preserve"> century confirmed the presence of malignant intraepidermal cells, hence setting the oncological basis of the disease. Development in diagnostic imaging, including mammography and ultrasound, in the 20</w:t>
      </w:r>
      <w:r>
        <w:rPr>
          <w:rFonts w:ascii="Arial" w:eastAsia="Arial" w:hAnsi="Arial" w:cs="Arial"/>
          <w:color w:val="000000"/>
          <w:sz w:val="22"/>
          <w:szCs w:val="22"/>
          <w:vertAlign w:val="superscript"/>
        </w:rPr>
        <w:t>th</w:t>
      </w:r>
      <w:r>
        <w:rPr>
          <w:rFonts w:ascii="Arial" w:eastAsia="Arial" w:hAnsi="Arial" w:cs="Arial"/>
          <w:color w:val="000000"/>
          <w:sz w:val="22"/>
          <w:szCs w:val="22"/>
        </w:rPr>
        <w:t xml:space="preserve"> century significantly boosted early detection of cancer (Berry et al., 2005). Paget’s also still remained diagnostically challenging, owing to the rarity and atypical presentation that mimicked benign skin disorders such as eczema (Kuzmiak and Ferre, 2024). Studies also consistently found that a high proportion of cases were associated with underlying ductal carcinoma in situ or invasive carcinoma, leading to increased emphasis on early recognition (Karakas, 2011). The UK NHS Breast Screening Programme (1988) formalised the screening of women aged 50-70, and later extended in pilot phases to younger cohorts. Although formal screening emerged as a significant milestone, younger women aged 18-40 were still excluded, hence perpetuating the </w:t>
      </w:r>
      <w:r>
        <w:rPr>
          <w:rFonts w:ascii="Arial" w:eastAsia="Arial" w:hAnsi="Arial" w:cs="Arial"/>
          <w:sz w:val="22"/>
          <w:szCs w:val="22"/>
        </w:rPr>
        <w:t>age-based</w:t>
      </w:r>
      <w:r>
        <w:rPr>
          <w:rFonts w:ascii="Arial" w:eastAsia="Arial" w:hAnsi="Arial" w:cs="Arial"/>
          <w:color w:val="000000"/>
          <w:sz w:val="22"/>
          <w:szCs w:val="22"/>
        </w:rPr>
        <w:t xml:space="preserve"> disparities in the diagnostic pathways (Ngo and Brooks, 2025). The modern policy has shifted to the prioritisation of early diagnosis and rapid referral, with targets such as the “two-week wait” and faster diagnosis standards introduced by the NHS England. Nonetheless, empirical evidence suggests that the system-level improvements do not translate into equitable outcomes, especially for rare presentations and the atypical symptom profiles. </w:t>
      </w:r>
    </w:p>
    <w:p w14:paraId="0C46AE19" w14:textId="77777777" w:rsidR="00DB09AE" w:rsidRDefault="00000000"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r>
        <w:rPr>
          <w:rFonts w:ascii="Arial" w:eastAsia="Arial" w:hAnsi="Arial" w:cs="Arial"/>
          <w:sz w:val="22"/>
          <w:szCs w:val="22"/>
        </w:rPr>
        <w:t>Beyond biomedical</w:t>
      </w:r>
      <w:r>
        <w:rPr>
          <w:rFonts w:ascii="Arial" w:eastAsia="Arial" w:hAnsi="Arial" w:cs="Arial"/>
          <w:color w:val="000000"/>
          <w:sz w:val="22"/>
          <w:szCs w:val="22"/>
        </w:rPr>
        <w:t xml:space="preserve"> evolution, the second half of the 20</w:t>
      </w:r>
      <w:r>
        <w:rPr>
          <w:rFonts w:ascii="Arial" w:eastAsia="Arial" w:hAnsi="Arial" w:cs="Arial"/>
          <w:color w:val="000000"/>
          <w:sz w:val="22"/>
          <w:szCs w:val="22"/>
          <w:vertAlign w:val="superscript"/>
        </w:rPr>
        <w:t>th</w:t>
      </w:r>
      <w:r>
        <w:rPr>
          <w:rFonts w:ascii="Arial" w:eastAsia="Arial" w:hAnsi="Arial" w:cs="Arial"/>
          <w:color w:val="000000"/>
          <w:sz w:val="22"/>
          <w:szCs w:val="22"/>
        </w:rPr>
        <w:t xml:space="preserve"> century was marked by increasing recognition of health inequalities. The Marmot Review (2010) explained the influence of the social determinants </w:t>
      </w:r>
      <w:r>
        <w:rPr>
          <w:rFonts w:ascii="Arial" w:eastAsia="Arial" w:hAnsi="Arial" w:cs="Arial"/>
          <w:sz w:val="22"/>
          <w:szCs w:val="22"/>
        </w:rPr>
        <w:t>on health</w:t>
      </w:r>
      <w:r>
        <w:rPr>
          <w:rFonts w:ascii="Arial" w:eastAsia="Arial" w:hAnsi="Arial" w:cs="Arial"/>
          <w:color w:val="000000"/>
          <w:sz w:val="22"/>
          <w:szCs w:val="22"/>
        </w:rPr>
        <w:t xml:space="preserve">, while demonstrating how deprivation, education and access can impact clinical outcomes and quality of life. From the lenses of the new perspective, current evidence highlights disparities in stage at diagnosis and survival among socioeconomically deprived and ethnic minority populations (Nazroo et al., 2020). Attention is currently turning to disparities in dermatological diagnosis across skin tones. Lester et al., (2019) conducted a study which found that medical education has historically prioritised lighter skin leading to limited ability of the clinicians to recognise conditions in persons with darker skin. The findings have significant implications for Paget’s disease, where visual clinical manifestations such as erythema could be less apparent, leading to increased likelihood of misdiagnosis (Wang et al., 2025). </w:t>
      </w:r>
    </w:p>
    <w:p w14:paraId="0E91B9F2" w14:textId="77777777" w:rsidR="00DB09AE" w:rsidRDefault="00DB09AE" w:rsidP="003E3922">
      <w:pPr>
        <w:pBdr>
          <w:top w:val="nil"/>
          <w:left w:val="nil"/>
          <w:bottom w:val="nil"/>
          <w:right w:val="nil"/>
          <w:between w:val="nil"/>
        </w:pBdr>
        <w:spacing w:after="0" w:line="360" w:lineRule="auto"/>
        <w:jc w:val="both"/>
        <w:rPr>
          <w:rFonts w:ascii="Arial" w:eastAsia="Arial" w:hAnsi="Arial" w:cs="Arial"/>
          <w:color w:val="000000"/>
          <w:sz w:val="22"/>
          <w:szCs w:val="22"/>
        </w:rPr>
      </w:pPr>
    </w:p>
    <w:p w14:paraId="0797299F" w14:textId="77777777" w:rsidR="00DB09AE" w:rsidRDefault="00000000" w:rsidP="003E3922">
      <w:pPr>
        <w:pStyle w:val="Heading2"/>
        <w:spacing w:line="360" w:lineRule="auto"/>
        <w:jc w:val="both"/>
      </w:pPr>
      <w:bookmarkStart w:id="14" w:name="_Toc236054999"/>
      <w:r>
        <w:t>2.3 Theoretical Background.</w:t>
      </w:r>
      <w:bookmarkEnd w:id="14"/>
    </w:p>
    <w:p w14:paraId="4D246EC9" w14:textId="77777777" w:rsidR="00DB09AE" w:rsidRDefault="00000000"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r>
        <w:rPr>
          <w:rFonts w:ascii="Arial" w:eastAsia="Arial" w:hAnsi="Arial" w:cs="Arial"/>
          <w:color w:val="000000"/>
          <w:sz w:val="22"/>
          <w:szCs w:val="22"/>
        </w:rPr>
        <w:t xml:space="preserve">The persistence of diagnostic delays in cancer care can be understood through the lenses of interrelated theoretical </w:t>
      </w:r>
      <w:r>
        <w:rPr>
          <w:rFonts w:ascii="Arial" w:eastAsia="Arial" w:hAnsi="Arial" w:cs="Arial"/>
          <w:sz w:val="22"/>
          <w:szCs w:val="22"/>
        </w:rPr>
        <w:t>frameworks that collectively</w:t>
      </w:r>
      <w:r>
        <w:rPr>
          <w:rFonts w:ascii="Arial" w:eastAsia="Arial" w:hAnsi="Arial" w:cs="Arial"/>
          <w:color w:val="000000"/>
          <w:sz w:val="22"/>
          <w:szCs w:val="22"/>
        </w:rPr>
        <w:t xml:space="preserve"> explain the inequalities associated with Paget’s disease of the breast. The intersectionality theory by Crenshaw (1989) is one of the core models that explores how overlapping social identities such as age, ethnicity </w:t>
      </w:r>
      <w:r>
        <w:rPr>
          <w:rFonts w:ascii="Arial" w:eastAsia="Arial" w:hAnsi="Arial" w:cs="Arial"/>
          <w:color w:val="000000"/>
          <w:sz w:val="22"/>
          <w:szCs w:val="22"/>
        </w:rPr>
        <w:lastRenderedPageBreak/>
        <w:t xml:space="preserve">and socioeconomic status contribute to compounded disadvantage. In healthcare, Huang et al., (2021) found that young women from ethnically diverse backgrounds endure multiple layers of disadvantage, including reduced visibility of symptoms due to skin tone and implicit bias within clinical decision-making. Moreover, persons reporting multiple marginalised positions have increased susceptibility to delays in diagnosis and poorer access to care (Vohra-Gupta et al. 2023). The Social determinants of health framework by Marmot can also boost the understanding of the influence of socioeconomic factors on health outcomes. According to Marmot et al., (2020) inequalities in income, education and access to healthcare services can remarkably influence the patterns of disease detection and treatment. Empirical studies such as Ramos-Castaneda et al. (2026) supported the framework by reporting that socioeconomic deprivation is associated with delayed help-seeking and referral, while Lyratzopoulos et al. (2013) reported longer diagnostic intervals among deprived populations. The factors are relevant in regions such as the West Midlands that record pronounced levels of socioeconomic disparities. The Model of Pathways to Treatment developed by Walter et al., (2012) also conceptualises the journey from symptom detection to treatment as a series of </w:t>
      </w:r>
      <w:r>
        <w:rPr>
          <w:rFonts w:ascii="Arial" w:eastAsia="Arial" w:hAnsi="Arial" w:cs="Arial"/>
          <w:sz w:val="22"/>
          <w:szCs w:val="22"/>
        </w:rPr>
        <w:t>intervals that</w:t>
      </w:r>
      <w:r>
        <w:rPr>
          <w:rFonts w:ascii="Arial" w:eastAsia="Arial" w:hAnsi="Arial" w:cs="Arial"/>
          <w:color w:val="000000"/>
          <w:sz w:val="22"/>
          <w:szCs w:val="22"/>
        </w:rPr>
        <w:t xml:space="preserve"> include; symptom appraisal, help-seeking, diagnostic investigation, and treatment initiation. The model is also effective in comprehending where delay occurs and how different factors such as symptom misinterpretation, healthcare access and clinician response, influence clinical outcomes. In Paget’s disease, the model is useful for analysing how subtle or atypical clinical manifestations could prolong the appraisal interval, especially when symptoms resemble benign conditions such as eczema (Darmiati et al., 2026). </w:t>
      </w:r>
    </w:p>
    <w:p w14:paraId="09BAED70" w14:textId="77777777" w:rsidR="00DB09AE" w:rsidRDefault="00000000"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r>
        <w:rPr>
          <w:rFonts w:ascii="Arial" w:eastAsia="Arial" w:hAnsi="Arial" w:cs="Arial"/>
          <w:color w:val="000000"/>
          <w:sz w:val="22"/>
          <w:szCs w:val="22"/>
        </w:rPr>
        <w:t xml:space="preserve">Although the theories play a critical role in providing the foundational understanding of the issue, they also have shortcomings. Despite being highly practical and executable, the Model of Pathways to Treatment  is </w:t>
      </w:r>
      <w:r>
        <w:rPr>
          <w:rFonts w:ascii="Arial" w:eastAsia="Arial" w:hAnsi="Arial" w:cs="Arial"/>
          <w:sz w:val="22"/>
          <w:szCs w:val="22"/>
        </w:rPr>
        <w:t>criticised for placing</w:t>
      </w:r>
      <w:r>
        <w:rPr>
          <w:rFonts w:ascii="Arial" w:eastAsia="Arial" w:hAnsi="Arial" w:cs="Arial"/>
          <w:color w:val="000000"/>
          <w:sz w:val="22"/>
          <w:szCs w:val="22"/>
        </w:rPr>
        <w:t xml:space="preserve"> too much focus on linear processes while underestimating the role of the broader structural inequalities (Scott et al., 2013). Moreover, patients often move back and forth between stages, despite the presumption of a linear process. The social determinants framework also adopts a very broad scope that may fail to account for the condition-specific factors such as symptom ambiguity, low clinical awareness, or diagnostic uncertainty (Frank et al., 2020). The intersectionality theory can provide a robust understanding of the overlapping inequalities but is still difficult to operationalise since it is challenging to isolate the factors that are most influential in shaping diagnostic outcomes (Bauer, 2023). There is also a persistent debate pertaining the role of individual versus systemic factors. Fergus et al., (2011) stresses on patient-related delays, while others argue that structural barriers and institutional bias play a more prominent role in the diagnostic delay (Nazroo et al., 2018). The current study embraces the comprehensive and holistic approach that recognises that diagnostic delays emanate from the interaction of individual behaviours, clinical practice and systemic inequalities. </w:t>
      </w:r>
    </w:p>
    <w:p w14:paraId="60BA3367" w14:textId="77777777" w:rsidR="003E3922" w:rsidRDefault="003E3922"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p>
    <w:p w14:paraId="22CF0ED1" w14:textId="77777777" w:rsidR="003E3922" w:rsidRDefault="003E3922"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p>
    <w:p w14:paraId="2949B2DD" w14:textId="77777777" w:rsidR="003E3922" w:rsidRDefault="003E3922"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p>
    <w:p w14:paraId="6D320A6F" w14:textId="77777777" w:rsidR="003E3922" w:rsidRDefault="003E3922"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p>
    <w:p w14:paraId="6333A20D" w14:textId="77777777" w:rsidR="00DB09AE" w:rsidRDefault="00000000" w:rsidP="003E3922">
      <w:pPr>
        <w:pBdr>
          <w:top w:val="nil"/>
          <w:left w:val="nil"/>
          <w:bottom w:val="nil"/>
          <w:right w:val="nil"/>
          <w:between w:val="nil"/>
        </w:pBdr>
        <w:spacing w:after="0" w:line="360" w:lineRule="auto"/>
        <w:jc w:val="both"/>
        <w:rPr>
          <w:rFonts w:ascii="Arial" w:eastAsia="Arial" w:hAnsi="Arial" w:cs="Arial"/>
          <w:color w:val="000000"/>
          <w:sz w:val="22"/>
          <w:szCs w:val="22"/>
        </w:rPr>
      </w:pPr>
      <w:r>
        <w:rPr>
          <w:rFonts w:ascii="Arial" w:eastAsia="Arial" w:hAnsi="Arial" w:cs="Arial"/>
          <w:color w:val="000000"/>
          <w:sz w:val="22"/>
          <w:szCs w:val="22"/>
        </w:rPr>
        <w:t> </w:t>
      </w:r>
    </w:p>
    <w:p w14:paraId="4EDCA7AF" w14:textId="77777777" w:rsidR="00DB09AE" w:rsidRDefault="00000000" w:rsidP="003E3922">
      <w:pPr>
        <w:pStyle w:val="Heading2"/>
        <w:spacing w:line="360" w:lineRule="auto"/>
        <w:jc w:val="both"/>
      </w:pPr>
      <w:bookmarkStart w:id="15" w:name="_Toc236055000"/>
      <w:r>
        <w:t>2.4 International Context</w:t>
      </w:r>
      <w:bookmarkEnd w:id="15"/>
    </w:p>
    <w:p w14:paraId="0219D20C" w14:textId="77777777" w:rsidR="00DB09AE" w:rsidRDefault="00000000"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r>
        <w:rPr>
          <w:rFonts w:ascii="Arial" w:eastAsia="Arial" w:hAnsi="Arial" w:cs="Arial"/>
          <w:color w:val="000000"/>
          <w:sz w:val="22"/>
          <w:szCs w:val="22"/>
        </w:rPr>
        <w:t xml:space="preserve"> From the global lens, early detection is recognised </w:t>
      </w:r>
      <w:r>
        <w:rPr>
          <w:rFonts w:ascii="Arial" w:eastAsia="Arial" w:hAnsi="Arial" w:cs="Arial"/>
          <w:sz w:val="22"/>
          <w:szCs w:val="22"/>
        </w:rPr>
        <w:t>as a critical</w:t>
      </w:r>
      <w:r>
        <w:rPr>
          <w:rFonts w:ascii="Arial" w:eastAsia="Arial" w:hAnsi="Arial" w:cs="Arial"/>
          <w:color w:val="000000"/>
          <w:sz w:val="22"/>
          <w:szCs w:val="22"/>
        </w:rPr>
        <w:t xml:space="preserve"> determinant of survival with the World Health Organisation championing for stronger primary systems and timely referral pathways (Butnari et al., 2025). However, the internal approaches significantly vary depending on the healthcare infrastructure, resource availability and public health policies. Bray et al., (2022) explained that while high income countries prioritise early diagnosis through systematic screening programmes and infrastructure, low- and middle-income countries still endure systemic barriers that can delay presentation and treatment. Limited infrastructure and lower health literacy among persons in low-income countries also </w:t>
      </w:r>
      <w:r>
        <w:rPr>
          <w:rFonts w:ascii="Arial" w:eastAsia="Arial" w:hAnsi="Arial" w:cs="Arial"/>
          <w:sz w:val="22"/>
          <w:szCs w:val="22"/>
        </w:rPr>
        <w:t>multiply</w:t>
      </w:r>
      <w:r>
        <w:rPr>
          <w:rFonts w:ascii="Arial" w:eastAsia="Arial" w:hAnsi="Arial" w:cs="Arial"/>
          <w:color w:val="000000"/>
          <w:sz w:val="22"/>
          <w:szCs w:val="22"/>
        </w:rPr>
        <w:t xml:space="preserve"> the risks of late-stage cancer diagnosis (Brand et al., 2019). Due to the increasing prevalence and burden of breast cancer, there </w:t>
      </w:r>
      <w:r>
        <w:rPr>
          <w:rFonts w:ascii="Arial" w:eastAsia="Arial" w:hAnsi="Arial" w:cs="Arial"/>
          <w:sz w:val="22"/>
          <w:szCs w:val="22"/>
        </w:rPr>
        <w:t>is a</w:t>
      </w:r>
      <w:r>
        <w:rPr>
          <w:rFonts w:ascii="Arial" w:eastAsia="Arial" w:hAnsi="Arial" w:cs="Arial"/>
          <w:color w:val="000000"/>
          <w:sz w:val="22"/>
          <w:szCs w:val="22"/>
        </w:rPr>
        <w:t xml:space="preserve"> global shift towards equity-focused control, where countries not only focus on early detection and also the transformation of accessibility and inclusivity of the diagnostic approaches (Organisation for Economic Co-operation and Development and European Commission [OECD], 2026). In the United States breast cancer care is characterised by advanced diagnostic technologies and specialist pathways, though African Americans  </w:t>
      </w:r>
      <w:r>
        <w:rPr>
          <w:rFonts w:ascii="Arial" w:eastAsia="Arial" w:hAnsi="Arial" w:cs="Arial"/>
          <w:sz w:val="22"/>
          <w:szCs w:val="22"/>
        </w:rPr>
        <w:t>record</w:t>
      </w:r>
      <w:r>
        <w:rPr>
          <w:rFonts w:ascii="Arial" w:eastAsia="Arial" w:hAnsi="Arial" w:cs="Arial"/>
          <w:color w:val="000000"/>
          <w:sz w:val="22"/>
          <w:szCs w:val="22"/>
        </w:rPr>
        <w:t xml:space="preserve"> late-stage diagnosis and higher mortality rates compared to white women (Ribeiro et al., 2025). Similar inequalities are observed in dermatological recognition, where skin tone variation can influence the diagnostic accuracy, echoing the concerns associated with Paget’s disease. On the other hand, countries such as Sweden, Norway, Canada and Australia record more equitable outcomes, owing to universal healthcare coverage and comprehensive cancer registries (Berchet et al., 2025). Condon et al., (2024) however reported that indigenous populations in such countries continue to experience delayed diagnosis and poorer outcomes due to geographical isolation, cultural barriers and historical marginalisation. While the streamlined care pathways reduce delays, challenges in recognising atypical presentations still persist, including rare presentations such as Paget’s disease of the breast. </w:t>
      </w:r>
    </w:p>
    <w:p w14:paraId="339BD84C" w14:textId="77777777" w:rsidR="00DB09AE" w:rsidRDefault="00000000"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r>
        <w:rPr>
          <w:rFonts w:ascii="Arial" w:eastAsia="Arial" w:hAnsi="Arial" w:cs="Arial"/>
          <w:color w:val="000000"/>
          <w:sz w:val="22"/>
          <w:szCs w:val="22"/>
        </w:rPr>
        <w:t xml:space="preserve">The WHO Global Breast Cancer Initiative is committed to fostering early detection, timely diagnosis and coordinated care pathways across diverse healthcare settings (WHO, 2021).  Moreover, Cree et al., (2020) argued that international research collaborations and cancer registries can facilitate data sharing and benchmarking, leading to the effective evaluation of progress and identification of gaps in care delivery. Different countries </w:t>
      </w:r>
      <w:r>
        <w:rPr>
          <w:rFonts w:ascii="Arial" w:eastAsia="Arial" w:hAnsi="Arial" w:cs="Arial"/>
          <w:sz w:val="22"/>
          <w:szCs w:val="22"/>
        </w:rPr>
        <w:t>continue</w:t>
      </w:r>
      <w:r>
        <w:rPr>
          <w:rFonts w:ascii="Arial" w:eastAsia="Arial" w:hAnsi="Arial" w:cs="Arial"/>
          <w:color w:val="000000"/>
          <w:sz w:val="22"/>
          <w:szCs w:val="22"/>
        </w:rPr>
        <w:t xml:space="preserve"> </w:t>
      </w:r>
      <w:r>
        <w:rPr>
          <w:rFonts w:ascii="Arial" w:eastAsia="Arial" w:hAnsi="Arial" w:cs="Arial"/>
          <w:color w:val="000000"/>
          <w:sz w:val="22"/>
          <w:szCs w:val="22"/>
        </w:rPr>
        <w:lastRenderedPageBreak/>
        <w:t xml:space="preserve">to address the cancer scourge in diverse ways, while unravelling the successes and challenges encountered in the journey towards diagnosis and elimination of cancer. The United States introduced patient navigation programmes that have improved access to diagnostic services among underserved populations (Ribeiro et al., 2025). In Rwanda, there is a shift towards decentralised care and community awareness initiatives that have significantly culminated in early presentations, despite limited resources, although the diagnostic capacity is still constrained (Rubagumya et al., 2020). The core challenge in Rwanda is sustaining the workforce capacity, through the requisite specialist training. Across the different contexts, a recurrent challenge is the recognition of atypical and dermatological manifestations of breast cancer, especially in diverse skin tones, hence the need for globally inclusive training and diagnostic framework. </w:t>
      </w:r>
    </w:p>
    <w:p w14:paraId="7CC5AF74" w14:textId="77777777" w:rsidR="00DB09AE" w:rsidRDefault="00000000" w:rsidP="003E3922">
      <w:pPr>
        <w:pStyle w:val="Heading2"/>
        <w:spacing w:line="360" w:lineRule="auto"/>
        <w:jc w:val="both"/>
      </w:pPr>
      <w:bookmarkStart w:id="16" w:name="_Toc236055001"/>
      <w:r>
        <w:t>2.5 National/Local UK Context</w:t>
      </w:r>
      <w:bookmarkEnd w:id="16"/>
    </w:p>
    <w:p w14:paraId="46E8EFCC" w14:textId="77777777" w:rsidR="00DB09AE" w:rsidRDefault="00000000"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r>
        <w:rPr>
          <w:rFonts w:ascii="Arial" w:eastAsia="Arial" w:hAnsi="Arial" w:cs="Arial"/>
          <w:color w:val="000000"/>
          <w:sz w:val="22"/>
          <w:szCs w:val="22"/>
        </w:rPr>
        <w:t xml:space="preserve"> Cancer diagnosis and treatment in the United Kingdom is primarily delivered through the National Health Service, based on the principle of universal health access. Due to the recognition of the need for early cancer diagnosis, the NHS England (2019) has set an ambitious plan for 75% of cancers to be diagnosed at stage I or II by 2028. Despite the policy commitment to eliminate the delays in the diagnosis of patients, O’Dowd (2024) reported that the ambition is not uniformly realised across all patient groups, especially those in localities such as West Midlands and affected by ethnic inequalities and deprivation. Even with the improvements in screening and referral systems, young women aged 18-40 who fall outside the screening </w:t>
      </w:r>
      <w:r>
        <w:rPr>
          <w:rFonts w:ascii="Arial" w:eastAsia="Arial" w:hAnsi="Arial" w:cs="Arial"/>
          <w:sz w:val="22"/>
          <w:szCs w:val="22"/>
        </w:rPr>
        <w:t>programs are</w:t>
      </w:r>
      <w:r>
        <w:rPr>
          <w:rFonts w:ascii="Arial" w:eastAsia="Arial" w:hAnsi="Arial" w:cs="Arial"/>
          <w:color w:val="000000"/>
          <w:sz w:val="22"/>
          <w:szCs w:val="22"/>
        </w:rPr>
        <w:t xml:space="preserve"> often perceived as lower risk (Zackrisson et al., 2025). The National Institute for Health and Care Excellence (NG12) shapes clinical practice in cancer care through providing the specific criteria for suspected cancer recognition and referral to standardise decision-making and eliminate care variations. However, Dodd et al., (2023) still criticizes the guideline for inadequately addressing atypical presentations and variations in skin tones as relevant in conditions such as Paget’s disease of the breast.</w:t>
      </w:r>
    </w:p>
    <w:p w14:paraId="71444C48" w14:textId="77777777" w:rsidR="00DB09AE" w:rsidRDefault="00000000"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r>
        <w:rPr>
          <w:rFonts w:ascii="Arial" w:eastAsia="Arial" w:hAnsi="Arial" w:cs="Arial"/>
          <w:color w:val="000000"/>
          <w:sz w:val="22"/>
          <w:szCs w:val="22"/>
        </w:rPr>
        <w:t xml:space="preserve">The need to address the diagnostic delays is also reinforced by professional regulations. According to section 8.4 of The Nursing and Midwifery Council Code (2018) nurses are required to evaluate the quality of care and contribute to continuous improvement, besides challenging assumptions that compromise care. Such is complemented by the NHS England’s Professional Standards Framework for Quality Assurance and Improvement (2023), which positions quality improvement as a professional responsibility and supports the use of evidence to support care delivery. Therefore, healthcare professionals have an obligation to actively identify in practice and address inequalities. Disparities </w:t>
      </w:r>
      <w:r>
        <w:rPr>
          <w:rFonts w:ascii="Arial" w:eastAsia="Arial" w:hAnsi="Arial" w:cs="Arial"/>
          <w:sz w:val="22"/>
          <w:szCs w:val="22"/>
        </w:rPr>
        <w:t>in cancer</w:t>
      </w:r>
      <w:r>
        <w:rPr>
          <w:rFonts w:ascii="Arial" w:eastAsia="Arial" w:hAnsi="Arial" w:cs="Arial"/>
          <w:color w:val="000000"/>
          <w:sz w:val="22"/>
          <w:szCs w:val="22"/>
        </w:rPr>
        <w:t xml:space="preserve"> care still persist despite the policies. Ramos-Castaneda et al. (2026) reported that persons from deprived </w:t>
      </w:r>
      <w:r>
        <w:rPr>
          <w:rFonts w:ascii="Arial" w:eastAsia="Arial" w:hAnsi="Arial" w:cs="Arial"/>
          <w:color w:val="000000"/>
          <w:sz w:val="22"/>
          <w:szCs w:val="22"/>
        </w:rPr>
        <w:lastRenderedPageBreak/>
        <w:t xml:space="preserve">backgrounds have high rates of late-cancer diagnosis, while Nazroo et al., (2018) underscored the impact of structural barriers, cultural factors and potential bias in the healthcare systems. </w:t>
      </w:r>
    </w:p>
    <w:p w14:paraId="642F6AED" w14:textId="77777777" w:rsidR="00DB09AE" w:rsidRDefault="00000000"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r>
        <w:rPr>
          <w:rFonts w:ascii="Arial" w:eastAsia="Arial" w:hAnsi="Arial" w:cs="Arial"/>
          <w:color w:val="000000"/>
          <w:sz w:val="22"/>
          <w:szCs w:val="22"/>
        </w:rPr>
        <w:t xml:space="preserve">West Midlands is an important case study and the focus of the current research. The locality is typified by high ethnic diversity and socioeconomic </w:t>
      </w:r>
      <w:r>
        <w:rPr>
          <w:rFonts w:ascii="Arial" w:eastAsia="Arial" w:hAnsi="Arial" w:cs="Arial"/>
          <w:sz w:val="22"/>
          <w:szCs w:val="22"/>
        </w:rPr>
        <w:t>inequalities that</w:t>
      </w:r>
      <w:r>
        <w:rPr>
          <w:rFonts w:ascii="Arial" w:eastAsia="Arial" w:hAnsi="Arial" w:cs="Arial"/>
          <w:color w:val="000000"/>
          <w:sz w:val="22"/>
          <w:szCs w:val="22"/>
        </w:rPr>
        <w:t xml:space="preserve"> are linked to poor outcomes in cancer management (Scott and Hoskin, 2024). Although the local programs like targeted awareness campaigns and community-based outreach focus on fostering early diagnosis and engagement with healthcare services, Ramos-Castaneda et al., (2026) argues that the interventions do not reach all population groups. The limited health literacy and different perceptions of cancer within the area also influences the help-seeking patterns. The regional differences and inequalities in the access to specialist cancer care is another concern. Some </w:t>
      </w:r>
      <w:r>
        <w:rPr>
          <w:rFonts w:ascii="Arial" w:eastAsia="Arial" w:hAnsi="Arial" w:cs="Arial"/>
          <w:sz w:val="22"/>
          <w:szCs w:val="22"/>
        </w:rPr>
        <w:t>areas of the West</w:t>
      </w:r>
      <w:r>
        <w:rPr>
          <w:rFonts w:ascii="Arial" w:eastAsia="Arial" w:hAnsi="Arial" w:cs="Arial"/>
          <w:color w:val="000000"/>
          <w:sz w:val="22"/>
          <w:szCs w:val="22"/>
        </w:rPr>
        <w:t xml:space="preserve"> Midlands benefit from the integrated care alliances and rapid diagnosis, while resource constraints and workforce </w:t>
      </w:r>
      <w:r>
        <w:rPr>
          <w:rFonts w:ascii="Arial" w:eastAsia="Arial" w:hAnsi="Arial" w:cs="Arial"/>
          <w:sz w:val="22"/>
          <w:szCs w:val="22"/>
        </w:rPr>
        <w:t>challenges cause</w:t>
      </w:r>
      <w:r>
        <w:rPr>
          <w:rFonts w:ascii="Arial" w:eastAsia="Arial" w:hAnsi="Arial" w:cs="Arial"/>
          <w:color w:val="000000"/>
          <w:sz w:val="22"/>
          <w:szCs w:val="22"/>
        </w:rPr>
        <w:t xml:space="preserve"> unwarranted delays (Cancer Research UK, 2022). Even with specialist care, empirical evidence still suggests that clinical training does not adequately prepare practitioners to recognise dermatological clinical manifestations across diverse skin tones, resulting in delayed identification of conditions like Paget’s disease. </w:t>
      </w:r>
    </w:p>
    <w:p w14:paraId="0A260135" w14:textId="77777777" w:rsidR="00DB09AE" w:rsidRDefault="00DB09AE" w:rsidP="003E3922">
      <w:pPr>
        <w:pBdr>
          <w:top w:val="nil"/>
          <w:left w:val="nil"/>
          <w:bottom w:val="nil"/>
          <w:right w:val="nil"/>
          <w:between w:val="nil"/>
        </w:pBdr>
        <w:spacing w:after="0" w:line="360" w:lineRule="auto"/>
        <w:jc w:val="both"/>
        <w:rPr>
          <w:rFonts w:ascii="Arial" w:eastAsia="Arial" w:hAnsi="Arial" w:cs="Arial"/>
          <w:color w:val="000000"/>
          <w:sz w:val="22"/>
          <w:szCs w:val="22"/>
        </w:rPr>
      </w:pPr>
    </w:p>
    <w:p w14:paraId="6F091270" w14:textId="77777777" w:rsidR="00DB09AE" w:rsidRDefault="00000000" w:rsidP="003E3922">
      <w:pPr>
        <w:pStyle w:val="Heading2"/>
        <w:spacing w:line="360" w:lineRule="auto"/>
        <w:jc w:val="both"/>
      </w:pPr>
      <w:bookmarkStart w:id="17" w:name="_Toc236055002"/>
      <w:r>
        <w:t>2.6 Conclusion.</w:t>
      </w:r>
      <w:bookmarkEnd w:id="17"/>
      <w:r>
        <w:t xml:space="preserve">  </w:t>
      </w:r>
    </w:p>
    <w:p w14:paraId="4A1537C4" w14:textId="77777777" w:rsidR="00DB09AE" w:rsidRDefault="00000000" w:rsidP="003E3922">
      <w:pPr>
        <w:pBdr>
          <w:top w:val="nil"/>
          <w:left w:val="nil"/>
          <w:bottom w:val="nil"/>
          <w:right w:val="nil"/>
          <w:between w:val="nil"/>
        </w:pBdr>
        <w:spacing w:after="0" w:line="360" w:lineRule="auto"/>
        <w:ind w:firstLine="720"/>
        <w:jc w:val="both"/>
        <w:rPr>
          <w:rFonts w:ascii="Arial" w:eastAsia="Arial" w:hAnsi="Arial" w:cs="Arial"/>
          <w:color w:val="000000"/>
          <w:sz w:val="22"/>
          <w:szCs w:val="22"/>
        </w:rPr>
      </w:pPr>
      <w:r>
        <w:rPr>
          <w:rFonts w:ascii="Arial" w:eastAsia="Arial" w:hAnsi="Arial" w:cs="Arial"/>
          <w:color w:val="000000"/>
          <w:sz w:val="22"/>
          <w:szCs w:val="22"/>
        </w:rPr>
        <w:t>The chapter has provided a strong background of the diagnostic delays in Paget’s disease of the breast while stressing on the evolution of the condition from being misinterpreted as a benign dermatological disorder to being recognised as a malignant presentation of breast cancer. In addition, intersectionality, the social determinants of health and the Model of Pathways to Treatment have been incorporated to discuss how the structural, social and clinical factors mediate the diagnostic delays. The international perspectives from multiple countries also unravelled the success and ongoing challenges in the diagnosis of Paget’s disease. The West Midlands is also presented as an embodiment of the challenges at a local level. Chapter 3 will build on the contextual analysis by outlining the research methodology designed to investigate the issues procedurally and meticulously.</w:t>
      </w:r>
    </w:p>
    <w:p w14:paraId="2B093564" w14:textId="77777777" w:rsidR="00DB09AE" w:rsidRDefault="00DB09AE" w:rsidP="003E3922">
      <w:pPr>
        <w:spacing w:line="360" w:lineRule="auto"/>
        <w:jc w:val="both"/>
        <w:rPr>
          <w:rFonts w:ascii="Arial" w:eastAsia="Arial" w:hAnsi="Arial" w:cs="Arial"/>
          <w:sz w:val="22"/>
          <w:szCs w:val="22"/>
        </w:rPr>
      </w:pPr>
    </w:p>
    <w:p w14:paraId="1B521958" w14:textId="77777777" w:rsidR="00DB09AE" w:rsidRDefault="00DB09AE" w:rsidP="003E3922">
      <w:pPr>
        <w:spacing w:line="360" w:lineRule="auto"/>
        <w:jc w:val="both"/>
        <w:rPr>
          <w:rFonts w:ascii="Arial" w:eastAsia="Arial" w:hAnsi="Arial" w:cs="Arial"/>
          <w:sz w:val="22"/>
          <w:szCs w:val="22"/>
        </w:rPr>
      </w:pPr>
    </w:p>
    <w:p w14:paraId="37A2FA8B" w14:textId="77777777" w:rsidR="00DB09AE" w:rsidRDefault="00DB09AE" w:rsidP="003E3922">
      <w:pPr>
        <w:spacing w:line="360" w:lineRule="auto"/>
        <w:jc w:val="both"/>
        <w:rPr>
          <w:rFonts w:ascii="Arial" w:eastAsia="Arial" w:hAnsi="Arial" w:cs="Arial"/>
          <w:sz w:val="22"/>
          <w:szCs w:val="22"/>
        </w:rPr>
      </w:pPr>
    </w:p>
    <w:p w14:paraId="02727B78" w14:textId="77777777" w:rsidR="00DB09AE" w:rsidRDefault="00DB09AE" w:rsidP="003E3922">
      <w:pPr>
        <w:spacing w:line="360" w:lineRule="auto"/>
        <w:jc w:val="both"/>
        <w:rPr>
          <w:rFonts w:ascii="Arial" w:eastAsia="Arial" w:hAnsi="Arial" w:cs="Arial"/>
          <w:sz w:val="22"/>
          <w:szCs w:val="22"/>
        </w:rPr>
      </w:pPr>
    </w:p>
    <w:p w14:paraId="7CF75D51" w14:textId="77777777" w:rsidR="00DB09AE" w:rsidRDefault="00DB09AE" w:rsidP="003E3922">
      <w:pPr>
        <w:spacing w:line="360" w:lineRule="auto"/>
        <w:jc w:val="both"/>
        <w:rPr>
          <w:rFonts w:ascii="Arial" w:eastAsia="Arial" w:hAnsi="Arial" w:cs="Arial"/>
          <w:sz w:val="22"/>
          <w:szCs w:val="22"/>
        </w:rPr>
      </w:pPr>
    </w:p>
    <w:p w14:paraId="38C3EB82" w14:textId="77777777" w:rsidR="00DB09AE" w:rsidRDefault="00DB09AE" w:rsidP="003E3922">
      <w:pPr>
        <w:spacing w:line="360" w:lineRule="auto"/>
        <w:jc w:val="both"/>
        <w:rPr>
          <w:rFonts w:ascii="Arial" w:eastAsia="Arial" w:hAnsi="Arial" w:cs="Arial"/>
          <w:sz w:val="22"/>
          <w:szCs w:val="22"/>
        </w:rPr>
      </w:pPr>
    </w:p>
    <w:p w14:paraId="4F2EA72D" w14:textId="77777777" w:rsidR="00DB09AE" w:rsidRDefault="00DB09AE" w:rsidP="003E3922">
      <w:pPr>
        <w:spacing w:line="360" w:lineRule="auto"/>
        <w:jc w:val="both"/>
        <w:rPr>
          <w:rFonts w:ascii="Arial" w:eastAsia="Arial" w:hAnsi="Arial" w:cs="Arial"/>
          <w:sz w:val="22"/>
          <w:szCs w:val="22"/>
        </w:rPr>
      </w:pPr>
    </w:p>
    <w:p w14:paraId="4BD05817" w14:textId="77777777" w:rsidR="00DB09AE" w:rsidRDefault="00DB09AE" w:rsidP="003E3922">
      <w:pPr>
        <w:spacing w:line="360" w:lineRule="auto"/>
        <w:jc w:val="both"/>
        <w:rPr>
          <w:rFonts w:ascii="Arial" w:eastAsia="Arial" w:hAnsi="Arial" w:cs="Arial"/>
          <w:sz w:val="22"/>
          <w:szCs w:val="22"/>
        </w:rPr>
      </w:pPr>
    </w:p>
    <w:p w14:paraId="12D05608" w14:textId="77777777" w:rsidR="00DB09AE" w:rsidRDefault="00DB09AE" w:rsidP="003E3922">
      <w:pPr>
        <w:spacing w:line="360" w:lineRule="auto"/>
        <w:jc w:val="both"/>
        <w:rPr>
          <w:rFonts w:ascii="Arial" w:eastAsia="Arial" w:hAnsi="Arial" w:cs="Arial"/>
          <w:sz w:val="22"/>
          <w:szCs w:val="22"/>
        </w:rPr>
      </w:pPr>
    </w:p>
    <w:p w14:paraId="154E0308" w14:textId="77777777" w:rsidR="00DB09AE" w:rsidRDefault="00DB09AE" w:rsidP="003E3922">
      <w:pPr>
        <w:spacing w:line="360" w:lineRule="auto"/>
        <w:jc w:val="both"/>
        <w:rPr>
          <w:rFonts w:ascii="Arial" w:eastAsia="Arial" w:hAnsi="Arial" w:cs="Arial"/>
          <w:sz w:val="22"/>
          <w:szCs w:val="22"/>
        </w:rPr>
      </w:pPr>
    </w:p>
    <w:p w14:paraId="6CD6F5E3" w14:textId="77777777" w:rsidR="00DB09AE" w:rsidRDefault="00000000" w:rsidP="003E3922">
      <w:pPr>
        <w:pStyle w:val="Heading1"/>
        <w:spacing w:line="360" w:lineRule="auto"/>
        <w:jc w:val="both"/>
        <w:rPr>
          <w:sz w:val="22"/>
          <w:szCs w:val="22"/>
        </w:rPr>
      </w:pPr>
      <w:bookmarkStart w:id="18" w:name="_Toc236055003"/>
      <w:r>
        <w:rPr>
          <w:sz w:val="22"/>
          <w:szCs w:val="22"/>
        </w:rPr>
        <w:t>CHAPTER 3:  Methods and Search Strategy</w:t>
      </w:r>
      <w:bookmarkEnd w:id="18"/>
    </w:p>
    <w:p w14:paraId="0DA3F736" w14:textId="77777777" w:rsidR="00DB09AE" w:rsidRDefault="00000000" w:rsidP="003E3922">
      <w:pPr>
        <w:pStyle w:val="Heading2"/>
        <w:spacing w:line="360" w:lineRule="auto"/>
        <w:jc w:val="both"/>
        <w:rPr>
          <w:sz w:val="22"/>
          <w:szCs w:val="22"/>
        </w:rPr>
      </w:pPr>
      <w:bookmarkStart w:id="19" w:name="_Toc236055004"/>
      <w:r>
        <w:rPr>
          <w:sz w:val="22"/>
          <w:szCs w:val="22"/>
        </w:rPr>
        <w:t>3.1 Introduction</w:t>
      </w:r>
      <w:bookmarkEnd w:id="19"/>
    </w:p>
    <w:p w14:paraId="664F7BE7"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According to Saunders et al., (2023) the methodology provides a systematic framework through which research is designed, conducted and evaluated leading to credibility and reproducibility. The following chapter outlines the methodological approach followed to investigate diagnostic delays in Paget’s disease of the breast among women aged 18–40 in the West Midlands. Unlike the primary research, the study utilised a structured desk-based approach to identify, appraise and synthesise the existing academic literature to address the research aim. Building upon the academic poster which provided an overview, the chapter expands on the scientific rationale underpinning each stage with depth and justification for the decisions made. The method outlined in this chapter will establish the evidential foundation for the thematic analysis presented in Chapter 4, to ensure the study produces trustworthy and rigorous findings. </w:t>
      </w:r>
    </w:p>
    <w:p w14:paraId="125129FB" w14:textId="77777777" w:rsidR="00DB09AE" w:rsidRDefault="00000000" w:rsidP="003E3922">
      <w:pPr>
        <w:pStyle w:val="Heading2"/>
        <w:spacing w:line="360" w:lineRule="auto"/>
        <w:jc w:val="both"/>
        <w:rPr>
          <w:sz w:val="22"/>
          <w:szCs w:val="22"/>
        </w:rPr>
      </w:pPr>
      <w:bookmarkStart w:id="20" w:name="_Toc236055005"/>
      <w:r>
        <w:rPr>
          <w:sz w:val="22"/>
          <w:szCs w:val="22"/>
        </w:rPr>
        <w:t>3.2 Search Strategy</w:t>
      </w:r>
      <w:bookmarkEnd w:id="20"/>
    </w:p>
    <w:p w14:paraId="4EC44C96"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A structured search strategy was developed to ensure the systematic identification of the applicable and high-quality literature addressing diagnostic delays in breast cancer. The keywords included; </w:t>
      </w:r>
      <w:r>
        <w:rPr>
          <w:rFonts w:ascii="Arial" w:eastAsia="Arial" w:hAnsi="Arial" w:cs="Arial"/>
          <w:i/>
          <w:iCs/>
          <w:sz w:val="22"/>
          <w:szCs w:val="22"/>
        </w:rPr>
        <w:t>Paget's disease of the breast</w:t>
      </w:r>
      <w:r>
        <w:rPr>
          <w:rFonts w:ascii="Arial" w:eastAsia="Arial" w:hAnsi="Arial" w:cs="Arial"/>
          <w:sz w:val="22"/>
          <w:szCs w:val="22"/>
        </w:rPr>
        <w:t xml:space="preserve">, </w:t>
      </w:r>
      <w:r>
        <w:rPr>
          <w:rFonts w:ascii="Arial" w:eastAsia="Arial" w:hAnsi="Arial" w:cs="Arial"/>
          <w:i/>
          <w:iCs/>
          <w:sz w:val="22"/>
          <w:szCs w:val="22"/>
        </w:rPr>
        <w:t>breast cancer</w:t>
      </w:r>
      <w:r>
        <w:rPr>
          <w:rFonts w:ascii="Arial" w:eastAsia="Arial" w:hAnsi="Arial" w:cs="Arial"/>
          <w:sz w:val="22"/>
          <w:szCs w:val="22"/>
        </w:rPr>
        <w:t xml:space="preserve">, </w:t>
      </w:r>
      <w:r>
        <w:rPr>
          <w:rFonts w:ascii="Arial" w:eastAsia="Arial" w:hAnsi="Arial" w:cs="Arial"/>
          <w:i/>
          <w:iCs/>
          <w:sz w:val="22"/>
          <w:szCs w:val="22"/>
        </w:rPr>
        <w:t>diagnostic delay</w:t>
      </w:r>
      <w:r>
        <w:rPr>
          <w:rFonts w:ascii="Arial" w:eastAsia="Arial" w:hAnsi="Arial" w:cs="Arial"/>
          <w:sz w:val="22"/>
          <w:szCs w:val="22"/>
        </w:rPr>
        <w:t xml:space="preserve">, </w:t>
      </w:r>
      <w:r>
        <w:rPr>
          <w:rFonts w:ascii="Arial" w:eastAsia="Arial" w:hAnsi="Arial" w:cs="Arial"/>
          <w:i/>
          <w:iCs/>
          <w:sz w:val="22"/>
          <w:szCs w:val="22"/>
        </w:rPr>
        <w:t>early diagnosis</w:t>
      </w:r>
      <w:r>
        <w:rPr>
          <w:rFonts w:ascii="Arial" w:eastAsia="Arial" w:hAnsi="Arial" w:cs="Arial"/>
          <w:sz w:val="22"/>
          <w:szCs w:val="22"/>
        </w:rPr>
        <w:t xml:space="preserve">, </w:t>
      </w:r>
      <w:r>
        <w:rPr>
          <w:rFonts w:ascii="Arial" w:eastAsia="Arial" w:hAnsi="Arial" w:cs="Arial"/>
          <w:i/>
          <w:iCs/>
          <w:sz w:val="22"/>
          <w:szCs w:val="22"/>
        </w:rPr>
        <w:t>health inequalities</w:t>
      </w:r>
      <w:r>
        <w:rPr>
          <w:rFonts w:ascii="Arial" w:eastAsia="Arial" w:hAnsi="Arial" w:cs="Arial"/>
          <w:sz w:val="22"/>
          <w:szCs w:val="22"/>
        </w:rPr>
        <w:t xml:space="preserve">, </w:t>
      </w:r>
      <w:r>
        <w:rPr>
          <w:rFonts w:ascii="Arial" w:eastAsia="Arial" w:hAnsi="Arial" w:cs="Arial"/>
          <w:i/>
          <w:iCs/>
          <w:sz w:val="22"/>
          <w:szCs w:val="22"/>
        </w:rPr>
        <w:t>ethnicity</w:t>
      </w:r>
      <w:r>
        <w:rPr>
          <w:rFonts w:ascii="Arial" w:eastAsia="Arial" w:hAnsi="Arial" w:cs="Arial"/>
          <w:sz w:val="22"/>
          <w:szCs w:val="22"/>
        </w:rPr>
        <w:t xml:space="preserve">, </w:t>
      </w:r>
      <w:r>
        <w:rPr>
          <w:rFonts w:ascii="Arial" w:eastAsia="Arial" w:hAnsi="Arial" w:cs="Arial"/>
          <w:i/>
          <w:iCs/>
          <w:sz w:val="22"/>
          <w:szCs w:val="22"/>
        </w:rPr>
        <w:t>skin tone</w:t>
      </w:r>
      <w:r>
        <w:rPr>
          <w:rFonts w:ascii="Arial" w:eastAsia="Arial" w:hAnsi="Arial" w:cs="Arial"/>
          <w:sz w:val="22"/>
          <w:szCs w:val="22"/>
        </w:rPr>
        <w:t xml:space="preserve">, </w:t>
      </w:r>
      <w:r>
        <w:rPr>
          <w:rFonts w:ascii="Arial" w:eastAsia="Arial" w:hAnsi="Arial" w:cs="Arial"/>
          <w:i/>
          <w:iCs/>
          <w:sz w:val="22"/>
          <w:szCs w:val="22"/>
        </w:rPr>
        <w:t>women aged 18–40</w:t>
      </w:r>
      <w:r>
        <w:rPr>
          <w:rFonts w:ascii="Arial" w:eastAsia="Arial" w:hAnsi="Arial" w:cs="Arial"/>
          <w:sz w:val="22"/>
          <w:szCs w:val="22"/>
        </w:rPr>
        <w:t xml:space="preserve"> and </w:t>
      </w:r>
      <w:r>
        <w:rPr>
          <w:rFonts w:ascii="Arial" w:eastAsia="Arial" w:hAnsi="Arial" w:cs="Arial"/>
          <w:i/>
          <w:iCs/>
          <w:sz w:val="22"/>
          <w:szCs w:val="22"/>
        </w:rPr>
        <w:t>West Midlands</w:t>
      </w:r>
      <w:r>
        <w:rPr>
          <w:rFonts w:ascii="Arial" w:eastAsia="Arial" w:hAnsi="Arial" w:cs="Arial"/>
          <w:sz w:val="22"/>
          <w:szCs w:val="22"/>
        </w:rPr>
        <w:t xml:space="preserve">. Alternative terminology and Medical Subject Headings (MeSH) where appropriate, were integrated to maximise retrieval. Boolean operators AND, OR and NOT were used to combine or exclude search terms, while truncation (e.g., cancer*, diagnos*) captured variations of keywords and improved search sensitivity (Bramer et al., 2018). Search combinations and outcomes were documented throughout the review to uphold the highest levels of consistency and replicability (MacFarlane et al., 2022). </w:t>
      </w:r>
    </w:p>
    <w:p w14:paraId="5BBAFE7E" w14:textId="77777777" w:rsidR="00DB09AE" w:rsidRDefault="00000000" w:rsidP="003E3922">
      <w:pPr>
        <w:pStyle w:val="Heading2"/>
        <w:spacing w:line="360" w:lineRule="auto"/>
        <w:jc w:val="both"/>
        <w:rPr>
          <w:sz w:val="22"/>
          <w:szCs w:val="22"/>
        </w:rPr>
      </w:pPr>
      <w:bookmarkStart w:id="21" w:name="_Toc236055006"/>
      <w:r>
        <w:rPr>
          <w:sz w:val="22"/>
          <w:szCs w:val="22"/>
        </w:rPr>
        <w:t>3.3 Searching for Information</w:t>
      </w:r>
      <w:bookmarkEnd w:id="21"/>
    </w:p>
    <w:p w14:paraId="2FC2061C"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To conduct a comprehensive literature search, PubMed, CINAHL, MEDLINE, Google Scholar and the UWTSD Library. Aveyard et al., (2023) supported the choice of databases for permitting access to high-quality peer-reviewed literature in medicine, nursing, public health and health services (Aveyard et al., 2023), for quality evidence to answer the clinical question </w:t>
      </w:r>
      <w:r>
        <w:rPr>
          <w:rFonts w:ascii="Arial" w:eastAsia="Arial" w:hAnsi="Arial" w:cs="Arial"/>
          <w:sz w:val="22"/>
          <w:szCs w:val="22"/>
        </w:rPr>
        <w:lastRenderedPageBreak/>
        <w:t xml:space="preserve">of inquiry (Bramer et al., 2018). In addition, Manual search led to the retrieval and inclusion of seminal sources and policy documents from NHS England, and the National Institute for Health and Care Excellence (NICE) that provide clinical guidance on Paget's disease. Search filters were applied to limit results to English-language, full-text, peer-reviewed publications, primarily published within the last 15 years for higher quality studies. However, seminal sources such as Karakas (2011) and Crenshaw (1989) were identified through google scholar and retained to boost the theoretical foundation for understanding the topic. Based on the recommendations of Alharbi and Stevenson, (2020) search terms and Boolean operators were iteratively and continuously refined to increase the search precision and avoid irrelevant results. The initial search identified 152 records. Following the removal of 34 duplicate articles, 118 records remained for title and abstract screening. Eighty-two studies were excluded because they did not meet the eligibility criteria, leaving 36 full-text articles for detailed assessment.  A detailed appraisal of the remnant articles, led to the further exclusion of 26 sources due to limited relevance or methodological quality, and final 10 articles included in the review. A Source Tracking Table (Appendix 1) was completed for the studies to provide an auditable record of study selection, and CRAAP appraisal outcomes for reproducibility and transparency (Booth et al., 2021). </w:t>
      </w:r>
    </w:p>
    <w:p w14:paraId="41712DF3" w14:textId="77777777" w:rsidR="00DB09AE" w:rsidRDefault="00000000" w:rsidP="003E3922">
      <w:pPr>
        <w:pStyle w:val="Heading2"/>
        <w:spacing w:line="360" w:lineRule="auto"/>
        <w:jc w:val="both"/>
        <w:rPr>
          <w:sz w:val="22"/>
          <w:szCs w:val="22"/>
        </w:rPr>
      </w:pPr>
      <w:bookmarkStart w:id="22" w:name="_Toc236055007"/>
      <w:r>
        <w:rPr>
          <w:sz w:val="22"/>
          <w:szCs w:val="22"/>
        </w:rPr>
        <w:t>3.4 Research Validation</w:t>
      </w:r>
      <w:bookmarkEnd w:id="22"/>
    </w:p>
    <w:p w14:paraId="2DFC8B96"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To systematically evaluate the quality and suitability of the retrieved literature, a two-stage validation process was used, beginning with skimming through reviewing the title abstracts, introductions and conclusions. As highlighted by Booth et al., (2021) the approach was critical in ascertaining congruence with the research aim before full-text appraisal. The next step was the structured evaluation of all the eligible sources using the CRAAP test, which assesses Currency, Relevance, Authority, Accuracy and Purpose as supported by Patterson et al., (2025). The emphasis was on selecting articles that were recent, peer-reviewed publications authored by recognised experts and published in reputable journals or official organisations. Although seminal sources such as Crenshaw (1989) and Karakas (2011) the preferred publication period, they were retained due to the strong theoretical and clinical significance. The Source Tracking Table in Appendix 1 details how the decisions pertaining to the inclusion were documented, including CRAAP scores and appraisal notes. The systematic approach was critical in improving the credibility and usefulness of the article selection criteria (Polit and Beck, 2021).</w:t>
      </w:r>
    </w:p>
    <w:p w14:paraId="4C83B7D5" w14:textId="77777777" w:rsidR="00DB09AE" w:rsidRDefault="00000000" w:rsidP="003E3922">
      <w:pPr>
        <w:pStyle w:val="Heading2"/>
        <w:spacing w:line="360" w:lineRule="auto"/>
        <w:jc w:val="both"/>
        <w:rPr>
          <w:sz w:val="22"/>
          <w:szCs w:val="22"/>
        </w:rPr>
      </w:pPr>
      <w:bookmarkStart w:id="23" w:name="_Toc236055008"/>
      <w:r>
        <w:rPr>
          <w:sz w:val="22"/>
          <w:szCs w:val="22"/>
        </w:rPr>
        <w:t>3.5 Inclusion and Exclusion Criteria</w:t>
      </w:r>
      <w:bookmarkEnd w:id="23"/>
      <w:r>
        <w:rPr>
          <w:sz w:val="22"/>
          <w:szCs w:val="22"/>
        </w:rPr>
        <w:t xml:space="preserve"> </w:t>
      </w:r>
    </w:p>
    <w:p w14:paraId="74304503"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The eligibility criteria was upheld to maintain consistency and congruence with the aim of the research. From the perspective of the inclusion criteria, articles were included if they </w:t>
      </w:r>
      <w:r>
        <w:rPr>
          <w:rFonts w:ascii="Arial" w:eastAsia="Arial" w:hAnsi="Arial" w:cs="Arial"/>
          <w:sz w:val="22"/>
          <w:szCs w:val="22"/>
        </w:rPr>
        <w:lastRenderedPageBreak/>
        <w:t>were peer reviewed, published in English, full-text and national or international literature associated with breast cancer, Paget's disease of the breast, diagnostic delays, health inequalities and women aged 18-40. However, seminal sources were also retained and justified for offering the historical and theoretical context. Articles were excluded if they were non-peer-reviewed, opinion-based, lacked full-text access or failed to address the condition or research objectives. The criteria strengthened methodological rigour and reduced the risks of selection bias (Pannucci and Wilkins, 2010).</w:t>
      </w:r>
    </w:p>
    <w:p w14:paraId="7AD46DBC" w14:textId="77777777" w:rsidR="00DB09AE" w:rsidRDefault="00000000" w:rsidP="003E3922">
      <w:pPr>
        <w:pStyle w:val="Heading2"/>
        <w:spacing w:line="360" w:lineRule="auto"/>
        <w:jc w:val="both"/>
        <w:rPr>
          <w:sz w:val="22"/>
          <w:szCs w:val="22"/>
        </w:rPr>
      </w:pPr>
      <w:bookmarkStart w:id="24" w:name="_Toc236055009"/>
      <w:r>
        <w:rPr>
          <w:sz w:val="22"/>
          <w:szCs w:val="22"/>
        </w:rPr>
        <w:t>3.6 Analysing Research</w:t>
      </w:r>
      <w:bookmarkEnd w:id="24"/>
    </w:p>
    <w:p w14:paraId="4282C9FF"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Braun and Clarke (2006) six-phase framework was applied in analysing the chosen literature, beginning with the reading of each article several times to attain  familiarity before meaningful sections of text were coded based on the recurring concepts and patterns. The initial codes included; </w:t>
      </w:r>
      <w:r>
        <w:rPr>
          <w:rFonts w:ascii="Arial" w:eastAsia="Arial" w:hAnsi="Arial" w:cs="Arial"/>
          <w:i/>
          <w:iCs/>
          <w:sz w:val="22"/>
          <w:szCs w:val="22"/>
        </w:rPr>
        <w:t>diagnostic delay</w:t>
      </w:r>
      <w:r>
        <w:rPr>
          <w:rFonts w:ascii="Arial" w:eastAsia="Arial" w:hAnsi="Arial" w:cs="Arial"/>
          <w:sz w:val="22"/>
          <w:szCs w:val="22"/>
        </w:rPr>
        <w:t xml:space="preserve">, </w:t>
      </w:r>
      <w:r>
        <w:rPr>
          <w:rFonts w:ascii="Arial" w:eastAsia="Arial" w:hAnsi="Arial" w:cs="Arial"/>
          <w:i/>
          <w:iCs/>
          <w:sz w:val="22"/>
          <w:szCs w:val="22"/>
        </w:rPr>
        <w:t>misdiagnosis</w:t>
      </w:r>
      <w:r>
        <w:rPr>
          <w:rFonts w:ascii="Arial" w:eastAsia="Arial" w:hAnsi="Arial" w:cs="Arial"/>
          <w:sz w:val="22"/>
          <w:szCs w:val="22"/>
        </w:rPr>
        <w:t xml:space="preserve">, </w:t>
      </w:r>
      <w:r>
        <w:rPr>
          <w:rFonts w:ascii="Arial" w:eastAsia="Arial" w:hAnsi="Arial" w:cs="Arial"/>
          <w:i/>
          <w:iCs/>
          <w:sz w:val="22"/>
          <w:szCs w:val="22"/>
        </w:rPr>
        <w:t>Paget's disease</w:t>
      </w:r>
      <w:r>
        <w:rPr>
          <w:rFonts w:ascii="Arial" w:eastAsia="Arial" w:hAnsi="Arial" w:cs="Arial"/>
          <w:sz w:val="22"/>
          <w:szCs w:val="22"/>
        </w:rPr>
        <w:t xml:space="preserve">, </w:t>
      </w:r>
      <w:r>
        <w:rPr>
          <w:rFonts w:ascii="Arial" w:eastAsia="Arial" w:hAnsi="Arial" w:cs="Arial"/>
          <w:i/>
          <w:iCs/>
          <w:sz w:val="22"/>
          <w:szCs w:val="22"/>
        </w:rPr>
        <w:t>symptom ambiguity</w:t>
      </w:r>
      <w:r>
        <w:rPr>
          <w:rFonts w:ascii="Arial" w:eastAsia="Arial" w:hAnsi="Arial" w:cs="Arial"/>
          <w:sz w:val="22"/>
          <w:szCs w:val="22"/>
        </w:rPr>
        <w:t xml:space="preserve">, </w:t>
      </w:r>
      <w:r>
        <w:rPr>
          <w:rFonts w:ascii="Arial" w:eastAsia="Arial" w:hAnsi="Arial" w:cs="Arial"/>
          <w:i/>
          <w:iCs/>
          <w:sz w:val="22"/>
          <w:szCs w:val="22"/>
        </w:rPr>
        <w:t>skin tone</w:t>
      </w:r>
      <w:r>
        <w:rPr>
          <w:rFonts w:ascii="Arial" w:eastAsia="Arial" w:hAnsi="Arial" w:cs="Arial"/>
          <w:sz w:val="22"/>
          <w:szCs w:val="22"/>
        </w:rPr>
        <w:t xml:space="preserve">, </w:t>
      </w:r>
      <w:r>
        <w:rPr>
          <w:rFonts w:ascii="Arial" w:eastAsia="Arial" w:hAnsi="Arial" w:cs="Arial"/>
          <w:i/>
          <w:iCs/>
          <w:sz w:val="22"/>
          <w:szCs w:val="22"/>
        </w:rPr>
        <w:t>ethnicity</w:t>
      </w:r>
      <w:r>
        <w:rPr>
          <w:rFonts w:ascii="Arial" w:eastAsia="Arial" w:hAnsi="Arial" w:cs="Arial"/>
          <w:sz w:val="22"/>
          <w:szCs w:val="22"/>
        </w:rPr>
        <w:t xml:space="preserve">, </w:t>
      </w:r>
      <w:r>
        <w:rPr>
          <w:rFonts w:ascii="Arial" w:eastAsia="Arial" w:hAnsi="Arial" w:cs="Arial"/>
          <w:i/>
          <w:iCs/>
          <w:sz w:val="22"/>
          <w:szCs w:val="22"/>
        </w:rPr>
        <w:t>health inequalities</w:t>
      </w:r>
      <w:r>
        <w:rPr>
          <w:rFonts w:ascii="Arial" w:eastAsia="Arial" w:hAnsi="Arial" w:cs="Arial"/>
          <w:sz w:val="22"/>
          <w:szCs w:val="22"/>
        </w:rPr>
        <w:t xml:space="preserve">, </w:t>
      </w:r>
      <w:r>
        <w:rPr>
          <w:rFonts w:ascii="Arial" w:eastAsia="Arial" w:hAnsi="Arial" w:cs="Arial"/>
          <w:i/>
          <w:iCs/>
          <w:sz w:val="22"/>
          <w:szCs w:val="22"/>
        </w:rPr>
        <w:t>socioeconomic deprivation</w:t>
      </w:r>
      <w:r>
        <w:rPr>
          <w:rFonts w:ascii="Arial" w:eastAsia="Arial" w:hAnsi="Arial" w:cs="Arial"/>
          <w:sz w:val="22"/>
          <w:szCs w:val="22"/>
        </w:rPr>
        <w:t xml:space="preserve">, </w:t>
      </w:r>
      <w:r>
        <w:rPr>
          <w:rFonts w:ascii="Arial" w:eastAsia="Arial" w:hAnsi="Arial" w:cs="Arial"/>
          <w:i/>
          <w:iCs/>
          <w:sz w:val="22"/>
          <w:szCs w:val="22"/>
        </w:rPr>
        <w:t>early diagnosis</w:t>
      </w:r>
      <w:r>
        <w:rPr>
          <w:rFonts w:ascii="Arial" w:eastAsia="Arial" w:hAnsi="Arial" w:cs="Arial"/>
          <w:sz w:val="22"/>
          <w:szCs w:val="22"/>
        </w:rPr>
        <w:t xml:space="preserve">, </w:t>
      </w:r>
      <w:r>
        <w:rPr>
          <w:rFonts w:ascii="Arial" w:eastAsia="Arial" w:hAnsi="Arial" w:cs="Arial"/>
          <w:i/>
          <w:iCs/>
          <w:sz w:val="22"/>
          <w:szCs w:val="22"/>
        </w:rPr>
        <w:t>referral pathways</w:t>
      </w:r>
      <w:r>
        <w:rPr>
          <w:rFonts w:ascii="Arial" w:eastAsia="Arial" w:hAnsi="Arial" w:cs="Arial"/>
          <w:sz w:val="22"/>
          <w:szCs w:val="22"/>
        </w:rPr>
        <w:t xml:space="preserve"> and </w:t>
      </w:r>
      <w:r>
        <w:rPr>
          <w:rFonts w:ascii="Arial" w:eastAsia="Arial" w:hAnsi="Arial" w:cs="Arial"/>
          <w:i/>
          <w:iCs/>
          <w:sz w:val="22"/>
          <w:szCs w:val="22"/>
        </w:rPr>
        <w:t>policy implementation</w:t>
      </w:r>
      <w:r>
        <w:rPr>
          <w:rFonts w:ascii="Arial" w:eastAsia="Arial" w:hAnsi="Arial" w:cs="Arial"/>
          <w:sz w:val="22"/>
          <w:szCs w:val="22"/>
        </w:rPr>
        <w:t>. The resultant codes were then grouped in specific themes that included; (1) Diagnostic challenges associated with atypical presentation of Paget's disease; (2) Healthcare inequalities influencing diagnostic delay among ethnically diverse young women; and (3) Policy, education and system-level approaches to improving equitable diagnosis. To further boost the transparency a result’s summary table (Appendix 2) and color-coded spreadsheet were incorporated to organise the article characteristics and emerging themes, leading to a clear audit trail that is specific enough to influence thematic discussion in chapter 4 (Nowell et al., 2017).</w:t>
      </w:r>
    </w:p>
    <w:p w14:paraId="2E8C097D" w14:textId="77777777" w:rsidR="00DB09AE" w:rsidRDefault="00000000" w:rsidP="003E3922">
      <w:pPr>
        <w:pStyle w:val="Heading2"/>
        <w:spacing w:line="360" w:lineRule="auto"/>
        <w:jc w:val="both"/>
        <w:rPr>
          <w:sz w:val="22"/>
          <w:szCs w:val="22"/>
        </w:rPr>
      </w:pPr>
      <w:bookmarkStart w:id="25" w:name="_Toc236055010"/>
      <w:r>
        <w:rPr>
          <w:sz w:val="22"/>
          <w:szCs w:val="22"/>
        </w:rPr>
        <w:t>3.7 Ethical Considerations</w:t>
      </w:r>
      <w:bookmarkEnd w:id="25"/>
    </w:p>
    <w:p w14:paraId="4D54CFAF"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Since the dissertation uses only secondary data, no ethical approval or participant recruitment was needed. However, ethical integrity was upheld through accurate acknowledgement of all sources through Harvard referencing, avoiding plagiarism and presenting findings without selective reporting or misinterpretation (Lalwani, 2025). The literature was selected and interpreted objectively to reduce researcher bias while transparent search strategy and data analysis methods were critical in upholding credibility and trustworthiness of the research (Snyder, 2019).</w:t>
      </w:r>
    </w:p>
    <w:p w14:paraId="7DF6084A" w14:textId="77777777" w:rsidR="003E3922" w:rsidRDefault="003E3922" w:rsidP="003E3922">
      <w:pPr>
        <w:spacing w:line="360" w:lineRule="auto"/>
        <w:ind w:firstLine="720"/>
        <w:jc w:val="both"/>
        <w:rPr>
          <w:rFonts w:ascii="Arial" w:eastAsia="Arial" w:hAnsi="Arial" w:cs="Arial"/>
          <w:sz w:val="22"/>
          <w:szCs w:val="22"/>
        </w:rPr>
      </w:pPr>
    </w:p>
    <w:p w14:paraId="04DC485F" w14:textId="77777777" w:rsidR="003E3922" w:rsidRDefault="003E3922" w:rsidP="003E3922">
      <w:pPr>
        <w:spacing w:line="360" w:lineRule="auto"/>
        <w:ind w:firstLine="720"/>
        <w:jc w:val="both"/>
        <w:rPr>
          <w:rFonts w:ascii="Arial" w:eastAsia="Arial" w:hAnsi="Arial" w:cs="Arial"/>
          <w:sz w:val="22"/>
          <w:szCs w:val="22"/>
        </w:rPr>
      </w:pPr>
    </w:p>
    <w:p w14:paraId="1D6138C8" w14:textId="77777777" w:rsidR="003E3922" w:rsidRDefault="003E3922" w:rsidP="003E3922">
      <w:pPr>
        <w:spacing w:line="360" w:lineRule="auto"/>
        <w:ind w:firstLine="720"/>
        <w:jc w:val="both"/>
        <w:rPr>
          <w:rFonts w:ascii="Arial" w:eastAsia="Arial" w:hAnsi="Arial" w:cs="Arial"/>
          <w:sz w:val="22"/>
          <w:szCs w:val="22"/>
        </w:rPr>
      </w:pPr>
    </w:p>
    <w:p w14:paraId="73760817" w14:textId="77777777" w:rsidR="003E3922" w:rsidRDefault="003E3922" w:rsidP="003E3922">
      <w:pPr>
        <w:spacing w:line="360" w:lineRule="auto"/>
        <w:ind w:firstLine="720"/>
        <w:jc w:val="both"/>
        <w:rPr>
          <w:rFonts w:ascii="Arial" w:eastAsia="Arial" w:hAnsi="Arial" w:cs="Arial"/>
          <w:sz w:val="22"/>
          <w:szCs w:val="22"/>
        </w:rPr>
      </w:pPr>
    </w:p>
    <w:p w14:paraId="25B884F8" w14:textId="77777777" w:rsidR="003E3922" w:rsidRDefault="003E3922" w:rsidP="003E3922">
      <w:pPr>
        <w:spacing w:line="360" w:lineRule="auto"/>
        <w:ind w:firstLine="720"/>
        <w:jc w:val="both"/>
        <w:rPr>
          <w:rFonts w:ascii="Arial" w:eastAsia="Arial" w:hAnsi="Arial" w:cs="Arial"/>
          <w:sz w:val="22"/>
          <w:szCs w:val="22"/>
        </w:rPr>
      </w:pPr>
    </w:p>
    <w:p w14:paraId="3A809040" w14:textId="77777777" w:rsidR="003E3922" w:rsidRDefault="003E3922" w:rsidP="003E3922">
      <w:pPr>
        <w:spacing w:line="360" w:lineRule="auto"/>
        <w:ind w:firstLine="720"/>
        <w:jc w:val="both"/>
        <w:rPr>
          <w:rFonts w:ascii="Arial" w:eastAsia="Arial" w:hAnsi="Arial" w:cs="Arial"/>
          <w:sz w:val="22"/>
          <w:szCs w:val="22"/>
        </w:rPr>
      </w:pPr>
    </w:p>
    <w:p w14:paraId="49B04D28" w14:textId="77777777" w:rsidR="00DB09AE" w:rsidRDefault="00000000" w:rsidP="003E3922">
      <w:pPr>
        <w:pStyle w:val="Heading2"/>
        <w:spacing w:line="360" w:lineRule="auto"/>
        <w:jc w:val="both"/>
        <w:rPr>
          <w:sz w:val="22"/>
          <w:szCs w:val="22"/>
        </w:rPr>
      </w:pPr>
      <w:bookmarkStart w:id="26" w:name="_Toc236055011"/>
      <w:r>
        <w:rPr>
          <w:sz w:val="22"/>
          <w:szCs w:val="22"/>
        </w:rPr>
        <w:t>3.8. Chapter Conclusion</w:t>
      </w:r>
      <w:bookmarkEnd w:id="26"/>
    </w:p>
    <w:p w14:paraId="0B8CD68B"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The chapter has outlined the systematic methodology used to identify, evaluate  and analyse the literature supporting the dissertation. The combination of structured search strategy, appraisal of sources and thematic analysis was critical in ensuring the best evidence-base was established. The upcoming chapter will present the findings as organised into three identified themes to critically discuss how diagnostic challenges and health inequalities lead to delayed diagnosis of Piaget’s disease among young women. </w:t>
      </w:r>
    </w:p>
    <w:p w14:paraId="350F5243" w14:textId="77777777" w:rsidR="00DB09AE" w:rsidRDefault="00DB09AE" w:rsidP="003E3922">
      <w:pPr>
        <w:spacing w:line="360" w:lineRule="auto"/>
        <w:ind w:firstLine="720"/>
        <w:jc w:val="both"/>
        <w:rPr>
          <w:rFonts w:ascii="Arial" w:eastAsia="Arial" w:hAnsi="Arial" w:cs="Arial"/>
          <w:sz w:val="22"/>
          <w:szCs w:val="22"/>
        </w:rPr>
      </w:pPr>
    </w:p>
    <w:p w14:paraId="27D39DEC" w14:textId="77777777" w:rsidR="00DB09AE" w:rsidRDefault="00DB09AE" w:rsidP="003E3922">
      <w:pPr>
        <w:spacing w:line="360" w:lineRule="auto"/>
        <w:jc w:val="both"/>
        <w:rPr>
          <w:rFonts w:ascii="Arial" w:eastAsia="Arial" w:hAnsi="Arial" w:cs="Arial"/>
          <w:sz w:val="22"/>
          <w:szCs w:val="22"/>
        </w:rPr>
      </w:pPr>
    </w:p>
    <w:p w14:paraId="0DBD5DDF" w14:textId="77777777" w:rsidR="003E3922" w:rsidRDefault="003E3922" w:rsidP="003E3922">
      <w:pPr>
        <w:spacing w:line="360" w:lineRule="auto"/>
        <w:jc w:val="both"/>
        <w:rPr>
          <w:rFonts w:ascii="Arial" w:eastAsia="Arial" w:hAnsi="Arial" w:cs="Arial"/>
          <w:sz w:val="22"/>
          <w:szCs w:val="22"/>
        </w:rPr>
      </w:pPr>
    </w:p>
    <w:p w14:paraId="4D5AFBB4" w14:textId="77777777" w:rsidR="003E3922" w:rsidRDefault="003E3922" w:rsidP="003E3922">
      <w:pPr>
        <w:spacing w:line="360" w:lineRule="auto"/>
        <w:jc w:val="both"/>
        <w:rPr>
          <w:rFonts w:ascii="Arial" w:eastAsia="Arial" w:hAnsi="Arial" w:cs="Arial"/>
          <w:sz w:val="22"/>
          <w:szCs w:val="22"/>
        </w:rPr>
      </w:pPr>
    </w:p>
    <w:p w14:paraId="0E97A35E" w14:textId="77777777" w:rsidR="003E3922" w:rsidRDefault="003E3922" w:rsidP="003E3922">
      <w:pPr>
        <w:spacing w:line="360" w:lineRule="auto"/>
        <w:jc w:val="both"/>
        <w:rPr>
          <w:rFonts w:ascii="Arial" w:eastAsia="Arial" w:hAnsi="Arial" w:cs="Arial"/>
          <w:sz w:val="22"/>
          <w:szCs w:val="22"/>
        </w:rPr>
      </w:pPr>
    </w:p>
    <w:p w14:paraId="7446BE58" w14:textId="77777777" w:rsidR="003E3922" w:rsidRDefault="003E3922" w:rsidP="003E3922">
      <w:pPr>
        <w:spacing w:line="360" w:lineRule="auto"/>
        <w:jc w:val="both"/>
        <w:rPr>
          <w:rFonts w:ascii="Arial" w:eastAsia="Arial" w:hAnsi="Arial" w:cs="Arial"/>
          <w:sz w:val="22"/>
          <w:szCs w:val="22"/>
        </w:rPr>
      </w:pPr>
    </w:p>
    <w:p w14:paraId="1D79D3E4" w14:textId="77777777" w:rsidR="003E3922" w:rsidRDefault="003E3922" w:rsidP="003E3922">
      <w:pPr>
        <w:spacing w:line="360" w:lineRule="auto"/>
        <w:jc w:val="both"/>
        <w:rPr>
          <w:rFonts w:ascii="Arial" w:eastAsia="Arial" w:hAnsi="Arial" w:cs="Arial"/>
          <w:sz w:val="22"/>
          <w:szCs w:val="22"/>
        </w:rPr>
      </w:pPr>
    </w:p>
    <w:p w14:paraId="740AA14A" w14:textId="77777777" w:rsidR="003E3922" w:rsidRDefault="003E3922" w:rsidP="003E3922">
      <w:pPr>
        <w:spacing w:line="360" w:lineRule="auto"/>
        <w:jc w:val="both"/>
        <w:rPr>
          <w:rFonts w:ascii="Arial" w:eastAsia="Arial" w:hAnsi="Arial" w:cs="Arial"/>
          <w:sz w:val="22"/>
          <w:szCs w:val="22"/>
        </w:rPr>
      </w:pPr>
    </w:p>
    <w:p w14:paraId="163FB20E" w14:textId="77777777" w:rsidR="003E3922" w:rsidRDefault="003E3922" w:rsidP="003E3922">
      <w:pPr>
        <w:spacing w:line="360" w:lineRule="auto"/>
        <w:jc w:val="both"/>
        <w:rPr>
          <w:rFonts w:ascii="Arial" w:eastAsia="Arial" w:hAnsi="Arial" w:cs="Arial"/>
          <w:sz w:val="22"/>
          <w:szCs w:val="22"/>
        </w:rPr>
      </w:pPr>
    </w:p>
    <w:p w14:paraId="70A1482D" w14:textId="77777777" w:rsidR="003E3922" w:rsidRDefault="003E3922" w:rsidP="003E3922">
      <w:pPr>
        <w:spacing w:line="360" w:lineRule="auto"/>
        <w:jc w:val="both"/>
        <w:rPr>
          <w:rFonts w:ascii="Arial" w:eastAsia="Arial" w:hAnsi="Arial" w:cs="Arial"/>
          <w:sz w:val="22"/>
          <w:szCs w:val="22"/>
        </w:rPr>
      </w:pPr>
    </w:p>
    <w:p w14:paraId="17AD6803" w14:textId="77777777" w:rsidR="003E3922" w:rsidRDefault="003E3922" w:rsidP="003E3922">
      <w:pPr>
        <w:spacing w:line="360" w:lineRule="auto"/>
        <w:jc w:val="both"/>
        <w:rPr>
          <w:rFonts w:ascii="Arial" w:eastAsia="Arial" w:hAnsi="Arial" w:cs="Arial"/>
          <w:sz w:val="22"/>
          <w:szCs w:val="22"/>
        </w:rPr>
      </w:pPr>
    </w:p>
    <w:p w14:paraId="16E68913" w14:textId="77777777" w:rsidR="003E3922" w:rsidRDefault="003E3922" w:rsidP="003E3922">
      <w:pPr>
        <w:spacing w:line="360" w:lineRule="auto"/>
        <w:jc w:val="both"/>
        <w:rPr>
          <w:rFonts w:ascii="Arial" w:eastAsia="Arial" w:hAnsi="Arial" w:cs="Arial"/>
          <w:sz w:val="22"/>
          <w:szCs w:val="22"/>
        </w:rPr>
      </w:pPr>
    </w:p>
    <w:p w14:paraId="2702A1A2" w14:textId="77777777" w:rsidR="003E3922" w:rsidRDefault="003E3922" w:rsidP="003E3922">
      <w:pPr>
        <w:spacing w:line="360" w:lineRule="auto"/>
        <w:jc w:val="both"/>
        <w:rPr>
          <w:rFonts w:ascii="Arial" w:eastAsia="Arial" w:hAnsi="Arial" w:cs="Arial"/>
          <w:sz w:val="22"/>
          <w:szCs w:val="22"/>
        </w:rPr>
      </w:pPr>
    </w:p>
    <w:p w14:paraId="26AB5684" w14:textId="77777777" w:rsidR="003E3922" w:rsidRDefault="003E3922" w:rsidP="003E3922">
      <w:pPr>
        <w:spacing w:line="360" w:lineRule="auto"/>
        <w:jc w:val="both"/>
        <w:rPr>
          <w:rFonts w:ascii="Arial" w:eastAsia="Arial" w:hAnsi="Arial" w:cs="Arial"/>
          <w:sz w:val="22"/>
          <w:szCs w:val="22"/>
        </w:rPr>
      </w:pPr>
    </w:p>
    <w:p w14:paraId="4FD6E41C" w14:textId="77777777" w:rsidR="003E3922" w:rsidRDefault="003E3922" w:rsidP="003E3922">
      <w:pPr>
        <w:spacing w:line="360" w:lineRule="auto"/>
        <w:jc w:val="both"/>
        <w:rPr>
          <w:rFonts w:ascii="Arial" w:eastAsia="Arial" w:hAnsi="Arial" w:cs="Arial"/>
          <w:sz w:val="22"/>
          <w:szCs w:val="22"/>
        </w:rPr>
      </w:pPr>
    </w:p>
    <w:p w14:paraId="6DBCBA99" w14:textId="77777777" w:rsidR="003E3922" w:rsidRDefault="003E3922" w:rsidP="003E3922">
      <w:pPr>
        <w:spacing w:line="360" w:lineRule="auto"/>
        <w:jc w:val="both"/>
        <w:rPr>
          <w:rFonts w:ascii="Arial" w:eastAsia="Arial" w:hAnsi="Arial" w:cs="Arial"/>
          <w:sz w:val="22"/>
          <w:szCs w:val="22"/>
        </w:rPr>
      </w:pPr>
    </w:p>
    <w:p w14:paraId="10B82CC4" w14:textId="77777777" w:rsidR="003E3922" w:rsidRDefault="003E3922" w:rsidP="003E3922">
      <w:pPr>
        <w:spacing w:line="360" w:lineRule="auto"/>
        <w:jc w:val="both"/>
        <w:rPr>
          <w:rFonts w:ascii="Arial" w:eastAsia="Arial" w:hAnsi="Arial" w:cs="Arial"/>
          <w:sz w:val="22"/>
          <w:szCs w:val="22"/>
        </w:rPr>
      </w:pPr>
    </w:p>
    <w:p w14:paraId="27E99B96" w14:textId="77777777" w:rsidR="003E3922" w:rsidRDefault="003E3922" w:rsidP="003E3922">
      <w:pPr>
        <w:spacing w:line="360" w:lineRule="auto"/>
        <w:jc w:val="both"/>
        <w:rPr>
          <w:rFonts w:ascii="Arial" w:eastAsia="Arial" w:hAnsi="Arial" w:cs="Arial"/>
          <w:sz w:val="22"/>
          <w:szCs w:val="22"/>
        </w:rPr>
      </w:pPr>
    </w:p>
    <w:p w14:paraId="6EEC8B11" w14:textId="77777777" w:rsidR="003E3922" w:rsidRDefault="003E3922" w:rsidP="003E3922">
      <w:pPr>
        <w:spacing w:line="360" w:lineRule="auto"/>
        <w:jc w:val="both"/>
        <w:rPr>
          <w:rFonts w:ascii="Arial" w:eastAsia="Arial" w:hAnsi="Arial" w:cs="Arial"/>
          <w:sz w:val="22"/>
          <w:szCs w:val="22"/>
        </w:rPr>
      </w:pPr>
    </w:p>
    <w:p w14:paraId="7C5E2871" w14:textId="77777777" w:rsidR="00DB09AE" w:rsidRDefault="00DB09AE" w:rsidP="003E3922">
      <w:pPr>
        <w:spacing w:line="360" w:lineRule="auto"/>
        <w:jc w:val="both"/>
        <w:rPr>
          <w:rFonts w:ascii="Arial" w:eastAsia="Arial" w:hAnsi="Arial" w:cs="Arial"/>
          <w:sz w:val="22"/>
          <w:szCs w:val="22"/>
        </w:rPr>
      </w:pPr>
    </w:p>
    <w:p w14:paraId="434282B8" w14:textId="77777777" w:rsidR="00DB09AE" w:rsidRDefault="00000000" w:rsidP="003E3922">
      <w:pPr>
        <w:pStyle w:val="Heading1"/>
        <w:spacing w:line="360" w:lineRule="auto"/>
        <w:jc w:val="both"/>
        <w:rPr>
          <w:sz w:val="22"/>
          <w:szCs w:val="22"/>
        </w:rPr>
      </w:pPr>
      <w:bookmarkStart w:id="27" w:name="_Toc236055012"/>
      <w:r>
        <w:rPr>
          <w:sz w:val="22"/>
          <w:szCs w:val="22"/>
        </w:rPr>
        <w:t>CHAPTER 4 – Findings and Discussion</w:t>
      </w:r>
      <w:bookmarkEnd w:id="27"/>
    </w:p>
    <w:p w14:paraId="699D967F" w14:textId="77777777" w:rsidR="00DB09AE" w:rsidRDefault="00000000" w:rsidP="003E3922">
      <w:pPr>
        <w:pStyle w:val="Heading2"/>
        <w:spacing w:line="360" w:lineRule="auto"/>
        <w:jc w:val="both"/>
        <w:rPr>
          <w:sz w:val="22"/>
          <w:szCs w:val="22"/>
        </w:rPr>
      </w:pPr>
      <w:bookmarkStart w:id="28" w:name="_Toc236055013"/>
      <w:r>
        <w:rPr>
          <w:sz w:val="22"/>
          <w:szCs w:val="22"/>
        </w:rPr>
        <w:t>4.1 Introduction</w:t>
      </w:r>
      <w:bookmarkEnd w:id="28"/>
    </w:p>
    <w:p w14:paraId="5DA3752E"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Following a comprehensive examination of the literature on the clinical issue of interest, the following chapter will present the findings from the thematic analysis and critically discuss them in connection to the research objective of examining the factors leading to the diagnostic delays in Paget's disease of the breast among women aged 18–40 in the West Midlands. Drawing on the coding process discussed in Chapter 3, recurrent patterns across reviewed studies into three core themes that are consistent with the aim and objectives. The chapter will also go beyond the description of studies to include critical comparison and evaluation of areas of convergence and divergence while interpreting the findings. The discussion will showcase how clinical, structural and socioeconomic factors collectively influence diagnostics delays and health inequalities.</w:t>
      </w:r>
    </w:p>
    <w:p w14:paraId="62D346E4" w14:textId="77777777" w:rsidR="00DB09AE" w:rsidRDefault="00000000" w:rsidP="003E3922">
      <w:pPr>
        <w:pStyle w:val="Heading2"/>
        <w:spacing w:line="360" w:lineRule="auto"/>
        <w:jc w:val="both"/>
        <w:rPr>
          <w:sz w:val="22"/>
          <w:szCs w:val="22"/>
        </w:rPr>
      </w:pPr>
      <w:bookmarkStart w:id="29" w:name="_Toc236055014"/>
      <w:r>
        <w:rPr>
          <w:sz w:val="22"/>
          <w:szCs w:val="22"/>
        </w:rPr>
        <w:t>4.2 Thematic Analysis</w:t>
      </w:r>
      <w:bookmarkEnd w:id="29"/>
    </w:p>
    <w:p w14:paraId="5E538938"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According to Braun and Clarke (2006) a systematic method of identifying, organising and interpreting recurring patterns of meaning across qualitative or secondary data to generate coherent analytical themes. In secondary research, it enables the evidence from multiple studies to be synthesised into meaningful concepts instead of being summarised individually, leading to a deeper comprehension of the research phenomenon (Barnett-Page and Thomas, 2009). The Six-phase thematic analysis framework by Braun and Clarke (2006) includes steps such as familiarisation with the literature, generation of initial codes, searching for themes, review of themes, definition and naming of themes and the production of the final analytical narrative. The process was followed strictly as outlined in chapter 3 using the Results Summary Table and coded according to recurring concepts, patterns and key findings (see Appendix 2). Similar codes were regrouped together using colour-coded spreadsheets and thematic mapping as a mechanism of building a transparent and reproducible audit trait during the entire analysis. The three interrelated themes that emerged that include; (1) Diagnostic challenges associated with atypical presentation of Paget's disease; (2) Healthcare inequalities influencing diagnostic delay among ethnically diverse young women; and (3) Strengthening Diagnostic Capacity through Education, Clinical Practice and Healthcare System Improvement. The themes directly address the research objectives  and provide the analytical framework for the critical discussion presented in the following sections.</w:t>
      </w:r>
    </w:p>
    <w:p w14:paraId="45C414DE" w14:textId="77777777" w:rsidR="00DB09AE" w:rsidRDefault="00000000" w:rsidP="003E3922">
      <w:pPr>
        <w:pStyle w:val="Heading2"/>
        <w:spacing w:line="360" w:lineRule="auto"/>
        <w:jc w:val="both"/>
        <w:rPr>
          <w:sz w:val="22"/>
          <w:szCs w:val="22"/>
        </w:rPr>
      </w:pPr>
      <w:bookmarkStart w:id="30" w:name="_Toc236055015"/>
      <w:r>
        <w:rPr>
          <w:sz w:val="22"/>
          <w:szCs w:val="22"/>
        </w:rPr>
        <w:lastRenderedPageBreak/>
        <w:t>4.3 – Theme 1  Diagnostic challenges associated with atypical presentation of Paget's disease</w:t>
      </w:r>
      <w:bookmarkEnd w:id="30"/>
    </w:p>
    <w:p w14:paraId="0E61553A" w14:textId="77777777" w:rsidR="00DB09AE" w:rsidRDefault="00000000" w:rsidP="003E3922">
      <w:pPr>
        <w:pStyle w:val="Heading3"/>
        <w:spacing w:line="360" w:lineRule="auto"/>
        <w:jc w:val="both"/>
        <w:rPr>
          <w:sz w:val="22"/>
          <w:szCs w:val="22"/>
        </w:rPr>
      </w:pPr>
      <w:bookmarkStart w:id="31" w:name="_Toc236055016"/>
      <w:r>
        <w:rPr>
          <w:sz w:val="22"/>
          <w:szCs w:val="22"/>
        </w:rPr>
        <w:t>Definition</w:t>
      </w:r>
      <w:bookmarkEnd w:id="31"/>
    </w:p>
    <w:p w14:paraId="470F5DF9"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Paget’s disease of the breast is a rare manifestation of breast carcinoma characterised by malignant glandular cells by infiltrating the epidermis of the nipple- areolar complex and is commonly associated with underlying ductal carcinoma in situ or invasive breast cancer (Karakas, 2011). While the common typical breast malignancies commonly present as palpable masses, Paget's disease often manifests as persistent erythema, scaling, pruritus, crusting or nipple discharge, clinical manifestations that closely resembles benign dermatological conditions such as eczema. The atypical presentation refers to clinical manifestations that deviate from the classical presentation of breast cancer, leading to higher risks of diagnostic uncertainty and delayed diagnosis. The theme examines how atypical presentation of Paget's disease creates diagnostic uncertainty and delays among younger women aged 18-40</w:t>
      </w:r>
    </w:p>
    <w:p w14:paraId="3394F35F" w14:textId="77777777" w:rsidR="00DB09AE" w:rsidRDefault="00000000" w:rsidP="003E3922">
      <w:pPr>
        <w:pStyle w:val="Heading3"/>
        <w:spacing w:line="360" w:lineRule="auto"/>
        <w:jc w:val="both"/>
        <w:rPr>
          <w:sz w:val="22"/>
          <w:szCs w:val="22"/>
        </w:rPr>
      </w:pPr>
      <w:bookmarkStart w:id="32" w:name="_Toc236055017"/>
      <w:r>
        <w:rPr>
          <w:sz w:val="22"/>
          <w:szCs w:val="22"/>
        </w:rPr>
        <w:t>Background Information</w:t>
      </w:r>
      <w:bookmarkEnd w:id="32"/>
    </w:p>
    <w:p w14:paraId="74495C26"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Although first described by Sir James Paget in 1874, the disease continues to present considerable diagnostic challenges because early symptoms are frequently interpreted as inflammatory or dermatological disorders rather than malignant disease (Karakas, 2011). Such is important because breast cancer remains the most commonly diagnosed among women globally and accounts for 2.3 million new cases annually (Bray et al., 2024). However, Paget’s disease constitutes only a small proportion of breast cancer, hence reducing clinical familiarity and lowering diagnostic suspicion. Even with advances in breast imaging, multidisciplinary cancer services and national screening, the developments have not eliminated diagnostic uncertainty associated with rare presentation. Both patients and clinicians could attribute clinical manifestation to benign skin disorders, delaying referral and specialist investigation. The clinical complexity also offers an important context for understanding the diagnostic inequalities examined throughout the dissertation. </w:t>
      </w:r>
    </w:p>
    <w:p w14:paraId="3D611970" w14:textId="77777777" w:rsidR="00DB09AE" w:rsidRDefault="00000000" w:rsidP="003E3922">
      <w:pPr>
        <w:pStyle w:val="Heading3"/>
        <w:spacing w:line="360" w:lineRule="auto"/>
        <w:jc w:val="both"/>
        <w:rPr>
          <w:sz w:val="22"/>
          <w:szCs w:val="22"/>
        </w:rPr>
      </w:pPr>
      <w:bookmarkStart w:id="33" w:name="_Toc236055018"/>
      <w:r>
        <w:rPr>
          <w:sz w:val="22"/>
          <w:szCs w:val="22"/>
        </w:rPr>
        <w:t>Impact on the Research Question</w:t>
      </w:r>
      <w:bookmarkEnd w:id="33"/>
    </w:p>
    <w:p w14:paraId="5119AC70"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The theme is directly consistent with the primary aim of exploring the factors contributing to diagnostic delays among women aged 18-40 years in the West Midlands by examining how atypical clinical presentation influences recognition and referral. Comprehending the clinical challenges is critical because delayed recognition represents the first point at which diagnostic pathways begin to fail. Moreover, identifying why atypical symptoms remain underrecognized creates a strong clinical foundation for analysing the broad </w:t>
      </w:r>
      <w:r>
        <w:rPr>
          <w:rFonts w:ascii="Arial" w:eastAsia="Arial" w:hAnsi="Arial" w:cs="Arial"/>
          <w:sz w:val="22"/>
          <w:szCs w:val="22"/>
        </w:rPr>
        <w:lastRenderedPageBreak/>
        <w:t>literature on healthcare inequalities, policy discussions and educational deficiencies examining in the upcoming themes.</w:t>
      </w:r>
    </w:p>
    <w:p w14:paraId="60F91ADA" w14:textId="77777777" w:rsidR="00DB09AE" w:rsidRDefault="00000000" w:rsidP="003E3922">
      <w:pPr>
        <w:pStyle w:val="Heading3"/>
        <w:spacing w:line="360" w:lineRule="auto"/>
        <w:jc w:val="both"/>
      </w:pPr>
      <w:bookmarkStart w:id="34" w:name="_Toc236055019"/>
      <w:r>
        <w:t>Statistical Information and Significance</w:t>
      </w:r>
      <w:bookmarkEnd w:id="34"/>
    </w:p>
    <w:p w14:paraId="4F88190D" w14:textId="77777777" w:rsidR="00DB09AE" w:rsidRDefault="00000000" w:rsidP="003E3922">
      <w:pPr>
        <w:spacing w:line="360" w:lineRule="auto"/>
        <w:jc w:val="both"/>
        <w:rPr>
          <w:rFonts w:ascii="Arial" w:eastAsia="Arial" w:hAnsi="Arial" w:cs="Arial"/>
          <w:sz w:val="22"/>
          <w:szCs w:val="22"/>
        </w:rPr>
      </w:pPr>
      <w:r>
        <w:rPr>
          <w:rFonts w:ascii="Arial" w:eastAsia="Arial" w:hAnsi="Arial" w:cs="Arial"/>
          <w:sz w:val="22"/>
          <w:szCs w:val="22"/>
        </w:rPr>
        <w:t>The reviewed literature shows that breast cancer is the leading diagnosed cancer in women worldwide with 2.3 million new cases annually and accounts for 11.6% of all diagnosed cases globally (Bray et al., 2024). Paget’s disease only accounts for 1-4% of the breast malignancies. However, the low prevalence should not be interpreted as indicating limited clinical significance (Karakas et al., 2011). However, the rarity leads to limited clinical familiarity, and increased probability that persistent nipple abnormalities will be attributed to begin inflammatory skin conditions. Neil et al., (2015) also found that prolonged diagnostic intervals across symptomatic cancers are linked to poor survival and advanced disease at diagnosis, hence the value of timely recognition. The challenge also means that the core challenge is not disease prevalence but the disproportionate consequences of delayed diagnosis.</w:t>
      </w:r>
    </w:p>
    <w:p w14:paraId="3335EB3B" w14:textId="77777777" w:rsidR="00DB09AE" w:rsidRDefault="00000000" w:rsidP="003E3922">
      <w:pPr>
        <w:pStyle w:val="Heading3"/>
        <w:spacing w:line="360" w:lineRule="auto"/>
        <w:jc w:val="both"/>
        <w:rPr>
          <w:sz w:val="22"/>
          <w:szCs w:val="22"/>
        </w:rPr>
      </w:pPr>
      <w:bookmarkStart w:id="35" w:name="_Toc236055020"/>
      <w:r>
        <w:rPr>
          <w:sz w:val="22"/>
          <w:szCs w:val="22"/>
        </w:rPr>
        <w:t>Critical Discussion of the findings with examples from results summary table, theories, policies, implications and connection with other themes</w:t>
      </w:r>
      <w:bookmarkEnd w:id="35"/>
    </w:p>
    <w:p w14:paraId="368DF24D"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The comprehensive thematic analysis has demonstrated a strong agreement that symptom ambiguity is the principal mechanism behind delayed diagnosis. Karakas (2011) argues that eczema-like nipple changes commonly lead to patients receiving topical dermatological treatment before malignancy is considered, leading to delayed referrals to specialist breast services. The diagnostic overlap emerged repeatedly throughout the reviewed literature and explains why multiple consultations frequently occur before specialist referral. Walter et al., (2012) also extended the understanding through the Model of Pathways to Treatment. Instead of viewing diagnosis as a single event, the model conceptualises it as a sequence of appraisal, help-seeking, diagnostic and pre-treatment intervals, each presenting opportunities for delay. The model is significant because it shifts the attention away from individual clinical decisions towards the cumulative nature of the delay. When applied to Paget’s disease, the model maintains that the uncertainty surrounding the nipple symptoms prolongs both patient appraisal and clinician assessment, leading to cumulative delay (Walter et al., 2012; Karakas, 2011). The findings are echoed by Neal et al., (2015) who conducted a systematic review and reported that prolonged diagnostic intervals leads to poor clinical outcomes across symptomatic cancers. The results support Karakas' (2011) assertions that delayed recognition permits the progression of the disease and delays the implementation of more extensive but invaluable treatment. However, Neal et al., (2015) acknowledged the considerable heterogeneity among included studies, hence limiting the ability to establish a universally applicable time threshold for diagnostic delay.  Even with the limitation, the </w:t>
      </w:r>
      <w:r>
        <w:rPr>
          <w:rFonts w:ascii="Arial" w:eastAsia="Arial" w:hAnsi="Arial" w:cs="Arial"/>
          <w:sz w:val="22"/>
          <w:szCs w:val="22"/>
        </w:rPr>
        <w:lastRenderedPageBreak/>
        <w:t xml:space="preserve">synthesis provides strong evidence that delays cannot simply be interpreted from the perspective of administrative inefficiencies, but also have meaningful consequences for disease progression and survival. </w:t>
      </w:r>
    </w:p>
    <w:p w14:paraId="7E9552D4"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The studies also revealed important differences in their discussion and analysis of the theme. Karakas (2011) primarily attributes delayed diagnosis to clinical similarity between Paget's disease and benign dermatological disorders. Such is different from Walters et al., (2012) who shifted attention towards the diagnostic pathway itself, by arguing that delays accumulate through interactions between patients, clinicians and healthcare systems. On the other hand, Neal et al., (2015) focus on the consequences rather than the causes of delayed diagnosis. The complementary perspectives also mean that diagnostic delay is both a clinical and system phenomenon, hence requires a holistic and biopsychosocial approach. The next vital finding is associated with age-related diagnostic assumptions. Since women aged 18-40 fall outside the routine mammographic screening (NICE, 2023), clinicians can initially perceive breast cancer as less probable, especially when the clinical manifestations lack a palpable mass. Neal et al., (2015) warned that depending on the probability instead of symptoms can inadvertently reduce clinical suspicion. Younger women with persistent nipple eczema may also receive repeated conservative treatment before malignancy is even considered. However, linking the delay purely to clinical decisions can oversimplify the concern. Patient interpretation of the clinical manifestations is equally vital in impacting the diagnostic intervals (Walter et al., 2012). For example, mild itching or skin irritation may not be immediately perceived as needing immediate medical review especially when the symptoms either fluctuate or respond to topical treatments. </w:t>
      </w:r>
    </w:p>
    <w:p w14:paraId="41978D92"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The literature also had a few limitations. While Karakas (2011) remained one of the most comprehensive reviews of Paget's disease, it does not reflect the recent developments in diagnostic pathways, hence cannot fully reflect contemporary practice. Walter et al., provides a strong conceptual framework, but heavily depended on theoretical synthesis instead of empirical investigation. Nonetheless, triangulation across the sources can boost confidence that atypical presentation leads to higher rates of delayed diagnosis. </w:t>
      </w:r>
    </w:p>
    <w:p w14:paraId="6E1EEBEF"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From the standpoint of theories, policies and legislations, Walter et al., 's (2012) Model of Pathways to Treatment is the main theory underpinning the theme has already been explored. The strengths of the theory are in recognising that diagnosis is dynamic and encompasses multiple interacting stages. However, such Scott et al., (2023) challenged the model for underrepresenting the larger structural inequalities that influence access and clinical decision-making. NICE (2023) is the core policy associated with the theme. It not only recognises but also champions for the urgent referral of suspected cases of cancer through </w:t>
      </w:r>
      <w:r>
        <w:rPr>
          <w:rFonts w:ascii="Arial" w:eastAsia="Arial" w:hAnsi="Arial" w:cs="Arial"/>
          <w:sz w:val="22"/>
          <w:szCs w:val="22"/>
        </w:rPr>
        <w:lastRenderedPageBreak/>
        <w:t xml:space="preserve">standardised clinical pathways. Beyond NICE, the NHS long-term Plan (2019) has been on the frontline in prioritising earlier diagnosis and improved cancer survival through integrated care systems and better referral systems. Nonetheless, the thematic findings still show that the policies are too focused on common cancer presentation with limited practical guidance pertaining to the rare dermatological conditions such as Paget’s disease. </w:t>
      </w:r>
    </w:p>
    <w:p w14:paraId="334E1E1F"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The implication is that there is a need for better awareness of atypical breast symptoms that could lead to earlier referral and better survival outcomes (Walter et al., 2012; Neil et al., 2015). The education of multidisciplinary professionals is also critical in boosting clinician confidence when assessing persistent nipple abnormalities. Organisations should also improve the diagnostic pathways for atypical presentation as a mechanism of attaining national ambitions for early diagnosis and reducing preventable inequalities. The theme is connected to the other themes. While atypical presentation emerged as an independent them, it also overlapped with larger healthcare inequalities. The diagnostic uncertainty is also compounded by ethnicity, variation in skin tone and socioeconomic disadvantage. The factors can cumulatively influence symptom recognition and even healthcare access decisions as further seen in the second theme. </w:t>
      </w:r>
    </w:p>
    <w:p w14:paraId="56E64D1F" w14:textId="77777777" w:rsidR="00DB09AE" w:rsidRDefault="00000000" w:rsidP="003E3922">
      <w:pPr>
        <w:spacing w:line="360" w:lineRule="auto"/>
        <w:jc w:val="both"/>
        <w:rPr>
          <w:rFonts w:ascii="Arial" w:eastAsia="Arial" w:hAnsi="Arial" w:cs="Arial"/>
          <w:b/>
          <w:bCs/>
          <w:sz w:val="22"/>
          <w:szCs w:val="22"/>
        </w:rPr>
      </w:pPr>
      <w:r>
        <w:rPr>
          <w:rFonts w:ascii="Arial" w:eastAsia="Arial" w:hAnsi="Arial" w:cs="Arial"/>
          <w:b/>
          <w:bCs/>
          <w:sz w:val="22"/>
          <w:szCs w:val="22"/>
        </w:rPr>
        <w:t>4.4 Theme 2: Healthcare Inequalities Influencing Diagnostic Delay among Ethnically Diverse Young Women</w:t>
      </w:r>
    </w:p>
    <w:p w14:paraId="5C299180" w14:textId="77777777" w:rsidR="00DB09AE" w:rsidRDefault="00000000" w:rsidP="003E3922">
      <w:pPr>
        <w:pStyle w:val="Heading3"/>
        <w:spacing w:line="360" w:lineRule="auto"/>
        <w:jc w:val="both"/>
        <w:rPr>
          <w:sz w:val="22"/>
          <w:szCs w:val="22"/>
        </w:rPr>
      </w:pPr>
      <w:bookmarkStart w:id="36" w:name="_Toc236055021"/>
      <w:r>
        <w:rPr>
          <w:sz w:val="22"/>
          <w:szCs w:val="22"/>
        </w:rPr>
        <w:t>Definition</w:t>
      </w:r>
      <w:bookmarkEnd w:id="36"/>
    </w:p>
    <w:p w14:paraId="41BFC347" w14:textId="77777777" w:rsidR="00DB09AE" w:rsidRDefault="00000000" w:rsidP="003E3922">
      <w:pPr>
        <w:spacing w:line="360" w:lineRule="auto"/>
        <w:jc w:val="both"/>
        <w:rPr>
          <w:rFonts w:ascii="Arial" w:eastAsia="Arial" w:hAnsi="Arial" w:cs="Arial"/>
          <w:sz w:val="22"/>
          <w:szCs w:val="22"/>
        </w:rPr>
      </w:pPr>
      <w:r>
        <w:rPr>
          <w:rFonts w:ascii="Arial" w:eastAsia="Arial" w:hAnsi="Arial" w:cs="Arial"/>
          <w:sz w:val="22"/>
          <w:szCs w:val="22"/>
        </w:rPr>
        <w:t>Healthcare inequalities can be understood from the perspective of Marmot et al., (2020) who defined them as avoidable and unfair differences in health status, healthcare access and health outcomes experienced by different population groups due to social, economic and structural factors (Marmot et al., 2020). The theme explains how the interacting determinants lead to delayed diagnosis among women aged 18-40 with suspected Paget's disease of the breast.</w:t>
      </w:r>
    </w:p>
    <w:p w14:paraId="74B34438" w14:textId="77777777" w:rsidR="00DB09AE" w:rsidRDefault="00000000" w:rsidP="003E3922">
      <w:pPr>
        <w:spacing w:line="360" w:lineRule="auto"/>
        <w:jc w:val="both"/>
        <w:rPr>
          <w:rFonts w:ascii="Arial" w:eastAsia="Arial" w:hAnsi="Arial" w:cs="Arial"/>
          <w:i/>
          <w:iCs/>
          <w:sz w:val="22"/>
          <w:szCs w:val="22"/>
        </w:rPr>
      </w:pPr>
      <w:r>
        <w:rPr>
          <w:rFonts w:ascii="Arial" w:eastAsia="Arial" w:hAnsi="Arial" w:cs="Arial"/>
          <w:i/>
          <w:iCs/>
          <w:sz w:val="22"/>
          <w:szCs w:val="22"/>
        </w:rPr>
        <w:t>Background Information</w:t>
      </w:r>
    </w:p>
    <w:p w14:paraId="1C4D18D9" w14:textId="77777777" w:rsidR="00DB09AE" w:rsidRDefault="00000000" w:rsidP="003E3922">
      <w:pPr>
        <w:spacing w:line="360" w:lineRule="auto"/>
        <w:jc w:val="both"/>
        <w:rPr>
          <w:rFonts w:ascii="Arial" w:eastAsia="Arial" w:hAnsi="Arial" w:cs="Arial"/>
          <w:sz w:val="22"/>
          <w:szCs w:val="22"/>
        </w:rPr>
      </w:pPr>
      <w:r>
        <w:rPr>
          <w:rFonts w:ascii="Arial" w:eastAsia="Arial" w:hAnsi="Arial" w:cs="Arial"/>
          <w:sz w:val="22"/>
          <w:szCs w:val="22"/>
        </w:rPr>
        <w:t xml:space="preserve">While the NHS is established on the principle of equitable healthcare access, the reality is that significant inequalities are still evident on the cancer pathway. The attention has now shifted from improving cancer from improving cancer survival to understanding why certain populations report delayed diagnosis even with the universal healthcare assurance. The inequalities are very evident in cancer diagnosis, typified by individuals from deprived communities having a higher likelihood of presenting with advanced disease (Dodd et al., 2023). </w:t>
      </w:r>
    </w:p>
    <w:p w14:paraId="2DD5DA81" w14:textId="77777777" w:rsidR="003E3922" w:rsidRDefault="003E3922" w:rsidP="003E3922">
      <w:pPr>
        <w:spacing w:line="360" w:lineRule="auto"/>
        <w:jc w:val="both"/>
        <w:rPr>
          <w:rFonts w:ascii="Arial" w:eastAsia="Arial" w:hAnsi="Arial" w:cs="Arial"/>
          <w:sz w:val="22"/>
          <w:szCs w:val="22"/>
        </w:rPr>
      </w:pPr>
    </w:p>
    <w:p w14:paraId="54BF0417" w14:textId="77777777" w:rsidR="00DB09AE" w:rsidRDefault="00000000" w:rsidP="003E3922">
      <w:pPr>
        <w:spacing w:line="360" w:lineRule="auto"/>
        <w:jc w:val="both"/>
        <w:rPr>
          <w:rFonts w:ascii="Arial" w:eastAsia="Arial" w:hAnsi="Arial" w:cs="Arial"/>
          <w:sz w:val="22"/>
          <w:szCs w:val="22"/>
        </w:rPr>
      </w:pPr>
      <w:r>
        <w:rPr>
          <w:rFonts w:ascii="Arial" w:eastAsia="Arial" w:hAnsi="Arial" w:cs="Arial"/>
          <w:sz w:val="22"/>
          <w:szCs w:val="22"/>
        </w:rPr>
        <w:lastRenderedPageBreak/>
        <w:t>Impact on Research Question</w:t>
      </w:r>
    </w:p>
    <w:p w14:paraId="3F0CB63B" w14:textId="77777777" w:rsidR="00DB09AE" w:rsidRDefault="00000000" w:rsidP="003E3922">
      <w:pPr>
        <w:spacing w:line="360" w:lineRule="auto"/>
        <w:jc w:val="both"/>
        <w:rPr>
          <w:rFonts w:ascii="Arial" w:eastAsia="Arial" w:hAnsi="Arial" w:cs="Arial"/>
          <w:sz w:val="22"/>
          <w:szCs w:val="22"/>
        </w:rPr>
      </w:pPr>
      <w:r>
        <w:rPr>
          <w:rFonts w:ascii="Arial" w:eastAsia="Arial" w:hAnsi="Arial" w:cs="Arial"/>
          <w:sz w:val="22"/>
          <w:szCs w:val="22"/>
        </w:rPr>
        <w:t xml:space="preserve">Following comprehensive analysis, the theme is congruent with the second research theme’s objective of examining how ethnicity, skin tone and socioeconomic disadvantage influence diagnostic pathways. The findings clearly show that clinical uncertainty is not experienced equally by all women, and that structural inequalities also influence both patient experiences and clinical responses, hence a central determinant of diagnostic delay. </w:t>
      </w:r>
    </w:p>
    <w:p w14:paraId="65B7C109" w14:textId="77777777" w:rsidR="00DB09AE" w:rsidRDefault="00000000" w:rsidP="003E3922">
      <w:pPr>
        <w:pStyle w:val="Heading3"/>
        <w:spacing w:line="360" w:lineRule="auto"/>
        <w:jc w:val="both"/>
      </w:pPr>
      <w:bookmarkStart w:id="37" w:name="_Toc236055022"/>
      <w:r>
        <w:t>Critical Discussion of Findings</w:t>
      </w:r>
      <w:bookmarkEnd w:id="37"/>
    </w:p>
    <w:p w14:paraId="55755AAC"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Following a robust analysis of the identified literature, healthcare inequality came up as one of the strongest contributors to delayed diagnosis. While theme 1 identified diagnostic delay as a critical concern, this section maintains that diagnostic delay is not the sole consequence of the rarity of the disease but also patterned through the interaction of ethnicity, and socioeconomic deprivation among others. The underrepresentation of the darker skin tone within medical education emerged as a key finding. Dodd et al., (2023) argued that dermatological teaching has historically relied predominantly on images of lighter skin. However, such tendencies limited the confidence of the clinician in recognising the disease across diverse populations. Unlike common breast cancers that mostly present as palpable masses, Paget's disease depends more upon visual assessment of the nipple and areolar skin changes. Inadequate exposure to darker skin tones may thus increase the diagnostic uncertainty. </w:t>
      </w:r>
    </w:p>
    <w:p w14:paraId="1224619D"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Ethnicity cannot be examined in isolation from the wider social determinants. Marmot et al., (2020) explained that deprivation influences health interconnections that include education, income, employment, housing, healthcare accessibility and health literacy. Such determinants not only impact when patients recognise symptoms, but also their willingness to seek clinical services and ease of navigating the referral pathways. The delayed diagnosis thus represents a structural disadvantage and not just individual behaviours. The interpretation challenges the contemporary and discriminative explanations that link delayed presentation to poor health seeking behaviours. Instead, Marmot et al., (2020) maintains that health inequalities are direct products of the larger socioeconomic and need policy level interventions. The argument is highly applicable in the West Midlands, where the high levels ethnic diversity also co-exist with serious levels of deprivation. Multiple disadvantages in such settings can accumulate before patients even join the diagnostic pathway. </w:t>
      </w:r>
    </w:p>
    <w:p w14:paraId="3F396593" w14:textId="77777777" w:rsidR="003E3922" w:rsidRDefault="003E3922" w:rsidP="003E3922">
      <w:pPr>
        <w:spacing w:line="360" w:lineRule="auto"/>
        <w:ind w:firstLine="720"/>
        <w:jc w:val="both"/>
        <w:rPr>
          <w:rFonts w:ascii="Arial" w:eastAsia="Arial" w:hAnsi="Arial" w:cs="Arial"/>
          <w:sz w:val="22"/>
          <w:szCs w:val="22"/>
        </w:rPr>
      </w:pPr>
    </w:p>
    <w:p w14:paraId="02D793F0" w14:textId="77777777" w:rsidR="003E3922" w:rsidRDefault="003E3922" w:rsidP="003E3922">
      <w:pPr>
        <w:spacing w:line="360" w:lineRule="auto"/>
        <w:ind w:firstLine="720"/>
        <w:jc w:val="both"/>
        <w:rPr>
          <w:rFonts w:ascii="Arial" w:eastAsia="Arial" w:hAnsi="Arial" w:cs="Arial"/>
          <w:sz w:val="22"/>
          <w:szCs w:val="22"/>
        </w:rPr>
      </w:pPr>
    </w:p>
    <w:p w14:paraId="18C17172"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lastRenderedPageBreak/>
        <w:t xml:space="preserve">The Crenshaw's (1989) Intersectionality Theory also strengthens the concept of cumulative disadvantage. The theory moves away from looking at ethnicity, gender and age as separate constructs, and instead argues that such social identities overlap to create and sustain unique experiences of discrimination and inequality. Such is applicable to the current topic since young women aged between 18 and 40 from ethnic minorities can record reduced clinical suspicion because of their age, diagnostic difficulties owing to their skin tone and socioeconomic barriers that compromise healthcare access. The theory plays in the general uptake of breast cancer screening with 67% of white British women attending their first screening invitation compared to only 49% of Black African women (Jack et al., 2014). Therefore, intersectionality thus offers a stronger explanatory framework compared to approaches that examine single demographic features independently. However, while the theory conceptually explains the overlapping disadvantage, identifying the relative contribution of individual factors within clinical research is still difficult. </w:t>
      </w:r>
    </w:p>
    <w:p w14:paraId="5029D8BD"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Population-level evidence by DeSantis et al., (2019) also supports the intersectionality viewpoint. Their epidemiological review found persistent disparities in breast cancer incidence, mortality and survival among the underserved  ethnic population, despite advances in cancer diagnosis and treatment. Compared to Dodd et al., (2023) who only focused on educational representation, DeSantis et al., (2019) found that inequalities are evident across the entire cancer continuum due to issues such as poverty and deprivation, stigma, limited awareness, fear of cancer diagnosis, embarrassment pertaining breast examination and geographic inequalities. The convergence between the studies can improve confidence that diagnostic inequality is a clear indicator of systemic healthcare challenges instead of isolated clinical events. However, one of the core distinctions is that DeSantis et al. (2019) analysed United States population data, while the present study focuses on the United Kingdom. Differences in healthcare financing and insurance systems could thus limit direct transferability. Nevertheless, the persistence of ethnic disparities across different healthcare systems also suggests that universal healthcare alone cannot automatically eliminate inequalities, without a commitment to the principle of universal proportionalism (DeSantis et al., 2019; Marmot et al., 2020). </w:t>
      </w:r>
    </w:p>
    <w:p w14:paraId="706C9895"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The findings are also congruent with Marmot et al.'s (2020) Social Determinants of Health framework which argues that equitable health outcomes require actions that go beyond healthcare services alone. The theoretical perspectives are also exhibited in the current UK policies. NHS England’s Core20PLUS5 strategy is committed to reducing healthcare inequalities among the most deprived populations and underserved communities by scaling the interventions based on need, which could lead to earlier access to Paget cancer diagnosis and treatment (NHS England, 2023). In addition to that, the Equality Act of 2010 offers the </w:t>
      </w:r>
      <w:r>
        <w:rPr>
          <w:rFonts w:ascii="Arial" w:eastAsia="Arial" w:hAnsi="Arial" w:cs="Arial"/>
          <w:sz w:val="22"/>
          <w:szCs w:val="22"/>
        </w:rPr>
        <w:lastRenderedPageBreak/>
        <w:t>legal blueprint that mandates healthcare professionals to eliminate discrimination and promote equality of opportunity to all people, including the delivery of care services. Nevertheless, the literature examined revealed clear implementation gaps, despite the strong policy devotions. Standardised referral pathways assume that symptoms are recognised accurately during initial clinical assessment. Dodd et al., (2023) maintains that such an assumption cannot be realistic because educational resources do not represent diverse skin tones. Furthermore, equal referral policies can still lead to unequal outcomes if recognition of symptoms differs across patient populations, hence depicting the differences between equality and equity in access. The best way of achieving equality in Paget’s cancer is through equity and diversity.</w:t>
      </w:r>
    </w:p>
    <w:p w14:paraId="112688BD"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 Following a robust analysis, the findings imply that reducing diagnostic delays requires intentional efforts to go beyond cultural awareness to tackle the socioeconomic barriers to Paget’s disease of the breast  and increase representation of diverse skin tones within medical education. Healthcare professionals should also implement culturally responsive healthcare services and develop a culture of continuous professional development in dermatological presentation across different skin tones, to complement the current national cancer screening guidelines. The current theme is closely connected to the atypical clinical presentation discussed in Theme 1 by showing that the consequences of atypical presentation are disproportionately experienced by certain patient groups. The next theme is going to explore how education, and policies can be applied in strengthening capacity and boosting identification of Paget’s disease of the breast. </w:t>
      </w:r>
    </w:p>
    <w:p w14:paraId="0E5870D6" w14:textId="77777777" w:rsidR="00DB09AE" w:rsidRDefault="00000000" w:rsidP="003E3922">
      <w:pPr>
        <w:pStyle w:val="Heading2"/>
        <w:spacing w:line="360" w:lineRule="auto"/>
        <w:jc w:val="both"/>
        <w:rPr>
          <w:sz w:val="22"/>
          <w:szCs w:val="22"/>
        </w:rPr>
      </w:pPr>
      <w:bookmarkStart w:id="38" w:name="_Toc236055023"/>
      <w:r>
        <w:rPr>
          <w:sz w:val="22"/>
          <w:szCs w:val="22"/>
        </w:rPr>
        <w:t>4.5 Theme 3: Strengthening Diagnostic Capacity through Education, Clinical Practice and Healthcare System Improvement</w:t>
      </w:r>
      <w:bookmarkEnd w:id="38"/>
    </w:p>
    <w:p w14:paraId="71ED81BA" w14:textId="77777777" w:rsidR="00DB09AE" w:rsidRDefault="00000000" w:rsidP="003E3922">
      <w:pPr>
        <w:pStyle w:val="Heading3"/>
        <w:spacing w:line="360" w:lineRule="auto"/>
        <w:jc w:val="both"/>
        <w:rPr>
          <w:sz w:val="22"/>
          <w:szCs w:val="22"/>
        </w:rPr>
      </w:pPr>
      <w:bookmarkStart w:id="39" w:name="_Toc236055024"/>
      <w:r>
        <w:rPr>
          <w:sz w:val="22"/>
          <w:szCs w:val="22"/>
        </w:rPr>
        <w:t>Definition</w:t>
      </w:r>
      <w:bookmarkEnd w:id="39"/>
    </w:p>
    <w:p w14:paraId="3F96C16B" w14:textId="77777777" w:rsidR="00DB09AE" w:rsidRDefault="00000000" w:rsidP="003E3922">
      <w:pPr>
        <w:spacing w:line="360" w:lineRule="auto"/>
        <w:jc w:val="both"/>
        <w:rPr>
          <w:rFonts w:ascii="Arial" w:eastAsia="Arial" w:hAnsi="Arial" w:cs="Arial"/>
          <w:sz w:val="22"/>
          <w:szCs w:val="22"/>
        </w:rPr>
      </w:pPr>
      <w:r>
        <w:rPr>
          <w:rFonts w:ascii="Arial" w:eastAsia="Arial" w:hAnsi="Arial" w:cs="Arial"/>
          <w:sz w:val="22"/>
          <w:szCs w:val="22"/>
        </w:rPr>
        <w:t xml:space="preserve">Diagnostic capacity is the ability of healthcare systems to recognise disease accurately and promptly through competent healthcare professionals, effective clinical pathways and evidence-based organisational processes (NHS England 2023). Strengthening the diagnostic pathways in Paget’s disease of the breast is critical in supporting earlier and more equitable diagnosis. </w:t>
      </w:r>
    </w:p>
    <w:p w14:paraId="158701A9" w14:textId="77777777" w:rsidR="00DB09AE" w:rsidRDefault="00000000" w:rsidP="003E3922">
      <w:pPr>
        <w:pStyle w:val="Heading3"/>
        <w:spacing w:line="360" w:lineRule="auto"/>
        <w:jc w:val="both"/>
        <w:rPr>
          <w:sz w:val="22"/>
          <w:szCs w:val="22"/>
        </w:rPr>
      </w:pPr>
      <w:bookmarkStart w:id="40" w:name="_Toc236055025"/>
      <w:r>
        <w:rPr>
          <w:sz w:val="22"/>
          <w:szCs w:val="22"/>
        </w:rPr>
        <w:t>Background Information</w:t>
      </w:r>
      <w:bookmarkEnd w:id="40"/>
    </w:p>
    <w:p w14:paraId="7757776C" w14:textId="77777777" w:rsidR="00DB09AE" w:rsidRDefault="00000000" w:rsidP="003E3922">
      <w:pPr>
        <w:spacing w:line="360" w:lineRule="auto"/>
        <w:jc w:val="both"/>
        <w:rPr>
          <w:rFonts w:ascii="Arial" w:eastAsia="Arial" w:hAnsi="Arial" w:cs="Arial"/>
          <w:sz w:val="22"/>
          <w:szCs w:val="22"/>
        </w:rPr>
      </w:pPr>
      <w:r>
        <w:rPr>
          <w:rFonts w:ascii="Arial" w:eastAsia="Arial" w:hAnsi="Arial" w:cs="Arial"/>
          <w:sz w:val="22"/>
          <w:szCs w:val="22"/>
        </w:rPr>
        <w:t xml:space="preserve">The preceding themes have established that delayed diagnosis of the Paget’s disease results from atypical clinical presentation and healthcare inequalities. However, the factors alone do not explain why the delays continue, with contemporary evidence drawing attention to the ability of healthcare organisations to translate evidence into clinical practice (Dodd et al., 2023). Improving diagnostic performance for rare malignancies, will thus require healthcare </w:t>
      </w:r>
      <w:r>
        <w:rPr>
          <w:rFonts w:ascii="Arial" w:eastAsia="Arial" w:hAnsi="Arial" w:cs="Arial"/>
          <w:sz w:val="22"/>
          <w:szCs w:val="22"/>
        </w:rPr>
        <w:lastRenderedPageBreak/>
        <w:t xml:space="preserve">systems to learn and adapt to evidence, instead of just depending on clinician experience alone. </w:t>
      </w:r>
    </w:p>
    <w:p w14:paraId="718D71ED" w14:textId="77777777" w:rsidR="00DB09AE" w:rsidRDefault="00000000" w:rsidP="003E3922">
      <w:pPr>
        <w:pStyle w:val="Heading3"/>
        <w:spacing w:line="360" w:lineRule="auto"/>
        <w:jc w:val="both"/>
      </w:pPr>
      <w:bookmarkStart w:id="41" w:name="_Toc236055026"/>
      <w:r>
        <w:t>Impact on the Research Question</w:t>
      </w:r>
      <w:bookmarkEnd w:id="41"/>
    </w:p>
    <w:p w14:paraId="5A588F80" w14:textId="77777777" w:rsidR="00DB09AE" w:rsidRDefault="00000000" w:rsidP="003E3922">
      <w:pPr>
        <w:spacing w:line="360" w:lineRule="auto"/>
        <w:jc w:val="both"/>
        <w:rPr>
          <w:rFonts w:ascii="Arial" w:eastAsia="Arial" w:hAnsi="Arial" w:cs="Arial"/>
          <w:sz w:val="22"/>
          <w:szCs w:val="22"/>
        </w:rPr>
      </w:pPr>
      <w:r>
        <w:rPr>
          <w:rFonts w:ascii="Arial" w:eastAsia="Arial" w:hAnsi="Arial" w:cs="Arial"/>
          <w:sz w:val="22"/>
          <w:szCs w:val="22"/>
        </w:rPr>
        <w:t xml:space="preserve">The theme is a direct answer to the final research objective by evaluating how improvements in education, clinical practice and healthcare organisation could reduce diagnostic delays among women aged 18–40 presenting with suspected Paget's disease. The section thus critically discusses the findings on how healthcare systems can strengthen diagnostic capability and improve earlier detection for better patient outcomes. </w:t>
      </w:r>
    </w:p>
    <w:p w14:paraId="12860BD4" w14:textId="77777777" w:rsidR="00DB09AE" w:rsidRDefault="00000000" w:rsidP="003E3922">
      <w:pPr>
        <w:pStyle w:val="Heading3"/>
        <w:spacing w:line="360" w:lineRule="auto"/>
        <w:jc w:val="both"/>
      </w:pPr>
      <w:bookmarkStart w:id="42" w:name="_Toc236055027"/>
      <w:r>
        <w:t>Statistical Information and Significance</w:t>
      </w:r>
      <w:bookmarkEnd w:id="42"/>
    </w:p>
    <w:p w14:paraId="3B806DD4" w14:textId="77777777" w:rsidR="00DB09AE" w:rsidRDefault="00000000" w:rsidP="003E3922">
      <w:pPr>
        <w:spacing w:line="360" w:lineRule="auto"/>
        <w:jc w:val="both"/>
        <w:rPr>
          <w:rFonts w:ascii="Arial" w:eastAsia="Arial" w:hAnsi="Arial" w:cs="Arial"/>
          <w:sz w:val="22"/>
          <w:szCs w:val="22"/>
        </w:rPr>
      </w:pPr>
      <w:r>
        <w:rPr>
          <w:rFonts w:ascii="Arial" w:eastAsia="Arial" w:hAnsi="Arial" w:cs="Arial"/>
          <w:sz w:val="22"/>
          <w:szCs w:val="22"/>
        </w:rPr>
        <w:t xml:space="preserve">The NHS is committed to increasing the proportion of cancers diagnosed at stage I or II to 75% (NHS England, 2023). The ambition acknowledges that early diagnosis is the most effective method of enhancing survival and decreasing the burden of treatment. However, realisation of the objective is contingent upon the diagnostic technology to recognise the less common presentations. </w:t>
      </w:r>
    </w:p>
    <w:p w14:paraId="49021F21" w14:textId="77777777" w:rsidR="00DB09AE" w:rsidRDefault="00000000" w:rsidP="003E3922">
      <w:pPr>
        <w:pStyle w:val="Heading3"/>
        <w:spacing w:line="360" w:lineRule="auto"/>
        <w:jc w:val="both"/>
      </w:pPr>
      <w:bookmarkStart w:id="43" w:name="_Toc236055028"/>
      <w:r>
        <w:t>Critical Discussion of Findings</w:t>
      </w:r>
      <w:bookmarkEnd w:id="43"/>
    </w:p>
    <w:p w14:paraId="717108E8"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The critical review of literature found that the persistent gap between available evidence and daily clinical practice is a great barrier to fostering accurate diagnosis of the Paget’s disease of the breast. While the condition has existed for many years, the rarity means that many clinicians encounter a few or cases during their caring, leading to limited opportunities to develop diagnostic confidence (Karakas et al., 2011). The uncommon breast presentations lead to less educational attention and variability in recognition. Dodd et al., (2013) added that educational resources also fail to reflect the diversity and complexity encountered in routine clinical practice. The findings thus suggest that improving outcomes for women with suspected Paget's disease requires a transition from reactive diagnosis towards proactive diagnostic capability. Although persistent nipple changes should not automatically trigger urgent cancer investigation, the failure to reconsider an initial benign diagnosis when symptoms persist represents a significant weakness within clinical decision-making. Effective diagnostic practice should thus be built around continuous assessment, safety netting and full willingness to revise the provisional diagnoses in response to changing clinical evidence (Dodd et al., 2013).</w:t>
      </w:r>
    </w:p>
    <w:p w14:paraId="46B982D6" w14:textId="77777777" w:rsidR="003E3922" w:rsidRDefault="003E3922" w:rsidP="003E3922">
      <w:pPr>
        <w:spacing w:line="360" w:lineRule="auto"/>
        <w:ind w:firstLine="720"/>
        <w:jc w:val="both"/>
        <w:rPr>
          <w:rFonts w:ascii="Arial" w:eastAsia="Arial" w:hAnsi="Arial" w:cs="Arial"/>
          <w:sz w:val="22"/>
          <w:szCs w:val="22"/>
        </w:rPr>
      </w:pPr>
    </w:p>
    <w:p w14:paraId="1DF22E15" w14:textId="77777777" w:rsidR="003E3922" w:rsidRDefault="003E3922" w:rsidP="003E3922">
      <w:pPr>
        <w:spacing w:line="360" w:lineRule="auto"/>
        <w:ind w:firstLine="720"/>
        <w:jc w:val="both"/>
        <w:rPr>
          <w:rFonts w:ascii="Arial" w:eastAsia="Arial" w:hAnsi="Arial" w:cs="Arial"/>
          <w:sz w:val="22"/>
          <w:szCs w:val="22"/>
        </w:rPr>
      </w:pPr>
    </w:p>
    <w:p w14:paraId="186F96E8"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lastRenderedPageBreak/>
        <w:t>The literature also argues that improving diagnosis requires multidisciplinary collaboration instead of profession-specific intervention. Since women with early Paget's disease may initially present to general practitioners, dermatologists, emergency clinicians or advanced nurse practitioners before referral to specialist breast services, improving the diagnostic accuracy depends on effective communication across professional boundaries. Walter et al., supported the system perspective by noting that delays do not originate from a single clinical encounter but instead accumulates throughout the diagnostic pathway. Based on Walters et al., (2012) strengthening only one stage of care is unlikely to eliminate delays unless the improvements occur within the wider healthcare system.  A culture of organisational learning for continuous improvement is also critical. Instead of viewing delayed diagnoses as individual errors, healthcare organisations should integrate diagnostic audits and multidisciplinary case reviews to identify recurring patterns in delayed Paget’s disease diagnosis and implement quality improvement programs (DeSantis et al. 2019). The approach can facilitate reflective practice and the deliberate refinement of referral pathways and educational priorities using real-world experiences. The proactive approach to patient safety can create an environment where rare conditions such as Paget’s disease become opportunities for learning, just culture and evidence-based practice.</w:t>
      </w:r>
    </w:p>
    <w:p w14:paraId="0BFD080B"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From the policy perspective, stronger implementation mechanisms are required since policies such as NICE NG12 (2023) supports timely referral of suspected cancer, while the NHS Long Term Plan prioritises earlier diagnosis and improved cancer outcomes (NHS England, 2023). The dependence of the policies on workforce capabilities and the need for continuous education, demands that future service development should include greater representation of rare breast conditions within professional education (Karakas, 2011; DeSantis et al. 2019). Staff members should also receive person-centred training  and decision-support resources that can assist clinicians when examining persistent nipple abnormalities. Such interventions would complement the current referral pathways, besides supporting consistent diagnostic practice across diverse health settings. From the perspective of NHS England's Core20PLUS5, the principle of proportionate interventions should be applied to support earlier access to specialist assessment for patients at greater risk of diagnostic disadvantage. Professional responsibility is also reinforced by the Nursing and Midwifery Council (NMC) Code (2018) that mandates nurses to preserve safety and practice effectively by recognising persistent symptoms and challenging diagnostic assumptions and foreshadowing whenever necessary for most personalised diagnostic practices across diverse healthcare settings. The theme concludes the analysis by demonstrating how healthcare systems can respond to the challenges identified throughout the dissertation. It builds on theme 1, which established why Paget's disease is clinically difficult to recognise and Theme </w:t>
      </w:r>
      <w:r>
        <w:rPr>
          <w:rFonts w:ascii="Arial" w:eastAsia="Arial" w:hAnsi="Arial" w:cs="Arial"/>
          <w:sz w:val="22"/>
          <w:szCs w:val="22"/>
        </w:rPr>
        <w:lastRenderedPageBreak/>
        <w:t xml:space="preserve">2 that showed how the inequalities amplify diagnostic delay. The theme also provides a sustainable pathway towards achieving earlier and more equitable diagnosis of Paget’s disease of the breast. </w:t>
      </w:r>
    </w:p>
    <w:p w14:paraId="052A4599" w14:textId="77777777" w:rsidR="00DB09AE" w:rsidRDefault="00000000" w:rsidP="003E3922">
      <w:pPr>
        <w:pStyle w:val="Heading2"/>
        <w:spacing w:line="360" w:lineRule="auto"/>
        <w:jc w:val="both"/>
      </w:pPr>
      <w:bookmarkStart w:id="44" w:name="_Toc236055029"/>
      <w:r>
        <w:t>4.6 Conclusion</w:t>
      </w:r>
      <w:bookmarkEnd w:id="44"/>
    </w:p>
    <w:p w14:paraId="41BCA984"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The chapter has synthesised the evidence on diagnostic delays in Paget's disease of the breast through three interconnected themes. The findings have shown that atypical clinical presentation creates significant diagnostic uncertainty that are further compounded by inequalities that are linked to ethnicity, socioeconomic deprivation and skin tone. The chapter has also affirmed that improving the diagnostic capacity of Paget’s disease of the breast can be achieved through workforce education, multidisciplinary collaboration and continuous healthcare system improvement for equitable diagnosis. Based on the thematic analysis, delayed diagnosis of Paget’s disease is a complex and multifactorial problem that should be addressed by developing sustainable solutions to clinical, structural and organisational concerns. Chapter 5 will build on the current chapter by offering a summative conclusion then providing recommendations for both clinical practice and future research. </w:t>
      </w:r>
    </w:p>
    <w:p w14:paraId="7DC009DC" w14:textId="77777777" w:rsidR="00DB09AE" w:rsidRDefault="00DB09AE" w:rsidP="003E3922">
      <w:pPr>
        <w:spacing w:line="360" w:lineRule="auto"/>
        <w:ind w:firstLine="720"/>
        <w:jc w:val="both"/>
        <w:rPr>
          <w:rFonts w:ascii="Arial" w:eastAsia="Arial" w:hAnsi="Arial" w:cs="Arial"/>
          <w:sz w:val="22"/>
          <w:szCs w:val="22"/>
        </w:rPr>
      </w:pPr>
    </w:p>
    <w:p w14:paraId="4B47461D" w14:textId="77777777" w:rsidR="00DB09AE" w:rsidRDefault="00DB09AE" w:rsidP="003E3922">
      <w:pPr>
        <w:spacing w:line="360" w:lineRule="auto"/>
        <w:ind w:firstLine="720"/>
        <w:jc w:val="both"/>
        <w:rPr>
          <w:rFonts w:ascii="Arial" w:eastAsia="Arial" w:hAnsi="Arial" w:cs="Arial"/>
          <w:sz w:val="22"/>
          <w:szCs w:val="22"/>
        </w:rPr>
      </w:pPr>
    </w:p>
    <w:p w14:paraId="0859B6DB" w14:textId="77777777" w:rsidR="00DB09AE" w:rsidRDefault="00DB09AE" w:rsidP="003E3922">
      <w:pPr>
        <w:spacing w:line="360" w:lineRule="auto"/>
        <w:ind w:firstLine="720"/>
        <w:jc w:val="both"/>
        <w:rPr>
          <w:rFonts w:ascii="Arial" w:eastAsia="Arial" w:hAnsi="Arial" w:cs="Arial"/>
          <w:sz w:val="22"/>
          <w:szCs w:val="22"/>
        </w:rPr>
      </w:pPr>
    </w:p>
    <w:p w14:paraId="74C8ADBF" w14:textId="77777777" w:rsidR="00DB09AE" w:rsidRDefault="00DB09AE" w:rsidP="003E3922">
      <w:pPr>
        <w:spacing w:line="360" w:lineRule="auto"/>
        <w:ind w:firstLine="720"/>
        <w:jc w:val="both"/>
        <w:rPr>
          <w:rFonts w:ascii="Arial" w:eastAsia="Arial" w:hAnsi="Arial" w:cs="Arial"/>
          <w:sz w:val="22"/>
          <w:szCs w:val="22"/>
        </w:rPr>
      </w:pPr>
    </w:p>
    <w:p w14:paraId="51BE6F72" w14:textId="77777777" w:rsidR="00DB09AE" w:rsidRDefault="00DB09AE" w:rsidP="003E3922">
      <w:pPr>
        <w:spacing w:line="360" w:lineRule="auto"/>
        <w:ind w:firstLine="720"/>
        <w:jc w:val="both"/>
        <w:rPr>
          <w:rFonts w:ascii="Arial" w:eastAsia="Arial" w:hAnsi="Arial" w:cs="Arial"/>
          <w:sz w:val="22"/>
          <w:szCs w:val="22"/>
        </w:rPr>
      </w:pPr>
    </w:p>
    <w:p w14:paraId="11C65A62" w14:textId="77777777" w:rsidR="00DB09AE" w:rsidRDefault="00DB09AE" w:rsidP="003E3922">
      <w:pPr>
        <w:spacing w:line="360" w:lineRule="auto"/>
        <w:ind w:firstLine="720"/>
        <w:jc w:val="both"/>
        <w:rPr>
          <w:rFonts w:ascii="Arial" w:eastAsia="Arial" w:hAnsi="Arial" w:cs="Arial"/>
          <w:sz w:val="22"/>
          <w:szCs w:val="22"/>
        </w:rPr>
      </w:pPr>
    </w:p>
    <w:p w14:paraId="01861FA5" w14:textId="77777777" w:rsidR="00DB09AE" w:rsidRDefault="00DB09AE" w:rsidP="003E3922">
      <w:pPr>
        <w:spacing w:line="360" w:lineRule="auto"/>
        <w:ind w:firstLine="720"/>
        <w:jc w:val="both"/>
        <w:rPr>
          <w:rFonts w:ascii="Arial" w:eastAsia="Arial" w:hAnsi="Arial" w:cs="Arial"/>
          <w:sz w:val="22"/>
          <w:szCs w:val="22"/>
        </w:rPr>
      </w:pPr>
    </w:p>
    <w:p w14:paraId="1178BFB5" w14:textId="77777777" w:rsidR="00DB09AE" w:rsidRDefault="00DB09AE" w:rsidP="003E3922">
      <w:pPr>
        <w:spacing w:line="360" w:lineRule="auto"/>
        <w:ind w:firstLine="720"/>
        <w:jc w:val="both"/>
        <w:rPr>
          <w:rFonts w:ascii="Arial" w:eastAsia="Arial" w:hAnsi="Arial" w:cs="Arial"/>
          <w:sz w:val="22"/>
          <w:szCs w:val="22"/>
        </w:rPr>
      </w:pPr>
    </w:p>
    <w:p w14:paraId="605F3029" w14:textId="77777777" w:rsidR="00DB09AE" w:rsidRDefault="00DB09AE" w:rsidP="003E3922">
      <w:pPr>
        <w:spacing w:line="360" w:lineRule="auto"/>
        <w:ind w:firstLine="720"/>
        <w:jc w:val="both"/>
        <w:rPr>
          <w:rFonts w:ascii="Arial" w:eastAsia="Arial" w:hAnsi="Arial" w:cs="Arial"/>
          <w:sz w:val="22"/>
          <w:szCs w:val="22"/>
        </w:rPr>
      </w:pPr>
    </w:p>
    <w:p w14:paraId="3EC77D15" w14:textId="77777777" w:rsidR="00DB09AE" w:rsidRDefault="00DB09AE" w:rsidP="003E3922">
      <w:pPr>
        <w:spacing w:line="360" w:lineRule="auto"/>
        <w:ind w:firstLine="720"/>
        <w:jc w:val="both"/>
        <w:rPr>
          <w:rFonts w:ascii="Arial" w:eastAsia="Arial" w:hAnsi="Arial" w:cs="Arial"/>
          <w:sz w:val="22"/>
          <w:szCs w:val="22"/>
        </w:rPr>
      </w:pPr>
    </w:p>
    <w:p w14:paraId="06166B3E" w14:textId="77777777" w:rsidR="00DB09AE" w:rsidRDefault="00DB09AE" w:rsidP="003E3922">
      <w:pPr>
        <w:spacing w:line="360" w:lineRule="auto"/>
        <w:ind w:firstLine="720"/>
        <w:jc w:val="both"/>
        <w:rPr>
          <w:rFonts w:ascii="Arial" w:eastAsia="Arial" w:hAnsi="Arial" w:cs="Arial"/>
          <w:sz w:val="22"/>
          <w:szCs w:val="22"/>
        </w:rPr>
      </w:pPr>
    </w:p>
    <w:p w14:paraId="251CF07C" w14:textId="77777777" w:rsidR="00DB09AE" w:rsidRDefault="00DB09AE" w:rsidP="003E3922">
      <w:pPr>
        <w:spacing w:line="360" w:lineRule="auto"/>
        <w:ind w:firstLine="720"/>
        <w:jc w:val="both"/>
        <w:rPr>
          <w:rFonts w:ascii="Arial" w:eastAsia="Arial" w:hAnsi="Arial" w:cs="Arial"/>
          <w:sz w:val="22"/>
          <w:szCs w:val="22"/>
        </w:rPr>
      </w:pPr>
    </w:p>
    <w:p w14:paraId="6242790C" w14:textId="77777777" w:rsidR="00DB09AE" w:rsidRDefault="00000000" w:rsidP="003E3922">
      <w:pPr>
        <w:pStyle w:val="Heading1"/>
        <w:spacing w:line="360" w:lineRule="auto"/>
        <w:jc w:val="both"/>
        <w:rPr>
          <w:sz w:val="22"/>
          <w:szCs w:val="22"/>
        </w:rPr>
      </w:pPr>
      <w:bookmarkStart w:id="45" w:name="_Toc236055030"/>
      <w:r>
        <w:rPr>
          <w:sz w:val="22"/>
          <w:szCs w:val="22"/>
        </w:rPr>
        <w:lastRenderedPageBreak/>
        <w:t>CHAPTER 5 – Conclusion and Recommendations</w:t>
      </w:r>
      <w:bookmarkEnd w:id="45"/>
    </w:p>
    <w:p w14:paraId="2B2A9D73" w14:textId="77777777" w:rsidR="00DB09AE" w:rsidRDefault="00000000" w:rsidP="003E3922">
      <w:pPr>
        <w:pStyle w:val="Heading2"/>
        <w:spacing w:line="360" w:lineRule="auto"/>
        <w:jc w:val="both"/>
        <w:rPr>
          <w:sz w:val="22"/>
          <w:szCs w:val="22"/>
        </w:rPr>
      </w:pPr>
      <w:bookmarkStart w:id="46" w:name="_Toc236055031"/>
      <w:r>
        <w:rPr>
          <w:sz w:val="22"/>
          <w:szCs w:val="22"/>
        </w:rPr>
        <w:t>5.1 Overall Conclusion</w:t>
      </w:r>
      <w:bookmarkEnd w:id="46"/>
    </w:p>
    <w:p w14:paraId="1CE70152"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This dissertation critically examined the factors contributing to diagnostic delays among women aged 18–40 in the West Midlands, with particular emphasis on healthcare inequalities, ethnicity and the challenges associated with recognising Paget's disease of the breast. Chapter One established the clinical significance of the topic by outlining the increasing burden of breast cancer and the need to understand barriers affecting early diagnosis. Chapter Two demonstrated that although delayed diagnosis has been widely investigated in breast cancer, limited attention has been given to the combined influence of atypical clinical presentation, healthcare inequalities and organisational factors in relation to Paget's disease. Chapter Three adopted a systematic secondary research methodology using a structured search strategy, rigorous source appraisal and thematic analysis to ensure a transparent and credible synthesis of evidence. Chapter Four identified three interconnected themes showing that diagnostic delays arise through the interaction of atypical symptom presentation, structural healthcare inequalities and limitations in diagnostic capacity across education, clinical practice and healthcare systems. The findings have effectively addressed all research objectives by explaining how clinical , organisational and socioeconomic factors influence diagnostic pathways and highlighting opportunities for early, and consistently equitable diagnosis. </w:t>
      </w:r>
    </w:p>
    <w:p w14:paraId="652A77A2" w14:textId="77777777" w:rsidR="00DB09AE" w:rsidRDefault="00000000" w:rsidP="003E3922">
      <w:pPr>
        <w:pStyle w:val="Heading2"/>
        <w:spacing w:line="360" w:lineRule="auto"/>
        <w:jc w:val="both"/>
        <w:rPr>
          <w:sz w:val="22"/>
          <w:szCs w:val="22"/>
        </w:rPr>
      </w:pPr>
      <w:bookmarkStart w:id="47" w:name="_Toc236055032"/>
      <w:r>
        <w:rPr>
          <w:sz w:val="22"/>
          <w:szCs w:val="22"/>
        </w:rPr>
        <w:t>5.2 Recommendations</w:t>
      </w:r>
      <w:bookmarkEnd w:id="47"/>
    </w:p>
    <w:p w14:paraId="293C81AE" w14:textId="77777777" w:rsidR="00DB09AE" w:rsidRDefault="00000000" w:rsidP="003E3922">
      <w:pPr>
        <w:pStyle w:val="Heading3"/>
        <w:spacing w:line="360" w:lineRule="auto"/>
        <w:jc w:val="both"/>
        <w:rPr>
          <w:sz w:val="22"/>
          <w:szCs w:val="22"/>
        </w:rPr>
      </w:pPr>
      <w:bookmarkStart w:id="48" w:name="_Toc236055033"/>
      <w:r>
        <w:rPr>
          <w:sz w:val="22"/>
          <w:szCs w:val="22"/>
        </w:rPr>
        <w:t>5.2.1 Recommendation 1: Enhance Education and Continuing Professional Development on Paget's Disease of the Breast</w:t>
      </w:r>
      <w:bookmarkEnd w:id="48"/>
    </w:p>
    <w:p w14:paraId="1147C568" w14:textId="77777777" w:rsidR="00DB09AE" w:rsidRDefault="00000000" w:rsidP="003E3922">
      <w:pPr>
        <w:spacing w:line="360" w:lineRule="auto"/>
        <w:jc w:val="both"/>
        <w:rPr>
          <w:rFonts w:ascii="Arial" w:eastAsia="Arial" w:hAnsi="Arial" w:cs="Arial"/>
          <w:sz w:val="22"/>
          <w:szCs w:val="22"/>
        </w:rPr>
      </w:pPr>
      <w:r>
        <w:rPr>
          <w:rFonts w:ascii="Arial" w:eastAsia="Arial" w:hAnsi="Arial" w:cs="Arial"/>
          <w:sz w:val="22"/>
          <w:szCs w:val="22"/>
        </w:rPr>
        <w:t xml:space="preserve">Following a comprehensive evaluation of the findings, limited recognition of atypical breast symptoms is still a core contributor to delayed diagnosis in young women presenting with Paget’s disease of the breast. To address the problem, it is recommended that Healthcare organisations should therefore strengthen continuing professional education by introducing dedicated training on rare breast malignancies into mandatory continuous professional development programs for general practitioners, advanced nurse practitioners, dermatologists, emergency clinicians and breast care specialists. In addition, the educational content should move beyond the traditional breast cancer presentations to include persistent unilateral nipple eczema, unexplained nipple discharge, crusting and other atypical manifestations that warrant further investigation. Beyond integrating diverse clinical case studies and evidence-based decision-support tools that can boost diagnostic confidence, the training should also be customised to the learning style and preferences (kinaesthetic, auditory, visual and read-write) for best outcomes. The recommendation is consistent with the </w:t>
      </w:r>
      <w:r>
        <w:rPr>
          <w:rFonts w:ascii="Arial" w:eastAsia="Arial" w:hAnsi="Arial" w:cs="Arial"/>
          <w:sz w:val="22"/>
          <w:szCs w:val="22"/>
        </w:rPr>
        <w:lastRenderedPageBreak/>
        <w:t xml:space="preserve">NHS commitment on earlier diagnosis and also supports equitable clinical decision-making, attained through professional competence. However, the implementation can be impeded by competing clinical priorities, workforce shortages and limited protected learning time within healthcare services that are already pressured. Additionally, Paget's disease is still uncommon, which could make organisations perceive additional education as having limited value compared with more prevalent conditions. To tackle the identified barriers, short digital learning modules can be embedded into the current mandatory education programs instead of introducing standalone courses. Educational materials should also be integrated into annual cancer update training and supported through multidisciplinary simulation exercises using authentic clinical scenarios. A more proactive approach to collaboration would also boost the chances of success and programme quality, while minimising the cost. </w:t>
      </w:r>
    </w:p>
    <w:p w14:paraId="096CEE6B" w14:textId="77777777" w:rsidR="00DB09AE" w:rsidRDefault="00000000" w:rsidP="003E3922">
      <w:pPr>
        <w:pStyle w:val="Heading3"/>
        <w:spacing w:line="360" w:lineRule="auto"/>
        <w:jc w:val="both"/>
        <w:rPr>
          <w:sz w:val="22"/>
          <w:szCs w:val="22"/>
        </w:rPr>
      </w:pPr>
      <w:bookmarkStart w:id="49" w:name="_Toc236055034"/>
      <w:r>
        <w:rPr>
          <w:sz w:val="22"/>
          <w:szCs w:val="22"/>
        </w:rPr>
        <w:t>5.2.2 Recommendation 2: Develop Equitable Diagnostic Pathways for Women at Risk of Diagnostic Delay</w:t>
      </w:r>
      <w:bookmarkEnd w:id="49"/>
    </w:p>
    <w:p w14:paraId="330324DC" w14:textId="77777777" w:rsidR="00DB09AE" w:rsidRDefault="00000000" w:rsidP="003E3922">
      <w:pPr>
        <w:spacing w:line="360" w:lineRule="auto"/>
        <w:jc w:val="both"/>
        <w:rPr>
          <w:rFonts w:ascii="Arial" w:eastAsia="Arial" w:hAnsi="Arial" w:cs="Arial"/>
          <w:sz w:val="22"/>
          <w:szCs w:val="22"/>
        </w:rPr>
      </w:pPr>
      <w:r>
        <w:rPr>
          <w:rFonts w:ascii="Arial" w:eastAsia="Arial" w:hAnsi="Arial" w:cs="Arial"/>
          <w:sz w:val="22"/>
          <w:szCs w:val="22"/>
        </w:rPr>
        <w:t xml:space="preserve">The second recommendation is that healthcare organisations should strengthen diagnostic pathways by introducing clearer assessment and referral guidance for patients presenting with persistent unilateral nipple abnormalities suggestive of Paget's disease. Clinicians should surpass the sole reliance on initial clinical symptoms and adopt a structured safety-netting approach that include follow-up reviews, documented reassessment of unresolved symptoms and earlier referral to specialist breast services where symptoms persist despite treatment. The mechanism would not only reduce variation in clinical decision making but also support the national ambition of achieving earlier cancer diagnosis by ensuring that rare breast conditions are not overlooked because of their uncommon or atypical presentation. Moreover, the implementation of standardised pathways also promote greater diagnostic consistency among healthcare professionals and reduce opportunities for avoidable delays associated with repeated treatments for benign dermatological conditions. Nonetheless, the increasing service pressures and limited specialist capacities can limit the implementation of the recommendation. The challenges can however be tackled by incorporating evidence-based decision-support tools into the current referrals systems and electronic patient records to enable the clinicians to identify high-risk presentations without significantly increasing the workload (Gaurav et al., 2018). Multidisciplinary professionals should also be included in performing regular review of the delayed diagnoses as a way of improving clinical governance processes through identifying recurring system weaknesses and continuously refining the referral pathways. </w:t>
      </w:r>
    </w:p>
    <w:p w14:paraId="1AA9E949" w14:textId="77777777" w:rsidR="00DB09AE" w:rsidRDefault="00000000" w:rsidP="003E3922">
      <w:pPr>
        <w:pStyle w:val="Heading3"/>
        <w:spacing w:line="360" w:lineRule="auto"/>
        <w:jc w:val="both"/>
      </w:pPr>
      <w:bookmarkStart w:id="50" w:name="_Toc236055035"/>
      <w:r>
        <w:lastRenderedPageBreak/>
        <w:t>5.2.3 Recommendation 3: Embed Continuous Quality Improvement Through Audit and Multidisciplinary Learning</w:t>
      </w:r>
      <w:bookmarkEnd w:id="50"/>
    </w:p>
    <w:p w14:paraId="03675570" w14:textId="77777777" w:rsidR="00DB09AE" w:rsidRDefault="00000000" w:rsidP="003E3922">
      <w:pPr>
        <w:spacing w:line="360" w:lineRule="auto"/>
        <w:jc w:val="both"/>
        <w:rPr>
          <w:rFonts w:ascii="Arial" w:eastAsia="Arial" w:hAnsi="Arial" w:cs="Arial"/>
          <w:sz w:val="22"/>
          <w:szCs w:val="22"/>
        </w:rPr>
      </w:pPr>
      <w:r>
        <w:rPr>
          <w:rFonts w:ascii="Arial" w:eastAsia="Arial" w:hAnsi="Arial" w:cs="Arial"/>
          <w:sz w:val="22"/>
          <w:szCs w:val="22"/>
        </w:rPr>
        <w:t xml:space="preserve">The healthcare organisations should also develop continuous quality improvement programmes that focus on routinely reviewing delayed or missed diagnoses of rare breast conditions This can be attained through the convergence of multidisciplinary professionals including primary care clinicians, dermatologists, breast specialists and advanced nurse practitioners would enable organisations to identify recurring diagnostic challenges and develop the requisite service improvements that can lead to positive outcomes. When healthcare professionals learn from real clinical cases it would lead to organisational knowledge and foster a more consistent diagnostic practice. Such recommendations can support a culture of continuous improvement by shifting the focus from blame to system learning. Furthermore, clinical settings should regularly audit findings to inform local clinical guidelines and service redesign that can ensure lessons from the previous diagnostic delays are translated into future practice. Like many other recommendations, the uptake of the current recommendation can be hindered by time constraints, high workload and decreased engagement with audit activities. The challenges can be mitigated by embedding reviews within existing clinical governance meetings and integrating audit findings into routine quality assurance processes instead of adding additional administrative structures. Organisational learning is the only mechanism of creating a system of upholding the highest quality of diagnosis and supporting long-term improvements in patient outcomes.  </w:t>
      </w:r>
    </w:p>
    <w:p w14:paraId="2E455AD8" w14:textId="77777777" w:rsidR="00DB09AE" w:rsidRDefault="00000000" w:rsidP="003E3922">
      <w:pPr>
        <w:spacing w:line="360" w:lineRule="auto"/>
        <w:ind w:firstLine="720"/>
        <w:jc w:val="both"/>
        <w:rPr>
          <w:rFonts w:ascii="Arial" w:eastAsia="Arial" w:hAnsi="Arial" w:cs="Arial"/>
          <w:sz w:val="22"/>
          <w:szCs w:val="22"/>
        </w:rPr>
      </w:pPr>
      <w:r>
        <w:rPr>
          <w:rFonts w:ascii="Arial" w:eastAsia="Arial" w:hAnsi="Arial" w:cs="Arial"/>
          <w:sz w:val="22"/>
          <w:szCs w:val="22"/>
        </w:rPr>
        <w:t xml:space="preserve"> </w:t>
      </w:r>
    </w:p>
    <w:p w14:paraId="35BAC9F1" w14:textId="77777777" w:rsidR="00DB09AE" w:rsidRDefault="00DB09AE" w:rsidP="003E3922">
      <w:pPr>
        <w:spacing w:line="360" w:lineRule="auto"/>
        <w:ind w:firstLine="720"/>
        <w:jc w:val="both"/>
        <w:rPr>
          <w:rFonts w:ascii="Arial" w:eastAsia="Arial" w:hAnsi="Arial" w:cs="Arial"/>
          <w:sz w:val="22"/>
          <w:szCs w:val="22"/>
        </w:rPr>
      </w:pPr>
    </w:p>
    <w:p w14:paraId="59E1E23D" w14:textId="77777777" w:rsidR="00DB09AE" w:rsidRDefault="00DB09AE" w:rsidP="003E3922">
      <w:pPr>
        <w:spacing w:line="360" w:lineRule="auto"/>
        <w:ind w:firstLine="720"/>
        <w:jc w:val="both"/>
        <w:rPr>
          <w:rFonts w:ascii="Arial" w:eastAsia="Arial" w:hAnsi="Arial" w:cs="Arial"/>
          <w:sz w:val="22"/>
          <w:szCs w:val="22"/>
        </w:rPr>
      </w:pPr>
    </w:p>
    <w:p w14:paraId="49B12722" w14:textId="77777777" w:rsidR="00DB09AE" w:rsidRDefault="00DB09AE" w:rsidP="003E3922">
      <w:pPr>
        <w:spacing w:line="360" w:lineRule="auto"/>
        <w:ind w:firstLine="720"/>
        <w:jc w:val="both"/>
        <w:rPr>
          <w:rFonts w:ascii="Arial" w:eastAsia="Arial" w:hAnsi="Arial" w:cs="Arial"/>
          <w:sz w:val="22"/>
          <w:szCs w:val="22"/>
        </w:rPr>
      </w:pPr>
    </w:p>
    <w:p w14:paraId="2C372F8D" w14:textId="77777777" w:rsidR="00DB09AE" w:rsidRDefault="00DB09AE" w:rsidP="003E3922">
      <w:pPr>
        <w:spacing w:line="360" w:lineRule="auto"/>
        <w:ind w:firstLine="720"/>
        <w:jc w:val="both"/>
        <w:rPr>
          <w:rFonts w:ascii="Arial" w:eastAsia="Arial" w:hAnsi="Arial" w:cs="Arial"/>
          <w:sz w:val="22"/>
          <w:szCs w:val="22"/>
        </w:rPr>
      </w:pPr>
    </w:p>
    <w:p w14:paraId="5C27F2C9" w14:textId="77777777" w:rsidR="00DB09AE" w:rsidRDefault="00DB09AE" w:rsidP="003E3922">
      <w:pPr>
        <w:spacing w:line="360" w:lineRule="auto"/>
        <w:ind w:firstLine="720"/>
        <w:jc w:val="both"/>
        <w:rPr>
          <w:rFonts w:ascii="Arial" w:eastAsia="Arial" w:hAnsi="Arial" w:cs="Arial"/>
          <w:sz w:val="22"/>
          <w:szCs w:val="22"/>
        </w:rPr>
      </w:pPr>
    </w:p>
    <w:p w14:paraId="0399FC90" w14:textId="77777777" w:rsidR="00DB09AE" w:rsidRDefault="00DB09AE" w:rsidP="003E3922">
      <w:pPr>
        <w:spacing w:line="360" w:lineRule="auto"/>
        <w:ind w:firstLine="720"/>
        <w:jc w:val="both"/>
        <w:rPr>
          <w:rFonts w:ascii="Arial" w:eastAsia="Arial" w:hAnsi="Arial" w:cs="Arial"/>
          <w:sz w:val="22"/>
          <w:szCs w:val="22"/>
        </w:rPr>
      </w:pPr>
    </w:p>
    <w:p w14:paraId="457AD73C" w14:textId="77777777" w:rsidR="00DB09AE" w:rsidRDefault="00DB09AE" w:rsidP="003E3922">
      <w:pPr>
        <w:spacing w:line="360" w:lineRule="auto"/>
        <w:ind w:firstLine="720"/>
        <w:jc w:val="both"/>
        <w:rPr>
          <w:rFonts w:ascii="Arial" w:eastAsia="Arial" w:hAnsi="Arial" w:cs="Arial"/>
          <w:sz w:val="22"/>
          <w:szCs w:val="22"/>
        </w:rPr>
      </w:pPr>
    </w:p>
    <w:p w14:paraId="149FF81C" w14:textId="77777777" w:rsidR="00DB09AE" w:rsidRDefault="00DB09AE" w:rsidP="003E3922">
      <w:pPr>
        <w:spacing w:line="360" w:lineRule="auto"/>
        <w:ind w:firstLine="720"/>
        <w:jc w:val="both"/>
        <w:rPr>
          <w:rFonts w:ascii="Arial" w:eastAsia="Arial" w:hAnsi="Arial" w:cs="Arial"/>
          <w:sz w:val="22"/>
          <w:szCs w:val="22"/>
        </w:rPr>
      </w:pPr>
    </w:p>
    <w:p w14:paraId="57FDFF72" w14:textId="77777777" w:rsidR="00DB09AE" w:rsidRDefault="00DB09AE" w:rsidP="003E3922">
      <w:pPr>
        <w:spacing w:line="360" w:lineRule="auto"/>
        <w:ind w:firstLine="720"/>
        <w:jc w:val="both"/>
        <w:rPr>
          <w:rFonts w:ascii="Arial" w:eastAsia="Arial" w:hAnsi="Arial" w:cs="Arial"/>
          <w:sz w:val="22"/>
          <w:szCs w:val="22"/>
        </w:rPr>
      </w:pPr>
    </w:p>
    <w:p w14:paraId="302FF571" w14:textId="77777777" w:rsidR="00DB09AE" w:rsidRDefault="00DB09AE" w:rsidP="003E3922">
      <w:pPr>
        <w:spacing w:line="360" w:lineRule="auto"/>
        <w:ind w:firstLine="720"/>
        <w:jc w:val="both"/>
        <w:rPr>
          <w:rFonts w:ascii="Arial" w:eastAsia="Arial" w:hAnsi="Arial" w:cs="Arial"/>
          <w:sz w:val="22"/>
          <w:szCs w:val="22"/>
        </w:rPr>
      </w:pPr>
    </w:p>
    <w:p w14:paraId="3AE7B12A" w14:textId="77777777" w:rsidR="00DB09AE" w:rsidRDefault="00000000" w:rsidP="003E3922">
      <w:pPr>
        <w:pStyle w:val="Heading1"/>
        <w:spacing w:line="360" w:lineRule="auto"/>
        <w:jc w:val="both"/>
      </w:pPr>
      <w:bookmarkStart w:id="51" w:name="_Toc236055036"/>
      <w:r>
        <w:lastRenderedPageBreak/>
        <w:t>References</w:t>
      </w:r>
      <w:bookmarkEnd w:id="51"/>
    </w:p>
    <w:p w14:paraId="65846C2D"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Alharbi, A. and Stevenson, M., 2020. Refining Boolean queries to identify relevant studies for systematic review updates. </w:t>
      </w:r>
      <w:r>
        <w:rPr>
          <w:rFonts w:ascii="Arial" w:eastAsia="Arial" w:hAnsi="Arial" w:cs="Arial"/>
          <w:i/>
          <w:iCs/>
          <w:sz w:val="22"/>
          <w:szCs w:val="22"/>
        </w:rPr>
        <w:t>Journal of the American Medical Informatics Association</w:t>
      </w:r>
      <w:r>
        <w:rPr>
          <w:rFonts w:ascii="Arial" w:eastAsia="Arial" w:hAnsi="Arial" w:cs="Arial"/>
          <w:sz w:val="22"/>
          <w:szCs w:val="22"/>
        </w:rPr>
        <w:t>, </w:t>
      </w:r>
      <w:r>
        <w:rPr>
          <w:rFonts w:ascii="Arial" w:eastAsia="Arial" w:hAnsi="Arial" w:cs="Arial"/>
          <w:i/>
          <w:iCs/>
          <w:sz w:val="22"/>
          <w:szCs w:val="22"/>
        </w:rPr>
        <w:t>27</w:t>
      </w:r>
      <w:r>
        <w:rPr>
          <w:rFonts w:ascii="Arial" w:eastAsia="Arial" w:hAnsi="Arial" w:cs="Arial"/>
          <w:sz w:val="22"/>
          <w:szCs w:val="22"/>
        </w:rPr>
        <w:t xml:space="preserve">(11), pp.1658-1666. </w:t>
      </w:r>
      <w:hyperlink r:id="rId8">
        <w:r w:rsidR="00DB09AE">
          <w:rPr>
            <w:rFonts w:ascii="Arial" w:eastAsia="Arial" w:hAnsi="Arial" w:cs="Arial"/>
            <w:color w:val="0563C1"/>
            <w:sz w:val="22"/>
            <w:szCs w:val="22"/>
            <w:u w:val="single"/>
          </w:rPr>
          <w:t>https://doi.org/10.1093/jamia/ocaa148</w:t>
        </w:r>
      </w:hyperlink>
      <w:r>
        <w:rPr>
          <w:rFonts w:ascii="Arial" w:eastAsia="Arial" w:hAnsi="Arial" w:cs="Arial"/>
          <w:sz w:val="22"/>
          <w:szCs w:val="22"/>
        </w:rPr>
        <w:t xml:space="preserve"> </w:t>
      </w:r>
    </w:p>
    <w:p w14:paraId="2436E4F9"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Aveyard, H., Payne, S. and Preston, N.  2021. A Postgraduate’s Guide to Doing a Literature Review in Health and Social Care. 2nd Edition, Open University Press, Maidenhead.</w:t>
      </w:r>
    </w:p>
    <w:p w14:paraId="68FAEA23"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Barclay, N.L., Burn, E., Delmestri, A., Duarte-Salles, T., Golozar, A., Man, W.Y., Tan, E.H., Tietzova, I., Prieto-Alhambra, D. and Newby, D., 2024. Trends in incidence, prevalence, and survival of breast cancer in the United Kingdom from 2000 to 2021. </w:t>
      </w:r>
      <w:r>
        <w:rPr>
          <w:rFonts w:ascii="Arial" w:eastAsia="Arial" w:hAnsi="Arial" w:cs="Arial"/>
          <w:i/>
          <w:iCs/>
          <w:sz w:val="22"/>
          <w:szCs w:val="22"/>
        </w:rPr>
        <w:t>Scientific Reports</w:t>
      </w:r>
      <w:r>
        <w:rPr>
          <w:rFonts w:ascii="Arial" w:eastAsia="Arial" w:hAnsi="Arial" w:cs="Arial"/>
          <w:sz w:val="22"/>
          <w:szCs w:val="22"/>
        </w:rPr>
        <w:t>, </w:t>
      </w:r>
      <w:r>
        <w:rPr>
          <w:rFonts w:ascii="Arial" w:eastAsia="Arial" w:hAnsi="Arial" w:cs="Arial"/>
          <w:i/>
          <w:iCs/>
          <w:sz w:val="22"/>
          <w:szCs w:val="22"/>
        </w:rPr>
        <w:t>14</w:t>
      </w:r>
      <w:r>
        <w:rPr>
          <w:rFonts w:ascii="Arial" w:eastAsia="Arial" w:hAnsi="Arial" w:cs="Arial"/>
          <w:sz w:val="22"/>
          <w:szCs w:val="22"/>
        </w:rPr>
        <w:t xml:space="preserve">(1), p.19069. </w:t>
      </w:r>
      <w:hyperlink r:id="rId9">
        <w:r w:rsidR="00DB09AE">
          <w:rPr>
            <w:rFonts w:ascii="Arial" w:eastAsia="Arial" w:hAnsi="Arial" w:cs="Arial"/>
            <w:color w:val="0563C1"/>
            <w:sz w:val="22"/>
            <w:szCs w:val="22"/>
            <w:u w:val="single"/>
          </w:rPr>
          <w:t>https://doi.org/10.1038/s41598-024-69006-1</w:t>
        </w:r>
      </w:hyperlink>
      <w:r>
        <w:rPr>
          <w:rFonts w:ascii="Arial" w:eastAsia="Arial" w:hAnsi="Arial" w:cs="Arial"/>
          <w:sz w:val="22"/>
          <w:szCs w:val="22"/>
        </w:rPr>
        <w:t xml:space="preserve"> </w:t>
      </w:r>
    </w:p>
    <w:p w14:paraId="7CF53E11"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Barnett-Page, E. and Thomas, J., 2009. Methods for the synthesis of qualitative research: a critical review. </w:t>
      </w:r>
      <w:r>
        <w:rPr>
          <w:rFonts w:ascii="Arial" w:eastAsia="Arial" w:hAnsi="Arial" w:cs="Arial"/>
          <w:i/>
          <w:iCs/>
          <w:sz w:val="22"/>
          <w:szCs w:val="22"/>
        </w:rPr>
        <w:t>BMC medical research methodology</w:t>
      </w:r>
      <w:r>
        <w:rPr>
          <w:rFonts w:ascii="Arial" w:eastAsia="Arial" w:hAnsi="Arial" w:cs="Arial"/>
          <w:sz w:val="22"/>
          <w:szCs w:val="22"/>
        </w:rPr>
        <w:t>, </w:t>
      </w:r>
      <w:r>
        <w:rPr>
          <w:rFonts w:ascii="Arial" w:eastAsia="Arial" w:hAnsi="Arial" w:cs="Arial"/>
          <w:i/>
          <w:iCs/>
          <w:sz w:val="22"/>
          <w:szCs w:val="22"/>
        </w:rPr>
        <w:t>9</w:t>
      </w:r>
      <w:r>
        <w:rPr>
          <w:rFonts w:ascii="Arial" w:eastAsia="Arial" w:hAnsi="Arial" w:cs="Arial"/>
          <w:sz w:val="22"/>
          <w:szCs w:val="22"/>
        </w:rPr>
        <w:t xml:space="preserve">(1), p.59. </w:t>
      </w:r>
      <w:hyperlink r:id="rId10">
        <w:r w:rsidR="00DB09AE">
          <w:rPr>
            <w:rFonts w:ascii="Arial" w:eastAsia="Arial" w:hAnsi="Arial" w:cs="Arial"/>
            <w:color w:val="0563C1"/>
            <w:sz w:val="22"/>
            <w:szCs w:val="22"/>
            <w:u w:val="single"/>
          </w:rPr>
          <w:t>https://doi.org/10.1186/1471-2288-9-59</w:t>
        </w:r>
      </w:hyperlink>
      <w:r>
        <w:rPr>
          <w:rFonts w:ascii="Arial" w:eastAsia="Arial" w:hAnsi="Arial" w:cs="Arial"/>
          <w:sz w:val="22"/>
          <w:szCs w:val="22"/>
        </w:rPr>
        <w:t xml:space="preserve"> </w:t>
      </w:r>
    </w:p>
    <w:p w14:paraId="675B0DF5"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Bauer, G.R., 2014. Incorporating intersectionality theory into population health research methodology: challenges and the potential to advance health equity. </w:t>
      </w:r>
      <w:r>
        <w:rPr>
          <w:rFonts w:ascii="Arial" w:eastAsia="Arial" w:hAnsi="Arial" w:cs="Arial"/>
          <w:i/>
          <w:iCs/>
          <w:sz w:val="22"/>
          <w:szCs w:val="22"/>
        </w:rPr>
        <w:t>Social science &amp; medicine</w:t>
      </w:r>
      <w:r>
        <w:rPr>
          <w:rFonts w:ascii="Arial" w:eastAsia="Arial" w:hAnsi="Arial" w:cs="Arial"/>
          <w:sz w:val="22"/>
          <w:szCs w:val="22"/>
        </w:rPr>
        <w:t>, </w:t>
      </w:r>
      <w:r>
        <w:rPr>
          <w:rFonts w:ascii="Arial" w:eastAsia="Arial" w:hAnsi="Arial" w:cs="Arial"/>
          <w:i/>
          <w:iCs/>
          <w:sz w:val="22"/>
          <w:szCs w:val="22"/>
        </w:rPr>
        <w:t>110</w:t>
      </w:r>
      <w:r>
        <w:rPr>
          <w:rFonts w:ascii="Arial" w:eastAsia="Arial" w:hAnsi="Arial" w:cs="Arial"/>
          <w:sz w:val="22"/>
          <w:szCs w:val="22"/>
        </w:rPr>
        <w:t xml:space="preserve">, pp.10-17. </w:t>
      </w:r>
      <w:hyperlink r:id="rId11">
        <w:r w:rsidR="00DB09AE">
          <w:rPr>
            <w:rFonts w:ascii="Arial" w:eastAsia="Arial" w:hAnsi="Arial" w:cs="Arial"/>
            <w:color w:val="0000FF"/>
            <w:sz w:val="22"/>
            <w:szCs w:val="22"/>
            <w:u w:val="single"/>
          </w:rPr>
          <w:t>https://doi.org/10.1016/j.socscimed.2014.03.022</w:t>
        </w:r>
      </w:hyperlink>
      <w:r>
        <w:rPr>
          <w:rFonts w:ascii="Arial" w:eastAsia="Arial" w:hAnsi="Arial" w:cs="Arial"/>
          <w:sz w:val="22"/>
          <w:szCs w:val="22"/>
        </w:rPr>
        <w:t xml:space="preserve"> </w:t>
      </w:r>
    </w:p>
    <w:p w14:paraId="2B334C8B"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Berchet, C., Bowers, L., Kelly, D. and Sanchez, A., 2025. Assessing cancer care quality in OECD countries: New indicators for benchmarking performance. </w:t>
      </w:r>
      <w:r>
        <w:rPr>
          <w:rFonts w:ascii="Arial" w:eastAsia="Arial" w:hAnsi="Arial" w:cs="Arial"/>
          <w:i/>
          <w:iCs/>
          <w:sz w:val="22"/>
          <w:szCs w:val="22"/>
        </w:rPr>
        <w:t>OECD Health Working Papers</w:t>
      </w:r>
      <w:r>
        <w:rPr>
          <w:rFonts w:ascii="Arial" w:eastAsia="Arial" w:hAnsi="Arial" w:cs="Arial"/>
          <w:sz w:val="22"/>
          <w:szCs w:val="22"/>
        </w:rPr>
        <w:t xml:space="preserve">. </w:t>
      </w:r>
      <w:hyperlink r:id="rId12">
        <w:r w:rsidR="00DB09AE">
          <w:rPr>
            <w:rFonts w:ascii="Arial" w:eastAsia="Arial" w:hAnsi="Arial" w:cs="Arial"/>
            <w:color w:val="0000FF"/>
            <w:sz w:val="22"/>
            <w:szCs w:val="22"/>
            <w:u w:val="single"/>
          </w:rPr>
          <w:t>https://www.oecd.org/content/dam/oecd/en/publications/reports/2025/12/assessing-cancer-care-quality-in-oecd-countries_56dc9c26/b3f47ece-en.pdf</w:t>
        </w:r>
      </w:hyperlink>
      <w:r>
        <w:rPr>
          <w:rFonts w:ascii="Arial" w:eastAsia="Arial" w:hAnsi="Arial" w:cs="Arial"/>
          <w:sz w:val="22"/>
          <w:szCs w:val="22"/>
        </w:rPr>
        <w:t xml:space="preserve"> </w:t>
      </w:r>
    </w:p>
    <w:p w14:paraId="6A0C307C"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Berry, D.A., Cronin, K.A., Plevritis, S.K., Fryback, D.G., Clarke, L., Zelen, M., Mandelblatt, J.S., Yakovlev, A.Y., Habbema, J.D.F. and Feuer, E.J., 2005. Effect of screening and adjuvant therapy on mortality from breast cancer. </w:t>
      </w:r>
      <w:r>
        <w:rPr>
          <w:rFonts w:ascii="Arial" w:eastAsia="Arial" w:hAnsi="Arial" w:cs="Arial"/>
          <w:i/>
          <w:iCs/>
          <w:sz w:val="22"/>
          <w:szCs w:val="22"/>
        </w:rPr>
        <w:t>New England Journal of Medicine</w:t>
      </w:r>
      <w:r>
        <w:rPr>
          <w:rFonts w:ascii="Arial" w:eastAsia="Arial" w:hAnsi="Arial" w:cs="Arial"/>
          <w:sz w:val="22"/>
          <w:szCs w:val="22"/>
        </w:rPr>
        <w:t>, </w:t>
      </w:r>
      <w:r>
        <w:rPr>
          <w:rFonts w:ascii="Arial" w:eastAsia="Arial" w:hAnsi="Arial" w:cs="Arial"/>
          <w:i/>
          <w:iCs/>
          <w:sz w:val="22"/>
          <w:szCs w:val="22"/>
        </w:rPr>
        <w:t>353</w:t>
      </w:r>
      <w:r>
        <w:rPr>
          <w:rFonts w:ascii="Arial" w:eastAsia="Arial" w:hAnsi="Arial" w:cs="Arial"/>
          <w:sz w:val="22"/>
          <w:szCs w:val="22"/>
        </w:rPr>
        <w:t>(17), pp.1784-1792.</w:t>
      </w:r>
      <w:r>
        <w:rPr>
          <w:rFonts w:ascii="Arial" w:eastAsia="Arial" w:hAnsi="Arial" w:cs="Arial"/>
          <w:b/>
          <w:bCs/>
          <w:color w:val="4D4D4D"/>
          <w:sz w:val="22"/>
          <w:szCs w:val="22"/>
          <w:highlight w:val="white"/>
        </w:rPr>
        <w:t xml:space="preserve"> </w:t>
      </w:r>
      <w:r>
        <w:rPr>
          <w:rFonts w:ascii="Arial" w:eastAsia="Arial" w:hAnsi="Arial" w:cs="Arial"/>
          <w:sz w:val="22"/>
          <w:szCs w:val="22"/>
        </w:rPr>
        <w:t>10.1056/NEJMoa050518</w:t>
      </w:r>
    </w:p>
    <w:p w14:paraId="70ACE387"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Booth, A., Martyn-St James, M., Clowes, M. and Sutton, A., 2021. Systematic approaches to a successful literature review.</w:t>
      </w:r>
    </w:p>
    <w:p w14:paraId="33A1B41F"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Bramer, W.M., Rethlefsen, M.L., Kleijnen, J. and Franco, O.H., 2017. Optimal database combinations for literature searches in systematic reviews: a prospective exploratory study. </w:t>
      </w:r>
      <w:r>
        <w:rPr>
          <w:rFonts w:ascii="Arial" w:eastAsia="Arial" w:hAnsi="Arial" w:cs="Arial"/>
          <w:i/>
          <w:iCs/>
          <w:sz w:val="22"/>
          <w:szCs w:val="22"/>
        </w:rPr>
        <w:t>Systematic reviews</w:t>
      </w:r>
      <w:r>
        <w:rPr>
          <w:rFonts w:ascii="Arial" w:eastAsia="Arial" w:hAnsi="Arial" w:cs="Arial"/>
          <w:sz w:val="22"/>
          <w:szCs w:val="22"/>
        </w:rPr>
        <w:t>, </w:t>
      </w:r>
      <w:r>
        <w:rPr>
          <w:rFonts w:ascii="Arial" w:eastAsia="Arial" w:hAnsi="Arial" w:cs="Arial"/>
          <w:i/>
          <w:iCs/>
          <w:sz w:val="22"/>
          <w:szCs w:val="22"/>
        </w:rPr>
        <w:t>6</w:t>
      </w:r>
      <w:r>
        <w:rPr>
          <w:rFonts w:ascii="Arial" w:eastAsia="Arial" w:hAnsi="Arial" w:cs="Arial"/>
          <w:sz w:val="22"/>
          <w:szCs w:val="22"/>
        </w:rPr>
        <w:t xml:space="preserve">(1), p.245. </w:t>
      </w:r>
      <w:hyperlink r:id="rId13">
        <w:r w:rsidR="00DB09AE">
          <w:rPr>
            <w:rFonts w:ascii="Arial" w:eastAsia="Arial" w:hAnsi="Arial" w:cs="Arial"/>
            <w:color w:val="0563C1"/>
            <w:sz w:val="22"/>
            <w:szCs w:val="22"/>
            <w:u w:val="single"/>
          </w:rPr>
          <w:t>https://doi.org/10.1186/s13643-017-0644-y</w:t>
        </w:r>
      </w:hyperlink>
      <w:r>
        <w:rPr>
          <w:rFonts w:ascii="Arial" w:eastAsia="Arial" w:hAnsi="Arial" w:cs="Arial"/>
          <w:sz w:val="22"/>
          <w:szCs w:val="22"/>
        </w:rPr>
        <w:t xml:space="preserve"> </w:t>
      </w:r>
    </w:p>
    <w:p w14:paraId="5D87C953"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Brand, N.R., Qu, L.G., Chao, A. and Ilbawi, A.M., 2019. Delays and barriers to cancer care in low</w:t>
      </w:r>
      <w:r>
        <w:rPr>
          <w:rFonts w:ascii="Cambria Math" w:eastAsia="Cambria Math" w:hAnsi="Cambria Math" w:cs="Cambria Math"/>
          <w:sz w:val="22"/>
          <w:szCs w:val="22"/>
        </w:rPr>
        <w:t>‐</w:t>
      </w:r>
      <w:r>
        <w:rPr>
          <w:rFonts w:ascii="Arial" w:eastAsia="Arial" w:hAnsi="Arial" w:cs="Arial"/>
          <w:sz w:val="22"/>
          <w:szCs w:val="22"/>
        </w:rPr>
        <w:t>and middle</w:t>
      </w:r>
      <w:r>
        <w:rPr>
          <w:rFonts w:ascii="Cambria Math" w:eastAsia="Cambria Math" w:hAnsi="Cambria Math" w:cs="Cambria Math"/>
          <w:sz w:val="22"/>
          <w:szCs w:val="22"/>
        </w:rPr>
        <w:t>‐</w:t>
      </w:r>
      <w:r>
        <w:rPr>
          <w:rFonts w:ascii="Arial" w:eastAsia="Arial" w:hAnsi="Arial" w:cs="Arial"/>
          <w:sz w:val="22"/>
          <w:szCs w:val="22"/>
        </w:rPr>
        <w:t>income countries: a systematic review. </w:t>
      </w:r>
      <w:r>
        <w:rPr>
          <w:rFonts w:ascii="Arial" w:eastAsia="Arial" w:hAnsi="Arial" w:cs="Arial"/>
          <w:i/>
          <w:iCs/>
          <w:sz w:val="22"/>
          <w:szCs w:val="22"/>
        </w:rPr>
        <w:t>The oncologist</w:t>
      </w:r>
      <w:r>
        <w:rPr>
          <w:rFonts w:ascii="Arial" w:eastAsia="Arial" w:hAnsi="Arial" w:cs="Arial"/>
          <w:sz w:val="22"/>
          <w:szCs w:val="22"/>
        </w:rPr>
        <w:t>, </w:t>
      </w:r>
      <w:r>
        <w:rPr>
          <w:rFonts w:ascii="Arial" w:eastAsia="Arial" w:hAnsi="Arial" w:cs="Arial"/>
          <w:i/>
          <w:iCs/>
          <w:sz w:val="22"/>
          <w:szCs w:val="22"/>
        </w:rPr>
        <w:t>24</w:t>
      </w:r>
      <w:r>
        <w:rPr>
          <w:rFonts w:ascii="Arial" w:eastAsia="Arial" w:hAnsi="Arial" w:cs="Arial"/>
          <w:sz w:val="22"/>
          <w:szCs w:val="22"/>
        </w:rPr>
        <w:t xml:space="preserve">(12), pp.e1371-e1380. </w:t>
      </w:r>
      <w:hyperlink r:id="rId14">
        <w:r w:rsidR="00DB09AE">
          <w:rPr>
            <w:rFonts w:ascii="Arial" w:eastAsia="Arial" w:hAnsi="Arial" w:cs="Arial"/>
            <w:color w:val="0000FF"/>
            <w:sz w:val="22"/>
            <w:szCs w:val="22"/>
            <w:u w:val="single"/>
          </w:rPr>
          <w:t>https://doi.org/10.1634/theoncologist.2019-0057</w:t>
        </w:r>
      </w:hyperlink>
      <w:r>
        <w:rPr>
          <w:rFonts w:ascii="Arial" w:eastAsia="Arial" w:hAnsi="Arial" w:cs="Arial"/>
          <w:sz w:val="22"/>
          <w:szCs w:val="22"/>
        </w:rPr>
        <w:t xml:space="preserve"> </w:t>
      </w:r>
    </w:p>
    <w:p w14:paraId="3D435A9B"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lastRenderedPageBreak/>
        <w:t>Braun, V. and Clarke, V., 2006</w:t>
      </w:r>
      <w:r>
        <w:rPr>
          <w:rFonts w:ascii="Arial" w:eastAsia="Arial" w:hAnsi="Arial" w:cs="Arial"/>
          <w:b/>
          <w:bCs/>
          <w:sz w:val="22"/>
          <w:szCs w:val="22"/>
        </w:rPr>
        <w:t>.</w:t>
      </w:r>
      <w:r>
        <w:rPr>
          <w:rFonts w:ascii="Arial" w:eastAsia="Arial" w:hAnsi="Arial" w:cs="Arial"/>
          <w:sz w:val="22"/>
          <w:szCs w:val="22"/>
        </w:rPr>
        <w:t xml:space="preserve"> Using thematic analysis in psychology. </w:t>
      </w:r>
      <w:r>
        <w:rPr>
          <w:rFonts w:ascii="Arial" w:eastAsia="Arial" w:hAnsi="Arial" w:cs="Arial"/>
          <w:i/>
          <w:iCs/>
          <w:sz w:val="22"/>
          <w:szCs w:val="22"/>
        </w:rPr>
        <w:t>Qualitative Research in Psychology</w:t>
      </w:r>
      <w:r>
        <w:rPr>
          <w:rFonts w:ascii="Arial" w:eastAsia="Arial" w:hAnsi="Arial" w:cs="Arial"/>
          <w:sz w:val="22"/>
          <w:szCs w:val="22"/>
        </w:rPr>
        <w:t xml:space="preserve">, 3(2), pp.77–101. </w:t>
      </w:r>
      <w:hyperlink r:id="rId15">
        <w:r w:rsidR="00DB09AE">
          <w:rPr>
            <w:rFonts w:ascii="Arial" w:eastAsia="Arial" w:hAnsi="Arial" w:cs="Arial"/>
            <w:color w:val="0563C1"/>
            <w:sz w:val="22"/>
            <w:szCs w:val="22"/>
            <w:u w:val="single"/>
          </w:rPr>
          <w:t>https://doi.org/10.1191/1478088706qp063oa</w:t>
        </w:r>
      </w:hyperlink>
    </w:p>
    <w:p w14:paraId="5BF7C3E6"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Bray, F., Laversanne, M., Sung, H., Ferlay, J., Siegel, R.L., Soerjomataram, I. and Jemal, A., 2024. Global cancer statistics 2022: GLOBOCAN estimates of incidence and mortality worldwide for 36 cancers in 185 countries. </w:t>
      </w:r>
      <w:r>
        <w:rPr>
          <w:rFonts w:ascii="Arial" w:eastAsia="Arial" w:hAnsi="Arial" w:cs="Arial"/>
          <w:i/>
          <w:iCs/>
          <w:sz w:val="22"/>
          <w:szCs w:val="22"/>
        </w:rPr>
        <w:t>CA: a cancer journal for clinicians</w:t>
      </w:r>
      <w:r>
        <w:rPr>
          <w:rFonts w:ascii="Arial" w:eastAsia="Arial" w:hAnsi="Arial" w:cs="Arial"/>
          <w:sz w:val="22"/>
          <w:szCs w:val="22"/>
        </w:rPr>
        <w:t>, </w:t>
      </w:r>
      <w:r>
        <w:rPr>
          <w:rFonts w:ascii="Arial" w:eastAsia="Arial" w:hAnsi="Arial" w:cs="Arial"/>
          <w:i/>
          <w:iCs/>
          <w:sz w:val="22"/>
          <w:szCs w:val="22"/>
        </w:rPr>
        <w:t>74</w:t>
      </w:r>
      <w:r>
        <w:rPr>
          <w:rFonts w:ascii="Arial" w:eastAsia="Arial" w:hAnsi="Arial" w:cs="Arial"/>
          <w:sz w:val="22"/>
          <w:szCs w:val="22"/>
        </w:rPr>
        <w:t xml:space="preserve">(3), pp.229-263. </w:t>
      </w:r>
      <w:hyperlink r:id="rId16">
        <w:r w:rsidR="00DB09AE">
          <w:rPr>
            <w:rFonts w:ascii="Arial" w:eastAsia="Arial" w:hAnsi="Arial" w:cs="Arial"/>
            <w:color w:val="0563C1"/>
            <w:sz w:val="22"/>
            <w:szCs w:val="22"/>
            <w:u w:val="single"/>
          </w:rPr>
          <w:t>https://doi.org/10.3322/caac.21834</w:t>
        </w:r>
      </w:hyperlink>
      <w:r>
        <w:rPr>
          <w:rFonts w:ascii="Arial" w:eastAsia="Arial" w:hAnsi="Arial" w:cs="Arial"/>
          <w:sz w:val="22"/>
          <w:szCs w:val="22"/>
        </w:rPr>
        <w:t xml:space="preserve"> </w:t>
      </w:r>
    </w:p>
    <w:p w14:paraId="4B23355B"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Butnari, V., Scantlebury, P., Green, T., Pattni, D., Mansuri, A., Chinnery, W., Rajendran, N., Brannan, M., Cole, M. and Banerjee, S., 2025. The crucial role of early diagnosis for patients and the nation, understanding the costs of late-stage cancer diagnosis from a large district general hospital in England. </w:t>
      </w:r>
      <w:r>
        <w:rPr>
          <w:rFonts w:ascii="Arial" w:eastAsia="Arial" w:hAnsi="Arial" w:cs="Arial"/>
          <w:i/>
          <w:iCs/>
          <w:sz w:val="22"/>
          <w:szCs w:val="22"/>
        </w:rPr>
        <w:t>Cost Effectiveness and Resource Allocation</w:t>
      </w:r>
      <w:r>
        <w:rPr>
          <w:rFonts w:ascii="Arial" w:eastAsia="Arial" w:hAnsi="Arial" w:cs="Arial"/>
          <w:sz w:val="22"/>
          <w:szCs w:val="22"/>
        </w:rPr>
        <w:t>, </w:t>
      </w:r>
      <w:r>
        <w:rPr>
          <w:rFonts w:ascii="Arial" w:eastAsia="Arial" w:hAnsi="Arial" w:cs="Arial"/>
          <w:i/>
          <w:iCs/>
          <w:sz w:val="22"/>
          <w:szCs w:val="22"/>
        </w:rPr>
        <w:t>23</w:t>
      </w:r>
      <w:r>
        <w:rPr>
          <w:rFonts w:ascii="Arial" w:eastAsia="Arial" w:hAnsi="Arial" w:cs="Arial"/>
          <w:sz w:val="22"/>
          <w:szCs w:val="22"/>
        </w:rPr>
        <w:t xml:space="preserve">(1), p.60. </w:t>
      </w:r>
      <w:hyperlink r:id="rId17">
        <w:r w:rsidR="00DB09AE">
          <w:rPr>
            <w:rFonts w:ascii="Arial" w:eastAsia="Arial" w:hAnsi="Arial" w:cs="Arial"/>
            <w:color w:val="0000FF"/>
            <w:sz w:val="22"/>
            <w:szCs w:val="22"/>
            <w:u w:val="single"/>
          </w:rPr>
          <w:t>https://doi.org/10.1186/s12962-025-00657-1</w:t>
        </w:r>
      </w:hyperlink>
      <w:r>
        <w:rPr>
          <w:rFonts w:ascii="Arial" w:eastAsia="Arial" w:hAnsi="Arial" w:cs="Arial"/>
          <w:sz w:val="22"/>
          <w:szCs w:val="22"/>
        </w:rPr>
        <w:t xml:space="preserve"> </w:t>
      </w:r>
    </w:p>
    <w:p w14:paraId="20C2C5FE"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Caleffi, M., Ajango, M., Al-Awadhi, A.M., Fairley, R., Feigl, A.B., González, A.R., Harmer, V., Nekkalapudi, N., Saraki, T., Smart, V.W. and Fernandez-Cerdeño, A., 2026. Improving Breast Cancer Outcomes Through Quality Care: Call to Action for the Implementation of the Breast Cancer Care Quality Index (BCCQI). </w:t>
      </w:r>
      <w:r>
        <w:rPr>
          <w:rFonts w:ascii="Arial" w:eastAsia="Arial" w:hAnsi="Arial" w:cs="Arial"/>
          <w:i/>
          <w:iCs/>
          <w:sz w:val="22"/>
          <w:szCs w:val="22"/>
        </w:rPr>
        <w:t>International Journal of Environmental Research and Public Health</w:t>
      </w:r>
      <w:r>
        <w:rPr>
          <w:rFonts w:ascii="Arial" w:eastAsia="Arial" w:hAnsi="Arial" w:cs="Arial"/>
          <w:sz w:val="22"/>
          <w:szCs w:val="22"/>
        </w:rPr>
        <w:t>, </w:t>
      </w:r>
      <w:r>
        <w:rPr>
          <w:rFonts w:ascii="Arial" w:eastAsia="Arial" w:hAnsi="Arial" w:cs="Arial"/>
          <w:i/>
          <w:iCs/>
          <w:sz w:val="22"/>
          <w:szCs w:val="22"/>
        </w:rPr>
        <w:t>23</w:t>
      </w:r>
      <w:r>
        <w:rPr>
          <w:rFonts w:ascii="Arial" w:eastAsia="Arial" w:hAnsi="Arial" w:cs="Arial"/>
          <w:sz w:val="22"/>
          <w:szCs w:val="22"/>
        </w:rPr>
        <w:t xml:space="preserve">(2), p.207. </w:t>
      </w:r>
      <w:hyperlink r:id="rId18">
        <w:r w:rsidR="00DB09AE">
          <w:rPr>
            <w:rFonts w:ascii="Arial" w:eastAsia="Arial" w:hAnsi="Arial" w:cs="Arial"/>
            <w:color w:val="0000FF"/>
            <w:sz w:val="22"/>
            <w:szCs w:val="22"/>
            <w:u w:val="single"/>
          </w:rPr>
          <w:t>https://doi.org/10.3390/ijerph23020207</w:t>
        </w:r>
      </w:hyperlink>
      <w:r>
        <w:rPr>
          <w:rFonts w:ascii="Arial" w:eastAsia="Arial" w:hAnsi="Arial" w:cs="Arial"/>
          <w:sz w:val="22"/>
          <w:szCs w:val="22"/>
        </w:rPr>
        <w:t xml:space="preserve"> </w:t>
      </w:r>
    </w:p>
    <w:p w14:paraId="6B326442"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Cancer Research UK. 2023. </w:t>
      </w:r>
      <w:r>
        <w:rPr>
          <w:rFonts w:ascii="Arial" w:eastAsia="Arial" w:hAnsi="Arial" w:cs="Arial"/>
          <w:i/>
          <w:iCs/>
          <w:sz w:val="22"/>
          <w:szCs w:val="22"/>
        </w:rPr>
        <w:t>Cancer inequalities: Early diagnosis</w:t>
      </w:r>
      <w:r>
        <w:rPr>
          <w:rFonts w:ascii="Arial" w:eastAsia="Arial" w:hAnsi="Arial" w:cs="Arial"/>
          <w:sz w:val="22"/>
          <w:szCs w:val="22"/>
        </w:rPr>
        <w:t xml:space="preserve">. Available at: </w:t>
      </w:r>
      <w:hyperlink r:id="rId19">
        <w:r w:rsidR="00DB09AE">
          <w:rPr>
            <w:rFonts w:ascii="Arial" w:eastAsia="Arial" w:hAnsi="Arial" w:cs="Arial"/>
            <w:color w:val="0000FF"/>
            <w:sz w:val="22"/>
            <w:szCs w:val="22"/>
            <w:u w:val="single"/>
          </w:rPr>
          <w:t>https://www.cancerresearchuk.org/health-professional/cancer-statistics/inequalities/early-diagnosis</w:t>
        </w:r>
      </w:hyperlink>
      <w:r>
        <w:rPr>
          <w:rFonts w:ascii="Arial" w:eastAsia="Arial" w:hAnsi="Arial" w:cs="Arial"/>
          <w:sz w:val="22"/>
          <w:szCs w:val="22"/>
        </w:rPr>
        <w:t xml:space="preserve">  (Accessed: 22 April 2026).</w:t>
      </w:r>
    </w:p>
    <w:p w14:paraId="073D20A8"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Chen, S., Cao, Z., Prettner, K., Kuhn, M., Yang, J., Jiao, L., Wang, Z., Li, W., Geldsetzer, P., Bärnighausen, T. and Bloom, D.E., 2023. Estimates and projections of the global economic cost of 29 cancers in 204 countries and territories from 2020 to 2050. </w:t>
      </w:r>
      <w:r>
        <w:rPr>
          <w:rFonts w:ascii="Arial" w:eastAsia="Arial" w:hAnsi="Arial" w:cs="Arial"/>
          <w:i/>
          <w:iCs/>
          <w:sz w:val="22"/>
          <w:szCs w:val="22"/>
        </w:rPr>
        <w:t>JAMA oncology</w:t>
      </w:r>
      <w:r>
        <w:rPr>
          <w:rFonts w:ascii="Arial" w:eastAsia="Arial" w:hAnsi="Arial" w:cs="Arial"/>
          <w:sz w:val="22"/>
          <w:szCs w:val="22"/>
        </w:rPr>
        <w:t>, </w:t>
      </w:r>
      <w:r>
        <w:rPr>
          <w:rFonts w:ascii="Arial" w:eastAsia="Arial" w:hAnsi="Arial" w:cs="Arial"/>
          <w:i/>
          <w:iCs/>
          <w:sz w:val="22"/>
          <w:szCs w:val="22"/>
        </w:rPr>
        <w:t>9</w:t>
      </w:r>
      <w:r>
        <w:rPr>
          <w:rFonts w:ascii="Arial" w:eastAsia="Arial" w:hAnsi="Arial" w:cs="Arial"/>
          <w:sz w:val="22"/>
          <w:szCs w:val="22"/>
        </w:rPr>
        <w:t xml:space="preserve">(4), pp.465-472. </w:t>
      </w:r>
      <w:hyperlink r:id="rId20">
        <w:r w:rsidR="00DB09AE">
          <w:rPr>
            <w:rFonts w:ascii="Arial" w:eastAsia="Arial" w:hAnsi="Arial" w:cs="Arial"/>
            <w:color w:val="0563C1"/>
            <w:sz w:val="22"/>
            <w:szCs w:val="22"/>
            <w:u w:val="single"/>
          </w:rPr>
          <w:t>https://doi.org/10.1001/jamaoncol.2022.7826?urlappend=%3Futm_source%3Dresearchgate.net%26utm_medium%3Darticle</w:t>
        </w:r>
      </w:hyperlink>
      <w:r>
        <w:rPr>
          <w:rFonts w:ascii="Arial" w:eastAsia="Arial" w:hAnsi="Arial" w:cs="Arial"/>
          <w:sz w:val="22"/>
          <w:szCs w:val="22"/>
        </w:rPr>
        <w:t xml:space="preserve"> </w:t>
      </w:r>
    </w:p>
    <w:p w14:paraId="4F1A7711"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Condon, J.R., Cunningham, J., Barnes, T. and Armstrong, B.K. 2024. ‘Stage at diagnosis and cancer survival for Indigenous Australians in the Northern Territory’, </w:t>
      </w:r>
      <w:r>
        <w:rPr>
          <w:rFonts w:ascii="Arial" w:eastAsia="Arial" w:hAnsi="Arial" w:cs="Arial"/>
          <w:i/>
          <w:iCs/>
          <w:sz w:val="22"/>
          <w:szCs w:val="22"/>
        </w:rPr>
        <w:t>Medical Journal of Australia</w:t>
      </w:r>
      <w:r>
        <w:rPr>
          <w:rFonts w:ascii="Arial" w:eastAsia="Arial" w:hAnsi="Arial" w:cs="Arial"/>
          <w:sz w:val="22"/>
          <w:szCs w:val="22"/>
        </w:rPr>
        <w:t>, 201(10), pp. 596–600.</w:t>
      </w:r>
    </w:p>
    <w:p w14:paraId="45569D32"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Cree, I.A., Indave Ruiz, B.I., Zavadil, J., McKay, J., Olivier, M., Kozlakidis, Z., Lazar, A.J., Hyde, C., Holdenrieder, S., Hastings, R. and Rajpoot, N., 2021. The international collaboration for cancer classification and research. </w:t>
      </w:r>
      <w:r>
        <w:rPr>
          <w:rFonts w:ascii="Arial" w:eastAsia="Arial" w:hAnsi="Arial" w:cs="Arial"/>
          <w:i/>
          <w:iCs/>
          <w:sz w:val="22"/>
          <w:szCs w:val="22"/>
        </w:rPr>
        <w:t>International Journal of Cancer</w:t>
      </w:r>
      <w:r>
        <w:rPr>
          <w:rFonts w:ascii="Arial" w:eastAsia="Arial" w:hAnsi="Arial" w:cs="Arial"/>
          <w:sz w:val="22"/>
          <w:szCs w:val="22"/>
        </w:rPr>
        <w:t>, </w:t>
      </w:r>
      <w:r>
        <w:rPr>
          <w:rFonts w:ascii="Arial" w:eastAsia="Arial" w:hAnsi="Arial" w:cs="Arial"/>
          <w:i/>
          <w:iCs/>
          <w:sz w:val="22"/>
          <w:szCs w:val="22"/>
        </w:rPr>
        <w:t>148</w:t>
      </w:r>
      <w:r>
        <w:rPr>
          <w:rFonts w:ascii="Arial" w:eastAsia="Arial" w:hAnsi="Arial" w:cs="Arial"/>
          <w:sz w:val="22"/>
          <w:szCs w:val="22"/>
        </w:rPr>
        <w:t xml:space="preserve">(3), pp.560-571. </w:t>
      </w:r>
      <w:hyperlink r:id="rId21">
        <w:r w:rsidR="00DB09AE">
          <w:rPr>
            <w:rFonts w:ascii="Arial" w:eastAsia="Arial" w:hAnsi="Arial" w:cs="Arial"/>
            <w:color w:val="0000FF"/>
            <w:sz w:val="22"/>
            <w:szCs w:val="22"/>
            <w:u w:val="single"/>
          </w:rPr>
          <w:t>https://doi.org/10.1002/ijc.33260</w:t>
        </w:r>
      </w:hyperlink>
      <w:r>
        <w:rPr>
          <w:rFonts w:ascii="Arial" w:eastAsia="Arial" w:hAnsi="Arial" w:cs="Arial"/>
          <w:sz w:val="22"/>
          <w:szCs w:val="22"/>
        </w:rPr>
        <w:t xml:space="preserve"> </w:t>
      </w:r>
    </w:p>
    <w:p w14:paraId="26D94EB9"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lastRenderedPageBreak/>
        <w:t xml:space="preserve">Crenshaw, K. (1989) </w:t>
      </w:r>
      <w:r>
        <w:rPr>
          <w:rFonts w:ascii="Arial" w:eastAsia="Arial" w:hAnsi="Arial" w:cs="Arial"/>
          <w:i/>
          <w:iCs/>
          <w:sz w:val="22"/>
          <w:szCs w:val="22"/>
        </w:rPr>
        <w:t>Demarginalizing the intersection of race and sex: A Black feminist critique of antidiscrimination doctrine, feminist theory and antiracist politics</w:t>
      </w:r>
      <w:r>
        <w:rPr>
          <w:rFonts w:ascii="Arial" w:eastAsia="Arial" w:hAnsi="Arial" w:cs="Arial"/>
          <w:sz w:val="22"/>
          <w:szCs w:val="22"/>
        </w:rPr>
        <w:t>. University of Chicago Legal Forum, 1989(1), pp.139–167.</w:t>
      </w:r>
    </w:p>
    <w:p w14:paraId="79ADD496"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Crosby, D., Bhatia, S., Brindle, K.M., Coussens, L.M., Dive, C., Emberton, M., Esener, S., Fitzgerald, R.C., Gambhir, S.S., Kuhn, P. and Rebbeck, T.R., 2022. Early detection of cancer. </w:t>
      </w:r>
      <w:r>
        <w:rPr>
          <w:rFonts w:ascii="Arial" w:eastAsia="Arial" w:hAnsi="Arial" w:cs="Arial"/>
          <w:i/>
          <w:iCs/>
          <w:sz w:val="22"/>
          <w:szCs w:val="22"/>
        </w:rPr>
        <w:t>Science</w:t>
      </w:r>
      <w:r>
        <w:rPr>
          <w:rFonts w:ascii="Arial" w:eastAsia="Arial" w:hAnsi="Arial" w:cs="Arial"/>
          <w:sz w:val="22"/>
          <w:szCs w:val="22"/>
        </w:rPr>
        <w:t>, </w:t>
      </w:r>
      <w:r>
        <w:rPr>
          <w:rFonts w:ascii="Arial" w:eastAsia="Arial" w:hAnsi="Arial" w:cs="Arial"/>
          <w:i/>
          <w:iCs/>
          <w:sz w:val="22"/>
          <w:szCs w:val="22"/>
        </w:rPr>
        <w:t>375</w:t>
      </w:r>
      <w:r>
        <w:rPr>
          <w:rFonts w:ascii="Arial" w:eastAsia="Arial" w:hAnsi="Arial" w:cs="Arial"/>
          <w:sz w:val="22"/>
          <w:szCs w:val="22"/>
        </w:rPr>
        <w:t xml:space="preserve">(6586), p.eaay9040. </w:t>
      </w:r>
      <w:hyperlink r:id="rId22">
        <w:r w:rsidR="00DB09AE">
          <w:rPr>
            <w:rFonts w:ascii="Arial" w:eastAsia="Arial" w:hAnsi="Arial" w:cs="Arial"/>
            <w:color w:val="0563C1"/>
            <w:sz w:val="22"/>
            <w:szCs w:val="22"/>
            <w:u w:val="single"/>
          </w:rPr>
          <w:t>https://doi.org/10.1126/science.aay9040</w:t>
        </w:r>
      </w:hyperlink>
      <w:r>
        <w:rPr>
          <w:rFonts w:ascii="Arial" w:eastAsia="Arial" w:hAnsi="Arial" w:cs="Arial"/>
          <w:sz w:val="22"/>
          <w:szCs w:val="22"/>
        </w:rPr>
        <w:t xml:space="preserve"> </w:t>
      </w:r>
    </w:p>
    <w:p w14:paraId="1CC18657"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Darmiati, S., Heryanto, A.E. and Rustamadji, P., 2025. Diagnostic imaging challenges of mammary Paget's disease presenting with subtle clinical and imaging features: A case report. </w:t>
      </w:r>
      <w:r>
        <w:rPr>
          <w:rFonts w:ascii="Arial" w:eastAsia="Arial" w:hAnsi="Arial" w:cs="Arial"/>
          <w:i/>
          <w:iCs/>
          <w:sz w:val="22"/>
          <w:szCs w:val="22"/>
        </w:rPr>
        <w:t>Radiology Case Reports</w:t>
      </w:r>
      <w:r>
        <w:rPr>
          <w:rFonts w:ascii="Arial" w:eastAsia="Arial" w:hAnsi="Arial" w:cs="Arial"/>
          <w:sz w:val="22"/>
          <w:szCs w:val="22"/>
        </w:rPr>
        <w:t>, </w:t>
      </w:r>
      <w:r>
        <w:rPr>
          <w:rFonts w:ascii="Arial" w:eastAsia="Arial" w:hAnsi="Arial" w:cs="Arial"/>
          <w:i/>
          <w:iCs/>
          <w:sz w:val="22"/>
          <w:szCs w:val="22"/>
        </w:rPr>
        <w:t>20</w:t>
      </w:r>
      <w:r>
        <w:rPr>
          <w:rFonts w:ascii="Arial" w:eastAsia="Arial" w:hAnsi="Arial" w:cs="Arial"/>
          <w:sz w:val="22"/>
          <w:szCs w:val="22"/>
        </w:rPr>
        <w:t xml:space="preserve">(4), pp.1925-1931. </w:t>
      </w:r>
      <w:hyperlink r:id="rId23">
        <w:r w:rsidR="00DB09AE">
          <w:rPr>
            <w:rFonts w:ascii="Arial" w:eastAsia="Arial" w:hAnsi="Arial" w:cs="Arial"/>
            <w:color w:val="0000FF"/>
            <w:sz w:val="22"/>
            <w:szCs w:val="22"/>
            <w:u w:val="single"/>
          </w:rPr>
          <w:t>https://doi.org/10.1016/j.radcr.2024.12.057</w:t>
        </w:r>
      </w:hyperlink>
      <w:r>
        <w:rPr>
          <w:rFonts w:ascii="Arial" w:eastAsia="Arial" w:hAnsi="Arial" w:cs="Arial"/>
          <w:sz w:val="22"/>
          <w:szCs w:val="22"/>
        </w:rPr>
        <w:t xml:space="preserve"> </w:t>
      </w:r>
    </w:p>
    <w:p w14:paraId="474B7738"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DeSantis, C.E., Ma, J., Gaudet, M.M., Newman, L.A., Miller, K.D., Goding Sauer, A., Jemal, A. and Siegel, R.L. 2019. </w:t>
      </w:r>
      <w:r>
        <w:rPr>
          <w:rFonts w:ascii="Arial" w:eastAsia="Arial" w:hAnsi="Arial" w:cs="Arial"/>
          <w:i/>
          <w:iCs/>
          <w:sz w:val="22"/>
          <w:szCs w:val="22"/>
        </w:rPr>
        <w:t>Breast cancer statistics, 2019</w:t>
      </w:r>
      <w:r>
        <w:rPr>
          <w:rFonts w:ascii="Arial" w:eastAsia="Arial" w:hAnsi="Arial" w:cs="Arial"/>
          <w:sz w:val="22"/>
          <w:szCs w:val="22"/>
        </w:rPr>
        <w:t xml:space="preserve">. CA: A Cancer Journal for Clinicians, 69(6), pp.438–451. </w:t>
      </w:r>
      <w:hyperlink r:id="rId24">
        <w:r w:rsidR="00DB09AE">
          <w:rPr>
            <w:rFonts w:ascii="Arial" w:eastAsia="Arial" w:hAnsi="Arial" w:cs="Arial"/>
            <w:color w:val="0563C1"/>
            <w:sz w:val="22"/>
            <w:szCs w:val="22"/>
            <w:u w:val="single"/>
          </w:rPr>
          <w:t>https://doi.org/10.3322/caac.21583</w:t>
        </w:r>
      </w:hyperlink>
    </w:p>
    <w:p w14:paraId="3529815A"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Dodd, C., Mohd Mustapa, M.F., Exton, L.S., et al. 2023. </w:t>
      </w:r>
      <w:r>
        <w:rPr>
          <w:rFonts w:ascii="Arial" w:eastAsia="Arial" w:hAnsi="Arial" w:cs="Arial"/>
          <w:i/>
          <w:iCs/>
          <w:sz w:val="22"/>
          <w:szCs w:val="22"/>
        </w:rPr>
        <w:t>Mind the gap: dermatology and diverse skin tones</w:t>
      </w:r>
      <w:r>
        <w:rPr>
          <w:rFonts w:ascii="Arial" w:eastAsia="Arial" w:hAnsi="Arial" w:cs="Arial"/>
          <w:sz w:val="22"/>
          <w:szCs w:val="22"/>
        </w:rPr>
        <w:t xml:space="preserve">. Clinical and Experimental Dermatology, 48(8), pp.1450–1457. </w:t>
      </w:r>
      <w:hyperlink r:id="rId25">
        <w:r w:rsidR="00DB09AE">
          <w:rPr>
            <w:rFonts w:ascii="Arial" w:eastAsia="Arial" w:hAnsi="Arial" w:cs="Arial"/>
            <w:color w:val="0563C1"/>
            <w:sz w:val="22"/>
            <w:szCs w:val="22"/>
            <w:u w:val="single"/>
          </w:rPr>
          <w:t>https://doi.org/10.1093/ced/llad173</w:t>
        </w:r>
      </w:hyperlink>
    </w:p>
    <w:p w14:paraId="145423A7"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Dodd, R.V., Rafi, D., Stackhouse, A.A., Brown, C.A., Westacott, R.J., Meeran, K., Hughes, E., Wilkinson, P., Gurnell, M., Swales, C. and Sam, A.H., 2023. The impact of patient skin colour on diagnostic ability and confidence of medical students: RV Dodd et al. </w:t>
      </w:r>
      <w:r>
        <w:rPr>
          <w:rFonts w:ascii="Arial" w:eastAsia="Arial" w:hAnsi="Arial" w:cs="Arial"/>
          <w:i/>
          <w:iCs/>
          <w:sz w:val="22"/>
          <w:szCs w:val="22"/>
        </w:rPr>
        <w:t>Advances in Health Sciences Education</w:t>
      </w:r>
      <w:r>
        <w:rPr>
          <w:rFonts w:ascii="Arial" w:eastAsia="Arial" w:hAnsi="Arial" w:cs="Arial"/>
          <w:sz w:val="22"/>
          <w:szCs w:val="22"/>
        </w:rPr>
        <w:t>, </w:t>
      </w:r>
      <w:r>
        <w:rPr>
          <w:rFonts w:ascii="Arial" w:eastAsia="Arial" w:hAnsi="Arial" w:cs="Arial"/>
          <w:i/>
          <w:iCs/>
          <w:sz w:val="22"/>
          <w:szCs w:val="22"/>
        </w:rPr>
        <w:t>28</w:t>
      </w:r>
      <w:r>
        <w:rPr>
          <w:rFonts w:ascii="Arial" w:eastAsia="Arial" w:hAnsi="Arial" w:cs="Arial"/>
          <w:sz w:val="22"/>
          <w:szCs w:val="22"/>
        </w:rPr>
        <w:t xml:space="preserve">(4), pp.1171-1189. </w:t>
      </w:r>
      <w:hyperlink r:id="rId26">
        <w:r w:rsidR="00DB09AE">
          <w:rPr>
            <w:rFonts w:ascii="Arial" w:eastAsia="Arial" w:hAnsi="Arial" w:cs="Arial"/>
            <w:color w:val="0563C1"/>
            <w:sz w:val="22"/>
            <w:szCs w:val="22"/>
            <w:u w:val="single"/>
          </w:rPr>
          <w:t>https://doi.org/10.1007/s10459-022-10196-6</w:t>
        </w:r>
      </w:hyperlink>
      <w:r>
        <w:rPr>
          <w:rFonts w:ascii="Arial" w:eastAsia="Arial" w:hAnsi="Arial" w:cs="Arial"/>
          <w:sz w:val="22"/>
          <w:szCs w:val="22"/>
        </w:rPr>
        <w:t xml:space="preserve"> </w:t>
      </w:r>
    </w:p>
    <w:p w14:paraId="7AE87BDB"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Durmaz, A., Dursun, İ. and Kabadayi, E.T., 2020. Mitigating the effects of social desirability bias in self-report surveys: Classical and new techniques. In </w:t>
      </w:r>
      <w:r>
        <w:rPr>
          <w:rFonts w:ascii="Arial" w:eastAsia="Arial" w:hAnsi="Arial" w:cs="Arial"/>
          <w:i/>
          <w:iCs/>
          <w:sz w:val="22"/>
          <w:szCs w:val="22"/>
        </w:rPr>
        <w:t>Applied social science approaches to mixed methods research</w:t>
      </w:r>
      <w:r>
        <w:rPr>
          <w:rFonts w:ascii="Arial" w:eastAsia="Arial" w:hAnsi="Arial" w:cs="Arial"/>
          <w:sz w:val="22"/>
          <w:szCs w:val="22"/>
        </w:rPr>
        <w:t> (pp. 146-185). IGI Global Scientific Publishing.</w:t>
      </w:r>
    </w:p>
    <w:p w14:paraId="43E4779F"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Equality Act 2010 2010. </w:t>
      </w:r>
      <w:r>
        <w:rPr>
          <w:rFonts w:ascii="Arial" w:eastAsia="Arial" w:hAnsi="Arial" w:cs="Arial"/>
          <w:i/>
          <w:iCs/>
          <w:sz w:val="22"/>
          <w:szCs w:val="22"/>
        </w:rPr>
        <w:t>Equality Act 2010</w:t>
      </w:r>
      <w:r>
        <w:rPr>
          <w:rFonts w:ascii="Arial" w:eastAsia="Arial" w:hAnsi="Arial" w:cs="Arial"/>
          <w:sz w:val="22"/>
          <w:szCs w:val="22"/>
        </w:rPr>
        <w:t xml:space="preserve">. Available at: </w:t>
      </w:r>
      <w:hyperlink r:id="rId27">
        <w:r w:rsidR="00DB09AE">
          <w:rPr>
            <w:rFonts w:ascii="Arial" w:eastAsia="Arial" w:hAnsi="Arial" w:cs="Arial"/>
            <w:color w:val="0563C1"/>
            <w:sz w:val="22"/>
            <w:szCs w:val="22"/>
            <w:u w:val="single"/>
          </w:rPr>
          <w:t>https://www.legislation.gov.uk/ukpga/2010/15/contents</w:t>
        </w:r>
      </w:hyperlink>
      <w:r>
        <w:rPr>
          <w:rFonts w:ascii="Arial" w:eastAsia="Arial" w:hAnsi="Arial" w:cs="Arial"/>
          <w:sz w:val="22"/>
          <w:szCs w:val="22"/>
        </w:rPr>
        <w:t xml:space="preserve"> (Accessed: 14 July 2026).</w:t>
      </w:r>
    </w:p>
    <w:p w14:paraId="2ECDDA5E"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Fergus, K., Fitzgerald, B., Granek, L., Clemons, M., Zalany, L. and Eisen, A., 2011. The symptom appraisal of breast cancer in the context of an intimate relationship. </w:t>
      </w:r>
      <w:r>
        <w:rPr>
          <w:rFonts w:ascii="Arial" w:eastAsia="Arial" w:hAnsi="Arial" w:cs="Arial"/>
          <w:i/>
          <w:iCs/>
          <w:sz w:val="22"/>
          <w:szCs w:val="22"/>
        </w:rPr>
        <w:t>Journal of health psychology</w:t>
      </w:r>
      <w:r>
        <w:rPr>
          <w:rFonts w:ascii="Arial" w:eastAsia="Arial" w:hAnsi="Arial" w:cs="Arial"/>
          <w:sz w:val="22"/>
          <w:szCs w:val="22"/>
        </w:rPr>
        <w:t>, </w:t>
      </w:r>
      <w:r>
        <w:rPr>
          <w:rFonts w:ascii="Arial" w:eastAsia="Arial" w:hAnsi="Arial" w:cs="Arial"/>
          <w:i/>
          <w:iCs/>
          <w:sz w:val="22"/>
          <w:szCs w:val="22"/>
        </w:rPr>
        <w:t>16</w:t>
      </w:r>
      <w:r>
        <w:rPr>
          <w:rFonts w:ascii="Arial" w:eastAsia="Arial" w:hAnsi="Arial" w:cs="Arial"/>
          <w:sz w:val="22"/>
          <w:szCs w:val="22"/>
        </w:rPr>
        <w:t xml:space="preserve">(4), pp.653-666. </w:t>
      </w:r>
      <w:hyperlink r:id="rId28">
        <w:r w:rsidR="00DB09AE">
          <w:rPr>
            <w:rFonts w:ascii="Arial" w:eastAsia="Arial" w:hAnsi="Arial" w:cs="Arial"/>
            <w:color w:val="0000FF"/>
            <w:sz w:val="22"/>
            <w:szCs w:val="22"/>
            <w:u w:val="single"/>
          </w:rPr>
          <w:t>https://doi.org/10.1177/1359105310386634</w:t>
        </w:r>
      </w:hyperlink>
      <w:r>
        <w:rPr>
          <w:rFonts w:ascii="Arial" w:eastAsia="Arial" w:hAnsi="Arial" w:cs="Arial"/>
          <w:sz w:val="22"/>
          <w:szCs w:val="22"/>
        </w:rPr>
        <w:t xml:space="preserve"> </w:t>
      </w:r>
    </w:p>
    <w:p w14:paraId="2A3F0631"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Frank, J., Abel, T., Campostrini, S., Cook, S., Lin, V.K. and McQueen, D.V., 2020. The social determinants of health: time to re-think?. </w:t>
      </w:r>
      <w:r>
        <w:rPr>
          <w:rFonts w:ascii="Arial" w:eastAsia="Arial" w:hAnsi="Arial" w:cs="Arial"/>
          <w:i/>
          <w:iCs/>
          <w:sz w:val="22"/>
          <w:szCs w:val="22"/>
        </w:rPr>
        <w:t>International journal of environmental research and public health</w:t>
      </w:r>
      <w:r>
        <w:rPr>
          <w:rFonts w:ascii="Arial" w:eastAsia="Arial" w:hAnsi="Arial" w:cs="Arial"/>
          <w:sz w:val="22"/>
          <w:szCs w:val="22"/>
        </w:rPr>
        <w:t>, </w:t>
      </w:r>
      <w:r>
        <w:rPr>
          <w:rFonts w:ascii="Arial" w:eastAsia="Arial" w:hAnsi="Arial" w:cs="Arial"/>
          <w:i/>
          <w:iCs/>
          <w:sz w:val="22"/>
          <w:szCs w:val="22"/>
        </w:rPr>
        <w:t>17</w:t>
      </w:r>
      <w:r>
        <w:rPr>
          <w:rFonts w:ascii="Arial" w:eastAsia="Arial" w:hAnsi="Arial" w:cs="Arial"/>
          <w:sz w:val="22"/>
          <w:szCs w:val="22"/>
        </w:rPr>
        <w:t xml:space="preserve">(16), p.5856. </w:t>
      </w:r>
      <w:hyperlink r:id="rId29">
        <w:r w:rsidR="00DB09AE">
          <w:rPr>
            <w:rFonts w:ascii="Arial" w:eastAsia="Arial" w:hAnsi="Arial" w:cs="Arial"/>
            <w:color w:val="0000FF"/>
            <w:sz w:val="22"/>
            <w:szCs w:val="22"/>
            <w:u w:val="single"/>
          </w:rPr>
          <w:t>https://doi.org/10.3390/ijerph17165856</w:t>
        </w:r>
      </w:hyperlink>
      <w:r>
        <w:rPr>
          <w:rFonts w:ascii="Arial" w:eastAsia="Arial" w:hAnsi="Arial" w:cs="Arial"/>
          <w:sz w:val="22"/>
          <w:szCs w:val="22"/>
        </w:rPr>
        <w:t xml:space="preserve"> </w:t>
      </w:r>
    </w:p>
    <w:p w14:paraId="4EDD4890"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lastRenderedPageBreak/>
        <w:t>Gaurav, A., Gupta, V., Koul, R., Dabas, S., Sareen, R., Geeta, K., Arora, V., Parikh, P.M. and Aggarwal, S., 2018. Practical consensus recommendatons for Paget’s disease in breast cancer. </w:t>
      </w:r>
      <w:r>
        <w:rPr>
          <w:rFonts w:ascii="Arial" w:eastAsia="Arial" w:hAnsi="Arial" w:cs="Arial"/>
          <w:i/>
          <w:iCs/>
          <w:sz w:val="22"/>
          <w:szCs w:val="22"/>
        </w:rPr>
        <w:t>South Asian journal of cancer</w:t>
      </w:r>
      <w:r>
        <w:rPr>
          <w:rFonts w:ascii="Arial" w:eastAsia="Arial" w:hAnsi="Arial" w:cs="Arial"/>
          <w:sz w:val="22"/>
          <w:szCs w:val="22"/>
        </w:rPr>
        <w:t>, </w:t>
      </w:r>
      <w:r>
        <w:rPr>
          <w:rFonts w:ascii="Arial" w:eastAsia="Arial" w:hAnsi="Arial" w:cs="Arial"/>
          <w:i/>
          <w:iCs/>
          <w:sz w:val="22"/>
          <w:szCs w:val="22"/>
        </w:rPr>
        <w:t>7</w:t>
      </w:r>
      <w:r>
        <w:rPr>
          <w:rFonts w:ascii="Arial" w:eastAsia="Arial" w:hAnsi="Arial" w:cs="Arial"/>
          <w:sz w:val="22"/>
          <w:szCs w:val="22"/>
        </w:rPr>
        <w:t xml:space="preserve">(02), pp.083-086. </w:t>
      </w:r>
      <w:hyperlink r:id="rId30">
        <w:r w:rsidR="00DB09AE">
          <w:rPr>
            <w:rFonts w:ascii="Arial" w:eastAsia="Arial" w:hAnsi="Arial" w:cs="Arial"/>
            <w:color w:val="0563C1"/>
            <w:sz w:val="22"/>
            <w:szCs w:val="22"/>
            <w:u w:val="single"/>
          </w:rPr>
          <w:t>https://doi.org/10.4103/sajc.sajc_107_18</w:t>
        </w:r>
      </w:hyperlink>
      <w:r>
        <w:rPr>
          <w:rFonts w:ascii="Arial" w:eastAsia="Arial" w:hAnsi="Arial" w:cs="Arial"/>
          <w:sz w:val="22"/>
          <w:szCs w:val="22"/>
        </w:rPr>
        <w:t xml:space="preserve"> </w:t>
      </w:r>
    </w:p>
    <w:p w14:paraId="1A359016"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Gump, F.E., Parmar, P., Feldman, S. and Gupta, A.M., 2024. The History of Breast Cancer Early Detection: 1865–2020. </w:t>
      </w:r>
      <w:r>
        <w:rPr>
          <w:rFonts w:ascii="Arial" w:eastAsia="Arial" w:hAnsi="Arial" w:cs="Arial"/>
          <w:i/>
          <w:iCs/>
          <w:sz w:val="22"/>
          <w:szCs w:val="22"/>
        </w:rPr>
        <w:t>Breast Cancer: Targets and Therapy</w:t>
      </w:r>
      <w:r>
        <w:rPr>
          <w:rFonts w:ascii="Arial" w:eastAsia="Arial" w:hAnsi="Arial" w:cs="Arial"/>
          <w:sz w:val="22"/>
          <w:szCs w:val="22"/>
        </w:rPr>
        <w:t xml:space="preserve">, pp.973-980. </w:t>
      </w:r>
      <w:hyperlink r:id="rId31">
        <w:r w:rsidR="00DB09AE">
          <w:rPr>
            <w:rFonts w:ascii="Arial" w:eastAsia="Arial" w:hAnsi="Arial" w:cs="Arial"/>
            <w:color w:val="0000FF"/>
            <w:sz w:val="22"/>
            <w:szCs w:val="22"/>
            <w:u w:val="single"/>
          </w:rPr>
          <w:t>https://doi.org/10.2147/BCTT.S476416</w:t>
        </w:r>
      </w:hyperlink>
      <w:r>
        <w:rPr>
          <w:rFonts w:ascii="Arial" w:eastAsia="Arial" w:hAnsi="Arial" w:cs="Arial"/>
          <w:sz w:val="22"/>
          <w:szCs w:val="22"/>
        </w:rPr>
        <w:t xml:space="preserve"> </w:t>
      </w:r>
    </w:p>
    <w:p w14:paraId="13E55251"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Huang, L., Wang, Y., Wu, M., Zhao, J., Zhang, W., Zhao, L., Mo, X. and Fang, F., 2021. Diagnosis of subclinical extramammary Paget’s disease with a combination of noninvasive photodynamic diagnosis and reflectance confocal microscopy. </w:t>
      </w:r>
      <w:r>
        <w:rPr>
          <w:rFonts w:ascii="Arial" w:eastAsia="Arial" w:hAnsi="Arial" w:cs="Arial"/>
          <w:i/>
          <w:iCs/>
          <w:sz w:val="22"/>
          <w:szCs w:val="22"/>
        </w:rPr>
        <w:t>Indian Journal of Dermatology, Venereology and Leprology</w:t>
      </w:r>
      <w:r>
        <w:rPr>
          <w:rFonts w:ascii="Arial" w:eastAsia="Arial" w:hAnsi="Arial" w:cs="Arial"/>
          <w:sz w:val="22"/>
          <w:szCs w:val="22"/>
        </w:rPr>
        <w:t>.</w:t>
      </w:r>
      <w:r>
        <w:rPr>
          <w:rFonts w:ascii="Arial" w:eastAsia="Arial" w:hAnsi="Arial" w:cs="Arial"/>
          <w:color w:val="4B4F58"/>
          <w:sz w:val="22"/>
          <w:szCs w:val="22"/>
          <w:highlight w:val="white"/>
        </w:rPr>
        <w:t xml:space="preserve"> </w:t>
      </w:r>
      <w:r>
        <w:rPr>
          <w:rFonts w:ascii="Arial" w:eastAsia="Arial" w:hAnsi="Arial" w:cs="Arial"/>
          <w:sz w:val="22"/>
          <w:szCs w:val="22"/>
        </w:rPr>
        <w:t xml:space="preserve">10.4103/ijdvl.IJDVL_895_17 </w:t>
      </w:r>
    </w:p>
    <w:p w14:paraId="5F93BB59"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Jack, R.H., Møller, H., Robson, T. and Davies, E.A., 2014. Breast cancer screening uptake among women from different ethnic groups in London: A population-based cohort study. </w:t>
      </w:r>
      <w:r>
        <w:rPr>
          <w:rFonts w:ascii="Arial" w:eastAsia="Arial" w:hAnsi="Arial" w:cs="Arial"/>
          <w:i/>
          <w:iCs/>
          <w:sz w:val="22"/>
          <w:szCs w:val="22"/>
        </w:rPr>
        <w:t>BMJ Open</w:t>
      </w:r>
      <w:r>
        <w:rPr>
          <w:rFonts w:ascii="Arial" w:eastAsia="Arial" w:hAnsi="Arial" w:cs="Arial"/>
          <w:sz w:val="22"/>
          <w:szCs w:val="22"/>
        </w:rPr>
        <w:t>, 4(10), p.e005586. https://doi.org/10.1136/bmjopen-2014-005586</w:t>
      </w:r>
    </w:p>
    <w:p w14:paraId="418741F0"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Karakas, C., 2011. Paget's disease of the breast. </w:t>
      </w:r>
      <w:r>
        <w:rPr>
          <w:rFonts w:ascii="Arial" w:eastAsia="Arial" w:hAnsi="Arial" w:cs="Arial"/>
          <w:i/>
          <w:iCs/>
          <w:sz w:val="22"/>
          <w:szCs w:val="22"/>
        </w:rPr>
        <w:t>Journal of carcinogenesis</w:t>
      </w:r>
      <w:r>
        <w:rPr>
          <w:rFonts w:ascii="Arial" w:eastAsia="Arial" w:hAnsi="Arial" w:cs="Arial"/>
          <w:sz w:val="22"/>
          <w:szCs w:val="22"/>
        </w:rPr>
        <w:t>, </w:t>
      </w:r>
      <w:r>
        <w:rPr>
          <w:rFonts w:ascii="Arial" w:eastAsia="Arial" w:hAnsi="Arial" w:cs="Arial"/>
          <w:i/>
          <w:iCs/>
          <w:sz w:val="22"/>
          <w:szCs w:val="22"/>
        </w:rPr>
        <w:t>10</w:t>
      </w:r>
      <w:r>
        <w:rPr>
          <w:rFonts w:ascii="Arial" w:eastAsia="Arial" w:hAnsi="Arial" w:cs="Arial"/>
          <w:sz w:val="22"/>
          <w:szCs w:val="22"/>
        </w:rPr>
        <w:t xml:space="preserve">, pp.31-31. </w:t>
      </w:r>
      <w:hyperlink r:id="rId32">
        <w:r w:rsidR="00DB09AE">
          <w:rPr>
            <w:rFonts w:ascii="Arial" w:eastAsia="Arial" w:hAnsi="Arial" w:cs="Arial"/>
            <w:color w:val="0563C1"/>
            <w:sz w:val="22"/>
            <w:szCs w:val="22"/>
            <w:u w:val="single"/>
          </w:rPr>
          <w:t>https://doi.org/10.4103/1477-3163.90676</w:t>
        </w:r>
      </w:hyperlink>
      <w:r>
        <w:rPr>
          <w:rFonts w:ascii="Arial" w:eastAsia="Arial" w:hAnsi="Arial" w:cs="Arial"/>
          <w:sz w:val="22"/>
          <w:szCs w:val="22"/>
        </w:rPr>
        <w:t xml:space="preserve"> </w:t>
      </w:r>
    </w:p>
    <w:p w14:paraId="7CF970A5"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Kuzmiak, C.M. and Ferre, R., 2024. Paget disease of the breast: An often-overlooked malignancy. </w:t>
      </w:r>
      <w:r>
        <w:rPr>
          <w:rFonts w:ascii="Arial" w:eastAsia="Arial" w:hAnsi="Arial" w:cs="Arial"/>
          <w:i/>
          <w:iCs/>
          <w:sz w:val="22"/>
          <w:szCs w:val="22"/>
        </w:rPr>
        <w:t>Breast Disease</w:t>
      </w:r>
      <w:r>
        <w:rPr>
          <w:rFonts w:ascii="Arial" w:eastAsia="Arial" w:hAnsi="Arial" w:cs="Arial"/>
          <w:sz w:val="22"/>
          <w:szCs w:val="22"/>
        </w:rPr>
        <w:t>, </w:t>
      </w:r>
      <w:r>
        <w:rPr>
          <w:rFonts w:ascii="Arial" w:eastAsia="Arial" w:hAnsi="Arial" w:cs="Arial"/>
          <w:i/>
          <w:iCs/>
          <w:sz w:val="22"/>
          <w:szCs w:val="22"/>
        </w:rPr>
        <w:t>43</w:t>
      </w:r>
      <w:r>
        <w:rPr>
          <w:rFonts w:ascii="Arial" w:eastAsia="Arial" w:hAnsi="Arial" w:cs="Arial"/>
          <w:sz w:val="22"/>
          <w:szCs w:val="22"/>
        </w:rPr>
        <w:t xml:space="preserve">(1), pp.293-301. </w:t>
      </w:r>
      <w:hyperlink r:id="rId33">
        <w:r w:rsidR="00DB09AE">
          <w:rPr>
            <w:rFonts w:ascii="Arial" w:eastAsia="Arial" w:hAnsi="Arial" w:cs="Arial"/>
            <w:color w:val="0000FF"/>
            <w:sz w:val="22"/>
            <w:szCs w:val="22"/>
            <w:u w:val="single"/>
          </w:rPr>
          <w:t>https://doi.org/10.1177/15581551241289263</w:t>
        </w:r>
      </w:hyperlink>
      <w:r>
        <w:rPr>
          <w:rFonts w:ascii="Arial" w:eastAsia="Arial" w:hAnsi="Arial" w:cs="Arial"/>
          <w:sz w:val="22"/>
          <w:szCs w:val="22"/>
        </w:rPr>
        <w:t xml:space="preserve"> </w:t>
      </w:r>
    </w:p>
    <w:p w14:paraId="08636FB1"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Lalwani, N., 2025. Plagiarism in Publications: All about Being Fair!. </w:t>
      </w:r>
      <w:r>
        <w:rPr>
          <w:rFonts w:ascii="Arial" w:eastAsia="Arial" w:hAnsi="Arial" w:cs="Arial"/>
          <w:i/>
          <w:iCs/>
          <w:sz w:val="22"/>
          <w:szCs w:val="22"/>
        </w:rPr>
        <w:t>Indian Journal of Radiology and Imaging</w:t>
      </w:r>
      <w:r>
        <w:rPr>
          <w:rFonts w:ascii="Arial" w:eastAsia="Arial" w:hAnsi="Arial" w:cs="Arial"/>
          <w:sz w:val="22"/>
          <w:szCs w:val="22"/>
        </w:rPr>
        <w:t>, </w:t>
      </w:r>
      <w:r>
        <w:rPr>
          <w:rFonts w:ascii="Arial" w:eastAsia="Arial" w:hAnsi="Arial" w:cs="Arial"/>
          <w:i/>
          <w:iCs/>
          <w:sz w:val="22"/>
          <w:szCs w:val="22"/>
        </w:rPr>
        <w:t>35</w:t>
      </w:r>
      <w:r>
        <w:rPr>
          <w:rFonts w:ascii="Arial" w:eastAsia="Arial" w:hAnsi="Arial" w:cs="Arial"/>
          <w:sz w:val="22"/>
          <w:szCs w:val="22"/>
        </w:rPr>
        <w:t xml:space="preserve">(S 01), pp.S36-S45. </w:t>
      </w:r>
      <w:hyperlink r:id="rId34">
        <w:r w:rsidR="00DB09AE">
          <w:rPr>
            <w:rFonts w:ascii="Arial" w:eastAsia="Arial" w:hAnsi="Arial" w:cs="Arial"/>
            <w:color w:val="0563C1"/>
            <w:sz w:val="22"/>
            <w:szCs w:val="22"/>
            <w:u w:val="single"/>
          </w:rPr>
          <w:t>https://doi.org/10.1055/s-0044-1791745</w:t>
        </w:r>
      </w:hyperlink>
      <w:r>
        <w:rPr>
          <w:rFonts w:ascii="Arial" w:eastAsia="Arial" w:hAnsi="Arial" w:cs="Arial"/>
          <w:sz w:val="22"/>
          <w:szCs w:val="22"/>
        </w:rPr>
        <w:t xml:space="preserve"> </w:t>
      </w:r>
    </w:p>
    <w:p w14:paraId="69C0959E"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Lyon, J., Huntsman, A., Pavek, A., Shen, N., Palmer, J., Weiss, K.L., Barry, L.A. and Hamilton, J.L., 2026. Assessing Representation of Diverse Skin Tones in NP Curricula. </w:t>
      </w:r>
      <w:r>
        <w:rPr>
          <w:rFonts w:ascii="Arial" w:eastAsia="Arial" w:hAnsi="Arial" w:cs="Arial"/>
          <w:i/>
          <w:iCs/>
          <w:sz w:val="22"/>
          <w:szCs w:val="22"/>
        </w:rPr>
        <w:t>The Journal for Nurse Practitioners</w:t>
      </w:r>
      <w:r>
        <w:rPr>
          <w:rFonts w:ascii="Arial" w:eastAsia="Arial" w:hAnsi="Arial" w:cs="Arial"/>
          <w:sz w:val="22"/>
          <w:szCs w:val="22"/>
        </w:rPr>
        <w:t>, </w:t>
      </w:r>
      <w:r>
        <w:rPr>
          <w:rFonts w:ascii="Arial" w:eastAsia="Arial" w:hAnsi="Arial" w:cs="Arial"/>
          <w:i/>
          <w:iCs/>
          <w:sz w:val="22"/>
          <w:szCs w:val="22"/>
        </w:rPr>
        <w:t>22</w:t>
      </w:r>
      <w:r>
        <w:rPr>
          <w:rFonts w:ascii="Arial" w:eastAsia="Arial" w:hAnsi="Arial" w:cs="Arial"/>
          <w:sz w:val="22"/>
          <w:szCs w:val="22"/>
        </w:rPr>
        <w:t xml:space="preserve">(1), p.105616. </w:t>
      </w:r>
      <w:hyperlink r:id="rId35">
        <w:r w:rsidR="00DB09AE">
          <w:rPr>
            <w:rFonts w:ascii="Arial" w:eastAsia="Arial" w:hAnsi="Arial" w:cs="Arial"/>
            <w:color w:val="0563C1"/>
            <w:sz w:val="22"/>
            <w:szCs w:val="22"/>
            <w:u w:val="single"/>
          </w:rPr>
          <w:t>https://doi.org/10.1016/j.nurpra.2025.105616</w:t>
        </w:r>
      </w:hyperlink>
      <w:r>
        <w:rPr>
          <w:rFonts w:ascii="Arial" w:eastAsia="Arial" w:hAnsi="Arial" w:cs="Arial"/>
          <w:sz w:val="22"/>
          <w:szCs w:val="22"/>
        </w:rPr>
        <w:t xml:space="preserve"> </w:t>
      </w:r>
    </w:p>
    <w:p w14:paraId="1C38B0B5"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Lyratzopoulos, G., Abel, G.A., Brown, C.H., Rous, B.A., Vernon, S.A., Roland, M. and Greenberg, D.C., 2013. Socio-demographic inequalities in stage of cancer diagnosis: evidence from patients with female breast, lung, colon, rectal, prostate, renal, bladder, melanoma, ovarian and endometrial cancer. </w:t>
      </w:r>
      <w:r>
        <w:rPr>
          <w:rFonts w:ascii="Arial" w:eastAsia="Arial" w:hAnsi="Arial" w:cs="Arial"/>
          <w:i/>
          <w:iCs/>
          <w:sz w:val="22"/>
          <w:szCs w:val="22"/>
        </w:rPr>
        <w:t>Annals of oncology</w:t>
      </w:r>
      <w:r>
        <w:rPr>
          <w:rFonts w:ascii="Arial" w:eastAsia="Arial" w:hAnsi="Arial" w:cs="Arial"/>
          <w:sz w:val="22"/>
          <w:szCs w:val="22"/>
        </w:rPr>
        <w:t>, </w:t>
      </w:r>
      <w:r>
        <w:rPr>
          <w:rFonts w:ascii="Arial" w:eastAsia="Arial" w:hAnsi="Arial" w:cs="Arial"/>
          <w:i/>
          <w:iCs/>
          <w:sz w:val="22"/>
          <w:szCs w:val="22"/>
        </w:rPr>
        <w:t>24</w:t>
      </w:r>
      <w:r>
        <w:rPr>
          <w:rFonts w:ascii="Arial" w:eastAsia="Arial" w:hAnsi="Arial" w:cs="Arial"/>
          <w:sz w:val="22"/>
          <w:szCs w:val="22"/>
        </w:rPr>
        <w:t xml:space="preserve">(3), pp.843-850. </w:t>
      </w:r>
      <w:hyperlink r:id="rId36">
        <w:r w:rsidR="00DB09AE">
          <w:rPr>
            <w:rFonts w:ascii="Arial" w:eastAsia="Arial" w:hAnsi="Arial" w:cs="Arial"/>
            <w:color w:val="0000FF"/>
            <w:sz w:val="22"/>
            <w:szCs w:val="22"/>
            <w:u w:val="single"/>
          </w:rPr>
          <w:t>https://doi.org/10.1093/annonc/mds526</w:t>
        </w:r>
      </w:hyperlink>
      <w:r>
        <w:rPr>
          <w:rFonts w:ascii="Arial" w:eastAsia="Arial" w:hAnsi="Arial" w:cs="Arial"/>
          <w:sz w:val="22"/>
          <w:szCs w:val="22"/>
        </w:rPr>
        <w:t xml:space="preserve"> </w:t>
      </w:r>
    </w:p>
    <w:p w14:paraId="45DFCF38"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lastRenderedPageBreak/>
        <w:t>MacFarlane, A., Russell-Rose, T. and Shokraneh, F., 2022. Search strategy formulation for systematic reviews: Issues, challenges and opportunities. </w:t>
      </w:r>
      <w:r>
        <w:rPr>
          <w:rFonts w:ascii="Arial" w:eastAsia="Arial" w:hAnsi="Arial" w:cs="Arial"/>
          <w:i/>
          <w:iCs/>
          <w:sz w:val="22"/>
          <w:szCs w:val="22"/>
        </w:rPr>
        <w:t>Intelligent Systems with Applications</w:t>
      </w:r>
      <w:r>
        <w:rPr>
          <w:rFonts w:ascii="Arial" w:eastAsia="Arial" w:hAnsi="Arial" w:cs="Arial"/>
          <w:sz w:val="22"/>
          <w:szCs w:val="22"/>
        </w:rPr>
        <w:t>, </w:t>
      </w:r>
      <w:r>
        <w:rPr>
          <w:rFonts w:ascii="Arial" w:eastAsia="Arial" w:hAnsi="Arial" w:cs="Arial"/>
          <w:i/>
          <w:iCs/>
          <w:sz w:val="22"/>
          <w:szCs w:val="22"/>
        </w:rPr>
        <w:t>15</w:t>
      </w:r>
      <w:r>
        <w:rPr>
          <w:rFonts w:ascii="Arial" w:eastAsia="Arial" w:hAnsi="Arial" w:cs="Arial"/>
          <w:sz w:val="22"/>
          <w:szCs w:val="22"/>
        </w:rPr>
        <w:t xml:space="preserve">, p.200091. </w:t>
      </w:r>
      <w:hyperlink r:id="rId37">
        <w:r w:rsidR="00DB09AE">
          <w:rPr>
            <w:rFonts w:ascii="Arial" w:eastAsia="Arial" w:hAnsi="Arial" w:cs="Arial"/>
            <w:color w:val="0563C1"/>
            <w:sz w:val="22"/>
            <w:szCs w:val="22"/>
            <w:u w:val="single"/>
          </w:rPr>
          <w:t>https://doi.org/10.1016/j.iswa.2022.200091</w:t>
        </w:r>
      </w:hyperlink>
      <w:r>
        <w:rPr>
          <w:rFonts w:ascii="Arial" w:eastAsia="Arial" w:hAnsi="Arial" w:cs="Arial"/>
          <w:sz w:val="22"/>
          <w:szCs w:val="22"/>
        </w:rPr>
        <w:t xml:space="preserve"> </w:t>
      </w:r>
    </w:p>
    <w:p w14:paraId="361D6B6A"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Marmot, M., Allen, J., Boyce, T., Goldblatt, P. and Morrison, J. 2020. </w:t>
      </w:r>
      <w:r>
        <w:rPr>
          <w:rFonts w:ascii="Arial" w:eastAsia="Arial" w:hAnsi="Arial" w:cs="Arial"/>
          <w:i/>
          <w:iCs/>
          <w:sz w:val="22"/>
          <w:szCs w:val="22"/>
        </w:rPr>
        <w:t>Health Equity in England: The Marmot Review 10 Years On</w:t>
      </w:r>
      <w:r>
        <w:rPr>
          <w:rFonts w:ascii="Arial" w:eastAsia="Arial" w:hAnsi="Arial" w:cs="Arial"/>
          <w:sz w:val="22"/>
          <w:szCs w:val="22"/>
        </w:rPr>
        <w:t xml:space="preserve">. London: Institute of Health Equity. Available at: </w:t>
      </w:r>
      <w:hyperlink r:id="rId38">
        <w:r w:rsidR="00DB09AE">
          <w:rPr>
            <w:rFonts w:ascii="Arial" w:eastAsia="Arial" w:hAnsi="Arial" w:cs="Arial"/>
            <w:color w:val="0563C1"/>
            <w:sz w:val="22"/>
            <w:szCs w:val="22"/>
            <w:u w:val="single"/>
          </w:rPr>
          <w:t>https://www.health.org.uk/publications/reports/the-marmot-review-10-years-on</w:t>
        </w:r>
      </w:hyperlink>
      <w:r>
        <w:rPr>
          <w:rFonts w:ascii="Arial" w:eastAsia="Arial" w:hAnsi="Arial" w:cs="Arial"/>
          <w:sz w:val="22"/>
          <w:szCs w:val="22"/>
        </w:rPr>
        <w:t xml:space="preserve"> (Accessed: 14 July 2026).</w:t>
      </w:r>
    </w:p>
    <w:p w14:paraId="21AE93B5"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National Institute for Health and Care Excellence (NICE) 2023. </w:t>
      </w:r>
      <w:r>
        <w:rPr>
          <w:rFonts w:ascii="Arial" w:eastAsia="Arial" w:hAnsi="Arial" w:cs="Arial"/>
          <w:i/>
          <w:iCs/>
          <w:sz w:val="22"/>
          <w:szCs w:val="22"/>
        </w:rPr>
        <w:t>Suspected cancer: recognition and referral (NG12)</w:t>
      </w:r>
      <w:r>
        <w:rPr>
          <w:rFonts w:ascii="Arial" w:eastAsia="Arial" w:hAnsi="Arial" w:cs="Arial"/>
          <w:sz w:val="22"/>
          <w:szCs w:val="22"/>
        </w:rPr>
        <w:t xml:space="preserve">. Available at: </w:t>
      </w:r>
      <w:hyperlink r:id="rId39">
        <w:r w:rsidR="00DB09AE">
          <w:rPr>
            <w:rFonts w:ascii="Arial" w:eastAsia="Arial" w:hAnsi="Arial" w:cs="Arial"/>
            <w:color w:val="0563C1"/>
            <w:sz w:val="22"/>
            <w:szCs w:val="22"/>
            <w:u w:val="single"/>
          </w:rPr>
          <w:t>https://www.nice.org.uk/guidance/ng12</w:t>
        </w:r>
      </w:hyperlink>
      <w:r>
        <w:rPr>
          <w:rFonts w:ascii="Arial" w:eastAsia="Arial" w:hAnsi="Arial" w:cs="Arial"/>
          <w:sz w:val="22"/>
          <w:szCs w:val="22"/>
        </w:rPr>
        <w:t xml:space="preserve"> (Accessed: 14 July 2026).</w:t>
      </w:r>
    </w:p>
    <w:p w14:paraId="41654432"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Nazroo, J.Y., Bhui, K.S. and Rhodes, J., 2020. Where next for understanding race/ethnic inequalities in severe mental illness? Structural, interpersonal and institutional racism. </w:t>
      </w:r>
      <w:r>
        <w:rPr>
          <w:rFonts w:ascii="Arial" w:eastAsia="Arial" w:hAnsi="Arial" w:cs="Arial"/>
          <w:i/>
          <w:iCs/>
          <w:sz w:val="22"/>
          <w:szCs w:val="22"/>
        </w:rPr>
        <w:t>Sociology of health &amp; illness</w:t>
      </w:r>
      <w:r>
        <w:rPr>
          <w:rFonts w:ascii="Arial" w:eastAsia="Arial" w:hAnsi="Arial" w:cs="Arial"/>
          <w:sz w:val="22"/>
          <w:szCs w:val="22"/>
        </w:rPr>
        <w:t>, </w:t>
      </w:r>
      <w:r>
        <w:rPr>
          <w:rFonts w:ascii="Arial" w:eastAsia="Arial" w:hAnsi="Arial" w:cs="Arial"/>
          <w:i/>
          <w:iCs/>
          <w:sz w:val="22"/>
          <w:szCs w:val="22"/>
        </w:rPr>
        <w:t>42</w:t>
      </w:r>
      <w:r>
        <w:rPr>
          <w:rFonts w:ascii="Arial" w:eastAsia="Arial" w:hAnsi="Arial" w:cs="Arial"/>
          <w:sz w:val="22"/>
          <w:szCs w:val="22"/>
        </w:rPr>
        <w:t xml:space="preserve">(2), pp.262-276. </w:t>
      </w:r>
      <w:hyperlink r:id="rId40">
        <w:r w:rsidR="00DB09AE">
          <w:rPr>
            <w:rFonts w:ascii="Arial" w:eastAsia="Arial" w:hAnsi="Arial" w:cs="Arial"/>
            <w:color w:val="0000FF"/>
            <w:sz w:val="22"/>
            <w:szCs w:val="22"/>
            <w:u w:val="single"/>
          </w:rPr>
          <w:t>https://doi.org/10.1111/1467-9566.13001</w:t>
        </w:r>
      </w:hyperlink>
      <w:r>
        <w:rPr>
          <w:rFonts w:ascii="Arial" w:eastAsia="Arial" w:hAnsi="Arial" w:cs="Arial"/>
          <w:sz w:val="22"/>
          <w:szCs w:val="22"/>
        </w:rPr>
        <w:t xml:space="preserve"> </w:t>
      </w:r>
    </w:p>
    <w:p w14:paraId="64F609E7"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Neal, R.D., Tharmanathan, P., France, B., Din, N.U., Cotton, S., Fallon-Ferguson, J., Hamilton, W., Hendry, A., Hendry, M., Lewis, R., Macleod, U., Mitchell, E.D., Pickett, M., Rai, T., Shaw, K. and Stuart, N. (2015) </w:t>
      </w:r>
      <w:r>
        <w:rPr>
          <w:rFonts w:ascii="Arial" w:eastAsia="Arial" w:hAnsi="Arial" w:cs="Arial"/>
          <w:i/>
          <w:iCs/>
          <w:sz w:val="22"/>
          <w:szCs w:val="22"/>
        </w:rPr>
        <w:t>Is increased time to diagnosis and treatment in symptomatic cancer associated with poorer outcomes? Systematic review</w:t>
      </w:r>
      <w:r>
        <w:rPr>
          <w:rFonts w:ascii="Arial" w:eastAsia="Arial" w:hAnsi="Arial" w:cs="Arial"/>
          <w:sz w:val="22"/>
          <w:szCs w:val="22"/>
        </w:rPr>
        <w:t xml:space="preserve">. British Journal of Cancer, 112(S1), pp.S92–S107. </w:t>
      </w:r>
      <w:hyperlink r:id="rId41">
        <w:r w:rsidR="00DB09AE">
          <w:rPr>
            <w:rFonts w:ascii="Arial" w:eastAsia="Arial" w:hAnsi="Arial" w:cs="Arial"/>
            <w:color w:val="0563C1"/>
            <w:sz w:val="22"/>
            <w:szCs w:val="22"/>
            <w:u w:val="single"/>
          </w:rPr>
          <w:t>https://doi.org/10.1038/bjc.2015.48</w:t>
        </w:r>
      </w:hyperlink>
    </w:p>
    <w:p w14:paraId="4DE6D7A8"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Ngo, N.N. and Brooks, J.D., 2025. Earlier screening, better outcomes? Revisiting breast cancer screening guidelines for women in their 40s. </w:t>
      </w:r>
      <w:r>
        <w:rPr>
          <w:rFonts w:ascii="Arial" w:eastAsia="Arial" w:hAnsi="Arial" w:cs="Arial"/>
          <w:i/>
          <w:iCs/>
          <w:sz w:val="22"/>
          <w:szCs w:val="22"/>
        </w:rPr>
        <w:t>Canadian Journal of Public Health</w:t>
      </w:r>
      <w:r>
        <w:rPr>
          <w:rFonts w:ascii="Arial" w:eastAsia="Arial" w:hAnsi="Arial" w:cs="Arial"/>
          <w:sz w:val="22"/>
          <w:szCs w:val="22"/>
        </w:rPr>
        <w:t xml:space="preserve">, pp.1-6. </w:t>
      </w:r>
      <w:hyperlink r:id="rId42">
        <w:r w:rsidR="00DB09AE">
          <w:rPr>
            <w:rFonts w:ascii="Arial" w:eastAsia="Arial" w:hAnsi="Arial" w:cs="Arial"/>
            <w:color w:val="0000FF"/>
            <w:sz w:val="22"/>
            <w:szCs w:val="22"/>
            <w:u w:val="single"/>
          </w:rPr>
          <w:t>https://doi.org/10.17269/s41997-025-01112-7</w:t>
        </w:r>
      </w:hyperlink>
      <w:r>
        <w:rPr>
          <w:rFonts w:ascii="Arial" w:eastAsia="Arial" w:hAnsi="Arial" w:cs="Arial"/>
          <w:sz w:val="22"/>
          <w:szCs w:val="22"/>
        </w:rPr>
        <w:t xml:space="preserve"> </w:t>
      </w:r>
    </w:p>
    <w:p w14:paraId="2BEC21B9"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NHS England (2023) </w:t>
      </w:r>
      <w:r>
        <w:rPr>
          <w:rFonts w:ascii="Arial" w:eastAsia="Arial" w:hAnsi="Arial" w:cs="Arial"/>
          <w:i/>
          <w:iCs/>
          <w:sz w:val="22"/>
          <w:szCs w:val="22"/>
        </w:rPr>
        <w:t>NHS Long Term Plan: Cancer Programme</w:t>
      </w:r>
      <w:r>
        <w:rPr>
          <w:rFonts w:ascii="Arial" w:eastAsia="Arial" w:hAnsi="Arial" w:cs="Arial"/>
          <w:sz w:val="22"/>
          <w:szCs w:val="22"/>
        </w:rPr>
        <w:t xml:space="preserve">.Available at: </w:t>
      </w:r>
      <w:hyperlink r:id="rId43">
        <w:r w:rsidR="00DB09AE">
          <w:rPr>
            <w:rFonts w:ascii="Arial" w:eastAsia="Arial" w:hAnsi="Arial" w:cs="Arial"/>
            <w:color w:val="0563C1"/>
            <w:sz w:val="22"/>
            <w:szCs w:val="22"/>
            <w:u w:val="single"/>
          </w:rPr>
          <w:t>https://www.england.nhs.uk/long-term-plan/areas-of-work/cancer/</w:t>
        </w:r>
      </w:hyperlink>
      <w:r>
        <w:rPr>
          <w:rFonts w:ascii="Arial" w:eastAsia="Arial" w:hAnsi="Arial" w:cs="Arial"/>
          <w:sz w:val="22"/>
          <w:szCs w:val="22"/>
        </w:rPr>
        <w:t xml:space="preserve">  (Accessed: 14 July 2026).</w:t>
      </w:r>
    </w:p>
    <w:p w14:paraId="1CD679F2"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NHS England (2023) </w:t>
      </w:r>
      <w:r>
        <w:rPr>
          <w:rFonts w:ascii="Arial" w:eastAsia="Arial" w:hAnsi="Arial" w:cs="Arial"/>
          <w:i/>
          <w:iCs/>
          <w:sz w:val="22"/>
          <w:szCs w:val="22"/>
        </w:rPr>
        <w:t>Professional standards: framework for quality assurance and improvement</w:t>
      </w:r>
      <w:r>
        <w:rPr>
          <w:rFonts w:ascii="Arial" w:eastAsia="Arial" w:hAnsi="Arial" w:cs="Arial"/>
          <w:sz w:val="22"/>
          <w:szCs w:val="22"/>
        </w:rPr>
        <w:t xml:space="preserve">. Available at: </w:t>
      </w:r>
      <w:hyperlink r:id="rId44">
        <w:r w:rsidR="00DB09AE">
          <w:rPr>
            <w:rFonts w:ascii="Arial" w:eastAsia="Arial" w:hAnsi="Arial" w:cs="Arial"/>
            <w:color w:val="0563C1"/>
            <w:sz w:val="22"/>
            <w:szCs w:val="22"/>
            <w:u w:val="single"/>
          </w:rPr>
          <w:t>https://www.england.nhs.uk/publication/professional-standards-framework-for-quality-assurance-and-improvement/</w:t>
        </w:r>
      </w:hyperlink>
      <w:r>
        <w:rPr>
          <w:rFonts w:ascii="Arial" w:eastAsia="Arial" w:hAnsi="Arial" w:cs="Arial"/>
          <w:sz w:val="22"/>
          <w:szCs w:val="22"/>
        </w:rPr>
        <w:t xml:space="preserve">? </w:t>
      </w:r>
    </w:p>
    <w:p w14:paraId="6B10F42E"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NHS England 2023. </w:t>
      </w:r>
      <w:r>
        <w:rPr>
          <w:rFonts w:ascii="Arial" w:eastAsia="Arial" w:hAnsi="Arial" w:cs="Arial"/>
          <w:i/>
          <w:iCs/>
          <w:sz w:val="22"/>
          <w:szCs w:val="22"/>
        </w:rPr>
        <w:t>Core20PLUS5 – An approach to reducing healthcare inequalities</w:t>
      </w:r>
      <w:r>
        <w:rPr>
          <w:rFonts w:ascii="Arial" w:eastAsia="Arial" w:hAnsi="Arial" w:cs="Arial"/>
          <w:sz w:val="22"/>
          <w:szCs w:val="22"/>
        </w:rPr>
        <w:t xml:space="preserve">. Available at: </w:t>
      </w:r>
      <w:hyperlink r:id="rId45">
        <w:r w:rsidR="00DB09AE">
          <w:rPr>
            <w:rFonts w:ascii="Arial" w:eastAsia="Arial" w:hAnsi="Arial" w:cs="Arial"/>
            <w:color w:val="0563C1"/>
            <w:sz w:val="22"/>
            <w:szCs w:val="22"/>
            <w:u w:val="single"/>
          </w:rPr>
          <w:t>https://www.england.nhs.uk/about/equality/equality-hub/core20plus5/</w:t>
        </w:r>
      </w:hyperlink>
      <w:r>
        <w:rPr>
          <w:rFonts w:ascii="Arial" w:eastAsia="Arial" w:hAnsi="Arial" w:cs="Arial"/>
          <w:sz w:val="22"/>
          <w:szCs w:val="22"/>
        </w:rPr>
        <w:t xml:space="preserve"> (Accessed: 14 July 2026).</w:t>
      </w:r>
    </w:p>
    <w:p w14:paraId="04747C8E"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NHS England 2023. </w:t>
      </w:r>
      <w:r>
        <w:rPr>
          <w:rFonts w:ascii="Arial" w:eastAsia="Arial" w:hAnsi="Arial" w:cs="Arial"/>
          <w:i/>
          <w:iCs/>
          <w:sz w:val="22"/>
          <w:szCs w:val="22"/>
        </w:rPr>
        <w:t>NHS Long Term Plan – Cancer Programme</w:t>
      </w:r>
      <w:r>
        <w:rPr>
          <w:rFonts w:ascii="Arial" w:eastAsia="Arial" w:hAnsi="Arial" w:cs="Arial"/>
          <w:sz w:val="22"/>
          <w:szCs w:val="22"/>
        </w:rPr>
        <w:t>. Available at: https://www.england.nhs.uk/long-read/nhs-long-term-plan/ (Accessed: 14 July 2026).</w:t>
      </w:r>
    </w:p>
    <w:p w14:paraId="03DB002C"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lastRenderedPageBreak/>
        <w:t>Nowell, L.S., Norris, J.M., White, D.E. and Moules, N.J., 2017. Thematic analysis: Striving to meet the trustworthiness criteria. </w:t>
      </w:r>
      <w:r>
        <w:rPr>
          <w:rFonts w:ascii="Arial" w:eastAsia="Arial" w:hAnsi="Arial" w:cs="Arial"/>
          <w:i/>
          <w:iCs/>
          <w:sz w:val="22"/>
          <w:szCs w:val="22"/>
        </w:rPr>
        <w:t>International journal of qualitative methods</w:t>
      </w:r>
      <w:r>
        <w:rPr>
          <w:rFonts w:ascii="Arial" w:eastAsia="Arial" w:hAnsi="Arial" w:cs="Arial"/>
          <w:sz w:val="22"/>
          <w:szCs w:val="22"/>
        </w:rPr>
        <w:t>, </w:t>
      </w:r>
      <w:r>
        <w:rPr>
          <w:rFonts w:ascii="Arial" w:eastAsia="Arial" w:hAnsi="Arial" w:cs="Arial"/>
          <w:i/>
          <w:iCs/>
          <w:sz w:val="22"/>
          <w:szCs w:val="22"/>
        </w:rPr>
        <w:t>16</w:t>
      </w:r>
      <w:r>
        <w:rPr>
          <w:rFonts w:ascii="Arial" w:eastAsia="Arial" w:hAnsi="Arial" w:cs="Arial"/>
          <w:sz w:val="22"/>
          <w:szCs w:val="22"/>
        </w:rPr>
        <w:t xml:space="preserve">(1), p.1609406917733847. </w:t>
      </w:r>
      <w:hyperlink r:id="rId46">
        <w:r w:rsidR="00DB09AE">
          <w:rPr>
            <w:rFonts w:ascii="Arial" w:eastAsia="Arial" w:hAnsi="Arial" w:cs="Arial"/>
            <w:color w:val="0563C1"/>
            <w:sz w:val="22"/>
            <w:szCs w:val="22"/>
            <w:u w:val="single"/>
          </w:rPr>
          <w:t>https://doi.org/10.1177/1609406917733847</w:t>
        </w:r>
      </w:hyperlink>
      <w:r>
        <w:rPr>
          <w:rFonts w:ascii="Arial" w:eastAsia="Arial" w:hAnsi="Arial" w:cs="Arial"/>
          <w:sz w:val="22"/>
          <w:szCs w:val="22"/>
        </w:rPr>
        <w:t xml:space="preserve"> </w:t>
      </w:r>
    </w:p>
    <w:p w14:paraId="03A24E63"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Nursing and Midwifery Council 2018. </w:t>
      </w:r>
      <w:r>
        <w:rPr>
          <w:rFonts w:ascii="Arial" w:eastAsia="Arial" w:hAnsi="Arial" w:cs="Arial"/>
          <w:i/>
          <w:iCs/>
          <w:sz w:val="22"/>
          <w:szCs w:val="22"/>
        </w:rPr>
        <w:t>The Code: Professional standards of practice and behaviour for nurses, midwives and nursing associates</w:t>
      </w:r>
      <w:r>
        <w:rPr>
          <w:rFonts w:ascii="Arial" w:eastAsia="Arial" w:hAnsi="Arial" w:cs="Arial"/>
          <w:sz w:val="22"/>
          <w:szCs w:val="22"/>
        </w:rPr>
        <w:t xml:space="preserve">. Available at: </w:t>
      </w:r>
      <w:hyperlink r:id="rId47">
        <w:r w:rsidR="00DB09AE">
          <w:rPr>
            <w:rFonts w:ascii="Arial" w:eastAsia="Arial" w:hAnsi="Arial" w:cs="Arial"/>
            <w:color w:val="0563C1"/>
            <w:sz w:val="22"/>
            <w:szCs w:val="22"/>
            <w:u w:val="single"/>
          </w:rPr>
          <w:t>https://www.nmc.org.uk/standards/code/</w:t>
        </w:r>
      </w:hyperlink>
      <w:r>
        <w:rPr>
          <w:rFonts w:ascii="Arial" w:eastAsia="Arial" w:hAnsi="Arial" w:cs="Arial"/>
          <w:sz w:val="22"/>
          <w:szCs w:val="22"/>
        </w:rPr>
        <w:t xml:space="preserve"> (Accessed: 14 July 2026).</w:t>
      </w:r>
    </w:p>
    <w:p w14:paraId="04A5DA80"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O’Dowd, A., 2024. Risk to patients’ lives grows as cancer treatment delays double in past year. </w:t>
      </w:r>
      <w:hyperlink r:id="rId48">
        <w:r w:rsidR="00DB09AE">
          <w:rPr>
            <w:rFonts w:ascii="Arial" w:eastAsia="Arial" w:hAnsi="Arial" w:cs="Arial"/>
            <w:color w:val="0000FF"/>
            <w:sz w:val="22"/>
            <w:szCs w:val="22"/>
            <w:u w:val="single"/>
          </w:rPr>
          <w:t>https://doi.org/10.1136/bmj.q1316</w:t>
        </w:r>
      </w:hyperlink>
      <w:r>
        <w:rPr>
          <w:rFonts w:ascii="Arial" w:eastAsia="Arial" w:hAnsi="Arial" w:cs="Arial"/>
          <w:sz w:val="22"/>
          <w:szCs w:val="22"/>
        </w:rPr>
        <w:t xml:space="preserve"> </w:t>
      </w:r>
    </w:p>
    <w:p w14:paraId="69BC0C42"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Organisation for Economic Co-operation and Development and European Commission. 2026. </w:t>
      </w:r>
      <w:r>
        <w:rPr>
          <w:rFonts w:ascii="Arial" w:eastAsia="Arial" w:hAnsi="Arial" w:cs="Arial"/>
          <w:i/>
          <w:iCs/>
          <w:sz w:val="22"/>
          <w:szCs w:val="22"/>
        </w:rPr>
        <w:t>Delivering high value cancer care: European Cancer Inequalities Registry analytical report – Timely access to cancer care</w:t>
      </w:r>
      <w:r>
        <w:rPr>
          <w:rFonts w:ascii="Arial" w:eastAsia="Arial" w:hAnsi="Arial" w:cs="Arial"/>
          <w:sz w:val="22"/>
          <w:szCs w:val="22"/>
        </w:rPr>
        <w:t xml:space="preserve">. Paris: OECD Publishing. Available at: </w:t>
      </w:r>
      <w:hyperlink r:id="rId49">
        <w:r w:rsidR="00DB09AE">
          <w:rPr>
            <w:rFonts w:ascii="Arial" w:eastAsia="Arial" w:hAnsi="Arial" w:cs="Arial"/>
            <w:color w:val="0000FF"/>
            <w:sz w:val="22"/>
            <w:szCs w:val="22"/>
            <w:u w:val="single"/>
          </w:rPr>
          <w:t>https://www.oecd.org/en/publications/delivering-high-value-cancer-care_060869fe-en/full-report/timely-access-to-cancer-care_2be13969.html</w:t>
        </w:r>
      </w:hyperlink>
      <w:r>
        <w:rPr>
          <w:rFonts w:ascii="Arial" w:eastAsia="Arial" w:hAnsi="Arial" w:cs="Arial"/>
          <w:sz w:val="22"/>
          <w:szCs w:val="22"/>
        </w:rPr>
        <w:t xml:space="preserve"> (Accessed: 23 April 2026).</w:t>
      </w:r>
    </w:p>
    <w:p w14:paraId="6E2F1CCF"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Paget, J.1874 ‘On disease of the mammary areola preceding cancer of the mammary gland’, </w:t>
      </w:r>
      <w:r>
        <w:rPr>
          <w:rFonts w:ascii="Arial" w:eastAsia="Arial" w:hAnsi="Arial" w:cs="Arial"/>
          <w:i/>
          <w:iCs/>
          <w:sz w:val="22"/>
          <w:szCs w:val="22"/>
        </w:rPr>
        <w:t>St Bartholomew’s Hospital Reports</w:t>
      </w:r>
      <w:r>
        <w:rPr>
          <w:rFonts w:ascii="Arial" w:eastAsia="Arial" w:hAnsi="Arial" w:cs="Arial"/>
          <w:sz w:val="22"/>
          <w:szCs w:val="22"/>
        </w:rPr>
        <w:t>, 10, pp. 87–89.</w:t>
      </w:r>
    </w:p>
    <w:p w14:paraId="2071336D"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Pannucci, C.J. and Wilkins, E.G., 2010. Identifying and avoiding bias in research. </w:t>
      </w:r>
      <w:r>
        <w:rPr>
          <w:rFonts w:ascii="Arial" w:eastAsia="Arial" w:hAnsi="Arial" w:cs="Arial"/>
          <w:i/>
          <w:iCs/>
          <w:sz w:val="22"/>
          <w:szCs w:val="22"/>
        </w:rPr>
        <w:t>Plastic and reconstructive surgery</w:t>
      </w:r>
      <w:r>
        <w:rPr>
          <w:rFonts w:ascii="Arial" w:eastAsia="Arial" w:hAnsi="Arial" w:cs="Arial"/>
          <w:sz w:val="22"/>
          <w:szCs w:val="22"/>
        </w:rPr>
        <w:t>, </w:t>
      </w:r>
      <w:r>
        <w:rPr>
          <w:rFonts w:ascii="Arial" w:eastAsia="Arial" w:hAnsi="Arial" w:cs="Arial"/>
          <w:i/>
          <w:iCs/>
          <w:sz w:val="22"/>
          <w:szCs w:val="22"/>
        </w:rPr>
        <w:t>126</w:t>
      </w:r>
      <w:r>
        <w:rPr>
          <w:rFonts w:ascii="Arial" w:eastAsia="Arial" w:hAnsi="Arial" w:cs="Arial"/>
          <w:sz w:val="22"/>
          <w:szCs w:val="22"/>
        </w:rPr>
        <w:t xml:space="preserve">(2), pp.619-625. </w:t>
      </w:r>
      <w:hyperlink r:id="rId50">
        <w:r w:rsidR="00DB09AE">
          <w:rPr>
            <w:rFonts w:ascii="Arial" w:eastAsia="Arial" w:hAnsi="Arial" w:cs="Arial"/>
            <w:color w:val="0563C1"/>
            <w:sz w:val="22"/>
            <w:szCs w:val="22"/>
            <w:u w:val="single"/>
          </w:rPr>
          <w:t>https://doi.org/10.1097/PRS.0b013e3181de24bc</w:t>
        </w:r>
      </w:hyperlink>
      <w:r>
        <w:rPr>
          <w:rFonts w:ascii="Arial" w:eastAsia="Arial" w:hAnsi="Arial" w:cs="Arial"/>
          <w:sz w:val="22"/>
          <w:szCs w:val="22"/>
        </w:rPr>
        <w:t xml:space="preserve"> </w:t>
      </w:r>
    </w:p>
    <w:p w14:paraId="31CEAAC0"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Patterson, B., Diekema, A.R., Hopkins, E.B.S., Wilson, D. and Schvaneveldt, N., 2025. “Is this professionally correct?”: understanding the criteria nurses use to evaluate information. </w:t>
      </w:r>
      <w:r>
        <w:rPr>
          <w:rFonts w:ascii="Arial" w:eastAsia="Arial" w:hAnsi="Arial" w:cs="Arial"/>
          <w:i/>
          <w:iCs/>
          <w:sz w:val="22"/>
          <w:szCs w:val="22"/>
        </w:rPr>
        <w:t>Journal of the Medical Library Association: JMLA</w:t>
      </w:r>
      <w:r>
        <w:rPr>
          <w:rFonts w:ascii="Arial" w:eastAsia="Arial" w:hAnsi="Arial" w:cs="Arial"/>
          <w:sz w:val="22"/>
          <w:szCs w:val="22"/>
        </w:rPr>
        <w:t>, </w:t>
      </w:r>
      <w:r>
        <w:rPr>
          <w:rFonts w:ascii="Arial" w:eastAsia="Arial" w:hAnsi="Arial" w:cs="Arial"/>
          <w:i/>
          <w:iCs/>
          <w:sz w:val="22"/>
          <w:szCs w:val="22"/>
        </w:rPr>
        <w:t>113</w:t>
      </w:r>
      <w:r>
        <w:rPr>
          <w:rFonts w:ascii="Arial" w:eastAsia="Arial" w:hAnsi="Arial" w:cs="Arial"/>
          <w:sz w:val="22"/>
          <w:szCs w:val="22"/>
        </w:rPr>
        <w:t xml:space="preserve">(4), p.298. </w:t>
      </w:r>
      <w:hyperlink r:id="rId51">
        <w:r w:rsidR="00DB09AE">
          <w:rPr>
            <w:rFonts w:ascii="Arial" w:eastAsia="Arial" w:hAnsi="Arial" w:cs="Arial"/>
            <w:color w:val="0563C1"/>
            <w:sz w:val="22"/>
            <w:szCs w:val="22"/>
            <w:u w:val="single"/>
          </w:rPr>
          <w:t>https://doi.org/10.5195/jmla.2025.2163</w:t>
        </w:r>
      </w:hyperlink>
      <w:r>
        <w:rPr>
          <w:rFonts w:ascii="Arial" w:eastAsia="Arial" w:hAnsi="Arial" w:cs="Arial"/>
          <w:sz w:val="22"/>
          <w:szCs w:val="22"/>
        </w:rPr>
        <w:t xml:space="preserve"> </w:t>
      </w:r>
    </w:p>
    <w:p w14:paraId="60794C88"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Polit, D.F. and Beck, C.T., 2021. </w:t>
      </w:r>
      <w:r>
        <w:rPr>
          <w:rFonts w:ascii="Arial" w:eastAsia="Arial" w:hAnsi="Arial" w:cs="Arial"/>
          <w:i/>
          <w:iCs/>
          <w:sz w:val="22"/>
          <w:szCs w:val="22"/>
        </w:rPr>
        <w:t>Nursing research: Generating and assessing evidence for nursing practice</w:t>
      </w:r>
      <w:r>
        <w:rPr>
          <w:rFonts w:ascii="Arial" w:eastAsia="Arial" w:hAnsi="Arial" w:cs="Arial"/>
          <w:sz w:val="22"/>
          <w:szCs w:val="22"/>
        </w:rPr>
        <w:t>. Lippincott Williams &amp; Wilkins.</w:t>
      </w:r>
    </w:p>
    <w:p w14:paraId="2879F3DF"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Ramos-Castaneda, J.A., Joven-Gonzalez, D.A., Cardozo-Vasquez, O.Y. and Perez-Becerra, V., 2026. Health System Barriers to Early Detection and Timely Treatment of Breast Cancer. A Scoping Review. </w:t>
      </w:r>
      <w:r>
        <w:rPr>
          <w:rFonts w:ascii="Arial" w:eastAsia="Arial" w:hAnsi="Arial" w:cs="Arial"/>
          <w:i/>
          <w:iCs/>
          <w:sz w:val="22"/>
          <w:szCs w:val="22"/>
        </w:rPr>
        <w:t>Journal of Cancer Policy</w:t>
      </w:r>
      <w:r>
        <w:rPr>
          <w:rFonts w:ascii="Arial" w:eastAsia="Arial" w:hAnsi="Arial" w:cs="Arial"/>
          <w:sz w:val="22"/>
          <w:szCs w:val="22"/>
        </w:rPr>
        <w:t xml:space="preserve">, p.100712. </w:t>
      </w:r>
      <w:hyperlink r:id="rId52">
        <w:r w:rsidR="00DB09AE">
          <w:rPr>
            <w:rFonts w:ascii="Arial" w:eastAsia="Arial" w:hAnsi="Arial" w:cs="Arial"/>
            <w:color w:val="0563C1"/>
            <w:sz w:val="22"/>
            <w:szCs w:val="22"/>
            <w:u w:val="single"/>
          </w:rPr>
          <w:t>https://doi.org/10.1016/j.jcpo.2026.100712</w:t>
        </w:r>
      </w:hyperlink>
      <w:r>
        <w:rPr>
          <w:rFonts w:ascii="Arial" w:eastAsia="Arial" w:hAnsi="Arial" w:cs="Arial"/>
          <w:sz w:val="22"/>
          <w:szCs w:val="22"/>
        </w:rPr>
        <w:t xml:space="preserve"> </w:t>
      </w:r>
    </w:p>
    <w:p w14:paraId="698D6C27"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Ribeiro, H.F., Pelloso, F.C., Fonseca, B.S.D., Camparoto, C.W., Carvalho, M.D.D.B., Marques, V.D., Bitencourt, M.R., Stevanato, K.P., Borba, P.B., Borghesan, D.H.P. and Egger, P.A., 2025. Racial and socioeconomic disparity in breast cancer mortality: a systematic review and meta-analysis. </w:t>
      </w:r>
      <w:r>
        <w:rPr>
          <w:rFonts w:ascii="Arial" w:eastAsia="Arial" w:hAnsi="Arial" w:cs="Arial"/>
          <w:i/>
          <w:iCs/>
          <w:sz w:val="22"/>
          <w:szCs w:val="22"/>
        </w:rPr>
        <w:t>Cancers</w:t>
      </w:r>
      <w:r>
        <w:rPr>
          <w:rFonts w:ascii="Arial" w:eastAsia="Arial" w:hAnsi="Arial" w:cs="Arial"/>
          <w:sz w:val="22"/>
          <w:szCs w:val="22"/>
        </w:rPr>
        <w:t>, </w:t>
      </w:r>
      <w:r>
        <w:rPr>
          <w:rFonts w:ascii="Arial" w:eastAsia="Arial" w:hAnsi="Arial" w:cs="Arial"/>
          <w:i/>
          <w:iCs/>
          <w:sz w:val="22"/>
          <w:szCs w:val="22"/>
        </w:rPr>
        <w:t>17</w:t>
      </w:r>
      <w:r>
        <w:rPr>
          <w:rFonts w:ascii="Arial" w:eastAsia="Arial" w:hAnsi="Arial" w:cs="Arial"/>
          <w:sz w:val="22"/>
          <w:szCs w:val="22"/>
        </w:rPr>
        <w:t xml:space="preserve">(10), p.1641. </w:t>
      </w:r>
      <w:hyperlink r:id="rId53">
        <w:r w:rsidR="00DB09AE">
          <w:rPr>
            <w:rFonts w:ascii="Arial" w:eastAsia="Arial" w:hAnsi="Arial" w:cs="Arial"/>
            <w:color w:val="0000FF"/>
            <w:sz w:val="22"/>
            <w:szCs w:val="22"/>
            <w:u w:val="single"/>
          </w:rPr>
          <w:t>https://doi.org/10.3390/cancers17101641</w:t>
        </w:r>
      </w:hyperlink>
      <w:r>
        <w:rPr>
          <w:rFonts w:ascii="Arial" w:eastAsia="Arial" w:hAnsi="Arial" w:cs="Arial"/>
          <w:sz w:val="22"/>
          <w:szCs w:val="22"/>
        </w:rPr>
        <w:t xml:space="preserve"> </w:t>
      </w:r>
    </w:p>
    <w:p w14:paraId="717B1292"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lastRenderedPageBreak/>
        <w:t>Rubagumya, F., Costas-Chavarri, A., Manirakiza, A., Murenzi, G., Uwinkindi, F., Ntizimira, C., Rukundo, I., Mugenzi, P., Rugwizangoga, B., Shyirambere, C. and Urusaro, S., 2020. State of cancer control in Rwanda: past, present, and future opportunities. </w:t>
      </w:r>
      <w:r>
        <w:rPr>
          <w:rFonts w:ascii="Arial" w:eastAsia="Arial" w:hAnsi="Arial" w:cs="Arial"/>
          <w:i/>
          <w:iCs/>
          <w:sz w:val="22"/>
          <w:szCs w:val="22"/>
        </w:rPr>
        <w:t>JCO Global Oncology</w:t>
      </w:r>
      <w:r>
        <w:rPr>
          <w:rFonts w:ascii="Arial" w:eastAsia="Arial" w:hAnsi="Arial" w:cs="Arial"/>
          <w:sz w:val="22"/>
          <w:szCs w:val="22"/>
        </w:rPr>
        <w:t>, </w:t>
      </w:r>
      <w:r>
        <w:rPr>
          <w:rFonts w:ascii="Arial" w:eastAsia="Arial" w:hAnsi="Arial" w:cs="Arial"/>
          <w:i/>
          <w:iCs/>
          <w:sz w:val="22"/>
          <w:szCs w:val="22"/>
        </w:rPr>
        <w:t>6</w:t>
      </w:r>
      <w:r>
        <w:rPr>
          <w:rFonts w:ascii="Arial" w:eastAsia="Arial" w:hAnsi="Arial" w:cs="Arial"/>
          <w:sz w:val="22"/>
          <w:szCs w:val="22"/>
        </w:rPr>
        <w:t xml:space="preserve">, pp.1171-1177. </w:t>
      </w:r>
      <w:hyperlink r:id="rId54">
        <w:r w:rsidR="00DB09AE">
          <w:rPr>
            <w:rFonts w:ascii="Arial" w:eastAsia="Arial" w:hAnsi="Arial" w:cs="Arial"/>
            <w:color w:val="0000FF"/>
            <w:sz w:val="22"/>
            <w:szCs w:val="22"/>
            <w:u w:val="single"/>
          </w:rPr>
          <w:t>https://doi.org/10.1200/GO.20.00281</w:t>
        </w:r>
      </w:hyperlink>
      <w:r>
        <w:rPr>
          <w:rFonts w:ascii="Arial" w:eastAsia="Arial" w:hAnsi="Arial" w:cs="Arial"/>
          <w:sz w:val="22"/>
          <w:szCs w:val="22"/>
        </w:rPr>
        <w:t xml:space="preserve"> </w:t>
      </w:r>
    </w:p>
    <w:p w14:paraId="1984554A"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Scott, E.C. and Hoskin, P.J., 2024. Health inequalities in cancer care: a literature review of pathways to diagnosis in the United Kingdom. </w:t>
      </w:r>
      <w:r>
        <w:rPr>
          <w:rFonts w:ascii="Arial" w:eastAsia="Arial" w:hAnsi="Arial" w:cs="Arial"/>
          <w:i/>
          <w:iCs/>
          <w:sz w:val="22"/>
          <w:szCs w:val="22"/>
        </w:rPr>
        <w:t>EClinicalMedicine</w:t>
      </w:r>
      <w:r>
        <w:rPr>
          <w:rFonts w:ascii="Arial" w:eastAsia="Arial" w:hAnsi="Arial" w:cs="Arial"/>
          <w:sz w:val="22"/>
          <w:szCs w:val="22"/>
        </w:rPr>
        <w:t>, </w:t>
      </w:r>
      <w:r>
        <w:rPr>
          <w:rFonts w:ascii="Arial" w:eastAsia="Arial" w:hAnsi="Arial" w:cs="Arial"/>
          <w:i/>
          <w:iCs/>
          <w:sz w:val="22"/>
          <w:szCs w:val="22"/>
        </w:rPr>
        <w:t>76</w:t>
      </w:r>
      <w:r>
        <w:rPr>
          <w:rFonts w:ascii="Arial" w:eastAsia="Arial" w:hAnsi="Arial" w:cs="Arial"/>
          <w:sz w:val="22"/>
          <w:szCs w:val="22"/>
        </w:rPr>
        <w:t xml:space="preserve">. </w:t>
      </w:r>
      <w:hyperlink r:id="rId55">
        <w:r w:rsidR="00DB09AE">
          <w:rPr>
            <w:rFonts w:ascii="Arial" w:eastAsia="Arial" w:hAnsi="Arial" w:cs="Arial"/>
            <w:color w:val="0563C1"/>
            <w:sz w:val="22"/>
            <w:szCs w:val="22"/>
            <w:u w:val="single"/>
          </w:rPr>
          <w:t>https://doi.org/10.1016/j.eclinm.2024.102864</w:t>
        </w:r>
      </w:hyperlink>
      <w:r>
        <w:rPr>
          <w:rFonts w:ascii="Arial" w:eastAsia="Arial" w:hAnsi="Arial" w:cs="Arial"/>
          <w:sz w:val="22"/>
          <w:szCs w:val="22"/>
        </w:rPr>
        <w:t xml:space="preserve"> </w:t>
      </w:r>
    </w:p>
    <w:p w14:paraId="04C8C13E"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Scott, S.E., Walter, F.M., Webster, A., Sutton, S. and Emery, J., 2013. The model of pathways to treatment: conceptualization and integration with existing theory. </w:t>
      </w:r>
      <w:r>
        <w:rPr>
          <w:rFonts w:ascii="Arial" w:eastAsia="Arial" w:hAnsi="Arial" w:cs="Arial"/>
          <w:i/>
          <w:iCs/>
          <w:sz w:val="22"/>
          <w:szCs w:val="22"/>
        </w:rPr>
        <w:t>British journal of health psychology</w:t>
      </w:r>
      <w:r>
        <w:rPr>
          <w:rFonts w:ascii="Arial" w:eastAsia="Arial" w:hAnsi="Arial" w:cs="Arial"/>
          <w:sz w:val="22"/>
          <w:szCs w:val="22"/>
        </w:rPr>
        <w:t>, </w:t>
      </w:r>
      <w:r>
        <w:rPr>
          <w:rFonts w:ascii="Arial" w:eastAsia="Arial" w:hAnsi="Arial" w:cs="Arial"/>
          <w:i/>
          <w:iCs/>
          <w:sz w:val="22"/>
          <w:szCs w:val="22"/>
        </w:rPr>
        <w:t>18</w:t>
      </w:r>
      <w:r>
        <w:rPr>
          <w:rFonts w:ascii="Arial" w:eastAsia="Arial" w:hAnsi="Arial" w:cs="Arial"/>
          <w:sz w:val="22"/>
          <w:szCs w:val="22"/>
        </w:rPr>
        <w:t xml:space="preserve">(1), pp.45-65. </w:t>
      </w:r>
      <w:hyperlink r:id="rId56">
        <w:r w:rsidR="00DB09AE">
          <w:rPr>
            <w:rFonts w:ascii="Arial" w:eastAsia="Arial" w:hAnsi="Arial" w:cs="Arial"/>
            <w:color w:val="0563C1"/>
            <w:sz w:val="22"/>
            <w:szCs w:val="22"/>
            <w:u w:val="single"/>
          </w:rPr>
          <w:t>https://doi.org/10.1111/j.2044-8287.2012.02077.x</w:t>
        </w:r>
      </w:hyperlink>
      <w:r>
        <w:rPr>
          <w:rFonts w:ascii="Arial" w:eastAsia="Arial" w:hAnsi="Arial" w:cs="Arial"/>
          <w:sz w:val="22"/>
          <w:szCs w:val="22"/>
        </w:rPr>
        <w:t xml:space="preserve"> </w:t>
      </w:r>
    </w:p>
    <w:p w14:paraId="24AA1455"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Scott-Emuakpor, R., Reza-Soltani, S., Altaf, S., NR, K., Kołodziej, F., Sil-Zavaleta, S., Nalla, M., Ullah, M.N., Qureshi, M.R., Ahmadi, Y. and Rezvani, A., 2024. Mammary Paget's disease mimicking benign and malignant dermatological conditions: Clinical challenges and diagnostic considerations. </w:t>
      </w:r>
      <w:r>
        <w:rPr>
          <w:rFonts w:ascii="Arial" w:eastAsia="Arial" w:hAnsi="Arial" w:cs="Arial"/>
          <w:i/>
          <w:iCs/>
          <w:sz w:val="22"/>
          <w:szCs w:val="22"/>
        </w:rPr>
        <w:t>Cureus</w:t>
      </w:r>
      <w:r>
        <w:rPr>
          <w:rFonts w:ascii="Arial" w:eastAsia="Arial" w:hAnsi="Arial" w:cs="Arial"/>
          <w:sz w:val="22"/>
          <w:szCs w:val="22"/>
        </w:rPr>
        <w:t>, </w:t>
      </w:r>
      <w:r>
        <w:rPr>
          <w:rFonts w:ascii="Arial" w:eastAsia="Arial" w:hAnsi="Arial" w:cs="Arial"/>
          <w:i/>
          <w:iCs/>
          <w:sz w:val="22"/>
          <w:szCs w:val="22"/>
        </w:rPr>
        <w:t>16</w:t>
      </w:r>
      <w:r>
        <w:rPr>
          <w:rFonts w:ascii="Arial" w:eastAsia="Arial" w:hAnsi="Arial" w:cs="Arial"/>
          <w:sz w:val="22"/>
          <w:szCs w:val="22"/>
        </w:rPr>
        <w:t xml:space="preserve">(7). </w:t>
      </w:r>
      <w:hyperlink r:id="rId57">
        <w:r w:rsidR="00DB09AE">
          <w:rPr>
            <w:rFonts w:ascii="Arial" w:eastAsia="Arial" w:hAnsi="Arial" w:cs="Arial"/>
            <w:color w:val="0563C1"/>
            <w:sz w:val="22"/>
            <w:szCs w:val="22"/>
            <w:u w:val="single"/>
          </w:rPr>
          <w:t>https://doi.org/10.7759/cureus.65378</w:t>
        </w:r>
      </w:hyperlink>
      <w:r>
        <w:rPr>
          <w:rFonts w:ascii="Arial" w:eastAsia="Arial" w:hAnsi="Arial" w:cs="Arial"/>
          <w:sz w:val="22"/>
          <w:szCs w:val="22"/>
        </w:rPr>
        <w:t xml:space="preserve"> </w:t>
      </w:r>
    </w:p>
    <w:p w14:paraId="2BDACC2F"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Snyder, H., 2019. Literature review as a research methodology: An overview and guidelines. </w:t>
      </w:r>
      <w:r>
        <w:rPr>
          <w:rFonts w:ascii="Arial" w:eastAsia="Arial" w:hAnsi="Arial" w:cs="Arial"/>
          <w:i/>
          <w:iCs/>
          <w:sz w:val="22"/>
          <w:szCs w:val="22"/>
        </w:rPr>
        <w:t>Journal of business research</w:t>
      </w:r>
      <w:r>
        <w:rPr>
          <w:rFonts w:ascii="Arial" w:eastAsia="Arial" w:hAnsi="Arial" w:cs="Arial"/>
          <w:sz w:val="22"/>
          <w:szCs w:val="22"/>
        </w:rPr>
        <w:t>, </w:t>
      </w:r>
      <w:r>
        <w:rPr>
          <w:rFonts w:ascii="Arial" w:eastAsia="Arial" w:hAnsi="Arial" w:cs="Arial"/>
          <w:i/>
          <w:iCs/>
          <w:sz w:val="22"/>
          <w:szCs w:val="22"/>
        </w:rPr>
        <w:t>104</w:t>
      </w:r>
      <w:r>
        <w:rPr>
          <w:rFonts w:ascii="Arial" w:eastAsia="Arial" w:hAnsi="Arial" w:cs="Arial"/>
          <w:sz w:val="22"/>
          <w:szCs w:val="22"/>
        </w:rPr>
        <w:t xml:space="preserve">, pp.333-339. </w:t>
      </w:r>
      <w:hyperlink r:id="rId58">
        <w:r w:rsidR="00DB09AE">
          <w:rPr>
            <w:rFonts w:ascii="Arial" w:eastAsia="Arial" w:hAnsi="Arial" w:cs="Arial"/>
            <w:color w:val="0563C1"/>
            <w:sz w:val="22"/>
            <w:szCs w:val="22"/>
            <w:u w:val="single"/>
          </w:rPr>
          <w:t>https://www.sciencedirect.com/science/article/pii/S0148296319304564</w:t>
        </w:r>
      </w:hyperlink>
      <w:r>
        <w:rPr>
          <w:rFonts w:ascii="Arial" w:eastAsia="Arial" w:hAnsi="Arial" w:cs="Arial"/>
          <w:sz w:val="22"/>
          <w:szCs w:val="22"/>
        </w:rPr>
        <w:t xml:space="preserve"> </w:t>
      </w:r>
    </w:p>
    <w:p w14:paraId="03D7EF9C"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Vohra-Gupta, S., Petruzzi, L., Jones, C. and Cubbin, C., 2023. An intersectional approach to understanding barriers to healthcare for women. </w:t>
      </w:r>
      <w:r>
        <w:rPr>
          <w:rFonts w:ascii="Arial" w:eastAsia="Arial" w:hAnsi="Arial" w:cs="Arial"/>
          <w:i/>
          <w:iCs/>
          <w:sz w:val="22"/>
          <w:szCs w:val="22"/>
        </w:rPr>
        <w:t>Journal of Community Health</w:t>
      </w:r>
      <w:r>
        <w:rPr>
          <w:rFonts w:ascii="Arial" w:eastAsia="Arial" w:hAnsi="Arial" w:cs="Arial"/>
          <w:sz w:val="22"/>
          <w:szCs w:val="22"/>
        </w:rPr>
        <w:t>, </w:t>
      </w:r>
      <w:r>
        <w:rPr>
          <w:rFonts w:ascii="Arial" w:eastAsia="Arial" w:hAnsi="Arial" w:cs="Arial"/>
          <w:i/>
          <w:iCs/>
          <w:sz w:val="22"/>
          <w:szCs w:val="22"/>
        </w:rPr>
        <w:t>48</w:t>
      </w:r>
      <w:r>
        <w:rPr>
          <w:rFonts w:ascii="Arial" w:eastAsia="Arial" w:hAnsi="Arial" w:cs="Arial"/>
          <w:sz w:val="22"/>
          <w:szCs w:val="22"/>
        </w:rPr>
        <w:t xml:space="preserve">(1), pp.89-98. </w:t>
      </w:r>
      <w:hyperlink r:id="rId59">
        <w:r w:rsidR="00DB09AE">
          <w:rPr>
            <w:rFonts w:ascii="Arial" w:eastAsia="Arial" w:hAnsi="Arial" w:cs="Arial"/>
            <w:color w:val="0563C1"/>
            <w:sz w:val="22"/>
            <w:szCs w:val="22"/>
            <w:u w:val="single"/>
          </w:rPr>
          <w:t>https://doi.org/10.1007/s10900-022-01147-8</w:t>
        </w:r>
      </w:hyperlink>
      <w:r>
        <w:rPr>
          <w:rFonts w:ascii="Arial" w:eastAsia="Arial" w:hAnsi="Arial" w:cs="Arial"/>
          <w:sz w:val="22"/>
          <w:szCs w:val="22"/>
        </w:rPr>
        <w:t xml:space="preserve"> </w:t>
      </w:r>
    </w:p>
    <w:p w14:paraId="0E0FE08F"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 xml:space="preserve">Walter, F., Webster, A., Scott, S. and Emery, J. 2012. </w:t>
      </w:r>
      <w:r>
        <w:rPr>
          <w:rFonts w:ascii="Arial" w:eastAsia="Arial" w:hAnsi="Arial" w:cs="Arial"/>
          <w:i/>
          <w:iCs/>
          <w:sz w:val="22"/>
          <w:szCs w:val="22"/>
        </w:rPr>
        <w:t>The Andersen model of total patient delay and the Model of Pathways to Treatment: conceptual frameworks for cancer diagnosis</w:t>
      </w:r>
      <w:r>
        <w:rPr>
          <w:rFonts w:ascii="Arial" w:eastAsia="Arial" w:hAnsi="Arial" w:cs="Arial"/>
          <w:sz w:val="22"/>
          <w:szCs w:val="22"/>
        </w:rPr>
        <w:t xml:space="preserve">. Journal of Health Services Research &amp; Policy, 17(2), pp.110–118. </w:t>
      </w:r>
      <w:hyperlink r:id="rId60">
        <w:r w:rsidR="00DB09AE">
          <w:rPr>
            <w:rFonts w:ascii="Arial" w:eastAsia="Arial" w:hAnsi="Arial" w:cs="Arial"/>
            <w:color w:val="0563C1"/>
            <w:sz w:val="22"/>
            <w:szCs w:val="22"/>
            <w:u w:val="single"/>
          </w:rPr>
          <w:t>https://doi.org/10.1258/jhsrp.2011.010113</w:t>
        </w:r>
      </w:hyperlink>
    </w:p>
    <w:p w14:paraId="122679DC" w14:textId="77777777" w:rsidR="00DB09AE"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Wang, S., Kee, G., Lv, R., Bi, J. and Huo, R., 2025. Extramammary Paget’s disease: An analysis of plastic surgical treatment, clinical and histopathological characteristics, and prognosis. </w:t>
      </w:r>
      <w:r>
        <w:rPr>
          <w:rFonts w:ascii="Arial" w:eastAsia="Arial" w:hAnsi="Arial" w:cs="Arial"/>
          <w:i/>
          <w:iCs/>
          <w:sz w:val="22"/>
          <w:szCs w:val="22"/>
        </w:rPr>
        <w:t>Current Problems in Surgery</w:t>
      </w:r>
      <w:r>
        <w:rPr>
          <w:rFonts w:ascii="Arial" w:eastAsia="Arial" w:hAnsi="Arial" w:cs="Arial"/>
          <w:sz w:val="22"/>
          <w:szCs w:val="22"/>
        </w:rPr>
        <w:t>, </w:t>
      </w:r>
      <w:r>
        <w:rPr>
          <w:rFonts w:ascii="Arial" w:eastAsia="Arial" w:hAnsi="Arial" w:cs="Arial"/>
          <w:i/>
          <w:iCs/>
          <w:sz w:val="22"/>
          <w:szCs w:val="22"/>
        </w:rPr>
        <w:t>69</w:t>
      </w:r>
      <w:r>
        <w:rPr>
          <w:rFonts w:ascii="Arial" w:eastAsia="Arial" w:hAnsi="Arial" w:cs="Arial"/>
          <w:sz w:val="22"/>
          <w:szCs w:val="22"/>
        </w:rPr>
        <w:t xml:space="preserve">, p.101773. </w:t>
      </w:r>
      <w:hyperlink r:id="rId61">
        <w:r w:rsidR="00DB09AE">
          <w:rPr>
            <w:rFonts w:ascii="Arial" w:eastAsia="Arial" w:hAnsi="Arial" w:cs="Arial"/>
            <w:color w:val="0000FF"/>
            <w:sz w:val="22"/>
            <w:szCs w:val="22"/>
            <w:u w:val="single"/>
          </w:rPr>
          <w:t>https://doi.org/10.1016/j.cpsurg.2025.101773</w:t>
        </w:r>
      </w:hyperlink>
      <w:r>
        <w:rPr>
          <w:rFonts w:ascii="Arial" w:eastAsia="Arial" w:hAnsi="Arial" w:cs="Arial"/>
          <w:sz w:val="22"/>
          <w:szCs w:val="22"/>
        </w:rPr>
        <w:t xml:space="preserve"> </w:t>
      </w:r>
    </w:p>
    <w:p w14:paraId="5EF39246" w14:textId="15C6BA66" w:rsidR="00DB09AE" w:rsidRPr="003E3922" w:rsidRDefault="00000000" w:rsidP="003E3922">
      <w:pPr>
        <w:spacing w:line="360" w:lineRule="auto"/>
        <w:ind w:left="720" w:hanging="720"/>
        <w:jc w:val="both"/>
        <w:rPr>
          <w:rFonts w:ascii="Arial" w:eastAsia="Arial" w:hAnsi="Arial" w:cs="Arial"/>
          <w:sz w:val="22"/>
          <w:szCs w:val="22"/>
        </w:rPr>
      </w:pPr>
      <w:r>
        <w:rPr>
          <w:rFonts w:ascii="Arial" w:eastAsia="Arial" w:hAnsi="Arial" w:cs="Arial"/>
          <w:sz w:val="22"/>
          <w:szCs w:val="22"/>
        </w:rPr>
        <w:t>Zackrisson, M., Blomqvist, E., Tofighi, R., Haag, M., Ungerstedt, C., Wolf, A. and Ahlberg, K., 2025. Exploring Young Women’s Experiences Throughout the Journey of Hormone-Sensitive Breast Cancer: A Qualitative Secondary Analysis. </w:t>
      </w:r>
      <w:r>
        <w:rPr>
          <w:rFonts w:ascii="Arial" w:eastAsia="Arial" w:hAnsi="Arial" w:cs="Arial"/>
          <w:i/>
          <w:iCs/>
          <w:sz w:val="22"/>
          <w:szCs w:val="22"/>
        </w:rPr>
        <w:t>European Journal of Oncology Nursing</w:t>
      </w:r>
      <w:r>
        <w:rPr>
          <w:rFonts w:ascii="Arial" w:eastAsia="Arial" w:hAnsi="Arial" w:cs="Arial"/>
          <w:sz w:val="22"/>
          <w:szCs w:val="22"/>
        </w:rPr>
        <w:t xml:space="preserve">, p.103089. </w:t>
      </w:r>
      <w:hyperlink r:id="rId62">
        <w:r w:rsidR="00DB09AE">
          <w:rPr>
            <w:rFonts w:ascii="Arial" w:eastAsia="Arial" w:hAnsi="Arial" w:cs="Arial"/>
            <w:color w:val="0000FF"/>
            <w:sz w:val="22"/>
            <w:szCs w:val="22"/>
            <w:u w:val="single"/>
          </w:rPr>
          <w:t>https://doi.org/10.1016/j.ejon.2025.103089</w:t>
        </w:r>
      </w:hyperlink>
    </w:p>
    <w:p w14:paraId="413F7F8A" w14:textId="77777777" w:rsidR="00DB09AE" w:rsidRDefault="00000000" w:rsidP="003E3922">
      <w:pPr>
        <w:pStyle w:val="Heading1"/>
        <w:spacing w:line="360" w:lineRule="auto"/>
        <w:jc w:val="both"/>
      </w:pPr>
      <w:bookmarkStart w:id="52" w:name="_Toc236055037"/>
      <w:r>
        <w:lastRenderedPageBreak/>
        <w:t>Appendices</w:t>
      </w:r>
      <w:bookmarkEnd w:id="52"/>
    </w:p>
    <w:p w14:paraId="365310D2" w14:textId="77777777" w:rsidR="00D3461B" w:rsidRDefault="00D3461B" w:rsidP="003E3922">
      <w:pPr>
        <w:spacing w:line="360" w:lineRule="auto"/>
        <w:ind w:left="720" w:hanging="720"/>
        <w:jc w:val="both"/>
        <w:rPr>
          <w:rFonts w:ascii="Arial" w:eastAsia="Arial" w:hAnsi="Arial" w:cs="Arial"/>
        </w:rPr>
        <w:sectPr w:rsidR="00D3461B">
          <w:headerReference w:type="default" r:id="rId63"/>
          <w:pgSz w:w="11906" w:h="16838"/>
          <w:pgMar w:top="1440" w:right="1440" w:bottom="1440" w:left="1440" w:header="720" w:footer="720" w:gutter="0"/>
          <w:pgNumType w:start="1"/>
          <w:cols w:space="720"/>
        </w:sectPr>
      </w:pPr>
    </w:p>
    <w:p w14:paraId="3C0CB17E" w14:textId="77777777" w:rsidR="00DB09AE" w:rsidRDefault="00000000" w:rsidP="003E3922">
      <w:pPr>
        <w:spacing w:line="360" w:lineRule="auto"/>
        <w:ind w:left="720" w:hanging="720"/>
        <w:jc w:val="both"/>
        <w:rPr>
          <w:rFonts w:ascii="Arial" w:eastAsia="Arial" w:hAnsi="Arial" w:cs="Arial"/>
        </w:rPr>
      </w:pPr>
      <w:r>
        <w:rPr>
          <w:rFonts w:ascii="Arial" w:eastAsia="Arial" w:hAnsi="Arial" w:cs="Arial"/>
        </w:rPr>
        <w:lastRenderedPageBreak/>
        <w:t>Appendix 1: Source Tracking Table</w:t>
      </w:r>
    </w:p>
    <w:tbl>
      <w:tblPr>
        <w:tblStyle w:val="a"/>
        <w:tblpPr w:leftFromText="180" w:rightFromText="180" w:vertAnchor="text" w:tblpY="284"/>
        <w:tblW w:w="11988"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69"/>
        <w:gridCol w:w="1836"/>
        <w:gridCol w:w="3047"/>
        <w:gridCol w:w="4085"/>
        <w:gridCol w:w="1951"/>
      </w:tblGrid>
      <w:tr w:rsidR="00DB09AE" w14:paraId="676457FF" w14:textId="77777777">
        <w:trPr>
          <w:trHeight w:val="873"/>
        </w:trPr>
        <w:tc>
          <w:tcPr>
            <w:tcW w:w="1070" w:type="dxa"/>
          </w:tcPr>
          <w:p w14:paraId="4E01F8E1" w14:textId="77777777" w:rsidR="00DB09AE" w:rsidRDefault="00DB09AE" w:rsidP="003E3922">
            <w:pPr>
              <w:spacing w:line="360" w:lineRule="auto"/>
              <w:jc w:val="both"/>
              <w:rPr>
                <w:rFonts w:ascii="Arial" w:eastAsia="Arial" w:hAnsi="Arial" w:cs="Arial"/>
                <w:b/>
                <w:bCs/>
                <w:sz w:val="24"/>
                <w:szCs w:val="24"/>
              </w:rPr>
            </w:pPr>
          </w:p>
        </w:tc>
        <w:tc>
          <w:tcPr>
            <w:tcW w:w="1836" w:type="dxa"/>
            <w:vAlign w:val="center"/>
          </w:tcPr>
          <w:p w14:paraId="3CB59BDE"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Author &amp; Year</w:t>
            </w:r>
          </w:p>
        </w:tc>
        <w:tc>
          <w:tcPr>
            <w:tcW w:w="3047" w:type="dxa"/>
            <w:vAlign w:val="center"/>
          </w:tcPr>
          <w:p w14:paraId="1E295C1B"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Article Title</w:t>
            </w:r>
          </w:p>
        </w:tc>
        <w:tc>
          <w:tcPr>
            <w:tcW w:w="4085" w:type="dxa"/>
            <w:vAlign w:val="center"/>
          </w:tcPr>
          <w:p w14:paraId="33BF4416"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Article Summary</w:t>
            </w:r>
          </w:p>
        </w:tc>
        <w:tc>
          <w:tcPr>
            <w:tcW w:w="1951" w:type="dxa"/>
            <w:vAlign w:val="center"/>
          </w:tcPr>
          <w:p w14:paraId="4BA3D662"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Keywords / Codes</w:t>
            </w:r>
          </w:p>
        </w:tc>
      </w:tr>
      <w:tr w:rsidR="00DB09AE" w14:paraId="653E30D4" w14:textId="77777777">
        <w:trPr>
          <w:trHeight w:val="873"/>
        </w:trPr>
        <w:tc>
          <w:tcPr>
            <w:tcW w:w="1070" w:type="dxa"/>
            <w:vAlign w:val="center"/>
          </w:tcPr>
          <w:p w14:paraId="0F90CF25"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Article 1</w:t>
            </w:r>
          </w:p>
        </w:tc>
        <w:tc>
          <w:tcPr>
            <w:tcW w:w="1836" w:type="dxa"/>
            <w:vAlign w:val="center"/>
          </w:tcPr>
          <w:p w14:paraId="41677B6F"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Bray et al. (2024)</w:t>
            </w:r>
          </w:p>
        </w:tc>
        <w:tc>
          <w:tcPr>
            <w:tcW w:w="3047" w:type="dxa"/>
            <w:vAlign w:val="center"/>
          </w:tcPr>
          <w:p w14:paraId="39F7259F"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Global Cancer Statistics 2022: GLOBOCAN Estimates of Incidence and Mortality Worldwide for 36 Cancers in 185 Countries</w:t>
            </w:r>
          </w:p>
        </w:tc>
        <w:tc>
          <w:tcPr>
            <w:tcW w:w="4085" w:type="dxa"/>
            <w:vAlign w:val="center"/>
          </w:tcPr>
          <w:p w14:paraId="596B0580"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Provides global data on cancer incidence, mortality and prevalence. It not only highlights breast cancer as the most commonly diagnosed cancer among women but also supports the background and significance of the research topic.</w:t>
            </w:r>
          </w:p>
        </w:tc>
        <w:tc>
          <w:tcPr>
            <w:tcW w:w="1951" w:type="dxa"/>
            <w:vAlign w:val="center"/>
          </w:tcPr>
          <w:p w14:paraId="79BED6F0"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Breast cancer prevalence; cancer burden; mortality; epidemiology; early diagnosis; global statistics</w:t>
            </w:r>
          </w:p>
          <w:p w14:paraId="2948B46B" w14:textId="77777777" w:rsidR="00DB09AE" w:rsidRDefault="00DB09AE" w:rsidP="003E3922">
            <w:pPr>
              <w:spacing w:line="360" w:lineRule="auto"/>
              <w:jc w:val="both"/>
              <w:rPr>
                <w:rFonts w:ascii="Arial" w:eastAsia="Arial" w:hAnsi="Arial" w:cs="Arial"/>
                <w:b/>
                <w:bCs/>
                <w:sz w:val="24"/>
                <w:szCs w:val="24"/>
              </w:rPr>
            </w:pPr>
          </w:p>
        </w:tc>
      </w:tr>
      <w:tr w:rsidR="00DB09AE" w14:paraId="0500C2D2" w14:textId="77777777">
        <w:trPr>
          <w:trHeight w:val="873"/>
        </w:trPr>
        <w:tc>
          <w:tcPr>
            <w:tcW w:w="1070" w:type="dxa"/>
            <w:vAlign w:val="center"/>
          </w:tcPr>
          <w:p w14:paraId="1DE42B8E"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CRAAP Notes</w:t>
            </w:r>
          </w:p>
        </w:tc>
        <w:tc>
          <w:tcPr>
            <w:tcW w:w="8968" w:type="dxa"/>
            <w:gridSpan w:val="3"/>
            <w:vAlign w:val="center"/>
          </w:tcPr>
          <w:p w14:paraId="5567A7B3"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Current (2024), highly relevant, published in CA: A Cancer Journal for Clinicians, evidence-based, written to inform.</w:t>
            </w:r>
          </w:p>
        </w:tc>
        <w:tc>
          <w:tcPr>
            <w:tcW w:w="1951" w:type="dxa"/>
            <w:vAlign w:val="center"/>
          </w:tcPr>
          <w:p w14:paraId="049951F3"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CRAAP Score</w:t>
            </w:r>
          </w:p>
          <w:p w14:paraId="08E99B8A"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5/5</w:t>
            </w:r>
          </w:p>
        </w:tc>
      </w:tr>
      <w:tr w:rsidR="00DB09AE" w14:paraId="42FCE6CA" w14:textId="77777777">
        <w:trPr>
          <w:trHeight w:val="873"/>
        </w:trPr>
        <w:tc>
          <w:tcPr>
            <w:tcW w:w="11989" w:type="dxa"/>
            <w:gridSpan w:val="5"/>
            <w:tcBorders>
              <w:left w:val="nil"/>
              <w:right w:val="nil"/>
            </w:tcBorders>
            <w:vAlign w:val="center"/>
          </w:tcPr>
          <w:p w14:paraId="093EA2EC" w14:textId="77777777" w:rsidR="00DB09AE" w:rsidRDefault="00DB09AE" w:rsidP="003E3922">
            <w:pPr>
              <w:spacing w:line="360" w:lineRule="auto"/>
              <w:jc w:val="both"/>
              <w:rPr>
                <w:rFonts w:ascii="Arial" w:eastAsia="Arial" w:hAnsi="Arial" w:cs="Arial"/>
                <w:b/>
                <w:bCs/>
                <w:sz w:val="24"/>
                <w:szCs w:val="24"/>
              </w:rPr>
            </w:pPr>
          </w:p>
        </w:tc>
      </w:tr>
      <w:tr w:rsidR="00DB09AE" w14:paraId="66E9F71C" w14:textId="77777777">
        <w:trPr>
          <w:trHeight w:val="873"/>
        </w:trPr>
        <w:tc>
          <w:tcPr>
            <w:tcW w:w="1070" w:type="dxa"/>
            <w:vAlign w:val="center"/>
          </w:tcPr>
          <w:p w14:paraId="7B2EAFEA"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Article 2</w:t>
            </w:r>
          </w:p>
        </w:tc>
        <w:tc>
          <w:tcPr>
            <w:tcW w:w="1836" w:type="dxa"/>
            <w:vAlign w:val="center"/>
          </w:tcPr>
          <w:p w14:paraId="491FB0B9"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Marmot et al. (2020)</w:t>
            </w:r>
          </w:p>
        </w:tc>
        <w:tc>
          <w:tcPr>
            <w:tcW w:w="3047" w:type="dxa"/>
            <w:vAlign w:val="center"/>
          </w:tcPr>
          <w:p w14:paraId="5FCB87D7"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Health Equity in England: The Marmot Review 10 Years On</w:t>
            </w:r>
          </w:p>
        </w:tc>
        <w:tc>
          <w:tcPr>
            <w:tcW w:w="4085" w:type="dxa"/>
            <w:vAlign w:val="center"/>
          </w:tcPr>
          <w:p w14:paraId="1E272CC2"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Examines how socioeconomic inequalities influence health outcomes and access to healthcare services in England.</w:t>
            </w:r>
          </w:p>
        </w:tc>
        <w:tc>
          <w:tcPr>
            <w:tcW w:w="1951" w:type="dxa"/>
            <w:vAlign w:val="center"/>
          </w:tcPr>
          <w:p w14:paraId="5FECC64C"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 xml:space="preserve">Health inequalities; deprivation; social </w:t>
            </w:r>
            <w:r>
              <w:rPr>
                <w:rFonts w:ascii="Arial" w:eastAsia="Arial" w:hAnsi="Arial" w:cs="Arial"/>
                <w:sz w:val="24"/>
                <w:szCs w:val="24"/>
              </w:rPr>
              <w:lastRenderedPageBreak/>
              <w:t>determinants; healthcare access; socioeconomic status; cancer inequalities</w:t>
            </w:r>
          </w:p>
          <w:p w14:paraId="198037D0" w14:textId="77777777" w:rsidR="00DB09AE" w:rsidRDefault="00DB09AE" w:rsidP="003E3922">
            <w:pPr>
              <w:spacing w:line="360" w:lineRule="auto"/>
              <w:jc w:val="both"/>
              <w:rPr>
                <w:rFonts w:ascii="Arial" w:eastAsia="Arial" w:hAnsi="Arial" w:cs="Arial"/>
                <w:b/>
                <w:bCs/>
                <w:sz w:val="24"/>
                <w:szCs w:val="24"/>
              </w:rPr>
            </w:pPr>
          </w:p>
        </w:tc>
      </w:tr>
      <w:tr w:rsidR="00DB09AE" w14:paraId="57C38FF6" w14:textId="77777777">
        <w:trPr>
          <w:trHeight w:val="873"/>
        </w:trPr>
        <w:tc>
          <w:tcPr>
            <w:tcW w:w="1070" w:type="dxa"/>
            <w:vAlign w:val="center"/>
          </w:tcPr>
          <w:p w14:paraId="38B9D121"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lastRenderedPageBreak/>
              <w:t>CRAAP Notes</w:t>
            </w:r>
          </w:p>
        </w:tc>
        <w:tc>
          <w:tcPr>
            <w:tcW w:w="8968" w:type="dxa"/>
            <w:gridSpan w:val="3"/>
            <w:vAlign w:val="center"/>
          </w:tcPr>
          <w:p w14:paraId="4B989E4D"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 xml:space="preserve"> The article is current, highly relevant to healthcare inequalities, produced by recognised public health experts, evidence-based and extensively referenced, intended to inform policy development.</w:t>
            </w:r>
          </w:p>
        </w:tc>
        <w:tc>
          <w:tcPr>
            <w:tcW w:w="1951" w:type="dxa"/>
            <w:vAlign w:val="center"/>
          </w:tcPr>
          <w:p w14:paraId="38FDDC78"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CRAAP Score</w:t>
            </w:r>
          </w:p>
          <w:p w14:paraId="7DFFC207"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5/5</w:t>
            </w:r>
          </w:p>
        </w:tc>
      </w:tr>
      <w:tr w:rsidR="00DB09AE" w14:paraId="582FFC21" w14:textId="77777777">
        <w:trPr>
          <w:trHeight w:val="873"/>
        </w:trPr>
        <w:tc>
          <w:tcPr>
            <w:tcW w:w="11989" w:type="dxa"/>
            <w:gridSpan w:val="5"/>
            <w:tcBorders>
              <w:left w:val="nil"/>
              <w:right w:val="nil"/>
            </w:tcBorders>
            <w:vAlign w:val="center"/>
          </w:tcPr>
          <w:p w14:paraId="0476AF4E" w14:textId="77777777" w:rsidR="00DB09AE" w:rsidRDefault="00DB09AE" w:rsidP="003E3922">
            <w:pPr>
              <w:spacing w:line="360" w:lineRule="auto"/>
              <w:jc w:val="both"/>
              <w:rPr>
                <w:rFonts w:ascii="Arial" w:eastAsia="Arial" w:hAnsi="Arial" w:cs="Arial"/>
                <w:b/>
                <w:bCs/>
                <w:sz w:val="24"/>
                <w:szCs w:val="24"/>
              </w:rPr>
            </w:pPr>
          </w:p>
        </w:tc>
      </w:tr>
      <w:tr w:rsidR="00DB09AE" w14:paraId="6C629202" w14:textId="77777777">
        <w:trPr>
          <w:trHeight w:val="873"/>
        </w:trPr>
        <w:tc>
          <w:tcPr>
            <w:tcW w:w="1070" w:type="dxa"/>
            <w:vAlign w:val="center"/>
          </w:tcPr>
          <w:p w14:paraId="43E8720D"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Article 3</w:t>
            </w:r>
          </w:p>
        </w:tc>
        <w:tc>
          <w:tcPr>
            <w:tcW w:w="1836" w:type="dxa"/>
            <w:vAlign w:val="center"/>
          </w:tcPr>
          <w:p w14:paraId="476C446C"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Karakas (2011)</w:t>
            </w:r>
          </w:p>
        </w:tc>
        <w:tc>
          <w:tcPr>
            <w:tcW w:w="3047" w:type="dxa"/>
            <w:vAlign w:val="center"/>
          </w:tcPr>
          <w:p w14:paraId="1F89CC10"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Paget's Disease of the Breast</w:t>
            </w:r>
          </w:p>
        </w:tc>
        <w:tc>
          <w:tcPr>
            <w:tcW w:w="4085" w:type="dxa"/>
            <w:vAlign w:val="center"/>
          </w:tcPr>
          <w:p w14:paraId="046639B7"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Comprehensive review of the pathology, diagnosis and treatment of Paget's disease of the breast.  It reinforces its rarity and the challenges associated with recognising atypical symptoms.</w:t>
            </w:r>
          </w:p>
        </w:tc>
        <w:tc>
          <w:tcPr>
            <w:tcW w:w="1951" w:type="dxa"/>
            <w:vAlign w:val="center"/>
          </w:tcPr>
          <w:p w14:paraId="60C0C1EC"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Paget's disease; breast cancer; eczema; misdiagnosis; nipple changes; atypical presentation</w:t>
            </w:r>
          </w:p>
          <w:p w14:paraId="5DDC6D86" w14:textId="77777777" w:rsidR="00DB09AE" w:rsidRDefault="00DB09AE" w:rsidP="003E3922">
            <w:pPr>
              <w:spacing w:line="360" w:lineRule="auto"/>
              <w:jc w:val="both"/>
              <w:rPr>
                <w:rFonts w:ascii="Arial" w:eastAsia="Arial" w:hAnsi="Arial" w:cs="Arial"/>
                <w:b/>
                <w:bCs/>
                <w:sz w:val="24"/>
                <w:szCs w:val="24"/>
              </w:rPr>
            </w:pPr>
          </w:p>
        </w:tc>
      </w:tr>
      <w:tr w:rsidR="00DB09AE" w14:paraId="10044E72" w14:textId="77777777">
        <w:trPr>
          <w:trHeight w:val="873"/>
        </w:trPr>
        <w:tc>
          <w:tcPr>
            <w:tcW w:w="1070" w:type="dxa"/>
            <w:vAlign w:val="center"/>
          </w:tcPr>
          <w:p w14:paraId="1C8838E3"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lastRenderedPageBreak/>
              <w:t>CRAAP Notes</w:t>
            </w:r>
          </w:p>
        </w:tc>
        <w:tc>
          <w:tcPr>
            <w:tcW w:w="8968" w:type="dxa"/>
            <w:gridSpan w:val="3"/>
            <w:vAlign w:val="center"/>
          </w:tcPr>
          <w:p w14:paraId="30FB0E25"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Foundational article specific to Paget's disease. Although older, it remains one of the most cited reviews on the condition.</w:t>
            </w:r>
          </w:p>
        </w:tc>
        <w:tc>
          <w:tcPr>
            <w:tcW w:w="1951" w:type="dxa"/>
            <w:vAlign w:val="center"/>
          </w:tcPr>
          <w:p w14:paraId="2A5A6554"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CRAAP Score</w:t>
            </w:r>
          </w:p>
          <w:p w14:paraId="68EE10B8"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4/5</w:t>
            </w:r>
          </w:p>
        </w:tc>
      </w:tr>
      <w:tr w:rsidR="00DB09AE" w14:paraId="52B66D5D" w14:textId="77777777">
        <w:trPr>
          <w:trHeight w:val="873"/>
        </w:trPr>
        <w:tc>
          <w:tcPr>
            <w:tcW w:w="11989" w:type="dxa"/>
            <w:gridSpan w:val="5"/>
            <w:tcBorders>
              <w:left w:val="nil"/>
              <w:right w:val="nil"/>
            </w:tcBorders>
            <w:vAlign w:val="center"/>
          </w:tcPr>
          <w:p w14:paraId="10421899" w14:textId="77777777" w:rsidR="00DB09AE" w:rsidRDefault="00DB09AE" w:rsidP="003E3922">
            <w:pPr>
              <w:spacing w:line="360" w:lineRule="auto"/>
              <w:jc w:val="both"/>
              <w:rPr>
                <w:rFonts w:ascii="Arial" w:eastAsia="Arial" w:hAnsi="Arial" w:cs="Arial"/>
                <w:b/>
                <w:bCs/>
                <w:sz w:val="24"/>
                <w:szCs w:val="24"/>
              </w:rPr>
            </w:pPr>
          </w:p>
        </w:tc>
      </w:tr>
      <w:tr w:rsidR="00DB09AE" w14:paraId="36251BD4" w14:textId="77777777">
        <w:trPr>
          <w:trHeight w:val="873"/>
        </w:trPr>
        <w:tc>
          <w:tcPr>
            <w:tcW w:w="1070" w:type="dxa"/>
            <w:vAlign w:val="center"/>
          </w:tcPr>
          <w:p w14:paraId="3B8E6313" w14:textId="77777777" w:rsidR="00DB09AE" w:rsidRDefault="00DB09AE" w:rsidP="003E3922">
            <w:pPr>
              <w:spacing w:line="360" w:lineRule="auto"/>
              <w:jc w:val="both"/>
              <w:rPr>
                <w:rFonts w:ascii="Arial" w:eastAsia="Arial" w:hAnsi="Arial" w:cs="Arial"/>
                <w:b/>
                <w:bCs/>
                <w:sz w:val="24"/>
                <w:szCs w:val="24"/>
              </w:rPr>
            </w:pPr>
          </w:p>
          <w:p w14:paraId="607BA505"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Article 4</w:t>
            </w:r>
          </w:p>
          <w:p w14:paraId="027697D9" w14:textId="77777777" w:rsidR="00DB09AE" w:rsidRDefault="00DB09AE" w:rsidP="003E3922">
            <w:pPr>
              <w:spacing w:line="360" w:lineRule="auto"/>
              <w:jc w:val="both"/>
              <w:rPr>
                <w:rFonts w:ascii="Arial" w:eastAsia="Arial" w:hAnsi="Arial" w:cs="Arial"/>
                <w:b/>
                <w:bCs/>
                <w:sz w:val="24"/>
                <w:szCs w:val="24"/>
              </w:rPr>
            </w:pPr>
          </w:p>
        </w:tc>
        <w:tc>
          <w:tcPr>
            <w:tcW w:w="1836" w:type="dxa"/>
            <w:vAlign w:val="center"/>
          </w:tcPr>
          <w:p w14:paraId="1AAC09F2"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NICE (2023)</w:t>
            </w:r>
          </w:p>
        </w:tc>
        <w:tc>
          <w:tcPr>
            <w:tcW w:w="3047" w:type="dxa"/>
            <w:vAlign w:val="center"/>
          </w:tcPr>
          <w:p w14:paraId="55063F8A"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Suspected Cancer: Recognition and Referral (NG12)</w:t>
            </w:r>
          </w:p>
        </w:tc>
        <w:tc>
          <w:tcPr>
            <w:tcW w:w="4085" w:type="dxa"/>
            <w:vAlign w:val="center"/>
          </w:tcPr>
          <w:p w14:paraId="6BC06B92"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National clinical guidance outlining referral criteria and diagnostic pathways for suspected cancer. The guideline supports evaluation of current UK approaches to reducing diagnostic delays.</w:t>
            </w:r>
          </w:p>
        </w:tc>
        <w:tc>
          <w:tcPr>
            <w:tcW w:w="1951" w:type="dxa"/>
            <w:vAlign w:val="center"/>
          </w:tcPr>
          <w:p w14:paraId="4FEBA318"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NICE guidelines; referral pathways; cancer diagnosis; policy; early detection; NHS</w:t>
            </w:r>
          </w:p>
          <w:p w14:paraId="1DDCAEA8" w14:textId="77777777" w:rsidR="00DB09AE" w:rsidRDefault="00DB09AE" w:rsidP="003E3922">
            <w:pPr>
              <w:spacing w:line="360" w:lineRule="auto"/>
              <w:jc w:val="both"/>
              <w:rPr>
                <w:rFonts w:ascii="Arial" w:eastAsia="Arial" w:hAnsi="Arial" w:cs="Arial"/>
                <w:b/>
                <w:bCs/>
                <w:sz w:val="24"/>
                <w:szCs w:val="24"/>
              </w:rPr>
            </w:pPr>
          </w:p>
        </w:tc>
      </w:tr>
      <w:tr w:rsidR="00DB09AE" w14:paraId="1CF1D1DE" w14:textId="77777777">
        <w:trPr>
          <w:trHeight w:val="873"/>
        </w:trPr>
        <w:tc>
          <w:tcPr>
            <w:tcW w:w="1070" w:type="dxa"/>
            <w:vAlign w:val="center"/>
          </w:tcPr>
          <w:p w14:paraId="48A961B7"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CRAAP Notes</w:t>
            </w:r>
          </w:p>
        </w:tc>
        <w:tc>
          <w:tcPr>
            <w:tcW w:w="8968" w:type="dxa"/>
            <w:gridSpan w:val="3"/>
            <w:vAlign w:val="center"/>
          </w:tcPr>
          <w:p w14:paraId="2516912F" w14:textId="77777777" w:rsidR="00DB09AE" w:rsidRDefault="00DB09AE" w:rsidP="003E3922">
            <w:pPr>
              <w:spacing w:line="360" w:lineRule="auto"/>
              <w:jc w:val="both"/>
              <w:rPr>
                <w:rFonts w:ascii="Arial" w:eastAsia="Arial" w:hAnsi="Arial" w:cs="Arial"/>
                <w:sz w:val="24"/>
                <w:szCs w:val="24"/>
              </w:rPr>
            </w:pPr>
          </w:p>
        </w:tc>
        <w:tc>
          <w:tcPr>
            <w:tcW w:w="1951" w:type="dxa"/>
            <w:vAlign w:val="center"/>
          </w:tcPr>
          <w:p w14:paraId="6DCC7A88"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CRAAP Score</w:t>
            </w:r>
          </w:p>
          <w:p w14:paraId="5885B807"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/5</w:t>
            </w:r>
          </w:p>
        </w:tc>
      </w:tr>
      <w:tr w:rsidR="00DB09AE" w14:paraId="7DD2ED63" w14:textId="77777777">
        <w:trPr>
          <w:trHeight w:val="873"/>
        </w:trPr>
        <w:tc>
          <w:tcPr>
            <w:tcW w:w="11989" w:type="dxa"/>
            <w:gridSpan w:val="5"/>
            <w:tcBorders>
              <w:left w:val="nil"/>
              <w:right w:val="nil"/>
            </w:tcBorders>
            <w:vAlign w:val="center"/>
          </w:tcPr>
          <w:p w14:paraId="040CE5A7" w14:textId="77777777" w:rsidR="00DB09AE" w:rsidRDefault="00DB09AE" w:rsidP="003E3922">
            <w:pPr>
              <w:spacing w:line="360" w:lineRule="auto"/>
              <w:jc w:val="both"/>
              <w:rPr>
                <w:rFonts w:ascii="Arial" w:eastAsia="Arial" w:hAnsi="Arial" w:cs="Arial"/>
                <w:b/>
                <w:bCs/>
                <w:sz w:val="24"/>
                <w:szCs w:val="24"/>
              </w:rPr>
            </w:pPr>
          </w:p>
        </w:tc>
      </w:tr>
      <w:tr w:rsidR="00DB09AE" w14:paraId="6C1B681F" w14:textId="77777777">
        <w:trPr>
          <w:trHeight w:val="873"/>
        </w:trPr>
        <w:tc>
          <w:tcPr>
            <w:tcW w:w="1070" w:type="dxa"/>
          </w:tcPr>
          <w:p w14:paraId="1FE9F83C" w14:textId="77777777" w:rsidR="00DB09AE" w:rsidRDefault="00DB09AE" w:rsidP="003E3922">
            <w:pPr>
              <w:spacing w:line="360" w:lineRule="auto"/>
              <w:jc w:val="both"/>
              <w:rPr>
                <w:rFonts w:ascii="Arial" w:eastAsia="Arial" w:hAnsi="Arial" w:cs="Arial"/>
                <w:b/>
                <w:bCs/>
                <w:sz w:val="24"/>
                <w:szCs w:val="24"/>
              </w:rPr>
            </w:pPr>
          </w:p>
        </w:tc>
        <w:tc>
          <w:tcPr>
            <w:tcW w:w="8968" w:type="dxa"/>
            <w:gridSpan w:val="3"/>
            <w:vAlign w:val="center"/>
          </w:tcPr>
          <w:p w14:paraId="6DE4E6A4" w14:textId="77777777" w:rsidR="00DB09AE" w:rsidRDefault="00DB09AE" w:rsidP="003E3922">
            <w:pPr>
              <w:spacing w:line="360" w:lineRule="auto"/>
              <w:jc w:val="both"/>
              <w:rPr>
                <w:rFonts w:ascii="Arial" w:eastAsia="Arial" w:hAnsi="Arial" w:cs="Arial"/>
                <w:sz w:val="24"/>
                <w:szCs w:val="24"/>
              </w:rPr>
            </w:pPr>
          </w:p>
        </w:tc>
        <w:tc>
          <w:tcPr>
            <w:tcW w:w="1951" w:type="dxa"/>
            <w:vAlign w:val="center"/>
          </w:tcPr>
          <w:p w14:paraId="01712169" w14:textId="77777777" w:rsidR="00DB09AE" w:rsidRDefault="00DB09AE" w:rsidP="003E3922">
            <w:pPr>
              <w:spacing w:line="360" w:lineRule="auto"/>
              <w:jc w:val="both"/>
              <w:rPr>
                <w:rFonts w:ascii="Arial" w:eastAsia="Arial" w:hAnsi="Arial" w:cs="Arial"/>
                <w:b/>
                <w:bCs/>
                <w:sz w:val="24"/>
                <w:szCs w:val="24"/>
              </w:rPr>
            </w:pPr>
          </w:p>
        </w:tc>
      </w:tr>
      <w:tr w:rsidR="00DB09AE" w14:paraId="71B096E4" w14:textId="77777777">
        <w:trPr>
          <w:trHeight w:val="873"/>
        </w:trPr>
        <w:tc>
          <w:tcPr>
            <w:tcW w:w="1070" w:type="dxa"/>
            <w:vAlign w:val="center"/>
          </w:tcPr>
          <w:p w14:paraId="72766931"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lastRenderedPageBreak/>
              <w:t>Article 5</w:t>
            </w:r>
          </w:p>
        </w:tc>
        <w:tc>
          <w:tcPr>
            <w:tcW w:w="1836" w:type="dxa"/>
            <w:vAlign w:val="center"/>
          </w:tcPr>
          <w:p w14:paraId="43AE72D0"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Dodd et al. (2023)</w:t>
            </w:r>
          </w:p>
        </w:tc>
        <w:tc>
          <w:tcPr>
            <w:tcW w:w="3047" w:type="dxa"/>
            <w:vAlign w:val="center"/>
          </w:tcPr>
          <w:p w14:paraId="167772B4"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Mind the Gap: Dermatology and Diverse Skin Tones</w:t>
            </w:r>
          </w:p>
        </w:tc>
        <w:tc>
          <w:tcPr>
            <w:tcW w:w="4085" w:type="dxa"/>
            <w:vAlign w:val="center"/>
          </w:tcPr>
          <w:p w14:paraId="7F780E65"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Explores how dermatological conditions may be more difficult to identify in darker skin tones due to limitations in clinical training and educational resources. Provides evidence for diagnostic inequalities affecting women of colour.</w:t>
            </w:r>
          </w:p>
        </w:tc>
        <w:tc>
          <w:tcPr>
            <w:tcW w:w="1951" w:type="dxa"/>
            <w:vAlign w:val="center"/>
          </w:tcPr>
          <w:p w14:paraId="3BCD42EF"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Skin tone; ethnicity; diagnostic inequality; dermatology; healthcare bias; clinical education</w:t>
            </w:r>
          </w:p>
          <w:p w14:paraId="4C8DA99C" w14:textId="77777777" w:rsidR="00DB09AE" w:rsidRDefault="00DB09AE" w:rsidP="003E3922">
            <w:pPr>
              <w:spacing w:line="360" w:lineRule="auto"/>
              <w:jc w:val="both"/>
              <w:rPr>
                <w:rFonts w:ascii="Arial" w:eastAsia="Arial" w:hAnsi="Arial" w:cs="Arial"/>
                <w:b/>
                <w:bCs/>
                <w:sz w:val="24"/>
                <w:szCs w:val="24"/>
              </w:rPr>
            </w:pPr>
          </w:p>
        </w:tc>
      </w:tr>
      <w:tr w:rsidR="00DB09AE" w14:paraId="7E6A173E" w14:textId="77777777">
        <w:trPr>
          <w:trHeight w:val="873"/>
        </w:trPr>
        <w:tc>
          <w:tcPr>
            <w:tcW w:w="1070" w:type="dxa"/>
            <w:vAlign w:val="center"/>
          </w:tcPr>
          <w:p w14:paraId="1E99A523"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CRAAP Notes</w:t>
            </w:r>
          </w:p>
        </w:tc>
        <w:tc>
          <w:tcPr>
            <w:tcW w:w="8968" w:type="dxa"/>
            <w:gridSpan w:val="3"/>
            <w:vAlign w:val="center"/>
          </w:tcPr>
          <w:p w14:paraId="0760F062"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Current, peer-reviewed and directly relevant to skin-tone-related diagnostic challenges.</w:t>
            </w:r>
          </w:p>
        </w:tc>
        <w:tc>
          <w:tcPr>
            <w:tcW w:w="1951" w:type="dxa"/>
            <w:vAlign w:val="center"/>
          </w:tcPr>
          <w:p w14:paraId="2CF289B6"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CRAAP Score</w:t>
            </w:r>
          </w:p>
          <w:p w14:paraId="6F99E81A"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5/5</w:t>
            </w:r>
          </w:p>
        </w:tc>
      </w:tr>
      <w:tr w:rsidR="00DB09AE" w14:paraId="7B8244F9" w14:textId="77777777">
        <w:trPr>
          <w:trHeight w:val="873"/>
        </w:trPr>
        <w:tc>
          <w:tcPr>
            <w:tcW w:w="11989" w:type="dxa"/>
            <w:gridSpan w:val="5"/>
            <w:tcBorders>
              <w:left w:val="nil"/>
              <w:right w:val="nil"/>
            </w:tcBorders>
            <w:vAlign w:val="center"/>
          </w:tcPr>
          <w:p w14:paraId="470A91A5" w14:textId="77777777" w:rsidR="00DB09AE" w:rsidRDefault="00DB09AE" w:rsidP="003E3922">
            <w:pPr>
              <w:spacing w:line="360" w:lineRule="auto"/>
              <w:jc w:val="both"/>
              <w:rPr>
                <w:rFonts w:ascii="Arial" w:eastAsia="Arial" w:hAnsi="Arial" w:cs="Arial"/>
                <w:b/>
                <w:bCs/>
                <w:sz w:val="24"/>
                <w:szCs w:val="24"/>
              </w:rPr>
            </w:pPr>
          </w:p>
        </w:tc>
      </w:tr>
      <w:tr w:rsidR="00DB09AE" w14:paraId="041DF937" w14:textId="77777777">
        <w:trPr>
          <w:trHeight w:val="873"/>
        </w:trPr>
        <w:tc>
          <w:tcPr>
            <w:tcW w:w="1070" w:type="dxa"/>
            <w:vAlign w:val="center"/>
          </w:tcPr>
          <w:p w14:paraId="4F9D0316"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Article 6</w:t>
            </w:r>
          </w:p>
        </w:tc>
        <w:tc>
          <w:tcPr>
            <w:tcW w:w="1836" w:type="dxa"/>
            <w:vAlign w:val="center"/>
          </w:tcPr>
          <w:p w14:paraId="558C3BEE"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DeSantis et al. (2019)</w:t>
            </w:r>
          </w:p>
        </w:tc>
        <w:tc>
          <w:tcPr>
            <w:tcW w:w="3047" w:type="dxa"/>
            <w:vAlign w:val="center"/>
          </w:tcPr>
          <w:p w14:paraId="7FE40A99"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Breast Cancer Statistics, 2019</w:t>
            </w:r>
          </w:p>
        </w:tc>
        <w:tc>
          <w:tcPr>
            <w:tcW w:w="4085" w:type="dxa"/>
            <w:vAlign w:val="center"/>
          </w:tcPr>
          <w:p w14:paraId="6A779A6C"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Examines breast cancer incidence and mortality, highlighting disparities among ethnic minority populations and underserved groups.</w:t>
            </w:r>
          </w:p>
        </w:tc>
        <w:tc>
          <w:tcPr>
            <w:tcW w:w="1951" w:type="dxa"/>
            <w:vAlign w:val="center"/>
          </w:tcPr>
          <w:p w14:paraId="096C1168"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Breast cancer; Ethnicity; Health disparities; Cancer outcomes; Diagnostic inequalities</w:t>
            </w:r>
          </w:p>
          <w:p w14:paraId="11E4730A" w14:textId="77777777" w:rsidR="00DB09AE" w:rsidRDefault="00DB09AE" w:rsidP="003E3922">
            <w:pPr>
              <w:spacing w:line="360" w:lineRule="auto"/>
              <w:jc w:val="both"/>
              <w:rPr>
                <w:rFonts w:ascii="Arial" w:eastAsia="Arial" w:hAnsi="Arial" w:cs="Arial"/>
                <w:b/>
                <w:bCs/>
                <w:sz w:val="24"/>
                <w:szCs w:val="24"/>
              </w:rPr>
            </w:pPr>
          </w:p>
        </w:tc>
      </w:tr>
      <w:tr w:rsidR="00DB09AE" w14:paraId="6705EE0C" w14:textId="77777777">
        <w:trPr>
          <w:trHeight w:val="873"/>
        </w:trPr>
        <w:tc>
          <w:tcPr>
            <w:tcW w:w="1070" w:type="dxa"/>
            <w:vAlign w:val="center"/>
          </w:tcPr>
          <w:p w14:paraId="0CEE5766"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lastRenderedPageBreak/>
              <w:t xml:space="preserve">CRAAP Notes </w:t>
            </w:r>
          </w:p>
        </w:tc>
        <w:tc>
          <w:tcPr>
            <w:tcW w:w="8968" w:type="dxa"/>
            <w:gridSpan w:val="3"/>
            <w:vAlign w:val="center"/>
          </w:tcPr>
          <w:p w14:paraId="2E9BA22C"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Published in a leading peer-reviewed oncology journal and authored by recognised cancer epidemiologists. Provides robust evidence on breast cancer incidence, mortality and disparities among different populations. Relevant to discussions of diagnostic inequalities and international comparisons. Written to inform healthcare professionals, researchers and policymakers.</w:t>
            </w:r>
          </w:p>
        </w:tc>
        <w:tc>
          <w:tcPr>
            <w:tcW w:w="1951" w:type="dxa"/>
            <w:vAlign w:val="center"/>
          </w:tcPr>
          <w:p w14:paraId="23A93BB7"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CRAAP Score</w:t>
            </w:r>
          </w:p>
          <w:p w14:paraId="2E64AB21"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5/5</w:t>
            </w:r>
          </w:p>
        </w:tc>
      </w:tr>
      <w:tr w:rsidR="00DB09AE" w14:paraId="75D83A9F" w14:textId="77777777">
        <w:trPr>
          <w:trHeight w:val="873"/>
        </w:trPr>
        <w:tc>
          <w:tcPr>
            <w:tcW w:w="11989" w:type="dxa"/>
            <w:gridSpan w:val="5"/>
            <w:tcBorders>
              <w:left w:val="nil"/>
              <w:right w:val="nil"/>
            </w:tcBorders>
            <w:vAlign w:val="center"/>
          </w:tcPr>
          <w:p w14:paraId="698A3320" w14:textId="77777777" w:rsidR="00DB09AE" w:rsidRDefault="00DB09AE" w:rsidP="003E3922">
            <w:pPr>
              <w:spacing w:line="360" w:lineRule="auto"/>
              <w:jc w:val="both"/>
              <w:rPr>
                <w:rFonts w:ascii="Arial" w:eastAsia="Arial" w:hAnsi="Arial" w:cs="Arial"/>
                <w:b/>
                <w:bCs/>
                <w:sz w:val="24"/>
                <w:szCs w:val="24"/>
              </w:rPr>
            </w:pPr>
          </w:p>
        </w:tc>
      </w:tr>
      <w:tr w:rsidR="00DB09AE" w14:paraId="6346C0DC" w14:textId="77777777">
        <w:trPr>
          <w:trHeight w:val="873"/>
        </w:trPr>
        <w:tc>
          <w:tcPr>
            <w:tcW w:w="1070" w:type="dxa"/>
            <w:vAlign w:val="center"/>
          </w:tcPr>
          <w:p w14:paraId="034DEA77"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Article 7</w:t>
            </w:r>
          </w:p>
        </w:tc>
        <w:tc>
          <w:tcPr>
            <w:tcW w:w="1836" w:type="dxa"/>
            <w:vAlign w:val="center"/>
          </w:tcPr>
          <w:p w14:paraId="5F287EB7"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Walter et al. (2012)</w:t>
            </w:r>
          </w:p>
        </w:tc>
        <w:tc>
          <w:tcPr>
            <w:tcW w:w="3047" w:type="dxa"/>
            <w:vAlign w:val="center"/>
          </w:tcPr>
          <w:p w14:paraId="2F92281F"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The Andersen Model of Total Patient Delay and the Model of Pathways to Treatment: Conceptual Frameworks for Cancer Diagnosis</w:t>
            </w:r>
          </w:p>
        </w:tc>
        <w:tc>
          <w:tcPr>
            <w:tcW w:w="4085" w:type="dxa"/>
            <w:vAlign w:val="center"/>
          </w:tcPr>
          <w:p w14:paraId="1519FE7D"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Introduces the Model of Pathways to Treatment, which explains the stages between symptom appraisal, help-seeking, diagnosis and treatment. The model is highly relevant for understanding factors contributing to diagnostic delay in cancer care.</w:t>
            </w:r>
          </w:p>
        </w:tc>
        <w:tc>
          <w:tcPr>
            <w:tcW w:w="1951" w:type="dxa"/>
            <w:vAlign w:val="center"/>
          </w:tcPr>
          <w:p w14:paraId="2144B0FE"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Diagnostic delay; Help-seeking; Treatment pathways; Symptom appraisal; Cancer diagnosis</w:t>
            </w:r>
          </w:p>
        </w:tc>
      </w:tr>
      <w:tr w:rsidR="00DB09AE" w14:paraId="1C391A89" w14:textId="77777777">
        <w:trPr>
          <w:trHeight w:val="873"/>
        </w:trPr>
        <w:tc>
          <w:tcPr>
            <w:tcW w:w="1070" w:type="dxa"/>
            <w:vAlign w:val="center"/>
          </w:tcPr>
          <w:p w14:paraId="2C61A7CB"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 xml:space="preserve">CRAAP Notes </w:t>
            </w:r>
          </w:p>
        </w:tc>
        <w:tc>
          <w:tcPr>
            <w:tcW w:w="8968" w:type="dxa"/>
            <w:gridSpan w:val="3"/>
            <w:vAlign w:val="center"/>
          </w:tcPr>
          <w:p w14:paraId="396ED17E"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Widely cited theoretical framework, highly relevant to diagnostic delays, peer-reviewed and frequently used in cancer research. Provides a strong conceptual foundation for the study.</w:t>
            </w:r>
          </w:p>
        </w:tc>
        <w:tc>
          <w:tcPr>
            <w:tcW w:w="1951" w:type="dxa"/>
            <w:vAlign w:val="center"/>
          </w:tcPr>
          <w:p w14:paraId="6B6791D5"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CRAAP Score</w:t>
            </w:r>
          </w:p>
          <w:p w14:paraId="7F528805"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5/5</w:t>
            </w:r>
          </w:p>
        </w:tc>
      </w:tr>
      <w:tr w:rsidR="00DB09AE" w14:paraId="1C7C155A" w14:textId="77777777">
        <w:trPr>
          <w:trHeight w:val="873"/>
        </w:trPr>
        <w:tc>
          <w:tcPr>
            <w:tcW w:w="11989" w:type="dxa"/>
            <w:gridSpan w:val="5"/>
            <w:tcBorders>
              <w:left w:val="nil"/>
              <w:right w:val="nil"/>
            </w:tcBorders>
            <w:vAlign w:val="center"/>
          </w:tcPr>
          <w:p w14:paraId="55BBB0D7" w14:textId="77777777" w:rsidR="00DB09AE" w:rsidRDefault="00DB09AE" w:rsidP="003E3922">
            <w:pPr>
              <w:spacing w:line="360" w:lineRule="auto"/>
              <w:jc w:val="both"/>
              <w:rPr>
                <w:rFonts w:ascii="Arial" w:eastAsia="Arial" w:hAnsi="Arial" w:cs="Arial"/>
                <w:b/>
                <w:bCs/>
                <w:sz w:val="24"/>
                <w:szCs w:val="24"/>
              </w:rPr>
            </w:pPr>
          </w:p>
        </w:tc>
      </w:tr>
      <w:tr w:rsidR="00DB09AE" w14:paraId="23DE478C" w14:textId="77777777">
        <w:trPr>
          <w:trHeight w:val="873"/>
        </w:trPr>
        <w:tc>
          <w:tcPr>
            <w:tcW w:w="1070" w:type="dxa"/>
            <w:vAlign w:val="center"/>
          </w:tcPr>
          <w:p w14:paraId="5F4BF117"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 xml:space="preserve">Article 8 </w:t>
            </w:r>
          </w:p>
        </w:tc>
        <w:tc>
          <w:tcPr>
            <w:tcW w:w="1836" w:type="dxa"/>
            <w:vAlign w:val="center"/>
          </w:tcPr>
          <w:p w14:paraId="7F6CDF8F"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Neal et al. (2015)</w:t>
            </w:r>
          </w:p>
        </w:tc>
        <w:tc>
          <w:tcPr>
            <w:tcW w:w="3047" w:type="dxa"/>
            <w:vAlign w:val="center"/>
          </w:tcPr>
          <w:p w14:paraId="0EC979D9"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Is increased time to diagnosis and treatment in symptomatic cancer associated with poorer outcomes? Systematic review</w:t>
            </w:r>
          </w:p>
        </w:tc>
        <w:tc>
          <w:tcPr>
            <w:tcW w:w="4085" w:type="dxa"/>
            <w:vAlign w:val="center"/>
          </w:tcPr>
          <w:p w14:paraId="625427E9"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Systematic review examining the relationship between diagnostic/treatment delays and cancer outcomes. Findings show that longer delays are associated with poorer survival in several cancers, reinforcing the importance of early diagnosis pathways.</w:t>
            </w:r>
          </w:p>
        </w:tc>
        <w:tc>
          <w:tcPr>
            <w:tcW w:w="1951" w:type="dxa"/>
            <w:vAlign w:val="center"/>
          </w:tcPr>
          <w:p w14:paraId="518C0AAF"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Diagnostic delay; Cancer outcomes; Survival rates; Treatment delay; Early diagnosis</w:t>
            </w:r>
          </w:p>
          <w:p w14:paraId="0482AAC7" w14:textId="77777777" w:rsidR="00DB09AE" w:rsidRDefault="00DB09AE" w:rsidP="003E3922">
            <w:pPr>
              <w:spacing w:line="360" w:lineRule="auto"/>
              <w:jc w:val="both"/>
              <w:rPr>
                <w:rFonts w:ascii="Arial" w:eastAsia="Arial" w:hAnsi="Arial" w:cs="Arial"/>
                <w:b/>
                <w:bCs/>
                <w:sz w:val="24"/>
                <w:szCs w:val="24"/>
              </w:rPr>
            </w:pPr>
          </w:p>
        </w:tc>
      </w:tr>
      <w:tr w:rsidR="00DB09AE" w14:paraId="428C49AA" w14:textId="77777777">
        <w:trPr>
          <w:trHeight w:val="873"/>
        </w:trPr>
        <w:tc>
          <w:tcPr>
            <w:tcW w:w="1070" w:type="dxa"/>
            <w:vAlign w:val="center"/>
          </w:tcPr>
          <w:p w14:paraId="216B82A1"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CRAAP Notes</w:t>
            </w:r>
          </w:p>
        </w:tc>
        <w:tc>
          <w:tcPr>
            <w:tcW w:w="8968" w:type="dxa"/>
            <w:gridSpan w:val="3"/>
            <w:vAlign w:val="center"/>
          </w:tcPr>
          <w:p w14:paraId="347F19E1"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Current and highly relevant systematic review published in a leading oncology journal (</w:t>
            </w:r>
            <w:r>
              <w:rPr>
                <w:rFonts w:ascii="Arial" w:eastAsia="Arial" w:hAnsi="Arial" w:cs="Arial"/>
                <w:i/>
                <w:iCs/>
                <w:sz w:val="24"/>
                <w:szCs w:val="24"/>
              </w:rPr>
              <w:t>British Journal of Cancer</w:t>
            </w:r>
            <w:r>
              <w:rPr>
                <w:rFonts w:ascii="Arial" w:eastAsia="Arial" w:hAnsi="Arial" w:cs="Arial"/>
                <w:sz w:val="24"/>
                <w:szCs w:val="24"/>
              </w:rPr>
              <w:t>). Strong evidence base synthesising multiple studies. Highly authoritative and directly applicable to understanding the impact of diagnostic delay on outcomes.</w:t>
            </w:r>
          </w:p>
        </w:tc>
        <w:tc>
          <w:tcPr>
            <w:tcW w:w="1951" w:type="dxa"/>
            <w:vAlign w:val="center"/>
          </w:tcPr>
          <w:p w14:paraId="0B1099D8"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CRAAP Score</w:t>
            </w:r>
          </w:p>
          <w:p w14:paraId="16EAA36D"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5/5</w:t>
            </w:r>
          </w:p>
        </w:tc>
      </w:tr>
      <w:tr w:rsidR="00DB09AE" w14:paraId="71A2D4CB" w14:textId="77777777">
        <w:trPr>
          <w:trHeight w:val="873"/>
        </w:trPr>
        <w:tc>
          <w:tcPr>
            <w:tcW w:w="11989" w:type="dxa"/>
            <w:gridSpan w:val="5"/>
            <w:tcBorders>
              <w:left w:val="nil"/>
              <w:right w:val="nil"/>
            </w:tcBorders>
            <w:vAlign w:val="center"/>
          </w:tcPr>
          <w:p w14:paraId="1AF2DA06" w14:textId="77777777" w:rsidR="00DB09AE" w:rsidRDefault="00DB09AE" w:rsidP="003E3922">
            <w:pPr>
              <w:spacing w:line="360" w:lineRule="auto"/>
              <w:jc w:val="both"/>
              <w:rPr>
                <w:rFonts w:ascii="Arial" w:eastAsia="Arial" w:hAnsi="Arial" w:cs="Arial"/>
                <w:b/>
                <w:bCs/>
                <w:sz w:val="24"/>
                <w:szCs w:val="24"/>
              </w:rPr>
            </w:pPr>
          </w:p>
        </w:tc>
      </w:tr>
      <w:tr w:rsidR="00DB09AE" w14:paraId="6A9C22CE" w14:textId="77777777">
        <w:trPr>
          <w:trHeight w:val="873"/>
        </w:trPr>
        <w:tc>
          <w:tcPr>
            <w:tcW w:w="1070" w:type="dxa"/>
            <w:vAlign w:val="center"/>
          </w:tcPr>
          <w:p w14:paraId="0ECA6DEE"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Article 9</w:t>
            </w:r>
          </w:p>
        </w:tc>
        <w:tc>
          <w:tcPr>
            <w:tcW w:w="1836" w:type="dxa"/>
            <w:vAlign w:val="center"/>
          </w:tcPr>
          <w:p w14:paraId="06E7F272"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NHS England (2023)</w:t>
            </w:r>
          </w:p>
        </w:tc>
        <w:tc>
          <w:tcPr>
            <w:tcW w:w="3047" w:type="dxa"/>
            <w:vAlign w:val="center"/>
          </w:tcPr>
          <w:p w14:paraId="0B4CAE9F"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NHS Long Term Plan – Cancer Programme</w:t>
            </w:r>
          </w:p>
        </w:tc>
        <w:tc>
          <w:tcPr>
            <w:tcW w:w="4085" w:type="dxa"/>
            <w:vAlign w:val="center"/>
          </w:tcPr>
          <w:p w14:paraId="17D3CDE0"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Outlines national priorities for improving cancer survival through earlier diagnosis, faster referrals and reduction of health inequalities.</w:t>
            </w:r>
          </w:p>
        </w:tc>
        <w:tc>
          <w:tcPr>
            <w:tcW w:w="1951" w:type="dxa"/>
            <w:vAlign w:val="center"/>
          </w:tcPr>
          <w:p w14:paraId="338DC21F"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 xml:space="preserve">NHS policy; early diagnosis; cancer strategy; healthcare inequalities; </w:t>
            </w:r>
            <w:r>
              <w:rPr>
                <w:rFonts w:ascii="Arial" w:eastAsia="Arial" w:hAnsi="Arial" w:cs="Arial"/>
                <w:sz w:val="24"/>
                <w:szCs w:val="24"/>
              </w:rPr>
              <w:lastRenderedPageBreak/>
              <w:t>service improvement</w:t>
            </w:r>
          </w:p>
          <w:p w14:paraId="605CFE7E" w14:textId="77777777" w:rsidR="00DB09AE" w:rsidRDefault="00DB09AE" w:rsidP="003E3922">
            <w:pPr>
              <w:spacing w:line="360" w:lineRule="auto"/>
              <w:jc w:val="both"/>
              <w:rPr>
                <w:rFonts w:ascii="Arial" w:eastAsia="Arial" w:hAnsi="Arial" w:cs="Arial"/>
                <w:b/>
                <w:bCs/>
                <w:sz w:val="24"/>
                <w:szCs w:val="24"/>
              </w:rPr>
            </w:pPr>
          </w:p>
        </w:tc>
      </w:tr>
      <w:tr w:rsidR="00DB09AE" w14:paraId="6316FF33" w14:textId="77777777">
        <w:trPr>
          <w:trHeight w:val="873"/>
        </w:trPr>
        <w:tc>
          <w:tcPr>
            <w:tcW w:w="1070" w:type="dxa"/>
            <w:vAlign w:val="center"/>
          </w:tcPr>
          <w:p w14:paraId="02F01C6B"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lastRenderedPageBreak/>
              <w:t xml:space="preserve">CRAAP Notes </w:t>
            </w:r>
          </w:p>
        </w:tc>
        <w:tc>
          <w:tcPr>
            <w:tcW w:w="8968" w:type="dxa"/>
            <w:gridSpan w:val="3"/>
            <w:vAlign w:val="center"/>
          </w:tcPr>
          <w:p w14:paraId="507EF7B5"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Produced by NHS England, current and directly relevant to UK cancer services and policy development.</w:t>
            </w:r>
          </w:p>
        </w:tc>
        <w:tc>
          <w:tcPr>
            <w:tcW w:w="1951" w:type="dxa"/>
            <w:vAlign w:val="center"/>
          </w:tcPr>
          <w:p w14:paraId="31F1B57F"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CRAAP Score</w:t>
            </w:r>
          </w:p>
          <w:p w14:paraId="20CC9258"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5/5</w:t>
            </w:r>
          </w:p>
        </w:tc>
      </w:tr>
      <w:tr w:rsidR="00DB09AE" w14:paraId="09602D79" w14:textId="77777777">
        <w:trPr>
          <w:trHeight w:val="873"/>
        </w:trPr>
        <w:tc>
          <w:tcPr>
            <w:tcW w:w="11989" w:type="dxa"/>
            <w:gridSpan w:val="5"/>
            <w:tcBorders>
              <w:left w:val="nil"/>
              <w:right w:val="nil"/>
            </w:tcBorders>
            <w:vAlign w:val="center"/>
          </w:tcPr>
          <w:p w14:paraId="04494171" w14:textId="77777777" w:rsidR="00DB09AE" w:rsidRDefault="00DB09AE" w:rsidP="003E3922">
            <w:pPr>
              <w:spacing w:line="360" w:lineRule="auto"/>
              <w:jc w:val="both"/>
              <w:rPr>
                <w:rFonts w:ascii="Arial" w:eastAsia="Arial" w:hAnsi="Arial" w:cs="Arial"/>
                <w:b/>
                <w:bCs/>
                <w:sz w:val="24"/>
                <w:szCs w:val="24"/>
              </w:rPr>
            </w:pPr>
          </w:p>
        </w:tc>
      </w:tr>
      <w:tr w:rsidR="00DB09AE" w14:paraId="0E7A9238" w14:textId="77777777">
        <w:trPr>
          <w:trHeight w:val="873"/>
        </w:trPr>
        <w:tc>
          <w:tcPr>
            <w:tcW w:w="1070" w:type="dxa"/>
            <w:vAlign w:val="center"/>
          </w:tcPr>
          <w:p w14:paraId="49BD2EE2"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 xml:space="preserve">Article 10 </w:t>
            </w:r>
          </w:p>
        </w:tc>
        <w:tc>
          <w:tcPr>
            <w:tcW w:w="1836" w:type="dxa"/>
            <w:vAlign w:val="center"/>
          </w:tcPr>
          <w:p w14:paraId="79BC6938"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Crenshaw (1989)</w:t>
            </w:r>
          </w:p>
        </w:tc>
        <w:tc>
          <w:tcPr>
            <w:tcW w:w="3047" w:type="dxa"/>
            <w:vAlign w:val="center"/>
          </w:tcPr>
          <w:p w14:paraId="4C1D705F"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Demarginalizing the Intersection of Race and Sex</w:t>
            </w:r>
          </w:p>
        </w:tc>
        <w:tc>
          <w:tcPr>
            <w:tcW w:w="4085" w:type="dxa"/>
            <w:vAlign w:val="center"/>
          </w:tcPr>
          <w:p w14:paraId="206CBD10"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Introduces Intersectionality Theory, explaining how overlapping identities such as race, gender and social position interact to create disadvantage. Provides a theoretical lens for understanding cancer care inequalities.</w:t>
            </w:r>
          </w:p>
        </w:tc>
        <w:tc>
          <w:tcPr>
            <w:tcW w:w="1951" w:type="dxa"/>
            <w:vAlign w:val="center"/>
          </w:tcPr>
          <w:p w14:paraId="069DCC68"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Intersectionality; ethnicity; gender; inequalities; discrimination; social disadvantage</w:t>
            </w:r>
          </w:p>
          <w:p w14:paraId="6EB77118" w14:textId="77777777" w:rsidR="00DB09AE" w:rsidRDefault="00DB09AE" w:rsidP="003E3922">
            <w:pPr>
              <w:spacing w:line="360" w:lineRule="auto"/>
              <w:jc w:val="both"/>
              <w:rPr>
                <w:rFonts w:ascii="Arial" w:eastAsia="Arial" w:hAnsi="Arial" w:cs="Arial"/>
                <w:b/>
                <w:bCs/>
                <w:sz w:val="24"/>
                <w:szCs w:val="24"/>
              </w:rPr>
            </w:pPr>
          </w:p>
        </w:tc>
      </w:tr>
      <w:tr w:rsidR="00DB09AE" w14:paraId="281A2419" w14:textId="77777777">
        <w:trPr>
          <w:trHeight w:val="873"/>
        </w:trPr>
        <w:tc>
          <w:tcPr>
            <w:tcW w:w="1070" w:type="dxa"/>
            <w:vAlign w:val="center"/>
          </w:tcPr>
          <w:p w14:paraId="0F48226C"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 xml:space="preserve">CRAAP Notes </w:t>
            </w:r>
          </w:p>
        </w:tc>
        <w:tc>
          <w:tcPr>
            <w:tcW w:w="8968" w:type="dxa"/>
            <w:gridSpan w:val="3"/>
            <w:vAlign w:val="center"/>
          </w:tcPr>
          <w:p w14:paraId="5D5D45ED" w14:textId="77777777" w:rsidR="00DB09AE" w:rsidRDefault="00000000" w:rsidP="003E3922">
            <w:pPr>
              <w:spacing w:line="360" w:lineRule="auto"/>
              <w:jc w:val="both"/>
              <w:rPr>
                <w:rFonts w:ascii="Arial" w:eastAsia="Arial" w:hAnsi="Arial" w:cs="Arial"/>
                <w:sz w:val="24"/>
                <w:szCs w:val="24"/>
              </w:rPr>
            </w:pPr>
            <w:r>
              <w:rPr>
                <w:rFonts w:ascii="Arial" w:eastAsia="Arial" w:hAnsi="Arial" w:cs="Arial"/>
                <w:sz w:val="24"/>
                <w:szCs w:val="24"/>
              </w:rPr>
              <w:t>Older source but seminal theoretical work, highly relevant, influential author, widely cited, educational purpose.</w:t>
            </w:r>
          </w:p>
        </w:tc>
        <w:tc>
          <w:tcPr>
            <w:tcW w:w="1951" w:type="dxa"/>
            <w:vAlign w:val="center"/>
          </w:tcPr>
          <w:p w14:paraId="5E5073E1"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CRAAP Score</w:t>
            </w:r>
          </w:p>
          <w:p w14:paraId="4F7A7653" w14:textId="77777777" w:rsidR="00DB09AE" w:rsidRDefault="00000000" w:rsidP="003E3922">
            <w:pPr>
              <w:spacing w:line="360" w:lineRule="auto"/>
              <w:jc w:val="both"/>
              <w:rPr>
                <w:rFonts w:ascii="Arial" w:eastAsia="Arial" w:hAnsi="Arial" w:cs="Arial"/>
                <w:b/>
                <w:bCs/>
                <w:sz w:val="24"/>
                <w:szCs w:val="24"/>
              </w:rPr>
            </w:pPr>
            <w:r>
              <w:rPr>
                <w:rFonts w:ascii="Arial" w:eastAsia="Arial" w:hAnsi="Arial" w:cs="Arial"/>
                <w:b/>
                <w:bCs/>
                <w:sz w:val="24"/>
                <w:szCs w:val="24"/>
              </w:rPr>
              <w:t>5/5</w:t>
            </w:r>
          </w:p>
        </w:tc>
      </w:tr>
    </w:tbl>
    <w:p w14:paraId="0DE793AC" w14:textId="77777777" w:rsidR="00DB09AE" w:rsidRDefault="00DB09AE" w:rsidP="003E3922">
      <w:pPr>
        <w:spacing w:line="360" w:lineRule="auto"/>
        <w:jc w:val="both"/>
        <w:rPr>
          <w:rFonts w:ascii="Arial" w:eastAsia="Arial" w:hAnsi="Arial" w:cs="Arial"/>
        </w:rPr>
      </w:pPr>
    </w:p>
    <w:p w14:paraId="2BB92161" w14:textId="77777777" w:rsidR="00D3461B" w:rsidRDefault="00D3461B" w:rsidP="003E3922">
      <w:pPr>
        <w:spacing w:line="360" w:lineRule="auto"/>
        <w:jc w:val="both"/>
        <w:rPr>
          <w:rFonts w:ascii="Arial" w:eastAsia="Arial" w:hAnsi="Arial" w:cs="Arial"/>
        </w:rPr>
        <w:sectPr w:rsidR="00D3461B" w:rsidSect="00D3461B">
          <w:pgSz w:w="16838" w:h="11906" w:orient="landscape"/>
          <w:pgMar w:top="1440" w:right="1440" w:bottom="1440" w:left="1440" w:header="720" w:footer="720" w:gutter="0"/>
          <w:pgNumType w:start="1"/>
          <w:cols w:space="720"/>
        </w:sectPr>
      </w:pPr>
    </w:p>
    <w:p w14:paraId="47122D70" w14:textId="77777777" w:rsidR="00DB09AE" w:rsidRDefault="00000000" w:rsidP="003E3922">
      <w:pPr>
        <w:spacing w:line="360" w:lineRule="auto"/>
        <w:jc w:val="both"/>
        <w:rPr>
          <w:rFonts w:ascii="Arial" w:eastAsia="Arial" w:hAnsi="Arial" w:cs="Arial"/>
        </w:rPr>
      </w:pPr>
      <w:r>
        <w:rPr>
          <w:rFonts w:ascii="Arial" w:eastAsia="Arial" w:hAnsi="Arial" w:cs="Arial"/>
        </w:rPr>
        <w:lastRenderedPageBreak/>
        <w:t>Appendix 2: Results Summary Table</w:t>
      </w:r>
    </w:p>
    <w:p w14:paraId="1F65EEB7" w14:textId="77777777" w:rsidR="00DB09AE" w:rsidRDefault="00DB09AE" w:rsidP="003E3922">
      <w:pPr>
        <w:spacing w:line="360" w:lineRule="auto"/>
        <w:jc w:val="both"/>
        <w:rPr>
          <w:rFonts w:ascii="Arial" w:eastAsia="Arial" w:hAnsi="Arial" w:cs="Arial"/>
        </w:rPr>
      </w:pPr>
    </w:p>
    <w:p w14:paraId="2483B1D5" w14:textId="77777777" w:rsidR="00DB09AE" w:rsidRDefault="00000000" w:rsidP="003E3922">
      <w:pPr>
        <w:pStyle w:val="Heading1"/>
        <w:spacing w:line="360" w:lineRule="auto"/>
        <w:jc w:val="both"/>
        <w:rPr>
          <w:b w:val="0"/>
          <w:bCs w:val="0"/>
        </w:rPr>
      </w:pPr>
      <w:bookmarkStart w:id="53" w:name="_Toc236055038"/>
      <w:r>
        <w:t>BMHP6020 Independent Project Results Summary Table</w:t>
      </w:r>
      <w:bookmarkEnd w:id="53"/>
    </w:p>
    <w:p w14:paraId="6B49F990" w14:textId="77777777" w:rsidR="00DB09AE" w:rsidRDefault="00DB09AE" w:rsidP="003E3922">
      <w:pPr>
        <w:spacing w:line="360" w:lineRule="auto"/>
        <w:jc w:val="both"/>
      </w:pPr>
    </w:p>
    <w:p w14:paraId="0FF80A91" w14:textId="77777777" w:rsidR="00DB09AE" w:rsidRDefault="00DB09AE" w:rsidP="003E3922">
      <w:pPr>
        <w:spacing w:line="360" w:lineRule="auto"/>
        <w:jc w:val="both"/>
      </w:pPr>
    </w:p>
    <w:tbl>
      <w:tblPr>
        <w:tblStyle w:val="a0"/>
        <w:tblpPr w:leftFromText="180" w:rightFromText="180" w:vertAnchor="text" w:tblpY="1"/>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79"/>
        <w:gridCol w:w="975"/>
        <w:gridCol w:w="1567"/>
        <w:gridCol w:w="1070"/>
        <w:gridCol w:w="1136"/>
        <w:gridCol w:w="1414"/>
        <w:gridCol w:w="1012"/>
        <w:gridCol w:w="1063"/>
      </w:tblGrid>
      <w:tr w:rsidR="00DB09AE" w14:paraId="3DEF6E95" w14:textId="77777777">
        <w:tc>
          <w:tcPr>
            <w:tcW w:w="779" w:type="dxa"/>
          </w:tcPr>
          <w:p w14:paraId="39BA1CE4" w14:textId="77777777" w:rsidR="00DB09AE" w:rsidRDefault="00000000" w:rsidP="003E3922">
            <w:pPr>
              <w:spacing w:after="160" w:line="360" w:lineRule="auto"/>
              <w:jc w:val="both"/>
              <w:rPr>
                <w:rFonts w:ascii="Arial" w:eastAsia="Arial" w:hAnsi="Arial" w:cs="Arial"/>
                <w:b/>
                <w:bCs/>
              </w:rPr>
            </w:pPr>
            <w:r>
              <w:rPr>
                <w:rFonts w:ascii="Arial" w:eastAsia="Arial" w:hAnsi="Arial" w:cs="Arial"/>
                <w:b/>
                <w:bCs/>
              </w:rPr>
              <w:t>Author &amp; Year</w:t>
            </w:r>
          </w:p>
        </w:tc>
        <w:tc>
          <w:tcPr>
            <w:tcW w:w="975" w:type="dxa"/>
          </w:tcPr>
          <w:p w14:paraId="33F323DB" w14:textId="77777777" w:rsidR="00DB09AE" w:rsidRDefault="00000000" w:rsidP="003E3922">
            <w:pPr>
              <w:spacing w:after="160" w:line="360" w:lineRule="auto"/>
              <w:jc w:val="both"/>
              <w:rPr>
                <w:rFonts w:ascii="Arial" w:eastAsia="Arial" w:hAnsi="Arial" w:cs="Arial"/>
                <w:b/>
                <w:bCs/>
              </w:rPr>
            </w:pPr>
            <w:r>
              <w:rPr>
                <w:rFonts w:ascii="Arial" w:eastAsia="Arial" w:hAnsi="Arial" w:cs="Arial"/>
                <w:b/>
                <w:bCs/>
              </w:rPr>
              <w:t>Article Title</w:t>
            </w:r>
          </w:p>
        </w:tc>
        <w:tc>
          <w:tcPr>
            <w:tcW w:w="1567" w:type="dxa"/>
          </w:tcPr>
          <w:p w14:paraId="11B357E9" w14:textId="77777777" w:rsidR="00DB09AE" w:rsidRDefault="00000000" w:rsidP="003E3922">
            <w:pPr>
              <w:spacing w:after="160" w:line="360" w:lineRule="auto"/>
              <w:jc w:val="both"/>
              <w:rPr>
                <w:rFonts w:ascii="Arial" w:eastAsia="Arial" w:hAnsi="Arial" w:cs="Arial"/>
                <w:b/>
                <w:bCs/>
              </w:rPr>
            </w:pPr>
            <w:r>
              <w:rPr>
                <w:rFonts w:ascii="Arial" w:eastAsia="Arial" w:hAnsi="Arial" w:cs="Arial"/>
                <w:b/>
                <w:bCs/>
              </w:rPr>
              <w:t>Type of Study</w:t>
            </w:r>
          </w:p>
        </w:tc>
        <w:tc>
          <w:tcPr>
            <w:tcW w:w="1070" w:type="dxa"/>
          </w:tcPr>
          <w:p w14:paraId="284046D5" w14:textId="77777777" w:rsidR="00DB09AE" w:rsidRDefault="00000000" w:rsidP="003E3922">
            <w:pPr>
              <w:spacing w:after="160" w:line="360" w:lineRule="auto"/>
              <w:jc w:val="both"/>
              <w:rPr>
                <w:rFonts w:ascii="Arial" w:eastAsia="Arial" w:hAnsi="Arial" w:cs="Arial"/>
                <w:b/>
                <w:bCs/>
              </w:rPr>
            </w:pPr>
            <w:r>
              <w:rPr>
                <w:rFonts w:ascii="Arial" w:eastAsia="Arial" w:hAnsi="Arial" w:cs="Arial"/>
                <w:b/>
                <w:bCs/>
              </w:rPr>
              <w:t>Research Method &amp; Sample Size</w:t>
            </w:r>
          </w:p>
        </w:tc>
        <w:tc>
          <w:tcPr>
            <w:tcW w:w="1136" w:type="dxa"/>
          </w:tcPr>
          <w:p w14:paraId="44EA3444" w14:textId="77777777" w:rsidR="00DB09AE" w:rsidRDefault="00000000" w:rsidP="003E3922">
            <w:pPr>
              <w:spacing w:after="160" w:line="360" w:lineRule="auto"/>
              <w:jc w:val="both"/>
              <w:rPr>
                <w:rFonts w:ascii="Arial" w:eastAsia="Arial" w:hAnsi="Arial" w:cs="Arial"/>
                <w:b/>
                <w:bCs/>
              </w:rPr>
            </w:pPr>
            <w:r>
              <w:rPr>
                <w:rFonts w:ascii="Arial" w:eastAsia="Arial" w:hAnsi="Arial" w:cs="Arial"/>
                <w:b/>
                <w:bCs/>
              </w:rPr>
              <w:t>Strengths &amp; Limitations</w:t>
            </w:r>
          </w:p>
        </w:tc>
        <w:tc>
          <w:tcPr>
            <w:tcW w:w="1414" w:type="dxa"/>
          </w:tcPr>
          <w:p w14:paraId="67E3FB34" w14:textId="77777777" w:rsidR="00DB09AE" w:rsidRDefault="00000000" w:rsidP="003E3922">
            <w:pPr>
              <w:spacing w:after="160" w:line="360" w:lineRule="auto"/>
              <w:jc w:val="both"/>
              <w:rPr>
                <w:rFonts w:ascii="Arial" w:eastAsia="Arial" w:hAnsi="Arial" w:cs="Arial"/>
                <w:b/>
                <w:bCs/>
              </w:rPr>
            </w:pPr>
            <w:r>
              <w:rPr>
                <w:rFonts w:ascii="Arial" w:eastAsia="Arial" w:hAnsi="Arial" w:cs="Arial"/>
                <w:b/>
                <w:bCs/>
              </w:rPr>
              <w:t>Main Findings</w:t>
            </w:r>
          </w:p>
        </w:tc>
        <w:tc>
          <w:tcPr>
            <w:tcW w:w="1012" w:type="dxa"/>
          </w:tcPr>
          <w:p w14:paraId="3028E650" w14:textId="77777777" w:rsidR="00DB09AE" w:rsidRDefault="00000000" w:rsidP="003E3922">
            <w:pPr>
              <w:spacing w:after="160" w:line="360" w:lineRule="auto"/>
              <w:jc w:val="both"/>
              <w:rPr>
                <w:rFonts w:ascii="Arial" w:eastAsia="Arial" w:hAnsi="Arial" w:cs="Arial"/>
                <w:b/>
                <w:bCs/>
              </w:rPr>
            </w:pPr>
            <w:r>
              <w:rPr>
                <w:rFonts w:ascii="Arial" w:eastAsia="Arial" w:hAnsi="Arial" w:cs="Arial"/>
                <w:b/>
                <w:bCs/>
              </w:rPr>
              <w:t>Keywords &amp; Codes</w:t>
            </w:r>
          </w:p>
        </w:tc>
        <w:tc>
          <w:tcPr>
            <w:tcW w:w="1063" w:type="dxa"/>
          </w:tcPr>
          <w:p w14:paraId="2C185E89" w14:textId="77777777" w:rsidR="00DB09AE" w:rsidRDefault="00000000" w:rsidP="003E3922">
            <w:pPr>
              <w:spacing w:after="160" w:line="360" w:lineRule="auto"/>
              <w:jc w:val="both"/>
              <w:rPr>
                <w:rFonts w:ascii="Arial" w:eastAsia="Arial" w:hAnsi="Arial" w:cs="Arial"/>
                <w:b/>
                <w:bCs/>
              </w:rPr>
            </w:pPr>
            <w:r>
              <w:rPr>
                <w:rFonts w:ascii="Arial" w:eastAsia="Arial" w:hAnsi="Arial" w:cs="Arial"/>
                <w:b/>
                <w:bCs/>
              </w:rPr>
              <w:t>Notes and Comments</w:t>
            </w:r>
          </w:p>
        </w:tc>
      </w:tr>
      <w:tr w:rsidR="00DB09AE" w14:paraId="27283C6E" w14:textId="77777777">
        <w:tc>
          <w:tcPr>
            <w:tcW w:w="779" w:type="dxa"/>
          </w:tcPr>
          <w:p w14:paraId="2572288A" w14:textId="77777777" w:rsidR="00DB09AE" w:rsidRDefault="00000000" w:rsidP="003E3922">
            <w:pPr>
              <w:spacing w:after="160" w:line="360" w:lineRule="auto"/>
              <w:jc w:val="both"/>
              <w:rPr>
                <w:rFonts w:ascii="Arial" w:eastAsia="Arial" w:hAnsi="Arial" w:cs="Arial"/>
                <w:b/>
                <w:bCs/>
              </w:rPr>
            </w:pPr>
            <w:r>
              <w:rPr>
                <w:rFonts w:ascii="Arial" w:eastAsia="Arial" w:hAnsi="Arial" w:cs="Arial"/>
                <w:b/>
                <w:bCs/>
              </w:rPr>
              <w:t>Karakas (2011)</w:t>
            </w:r>
          </w:p>
        </w:tc>
        <w:tc>
          <w:tcPr>
            <w:tcW w:w="975" w:type="dxa"/>
          </w:tcPr>
          <w:p w14:paraId="278A0AE1" w14:textId="77777777" w:rsidR="00DB09AE" w:rsidRDefault="00000000" w:rsidP="003E3922">
            <w:pPr>
              <w:spacing w:after="160" w:line="360" w:lineRule="auto"/>
              <w:jc w:val="both"/>
              <w:rPr>
                <w:rFonts w:ascii="Arial" w:eastAsia="Arial" w:hAnsi="Arial" w:cs="Arial"/>
              </w:rPr>
            </w:pPr>
            <w:r>
              <w:rPr>
                <w:rFonts w:ascii="Arial" w:eastAsia="Arial" w:hAnsi="Arial" w:cs="Arial"/>
                <w:i/>
                <w:iCs/>
              </w:rPr>
              <w:t>Paget's Disease of the Breast</w:t>
            </w:r>
          </w:p>
        </w:tc>
        <w:tc>
          <w:tcPr>
            <w:tcW w:w="1567" w:type="dxa"/>
          </w:tcPr>
          <w:p w14:paraId="75D01DEC" w14:textId="77777777" w:rsidR="00DB09AE" w:rsidRDefault="00000000" w:rsidP="003E3922">
            <w:pPr>
              <w:spacing w:after="160" w:line="360" w:lineRule="auto"/>
              <w:jc w:val="both"/>
              <w:rPr>
                <w:rFonts w:ascii="Arial" w:eastAsia="Arial" w:hAnsi="Arial" w:cs="Arial"/>
              </w:rPr>
            </w:pPr>
            <w:r>
              <w:rPr>
                <w:rFonts w:ascii="Arial" w:eastAsia="Arial" w:hAnsi="Arial" w:cs="Arial"/>
              </w:rPr>
              <w:t>Literature Review</w:t>
            </w:r>
          </w:p>
        </w:tc>
        <w:tc>
          <w:tcPr>
            <w:tcW w:w="1070" w:type="dxa"/>
          </w:tcPr>
          <w:p w14:paraId="4C18CBD0" w14:textId="77777777" w:rsidR="00DB09AE" w:rsidRDefault="00000000" w:rsidP="003E3922">
            <w:pPr>
              <w:spacing w:after="160" w:line="360" w:lineRule="auto"/>
              <w:jc w:val="both"/>
              <w:rPr>
                <w:rFonts w:ascii="Arial" w:eastAsia="Arial" w:hAnsi="Arial" w:cs="Arial"/>
              </w:rPr>
            </w:pPr>
            <w:r>
              <w:rPr>
                <w:rFonts w:ascii="Arial" w:eastAsia="Arial" w:hAnsi="Arial" w:cs="Arial"/>
              </w:rPr>
              <w:t>Narrative review of published clinical and pathological literatur</w:t>
            </w:r>
            <w:r>
              <w:rPr>
                <w:rFonts w:ascii="Arial" w:eastAsia="Arial" w:hAnsi="Arial" w:cs="Arial"/>
              </w:rPr>
              <w:lastRenderedPageBreak/>
              <w:t>e relating to Paget's disease of the breast.</w:t>
            </w:r>
          </w:p>
        </w:tc>
        <w:tc>
          <w:tcPr>
            <w:tcW w:w="1136" w:type="dxa"/>
          </w:tcPr>
          <w:p w14:paraId="6E4FC5BF" w14:textId="77777777" w:rsidR="00DB09AE" w:rsidRDefault="00000000" w:rsidP="003E3922">
            <w:pPr>
              <w:spacing w:after="160" w:line="360" w:lineRule="auto"/>
              <w:jc w:val="both"/>
              <w:rPr>
                <w:rFonts w:ascii="Arial" w:eastAsia="Arial" w:hAnsi="Arial" w:cs="Arial"/>
              </w:rPr>
            </w:pPr>
            <w:r>
              <w:rPr>
                <w:rFonts w:ascii="Arial" w:eastAsia="Arial" w:hAnsi="Arial" w:cs="Arial"/>
              </w:rPr>
              <w:lastRenderedPageBreak/>
              <w:t xml:space="preserve">Strength: Comprehensive overview of a rare disease. Limitation: Not primary </w:t>
            </w:r>
            <w:r>
              <w:rPr>
                <w:rFonts w:ascii="Arial" w:eastAsia="Arial" w:hAnsi="Arial" w:cs="Arial"/>
              </w:rPr>
              <w:lastRenderedPageBreak/>
              <w:t>research and published over 10 years ago.</w:t>
            </w:r>
          </w:p>
        </w:tc>
        <w:tc>
          <w:tcPr>
            <w:tcW w:w="1414" w:type="dxa"/>
          </w:tcPr>
          <w:p w14:paraId="056232C4" w14:textId="77777777" w:rsidR="00DB09AE" w:rsidRDefault="00000000" w:rsidP="003E3922">
            <w:pPr>
              <w:spacing w:after="160" w:line="360" w:lineRule="auto"/>
              <w:jc w:val="both"/>
              <w:rPr>
                <w:rFonts w:ascii="Arial" w:eastAsia="Arial" w:hAnsi="Arial" w:cs="Arial"/>
              </w:rPr>
            </w:pPr>
            <w:r>
              <w:rPr>
                <w:rFonts w:ascii="Arial" w:eastAsia="Arial" w:hAnsi="Arial" w:cs="Arial"/>
              </w:rPr>
              <w:lastRenderedPageBreak/>
              <w:t xml:space="preserve">Paget's disease is often misdiagnosed as benign dermatological conditions </w:t>
            </w:r>
            <w:r>
              <w:rPr>
                <w:rFonts w:ascii="Arial" w:eastAsia="Arial" w:hAnsi="Arial" w:cs="Arial"/>
              </w:rPr>
              <w:lastRenderedPageBreak/>
              <w:t xml:space="preserve">such as eczema, contributing to delayed </w:t>
            </w:r>
            <w:r w:rsidRPr="00EF5566">
              <w:rPr>
                <w:rFonts w:ascii="Arial" w:eastAsia="Arial" w:hAnsi="Arial" w:cs="Arial"/>
                <w:highlight w:val="yellow"/>
              </w:rPr>
              <w:t>diagnosis</w:t>
            </w:r>
            <w:r>
              <w:rPr>
                <w:rFonts w:ascii="Arial" w:eastAsia="Arial" w:hAnsi="Arial" w:cs="Arial"/>
              </w:rPr>
              <w:t xml:space="preserve"> and treatment.</w:t>
            </w:r>
          </w:p>
        </w:tc>
        <w:tc>
          <w:tcPr>
            <w:tcW w:w="1012" w:type="dxa"/>
          </w:tcPr>
          <w:p w14:paraId="23423EC7" w14:textId="77777777" w:rsidR="00DB09AE" w:rsidRDefault="00000000" w:rsidP="003E3922">
            <w:pPr>
              <w:spacing w:after="160" w:line="360" w:lineRule="auto"/>
              <w:jc w:val="both"/>
              <w:rPr>
                <w:rFonts w:ascii="Arial" w:eastAsia="Arial" w:hAnsi="Arial" w:cs="Arial"/>
              </w:rPr>
            </w:pPr>
            <w:r>
              <w:rPr>
                <w:rFonts w:ascii="Arial" w:eastAsia="Arial" w:hAnsi="Arial" w:cs="Arial"/>
              </w:rPr>
              <w:lastRenderedPageBreak/>
              <w:t xml:space="preserve">Paget's disease; misdiagnosis; eczema; symptom </w:t>
            </w:r>
            <w:r>
              <w:rPr>
                <w:rFonts w:ascii="Arial" w:eastAsia="Arial" w:hAnsi="Arial" w:cs="Arial"/>
              </w:rPr>
              <w:lastRenderedPageBreak/>
              <w:t>recognition; rare cancer</w:t>
            </w:r>
          </w:p>
        </w:tc>
        <w:tc>
          <w:tcPr>
            <w:tcW w:w="1063" w:type="dxa"/>
          </w:tcPr>
          <w:p w14:paraId="3F6F2D43" w14:textId="77777777" w:rsidR="00DB09AE" w:rsidRDefault="00000000" w:rsidP="003E3922">
            <w:pPr>
              <w:spacing w:after="160" w:line="360" w:lineRule="auto"/>
              <w:jc w:val="both"/>
              <w:rPr>
                <w:rFonts w:ascii="Arial" w:eastAsia="Arial" w:hAnsi="Arial" w:cs="Arial"/>
              </w:rPr>
            </w:pPr>
            <w:r>
              <w:rPr>
                <w:rFonts w:ascii="Arial" w:eastAsia="Arial" w:hAnsi="Arial" w:cs="Arial"/>
              </w:rPr>
              <w:lastRenderedPageBreak/>
              <w:t>Core source for understanding the disease itself. Support</w:t>
            </w:r>
            <w:r>
              <w:rPr>
                <w:rFonts w:ascii="Arial" w:eastAsia="Arial" w:hAnsi="Arial" w:cs="Arial"/>
              </w:rPr>
              <w:lastRenderedPageBreak/>
              <w:t xml:space="preserve">s Theme 1: </w:t>
            </w:r>
            <w:r w:rsidRPr="00226D11">
              <w:rPr>
                <w:rFonts w:ascii="Arial" w:eastAsia="Arial" w:hAnsi="Arial" w:cs="Arial"/>
              </w:rPr>
              <w:t>Diagnostic</w:t>
            </w:r>
            <w:r>
              <w:rPr>
                <w:rFonts w:ascii="Arial" w:eastAsia="Arial" w:hAnsi="Arial" w:cs="Arial"/>
              </w:rPr>
              <w:t xml:space="preserve"> Challenges in Paget's Disease.</w:t>
            </w:r>
          </w:p>
        </w:tc>
      </w:tr>
      <w:tr w:rsidR="00DB09AE" w14:paraId="129C5EE8" w14:textId="77777777">
        <w:tc>
          <w:tcPr>
            <w:tcW w:w="779" w:type="dxa"/>
          </w:tcPr>
          <w:p w14:paraId="4DA320AD" w14:textId="77777777" w:rsidR="00DB09AE" w:rsidRDefault="00000000" w:rsidP="003E3922">
            <w:pPr>
              <w:spacing w:after="160" w:line="360" w:lineRule="auto"/>
              <w:jc w:val="both"/>
              <w:rPr>
                <w:rFonts w:ascii="Arial" w:eastAsia="Arial" w:hAnsi="Arial" w:cs="Arial"/>
                <w:b/>
                <w:bCs/>
              </w:rPr>
            </w:pPr>
            <w:r>
              <w:rPr>
                <w:rFonts w:ascii="Arial" w:eastAsia="Arial" w:hAnsi="Arial" w:cs="Arial"/>
                <w:b/>
                <w:bCs/>
              </w:rPr>
              <w:lastRenderedPageBreak/>
              <w:t>Walter et al. (2012)</w:t>
            </w:r>
          </w:p>
        </w:tc>
        <w:tc>
          <w:tcPr>
            <w:tcW w:w="975" w:type="dxa"/>
          </w:tcPr>
          <w:p w14:paraId="06296917" w14:textId="77777777" w:rsidR="00DB09AE" w:rsidRDefault="00000000" w:rsidP="003E3922">
            <w:pPr>
              <w:spacing w:after="160" w:line="360" w:lineRule="auto"/>
              <w:jc w:val="both"/>
              <w:rPr>
                <w:rFonts w:ascii="Arial" w:eastAsia="Arial" w:hAnsi="Arial" w:cs="Arial"/>
              </w:rPr>
            </w:pPr>
            <w:r>
              <w:rPr>
                <w:rFonts w:ascii="Arial" w:eastAsia="Arial" w:hAnsi="Arial" w:cs="Arial"/>
                <w:i/>
                <w:iCs/>
              </w:rPr>
              <w:t xml:space="preserve">The Andersen Model of Total Patient Delay and the Model of Pathways to </w:t>
            </w:r>
            <w:r>
              <w:rPr>
                <w:rFonts w:ascii="Arial" w:eastAsia="Arial" w:hAnsi="Arial" w:cs="Arial"/>
                <w:i/>
                <w:iCs/>
              </w:rPr>
              <w:lastRenderedPageBreak/>
              <w:t>Treatment</w:t>
            </w:r>
          </w:p>
        </w:tc>
        <w:tc>
          <w:tcPr>
            <w:tcW w:w="1567" w:type="dxa"/>
          </w:tcPr>
          <w:p w14:paraId="7DB13B78" w14:textId="77777777" w:rsidR="00DB09AE" w:rsidRDefault="00000000" w:rsidP="003E3922">
            <w:pPr>
              <w:spacing w:after="160" w:line="360" w:lineRule="auto"/>
              <w:jc w:val="both"/>
              <w:rPr>
                <w:rFonts w:ascii="Arial" w:eastAsia="Arial" w:hAnsi="Arial" w:cs="Arial"/>
              </w:rPr>
            </w:pPr>
            <w:r>
              <w:rPr>
                <w:rFonts w:ascii="Arial" w:eastAsia="Arial" w:hAnsi="Arial" w:cs="Arial"/>
              </w:rPr>
              <w:lastRenderedPageBreak/>
              <w:t>Theoretical/Conceptual Study</w:t>
            </w:r>
          </w:p>
        </w:tc>
        <w:tc>
          <w:tcPr>
            <w:tcW w:w="1070" w:type="dxa"/>
          </w:tcPr>
          <w:p w14:paraId="13435991" w14:textId="77777777" w:rsidR="00DB09AE" w:rsidRDefault="00000000" w:rsidP="003E3922">
            <w:pPr>
              <w:spacing w:after="160" w:line="360" w:lineRule="auto"/>
              <w:jc w:val="both"/>
              <w:rPr>
                <w:rFonts w:ascii="Arial" w:eastAsia="Arial" w:hAnsi="Arial" w:cs="Arial"/>
              </w:rPr>
            </w:pPr>
            <w:r>
              <w:rPr>
                <w:rFonts w:ascii="Arial" w:eastAsia="Arial" w:hAnsi="Arial" w:cs="Arial"/>
              </w:rPr>
              <w:t xml:space="preserve">Development of a conceptual model synthesising previous theories and evidence relating </w:t>
            </w:r>
            <w:r>
              <w:rPr>
                <w:rFonts w:ascii="Arial" w:eastAsia="Arial" w:hAnsi="Arial" w:cs="Arial"/>
              </w:rPr>
              <w:lastRenderedPageBreak/>
              <w:t xml:space="preserve">to cancer </w:t>
            </w:r>
            <w:r w:rsidRPr="00EF5566">
              <w:rPr>
                <w:rFonts w:ascii="Arial" w:eastAsia="Arial" w:hAnsi="Arial" w:cs="Arial"/>
                <w:highlight w:val="yellow"/>
              </w:rPr>
              <w:t>diagnosis</w:t>
            </w:r>
            <w:r>
              <w:rPr>
                <w:rFonts w:ascii="Arial" w:eastAsia="Arial" w:hAnsi="Arial" w:cs="Arial"/>
              </w:rPr>
              <w:t xml:space="preserve"> pathways.</w:t>
            </w:r>
          </w:p>
        </w:tc>
        <w:tc>
          <w:tcPr>
            <w:tcW w:w="1136" w:type="dxa"/>
          </w:tcPr>
          <w:p w14:paraId="19CFC39B" w14:textId="77777777" w:rsidR="00DB09AE" w:rsidRDefault="00000000" w:rsidP="003E3922">
            <w:pPr>
              <w:spacing w:after="160" w:line="360" w:lineRule="auto"/>
              <w:jc w:val="both"/>
              <w:rPr>
                <w:rFonts w:ascii="Arial" w:eastAsia="Arial" w:hAnsi="Arial" w:cs="Arial"/>
              </w:rPr>
            </w:pPr>
            <w:r>
              <w:rPr>
                <w:rFonts w:ascii="Arial" w:eastAsia="Arial" w:hAnsi="Arial" w:cs="Arial"/>
              </w:rPr>
              <w:lastRenderedPageBreak/>
              <w:t xml:space="preserve">Strength: Widely used framework in cancer research. Limitation: Theoretical rather than </w:t>
            </w:r>
            <w:r>
              <w:rPr>
                <w:rFonts w:ascii="Arial" w:eastAsia="Arial" w:hAnsi="Arial" w:cs="Arial"/>
              </w:rPr>
              <w:lastRenderedPageBreak/>
              <w:t>empirical.</w:t>
            </w:r>
          </w:p>
        </w:tc>
        <w:tc>
          <w:tcPr>
            <w:tcW w:w="1414" w:type="dxa"/>
          </w:tcPr>
          <w:p w14:paraId="528FC010" w14:textId="77777777" w:rsidR="00DB09AE" w:rsidRDefault="00000000" w:rsidP="003E3922">
            <w:pPr>
              <w:spacing w:after="160" w:line="360" w:lineRule="auto"/>
              <w:jc w:val="both"/>
              <w:rPr>
                <w:rFonts w:ascii="Arial" w:eastAsia="Arial" w:hAnsi="Arial" w:cs="Arial"/>
              </w:rPr>
            </w:pPr>
            <w:r>
              <w:rPr>
                <w:rFonts w:ascii="Arial" w:eastAsia="Arial" w:hAnsi="Arial" w:cs="Arial"/>
              </w:rPr>
              <w:lastRenderedPageBreak/>
              <w:t xml:space="preserve">Delays can occur during symptom appraisal, help-seeking, referral and diagnostic stages, highlighting multiple barriers to </w:t>
            </w:r>
            <w:r>
              <w:rPr>
                <w:rFonts w:ascii="Arial" w:eastAsia="Arial" w:hAnsi="Arial" w:cs="Arial"/>
              </w:rPr>
              <w:lastRenderedPageBreak/>
              <w:t xml:space="preserve">early </w:t>
            </w:r>
            <w:r w:rsidRPr="00EF5566">
              <w:rPr>
                <w:rFonts w:ascii="Arial" w:eastAsia="Arial" w:hAnsi="Arial" w:cs="Arial"/>
                <w:highlight w:val="yellow"/>
              </w:rPr>
              <w:t>diagnosis</w:t>
            </w:r>
            <w:r>
              <w:rPr>
                <w:rFonts w:ascii="Arial" w:eastAsia="Arial" w:hAnsi="Arial" w:cs="Arial"/>
              </w:rPr>
              <w:t>.</w:t>
            </w:r>
          </w:p>
        </w:tc>
        <w:tc>
          <w:tcPr>
            <w:tcW w:w="1012" w:type="dxa"/>
          </w:tcPr>
          <w:p w14:paraId="6FC80CD6" w14:textId="77777777" w:rsidR="00DB09AE" w:rsidRDefault="00000000" w:rsidP="003E3922">
            <w:pPr>
              <w:spacing w:after="160" w:line="360" w:lineRule="auto"/>
              <w:jc w:val="both"/>
              <w:rPr>
                <w:rFonts w:ascii="Arial" w:eastAsia="Arial" w:hAnsi="Arial" w:cs="Arial"/>
              </w:rPr>
            </w:pPr>
            <w:r>
              <w:rPr>
                <w:rFonts w:ascii="Arial" w:eastAsia="Arial" w:hAnsi="Arial" w:cs="Arial"/>
              </w:rPr>
              <w:lastRenderedPageBreak/>
              <w:t xml:space="preserve">Diagnostic delay; symptom appraisal; help-seeking; referral pathways; treatment </w:t>
            </w:r>
            <w:r>
              <w:rPr>
                <w:rFonts w:ascii="Arial" w:eastAsia="Arial" w:hAnsi="Arial" w:cs="Arial"/>
              </w:rPr>
              <w:lastRenderedPageBreak/>
              <w:t>pathways</w:t>
            </w:r>
          </w:p>
        </w:tc>
        <w:tc>
          <w:tcPr>
            <w:tcW w:w="1063" w:type="dxa"/>
          </w:tcPr>
          <w:p w14:paraId="68A16494" w14:textId="77777777" w:rsidR="00DB09AE" w:rsidRDefault="00000000" w:rsidP="003E3922">
            <w:pPr>
              <w:spacing w:after="160" w:line="360" w:lineRule="auto"/>
              <w:jc w:val="both"/>
              <w:rPr>
                <w:rFonts w:ascii="Arial" w:eastAsia="Arial" w:hAnsi="Arial" w:cs="Arial"/>
              </w:rPr>
            </w:pPr>
            <w:r>
              <w:rPr>
                <w:rFonts w:ascii="Arial" w:eastAsia="Arial" w:hAnsi="Arial" w:cs="Arial"/>
              </w:rPr>
              <w:lastRenderedPageBreak/>
              <w:t xml:space="preserve">Provides the main theoretical framework underpinning this dissertation. Supports Theme </w:t>
            </w:r>
            <w:r>
              <w:rPr>
                <w:rFonts w:ascii="Arial" w:eastAsia="Arial" w:hAnsi="Arial" w:cs="Arial"/>
              </w:rPr>
              <w:lastRenderedPageBreak/>
              <w:t xml:space="preserve">2: Pathways and Barriers to </w:t>
            </w:r>
            <w:r w:rsidRPr="00EF5566">
              <w:rPr>
                <w:rFonts w:ascii="Arial" w:eastAsia="Arial" w:hAnsi="Arial" w:cs="Arial"/>
                <w:highlight w:val="yellow"/>
              </w:rPr>
              <w:t>Diagnosis.</w:t>
            </w:r>
          </w:p>
        </w:tc>
      </w:tr>
      <w:tr w:rsidR="00DB09AE" w14:paraId="59D1A62B" w14:textId="77777777">
        <w:tc>
          <w:tcPr>
            <w:tcW w:w="779" w:type="dxa"/>
          </w:tcPr>
          <w:p w14:paraId="13F1954B" w14:textId="77777777" w:rsidR="00DB09AE" w:rsidRDefault="00000000" w:rsidP="003E3922">
            <w:pPr>
              <w:spacing w:after="160" w:line="360" w:lineRule="auto"/>
              <w:jc w:val="both"/>
              <w:rPr>
                <w:rFonts w:ascii="Arial" w:eastAsia="Arial" w:hAnsi="Arial" w:cs="Arial"/>
                <w:b/>
                <w:bCs/>
              </w:rPr>
            </w:pPr>
            <w:r>
              <w:rPr>
                <w:rFonts w:ascii="Arial" w:eastAsia="Arial" w:hAnsi="Arial" w:cs="Arial"/>
                <w:b/>
                <w:bCs/>
              </w:rPr>
              <w:lastRenderedPageBreak/>
              <w:t>Neal et al. (2015)</w:t>
            </w:r>
          </w:p>
        </w:tc>
        <w:tc>
          <w:tcPr>
            <w:tcW w:w="975" w:type="dxa"/>
          </w:tcPr>
          <w:p w14:paraId="35F91BC3" w14:textId="77777777" w:rsidR="00DB09AE" w:rsidRDefault="00000000" w:rsidP="003E3922">
            <w:pPr>
              <w:spacing w:after="160" w:line="360" w:lineRule="auto"/>
              <w:jc w:val="both"/>
              <w:rPr>
                <w:rFonts w:ascii="Arial" w:eastAsia="Arial" w:hAnsi="Arial" w:cs="Arial"/>
              </w:rPr>
            </w:pPr>
            <w:r>
              <w:rPr>
                <w:rFonts w:ascii="Arial" w:eastAsia="Arial" w:hAnsi="Arial" w:cs="Arial"/>
                <w:i/>
                <w:iCs/>
              </w:rPr>
              <w:t>Is Increased Time to Diagnosis and Treatment in Symptomatic Cancer Associated with Poorer Outco</w:t>
            </w:r>
            <w:r>
              <w:rPr>
                <w:rFonts w:ascii="Arial" w:eastAsia="Arial" w:hAnsi="Arial" w:cs="Arial"/>
                <w:i/>
                <w:iCs/>
              </w:rPr>
              <w:lastRenderedPageBreak/>
              <w:t>mes? Systematic Review</w:t>
            </w:r>
          </w:p>
        </w:tc>
        <w:tc>
          <w:tcPr>
            <w:tcW w:w="1567" w:type="dxa"/>
          </w:tcPr>
          <w:p w14:paraId="30AAE68D" w14:textId="77777777" w:rsidR="00DB09AE" w:rsidRDefault="00000000" w:rsidP="003E3922">
            <w:pPr>
              <w:spacing w:after="160" w:line="360" w:lineRule="auto"/>
              <w:jc w:val="both"/>
              <w:rPr>
                <w:rFonts w:ascii="Arial" w:eastAsia="Arial" w:hAnsi="Arial" w:cs="Arial"/>
              </w:rPr>
            </w:pPr>
            <w:r>
              <w:rPr>
                <w:rFonts w:ascii="Arial" w:eastAsia="Arial" w:hAnsi="Arial" w:cs="Arial"/>
              </w:rPr>
              <w:lastRenderedPageBreak/>
              <w:t>Systematic Review</w:t>
            </w:r>
          </w:p>
        </w:tc>
        <w:tc>
          <w:tcPr>
            <w:tcW w:w="1070" w:type="dxa"/>
          </w:tcPr>
          <w:p w14:paraId="275B797A" w14:textId="77777777" w:rsidR="00DB09AE" w:rsidRDefault="00000000" w:rsidP="003E3922">
            <w:pPr>
              <w:spacing w:after="160" w:line="360" w:lineRule="auto"/>
              <w:jc w:val="both"/>
              <w:rPr>
                <w:rFonts w:ascii="Arial" w:eastAsia="Arial" w:hAnsi="Arial" w:cs="Arial"/>
              </w:rPr>
            </w:pPr>
            <w:r>
              <w:rPr>
                <w:rFonts w:ascii="Arial" w:eastAsia="Arial" w:hAnsi="Arial" w:cs="Arial"/>
              </w:rPr>
              <w:t xml:space="preserve">Systematic review synthesising evidence from multiple studies examining relationships between diagnostic delay </w:t>
            </w:r>
            <w:r>
              <w:rPr>
                <w:rFonts w:ascii="Arial" w:eastAsia="Arial" w:hAnsi="Arial" w:cs="Arial"/>
              </w:rPr>
              <w:lastRenderedPageBreak/>
              <w:t>and cancer outcomes.</w:t>
            </w:r>
          </w:p>
        </w:tc>
        <w:tc>
          <w:tcPr>
            <w:tcW w:w="1136" w:type="dxa"/>
          </w:tcPr>
          <w:p w14:paraId="7B501761" w14:textId="77777777" w:rsidR="00DB09AE" w:rsidRDefault="00000000" w:rsidP="003E3922">
            <w:pPr>
              <w:spacing w:after="160" w:line="360" w:lineRule="auto"/>
              <w:jc w:val="both"/>
              <w:rPr>
                <w:rFonts w:ascii="Arial" w:eastAsia="Arial" w:hAnsi="Arial" w:cs="Arial"/>
              </w:rPr>
            </w:pPr>
            <w:r>
              <w:rPr>
                <w:rFonts w:ascii="Arial" w:eastAsia="Arial" w:hAnsi="Arial" w:cs="Arial"/>
              </w:rPr>
              <w:lastRenderedPageBreak/>
              <w:t>Strength: High level of evidence. Limitation: Heterogeneity between included studies.</w:t>
            </w:r>
          </w:p>
        </w:tc>
        <w:tc>
          <w:tcPr>
            <w:tcW w:w="1414" w:type="dxa"/>
          </w:tcPr>
          <w:p w14:paraId="4A9DF12E" w14:textId="77777777" w:rsidR="00DB09AE" w:rsidRDefault="00000000" w:rsidP="003E3922">
            <w:pPr>
              <w:spacing w:after="160" w:line="360" w:lineRule="auto"/>
              <w:jc w:val="both"/>
              <w:rPr>
                <w:rFonts w:ascii="Arial" w:eastAsia="Arial" w:hAnsi="Arial" w:cs="Arial"/>
              </w:rPr>
            </w:pPr>
            <w:r>
              <w:rPr>
                <w:rFonts w:ascii="Arial" w:eastAsia="Arial" w:hAnsi="Arial" w:cs="Arial"/>
              </w:rPr>
              <w:t xml:space="preserve">Longer diagnostic and treatment delays are frequently associated with poorer survival outcomes and more advanced disease at </w:t>
            </w:r>
            <w:r w:rsidRPr="00EF5566">
              <w:rPr>
                <w:rFonts w:ascii="Arial" w:eastAsia="Arial" w:hAnsi="Arial" w:cs="Arial"/>
                <w:highlight w:val="yellow"/>
              </w:rPr>
              <w:t>diagnosis.</w:t>
            </w:r>
          </w:p>
        </w:tc>
        <w:tc>
          <w:tcPr>
            <w:tcW w:w="1012" w:type="dxa"/>
          </w:tcPr>
          <w:p w14:paraId="283A3ED0" w14:textId="77777777" w:rsidR="00DB09AE" w:rsidRDefault="00000000" w:rsidP="003E3922">
            <w:pPr>
              <w:spacing w:after="160" w:line="360" w:lineRule="auto"/>
              <w:jc w:val="both"/>
              <w:rPr>
                <w:rFonts w:ascii="Arial" w:eastAsia="Arial" w:hAnsi="Arial" w:cs="Arial"/>
              </w:rPr>
            </w:pPr>
            <w:r>
              <w:rPr>
                <w:rFonts w:ascii="Arial" w:eastAsia="Arial" w:hAnsi="Arial" w:cs="Arial"/>
              </w:rPr>
              <w:t>Diagnostic delay; survival; cancer outcomes; treatment delay; mortality</w:t>
            </w:r>
          </w:p>
        </w:tc>
        <w:tc>
          <w:tcPr>
            <w:tcW w:w="1063" w:type="dxa"/>
          </w:tcPr>
          <w:p w14:paraId="5D8887E1" w14:textId="77777777" w:rsidR="00DB09AE" w:rsidRDefault="00000000" w:rsidP="003E3922">
            <w:pPr>
              <w:spacing w:after="160" w:line="360" w:lineRule="auto"/>
              <w:jc w:val="both"/>
              <w:rPr>
                <w:rFonts w:ascii="Arial" w:eastAsia="Arial" w:hAnsi="Arial" w:cs="Arial"/>
              </w:rPr>
            </w:pPr>
            <w:r>
              <w:rPr>
                <w:rFonts w:ascii="Arial" w:eastAsia="Arial" w:hAnsi="Arial" w:cs="Arial"/>
              </w:rPr>
              <w:t xml:space="preserve">Provides strong evidence regarding consequences of delayed diagnosis. Supports Theme 4: Impact of </w:t>
            </w:r>
            <w:r>
              <w:rPr>
                <w:rFonts w:ascii="Arial" w:eastAsia="Arial" w:hAnsi="Arial" w:cs="Arial"/>
              </w:rPr>
              <w:lastRenderedPageBreak/>
              <w:t>Diagnostic Delay.</w:t>
            </w:r>
          </w:p>
        </w:tc>
      </w:tr>
      <w:tr w:rsidR="00DB09AE" w14:paraId="1052BD2B" w14:textId="77777777">
        <w:tc>
          <w:tcPr>
            <w:tcW w:w="779" w:type="dxa"/>
          </w:tcPr>
          <w:p w14:paraId="5AE09AE2" w14:textId="77777777" w:rsidR="00DB09AE" w:rsidRDefault="00000000" w:rsidP="003E3922">
            <w:pPr>
              <w:spacing w:after="160" w:line="360" w:lineRule="auto"/>
              <w:jc w:val="both"/>
              <w:rPr>
                <w:rFonts w:ascii="Arial" w:eastAsia="Arial" w:hAnsi="Arial" w:cs="Arial"/>
                <w:b/>
                <w:bCs/>
              </w:rPr>
            </w:pPr>
            <w:r>
              <w:rPr>
                <w:rFonts w:ascii="Arial" w:eastAsia="Arial" w:hAnsi="Arial" w:cs="Arial"/>
                <w:b/>
                <w:bCs/>
              </w:rPr>
              <w:lastRenderedPageBreak/>
              <w:t>Dodd et al. (2023)</w:t>
            </w:r>
          </w:p>
        </w:tc>
        <w:tc>
          <w:tcPr>
            <w:tcW w:w="975" w:type="dxa"/>
          </w:tcPr>
          <w:p w14:paraId="75A2B314" w14:textId="77777777" w:rsidR="00DB09AE" w:rsidRDefault="00000000" w:rsidP="003E3922">
            <w:pPr>
              <w:spacing w:after="160" w:line="360" w:lineRule="auto"/>
              <w:jc w:val="both"/>
              <w:rPr>
                <w:rFonts w:ascii="Arial" w:eastAsia="Arial" w:hAnsi="Arial" w:cs="Arial"/>
              </w:rPr>
            </w:pPr>
            <w:r>
              <w:rPr>
                <w:rFonts w:ascii="Arial" w:eastAsia="Arial" w:hAnsi="Arial" w:cs="Arial"/>
                <w:i/>
                <w:iCs/>
              </w:rPr>
              <w:t>Mind the Gap: Dermatology and Diverse Skin Tones</w:t>
            </w:r>
          </w:p>
        </w:tc>
        <w:tc>
          <w:tcPr>
            <w:tcW w:w="1567" w:type="dxa"/>
          </w:tcPr>
          <w:p w14:paraId="7DBD0471" w14:textId="77777777" w:rsidR="00DB09AE" w:rsidRDefault="00000000" w:rsidP="003E3922">
            <w:pPr>
              <w:spacing w:after="160" w:line="360" w:lineRule="auto"/>
              <w:jc w:val="both"/>
              <w:rPr>
                <w:rFonts w:ascii="Arial" w:eastAsia="Arial" w:hAnsi="Arial" w:cs="Arial"/>
              </w:rPr>
            </w:pPr>
            <w:r>
              <w:rPr>
                <w:rFonts w:ascii="Arial" w:eastAsia="Arial" w:hAnsi="Arial" w:cs="Arial"/>
              </w:rPr>
              <w:t>Review Article</w:t>
            </w:r>
          </w:p>
        </w:tc>
        <w:tc>
          <w:tcPr>
            <w:tcW w:w="1070" w:type="dxa"/>
          </w:tcPr>
          <w:p w14:paraId="57605EC2" w14:textId="77777777" w:rsidR="00DB09AE" w:rsidRDefault="00000000" w:rsidP="003E3922">
            <w:pPr>
              <w:spacing w:after="160" w:line="360" w:lineRule="auto"/>
              <w:jc w:val="both"/>
              <w:rPr>
                <w:rFonts w:ascii="Arial" w:eastAsia="Arial" w:hAnsi="Arial" w:cs="Arial"/>
              </w:rPr>
            </w:pPr>
            <w:r>
              <w:rPr>
                <w:rFonts w:ascii="Arial" w:eastAsia="Arial" w:hAnsi="Arial" w:cs="Arial"/>
              </w:rPr>
              <w:t xml:space="preserve">Review of evidence concerning dermatological </w:t>
            </w:r>
            <w:r w:rsidRPr="00281DAD">
              <w:rPr>
                <w:rFonts w:ascii="Arial" w:eastAsia="Arial" w:hAnsi="Arial" w:cs="Arial"/>
                <w:highlight w:val="yellow"/>
              </w:rPr>
              <w:t>diagnosis</w:t>
            </w:r>
            <w:r>
              <w:rPr>
                <w:rFonts w:ascii="Arial" w:eastAsia="Arial" w:hAnsi="Arial" w:cs="Arial"/>
              </w:rPr>
              <w:t xml:space="preserve"> across different skin tones and representation in medical </w:t>
            </w:r>
            <w:r>
              <w:rPr>
                <w:rFonts w:ascii="Arial" w:eastAsia="Arial" w:hAnsi="Arial" w:cs="Arial"/>
              </w:rPr>
              <w:lastRenderedPageBreak/>
              <w:t>education.</w:t>
            </w:r>
          </w:p>
        </w:tc>
        <w:tc>
          <w:tcPr>
            <w:tcW w:w="1136" w:type="dxa"/>
          </w:tcPr>
          <w:p w14:paraId="27200E1F" w14:textId="77777777" w:rsidR="00DB09AE" w:rsidRDefault="00000000" w:rsidP="003E3922">
            <w:pPr>
              <w:spacing w:after="160" w:line="360" w:lineRule="auto"/>
              <w:jc w:val="both"/>
              <w:rPr>
                <w:rFonts w:ascii="Arial" w:eastAsia="Arial" w:hAnsi="Arial" w:cs="Arial"/>
              </w:rPr>
            </w:pPr>
            <w:r>
              <w:rPr>
                <w:rFonts w:ascii="Arial" w:eastAsia="Arial" w:hAnsi="Arial" w:cs="Arial"/>
              </w:rPr>
              <w:lastRenderedPageBreak/>
              <w:t xml:space="preserve">Strength: Current and directly relevant to healthcare inequalities. Limitation: Focuses primarily on dermatology rather than </w:t>
            </w:r>
            <w:r>
              <w:rPr>
                <w:rFonts w:ascii="Arial" w:eastAsia="Arial" w:hAnsi="Arial" w:cs="Arial"/>
              </w:rPr>
              <w:lastRenderedPageBreak/>
              <w:t>cancer specifically.</w:t>
            </w:r>
          </w:p>
        </w:tc>
        <w:tc>
          <w:tcPr>
            <w:tcW w:w="1414" w:type="dxa"/>
          </w:tcPr>
          <w:p w14:paraId="13CA8658" w14:textId="77777777" w:rsidR="00DB09AE" w:rsidRDefault="00000000" w:rsidP="003E3922">
            <w:pPr>
              <w:spacing w:after="160" w:line="360" w:lineRule="auto"/>
              <w:jc w:val="both"/>
              <w:rPr>
                <w:rFonts w:ascii="Arial" w:eastAsia="Arial" w:hAnsi="Arial" w:cs="Arial"/>
              </w:rPr>
            </w:pPr>
            <w:r>
              <w:rPr>
                <w:rFonts w:ascii="Arial" w:eastAsia="Arial" w:hAnsi="Arial" w:cs="Arial"/>
              </w:rPr>
              <w:lastRenderedPageBreak/>
              <w:t>Underrepresentation of darker skin tones in clinical education can contribute to diagnostic inaccuracies and delayed recognition of disease.</w:t>
            </w:r>
          </w:p>
        </w:tc>
        <w:tc>
          <w:tcPr>
            <w:tcW w:w="1012" w:type="dxa"/>
          </w:tcPr>
          <w:p w14:paraId="5B909198" w14:textId="77777777" w:rsidR="00DB09AE" w:rsidRDefault="00000000" w:rsidP="003E3922">
            <w:pPr>
              <w:spacing w:after="160" w:line="360" w:lineRule="auto"/>
              <w:jc w:val="both"/>
              <w:rPr>
                <w:rFonts w:ascii="Arial" w:eastAsia="Arial" w:hAnsi="Arial" w:cs="Arial"/>
              </w:rPr>
            </w:pPr>
            <w:r>
              <w:rPr>
                <w:rFonts w:ascii="Arial" w:eastAsia="Arial" w:hAnsi="Arial" w:cs="Arial"/>
              </w:rPr>
              <w:t>Skin tone; ethnicity; healthcare inequalities; diagnostic bias; clinical education</w:t>
            </w:r>
          </w:p>
        </w:tc>
        <w:tc>
          <w:tcPr>
            <w:tcW w:w="1063" w:type="dxa"/>
          </w:tcPr>
          <w:p w14:paraId="542E53D4" w14:textId="77777777" w:rsidR="00DB09AE" w:rsidRDefault="00000000" w:rsidP="003E3922">
            <w:pPr>
              <w:spacing w:after="160" w:line="360" w:lineRule="auto"/>
              <w:jc w:val="both"/>
              <w:rPr>
                <w:rFonts w:ascii="Arial" w:eastAsia="Arial" w:hAnsi="Arial" w:cs="Arial"/>
              </w:rPr>
            </w:pPr>
            <w:r>
              <w:rPr>
                <w:rFonts w:ascii="Arial" w:eastAsia="Arial" w:hAnsi="Arial" w:cs="Arial"/>
              </w:rPr>
              <w:t>Highly relevant to the experiences of women of colour and recognition of atypical symptoms. Supports Theme 3: Ethnicity and Diagnos</w:t>
            </w:r>
            <w:r>
              <w:rPr>
                <w:rFonts w:ascii="Arial" w:eastAsia="Arial" w:hAnsi="Arial" w:cs="Arial"/>
              </w:rPr>
              <w:lastRenderedPageBreak/>
              <w:t>tic Inequalities.</w:t>
            </w:r>
          </w:p>
        </w:tc>
      </w:tr>
      <w:tr w:rsidR="00DB09AE" w14:paraId="3AABF1DE" w14:textId="77777777" w:rsidTr="00421EB0">
        <w:trPr>
          <w:trHeight w:val="6686"/>
        </w:trPr>
        <w:tc>
          <w:tcPr>
            <w:tcW w:w="779" w:type="dxa"/>
          </w:tcPr>
          <w:p w14:paraId="512FC33B" w14:textId="77777777" w:rsidR="00DB09AE" w:rsidRDefault="00000000" w:rsidP="003E3922">
            <w:pPr>
              <w:spacing w:after="160" w:line="360" w:lineRule="auto"/>
              <w:jc w:val="both"/>
              <w:rPr>
                <w:rFonts w:ascii="Arial" w:eastAsia="Arial" w:hAnsi="Arial" w:cs="Arial"/>
                <w:b/>
                <w:bCs/>
              </w:rPr>
            </w:pPr>
            <w:r>
              <w:rPr>
                <w:rFonts w:ascii="Arial" w:eastAsia="Arial" w:hAnsi="Arial" w:cs="Arial"/>
                <w:b/>
                <w:bCs/>
              </w:rPr>
              <w:lastRenderedPageBreak/>
              <w:t>DeSantis et al. (2019)</w:t>
            </w:r>
          </w:p>
        </w:tc>
        <w:tc>
          <w:tcPr>
            <w:tcW w:w="975" w:type="dxa"/>
          </w:tcPr>
          <w:p w14:paraId="30619982" w14:textId="77777777" w:rsidR="00DB09AE" w:rsidRDefault="00000000" w:rsidP="003E3922">
            <w:pPr>
              <w:spacing w:after="160" w:line="360" w:lineRule="auto"/>
              <w:jc w:val="both"/>
              <w:rPr>
                <w:rFonts w:ascii="Arial" w:eastAsia="Arial" w:hAnsi="Arial" w:cs="Arial"/>
              </w:rPr>
            </w:pPr>
            <w:r>
              <w:rPr>
                <w:rFonts w:ascii="Arial" w:eastAsia="Arial" w:hAnsi="Arial" w:cs="Arial"/>
                <w:i/>
                <w:iCs/>
              </w:rPr>
              <w:t>Breast Cancer Statistics, 2019</w:t>
            </w:r>
          </w:p>
        </w:tc>
        <w:tc>
          <w:tcPr>
            <w:tcW w:w="1567" w:type="dxa"/>
          </w:tcPr>
          <w:p w14:paraId="2B4AD95C" w14:textId="77777777" w:rsidR="00DB09AE" w:rsidRDefault="00000000" w:rsidP="003E3922">
            <w:pPr>
              <w:spacing w:after="160" w:line="360" w:lineRule="auto"/>
              <w:jc w:val="both"/>
              <w:rPr>
                <w:rFonts w:ascii="Arial" w:eastAsia="Arial" w:hAnsi="Arial" w:cs="Arial"/>
              </w:rPr>
            </w:pPr>
            <w:r>
              <w:rPr>
                <w:rFonts w:ascii="Arial" w:eastAsia="Arial" w:hAnsi="Arial" w:cs="Arial"/>
              </w:rPr>
              <w:t>Epidemiological Review</w:t>
            </w:r>
          </w:p>
        </w:tc>
        <w:tc>
          <w:tcPr>
            <w:tcW w:w="1070" w:type="dxa"/>
          </w:tcPr>
          <w:p w14:paraId="71815CAF" w14:textId="77777777" w:rsidR="00DB09AE" w:rsidRDefault="00000000" w:rsidP="003E3922">
            <w:pPr>
              <w:spacing w:after="160" w:line="360" w:lineRule="auto"/>
              <w:jc w:val="both"/>
              <w:rPr>
                <w:rFonts w:ascii="Arial" w:eastAsia="Arial" w:hAnsi="Arial" w:cs="Arial"/>
              </w:rPr>
            </w:pPr>
            <w:r>
              <w:rPr>
                <w:rFonts w:ascii="Arial" w:eastAsia="Arial" w:hAnsi="Arial" w:cs="Arial"/>
              </w:rPr>
              <w:t>Analysis of national breast cancer incidence, mortality and disparity data.</w:t>
            </w:r>
          </w:p>
        </w:tc>
        <w:tc>
          <w:tcPr>
            <w:tcW w:w="1136" w:type="dxa"/>
          </w:tcPr>
          <w:p w14:paraId="0ACDA39B" w14:textId="77777777" w:rsidR="00DB09AE" w:rsidRDefault="00000000" w:rsidP="003E3922">
            <w:pPr>
              <w:spacing w:after="160" w:line="360" w:lineRule="auto"/>
              <w:jc w:val="both"/>
              <w:rPr>
                <w:rFonts w:ascii="Arial" w:eastAsia="Arial" w:hAnsi="Arial" w:cs="Arial"/>
              </w:rPr>
            </w:pPr>
            <w:r>
              <w:rPr>
                <w:rFonts w:ascii="Arial" w:eastAsia="Arial" w:hAnsi="Arial" w:cs="Arial"/>
              </w:rPr>
              <w:t>Strength: Large-scale population data and robust epidemiological evidence. Limitation: Primarily focused on the United States.</w:t>
            </w:r>
          </w:p>
        </w:tc>
        <w:tc>
          <w:tcPr>
            <w:tcW w:w="1414" w:type="dxa"/>
          </w:tcPr>
          <w:p w14:paraId="0E0A38DE" w14:textId="77777777" w:rsidR="00DB09AE" w:rsidRDefault="00000000" w:rsidP="003E3922">
            <w:pPr>
              <w:spacing w:after="160" w:line="360" w:lineRule="auto"/>
              <w:jc w:val="both"/>
              <w:rPr>
                <w:rFonts w:ascii="Arial" w:eastAsia="Arial" w:hAnsi="Arial" w:cs="Arial"/>
              </w:rPr>
            </w:pPr>
            <w:r>
              <w:rPr>
                <w:rFonts w:ascii="Arial" w:eastAsia="Arial" w:hAnsi="Arial" w:cs="Arial"/>
              </w:rPr>
              <w:t>Significant disparities exist in breast cancer incidence, mortality and outcomes among ethnic minority and underserved populations.</w:t>
            </w:r>
          </w:p>
        </w:tc>
        <w:tc>
          <w:tcPr>
            <w:tcW w:w="1012" w:type="dxa"/>
          </w:tcPr>
          <w:p w14:paraId="39346208" w14:textId="77777777" w:rsidR="00DB09AE" w:rsidRDefault="00000000" w:rsidP="003E3922">
            <w:pPr>
              <w:spacing w:after="160" w:line="360" w:lineRule="auto"/>
              <w:jc w:val="both"/>
              <w:rPr>
                <w:rFonts w:ascii="Arial" w:eastAsia="Arial" w:hAnsi="Arial" w:cs="Arial"/>
              </w:rPr>
            </w:pPr>
            <w:r>
              <w:rPr>
                <w:rFonts w:ascii="Arial" w:eastAsia="Arial" w:hAnsi="Arial" w:cs="Arial"/>
              </w:rPr>
              <w:t>Breast cancer; ethnicity; health disparities; cancer outcomes; inequalities</w:t>
            </w:r>
          </w:p>
        </w:tc>
        <w:tc>
          <w:tcPr>
            <w:tcW w:w="1063" w:type="dxa"/>
          </w:tcPr>
          <w:p w14:paraId="29A1AE64" w14:textId="77777777" w:rsidR="00DB09AE" w:rsidRDefault="00000000" w:rsidP="003E3922">
            <w:pPr>
              <w:spacing w:after="160" w:line="360" w:lineRule="auto"/>
              <w:jc w:val="both"/>
              <w:rPr>
                <w:rFonts w:ascii="Arial" w:eastAsia="Arial" w:hAnsi="Arial" w:cs="Arial"/>
              </w:rPr>
            </w:pPr>
            <w:r>
              <w:rPr>
                <w:rFonts w:ascii="Arial" w:eastAsia="Arial" w:hAnsi="Arial" w:cs="Arial"/>
              </w:rPr>
              <w:t>Supports discussion of ethnic inequalities and broader cancer disparities. Supports Theme 3 and Theme 4.</w:t>
            </w:r>
          </w:p>
        </w:tc>
      </w:tr>
    </w:tbl>
    <w:p w14:paraId="716AACAF" w14:textId="77777777" w:rsidR="00DB09AE" w:rsidRDefault="00DB09AE" w:rsidP="003E3922">
      <w:pPr>
        <w:spacing w:line="360" w:lineRule="auto"/>
        <w:jc w:val="both"/>
        <w:rPr>
          <w:rFonts w:ascii="Arial" w:eastAsia="Arial" w:hAnsi="Arial" w:cs="Arial"/>
        </w:rPr>
      </w:pPr>
    </w:p>
    <w:p w14:paraId="78425EF3" w14:textId="77777777" w:rsidR="00D3461B" w:rsidRDefault="00D3461B" w:rsidP="003E3922">
      <w:pPr>
        <w:spacing w:line="360" w:lineRule="auto"/>
        <w:jc w:val="both"/>
        <w:rPr>
          <w:rFonts w:ascii="Arial" w:eastAsia="Arial" w:hAnsi="Arial" w:cs="Arial"/>
        </w:rPr>
        <w:sectPr w:rsidR="00D3461B" w:rsidSect="00D3461B">
          <w:pgSz w:w="16838" w:h="11906" w:orient="landscape"/>
          <w:pgMar w:top="1440" w:right="1440" w:bottom="1440" w:left="1440" w:header="720" w:footer="720" w:gutter="0"/>
          <w:pgNumType w:start="1"/>
          <w:cols w:space="720"/>
        </w:sectPr>
      </w:pPr>
    </w:p>
    <w:p w14:paraId="2AD52E41" w14:textId="16517DD0" w:rsidR="007E6CA1" w:rsidRPr="007E6CA1" w:rsidRDefault="007E6CA1" w:rsidP="007E6CA1">
      <w:pPr>
        <w:jc w:val="center"/>
        <w:rPr>
          <w:b/>
          <w:bCs/>
        </w:rPr>
      </w:pPr>
      <w:r w:rsidRPr="007E6CA1">
        <w:rPr>
          <w:b/>
          <w:bCs/>
        </w:rPr>
        <w:lastRenderedPageBreak/>
        <w:t>Appendix 3: Methods and Search Strategy Academic Poster</w:t>
      </w:r>
    </w:p>
    <w:p w14:paraId="30B790A4" w14:textId="77777777" w:rsidR="007E6CA1" w:rsidRDefault="007E6CA1" w:rsidP="003E3922">
      <w:pPr>
        <w:spacing w:line="360" w:lineRule="auto"/>
        <w:jc w:val="both"/>
        <w:rPr>
          <w:b/>
          <w:bCs/>
        </w:rPr>
      </w:pPr>
    </w:p>
    <w:tbl>
      <w:tblPr>
        <w:tblStyle w:val="TableGrid"/>
        <w:tblW w:w="14616" w:type="dxa"/>
        <w:shd w:val="clear" w:color="auto" w:fill="E5DFEC" w:themeFill="accent4" w:themeFillTint="33"/>
        <w:tblLayout w:type="fixed"/>
        <w:tblLook w:val="04A0" w:firstRow="1" w:lastRow="0" w:firstColumn="1" w:lastColumn="0" w:noHBand="0" w:noVBand="1"/>
      </w:tblPr>
      <w:tblGrid>
        <w:gridCol w:w="7105"/>
        <w:gridCol w:w="7511"/>
      </w:tblGrid>
      <w:tr w:rsidR="007E6CA1" w:rsidRPr="009960FF" w14:paraId="4356BAD7" w14:textId="77777777" w:rsidTr="00D61E9B">
        <w:trPr>
          <w:trHeight w:val="597"/>
        </w:trPr>
        <w:tc>
          <w:tcPr>
            <w:tcW w:w="14616" w:type="dxa"/>
            <w:gridSpan w:val="2"/>
            <w:shd w:val="clear" w:color="auto" w:fill="E5DFEC" w:themeFill="accent4" w:themeFillTint="33"/>
            <w:vAlign w:val="center"/>
          </w:tcPr>
          <w:p w14:paraId="019B7150" w14:textId="0814DBAD" w:rsidR="007E6CA1" w:rsidRPr="009960FF" w:rsidRDefault="007E6CA1" w:rsidP="00D61E9B">
            <w:pPr>
              <w:jc w:val="center"/>
              <w:rPr>
                <w:rFonts w:ascii="Aptos" w:hAnsi="Aptos"/>
                <w:b/>
                <w:bCs/>
                <w:lang w:val="en-GB"/>
              </w:rPr>
            </w:pPr>
            <w:r>
              <w:rPr>
                <w:rFonts w:ascii="Arial" w:eastAsia="Arial" w:hAnsi="Arial" w:cs="Arial"/>
              </w:rPr>
              <w:tab/>
            </w:r>
            <w:r w:rsidRPr="009960FF">
              <w:rPr>
                <w:rFonts w:ascii="Aptos" w:hAnsi="Aptos"/>
                <w:b/>
                <w:bCs/>
                <w:sz w:val="36"/>
                <w:szCs w:val="36"/>
                <w:lang w:val="en-GB"/>
              </w:rPr>
              <w:t>Early Detection Challenges in Women of Colour: Awareness and Diagnosis of Paget’s Disease of the Breast</w:t>
            </w:r>
          </w:p>
        </w:tc>
      </w:tr>
      <w:tr w:rsidR="007E6CA1" w:rsidRPr="009960FF" w14:paraId="151F6736" w14:textId="77777777" w:rsidTr="00D61E9B">
        <w:trPr>
          <w:trHeight w:val="1856"/>
        </w:trPr>
        <w:tc>
          <w:tcPr>
            <w:tcW w:w="7105" w:type="dxa"/>
            <w:shd w:val="clear" w:color="auto" w:fill="E5DFEC" w:themeFill="accent4" w:themeFillTint="33"/>
          </w:tcPr>
          <w:p w14:paraId="714AAD75" w14:textId="77777777" w:rsidR="007E6CA1" w:rsidRPr="009960FF" w:rsidRDefault="007E6CA1" w:rsidP="00D61E9B">
            <w:pPr>
              <w:rPr>
                <w:rFonts w:ascii="Aptos" w:hAnsi="Aptos"/>
                <w:b/>
                <w:bCs/>
                <w:lang w:val="en-GB"/>
              </w:rPr>
            </w:pPr>
            <w:r w:rsidRPr="009960FF">
              <w:rPr>
                <w:rFonts w:ascii="Aptos" w:hAnsi="Aptos"/>
                <w:b/>
                <w:bCs/>
                <w:sz w:val="40"/>
                <w:szCs w:val="40"/>
                <w:lang w:val="en-GB"/>
              </w:rPr>
              <w:t>01</w:t>
            </w:r>
            <w:r w:rsidRPr="009960FF">
              <w:rPr>
                <w:rFonts w:ascii="Aptos" w:hAnsi="Aptos"/>
                <w:lang w:val="en-GB"/>
              </w:rPr>
              <w:t xml:space="preserve">  </w:t>
            </w:r>
            <w:r w:rsidRPr="009960FF">
              <w:rPr>
                <w:rFonts w:ascii="Aptos" w:hAnsi="Aptos"/>
                <w:b/>
                <w:bCs/>
                <w:lang w:val="en-GB"/>
              </w:rPr>
              <w:t xml:space="preserve">Introduction and Research Aim </w:t>
            </w:r>
          </w:p>
          <w:p w14:paraId="58ED67A0" w14:textId="77777777" w:rsidR="007E6CA1" w:rsidRPr="00320C9C" w:rsidRDefault="007E6CA1" w:rsidP="00D61E9B">
            <w:pPr>
              <w:jc w:val="both"/>
              <w:rPr>
                <w:rFonts w:ascii="Arial" w:hAnsi="Arial" w:cs="Arial"/>
                <w:sz w:val="20"/>
                <w:szCs w:val="20"/>
                <w:lang w:val="en-GB"/>
              </w:rPr>
            </w:pPr>
            <w:r w:rsidRPr="00320C9C">
              <w:rPr>
                <w:rFonts w:ascii="Arial" w:hAnsi="Arial" w:cs="Arial"/>
                <w:sz w:val="20"/>
                <w:szCs w:val="20"/>
                <w:lang w:val="en-GB"/>
              </w:rPr>
              <w:t xml:space="preserve">According to Khan et al., (2023) the methodology chapter explains the systematic process applied in locating, gathering, evaluating and analysing the research data. Such a process not only demonstrates how the research was conducted, but also justified the methods to uphold reliability and validity. The poster summarizes the methodological approach applied in the study, with a focus on the search strategy, data selection process, validation of research and ethical considerations. </w:t>
            </w:r>
          </w:p>
          <w:p w14:paraId="26AD445C" w14:textId="77777777" w:rsidR="007E6CA1" w:rsidRPr="00320C9C" w:rsidRDefault="007E6CA1" w:rsidP="00D61E9B">
            <w:pPr>
              <w:jc w:val="both"/>
              <w:rPr>
                <w:rFonts w:ascii="Arial" w:hAnsi="Arial" w:cs="Arial"/>
                <w:sz w:val="20"/>
                <w:szCs w:val="20"/>
                <w:lang w:val="en-GB"/>
              </w:rPr>
            </w:pPr>
            <w:r w:rsidRPr="00320C9C">
              <w:rPr>
                <w:rFonts w:ascii="Arial" w:hAnsi="Arial" w:cs="Arial"/>
                <w:b/>
                <w:bCs/>
                <w:sz w:val="20"/>
                <w:szCs w:val="20"/>
                <w:lang w:val="en-GB"/>
              </w:rPr>
              <w:t>Research Aim</w:t>
            </w:r>
            <w:r w:rsidRPr="00320C9C">
              <w:rPr>
                <w:rFonts w:ascii="Arial" w:hAnsi="Arial" w:cs="Arial"/>
                <w:sz w:val="20"/>
                <w:szCs w:val="20"/>
                <w:lang w:val="en-GB"/>
              </w:rPr>
              <w:t xml:space="preserve">: </w:t>
            </w:r>
          </w:p>
          <w:p w14:paraId="60245217" w14:textId="77777777" w:rsidR="007E6CA1" w:rsidRPr="00E91CA8" w:rsidRDefault="007E6CA1" w:rsidP="00D61E9B">
            <w:pPr>
              <w:jc w:val="both"/>
              <w:rPr>
                <w:rFonts w:ascii="Aptos" w:hAnsi="Aptos"/>
                <w:sz w:val="20"/>
                <w:szCs w:val="20"/>
                <w:lang w:val="en-GB"/>
              </w:rPr>
            </w:pPr>
            <w:r w:rsidRPr="00E91CA8">
              <w:rPr>
                <w:rFonts w:ascii="Arial" w:hAnsi="Arial" w:cs="Arial"/>
                <w:sz w:val="20"/>
                <w:szCs w:val="20"/>
                <w:lang w:val="en-GB"/>
              </w:rPr>
              <w:t xml:space="preserve">To critically examine the </w:t>
            </w:r>
            <w:r w:rsidRPr="00E91CA8">
              <w:rPr>
                <w:rFonts w:ascii="Arial" w:eastAsia="Arial" w:hAnsi="Arial" w:cs="Arial"/>
                <w:color w:val="000000"/>
                <w:sz w:val="20"/>
                <w:szCs w:val="20"/>
              </w:rPr>
              <w:t>to explore the factors contributing to diagnostic delays among younger women aged 18-40 in the West Midlands with a focus on healthcare inequalities, ethnicities, and the challenges associated with recognising atypical presentations of breast cancer.</w:t>
            </w:r>
          </w:p>
        </w:tc>
        <w:tc>
          <w:tcPr>
            <w:tcW w:w="7511" w:type="dxa"/>
            <w:shd w:val="clear" w:color="auto" w:fill="E5DFEC" w:themeFill="accent4" w:themeFillTint="33"/>
          </w:tcPr>
          <w:p w14:paraId="6C6E1FEF" w14:textId="77777777" w:rsidR="007E6CA1" w:rsidRPr="009960FF" w:rsidRDefault="007E6CA1" w:rsidP="00D61E9B">
            <w:pPr>
              <w:rPr>
                <w:rFonts w:ascii="Aptos" w:hAnsi="Aptos"/>
                <w:lang w:val="en-GB"/>
              </w:rPr>
            </w:pPr>
            <w:r w:rsidRPr="009960FF">
              <w:rPr>
                <w:rFonts w:ascii="Aptos" w:hAnsi="Aptos"/>
                <w:b/>
                <w:bCs/>
                <w:sz w:val="40"/>
                <w:szCs w:val="40"/>
                <w:lang w:val="en-GB"/>
              </w:rPr>
              <w:t xml:space="preserve">02 </w:t>
            </w:r>
            <w:r w:rsidRPr="009960FF">
              <w:rPr>
                <w:rFonts w:ascii="Aptos" w:hAnsi="Aptos"/>
                <w:b/>
                <w:bCs/>
                <w:lang w:val="en-GB"/>
              </w:rPr>
              <w:t>Search Strategy</w:t>
            </w:r>
            <w:r w:rsidRPr="009960FF">
              <w:rPr>
                <w:rFonts w:ascii="Aptos" w:hAnsi="Aptos"/>
                <w:lang w:val="en-GB"/>
              </w:rPr>
              <w:t xml:space="preserve"> </w:t>
            </w:r>
          </w:p>
          <w:p w14:paraId="57CBFD06" w14:textId="77777777" w:rsidR="007E6CA1" w:rsidRPr="00320C9C" w:rsidRDefault="007E6CA1" w:rsidP="00D61E9B">
            <w:pPr>
              <w:jc w:val="both"/>
              <w:rPr>
                <w:rFonts w:ascii="Arial" w:hAnsi="Arial" w:cs="Arial"/>
                <w:sz w:val="20"/>
                <w:szCs w:val="20"/>
                <w:lang w:val="en-GB"/>
              </w:rPr>
            </w:pPr>
            <w:r w:rsidRPr="00320C9C">
              <w:rPr>
                <w:rFonts w:ascii="Arial" w:hAnsi="Arial" w:cs="Arial"/>
                <w:sz w:val="20"/>
                <w:szCs w:val="20"/>
                <w:lang w:val="en-GB"/>
              </w:rPr>
              <w:t>A search strategy is an organised combination of keywords, phrases, subject headings, and limiters used to search a database (Bramer et al., 2018).For the current dissertation, a comprehensive search strategy was adopted.</w:t>
            </w:r>
          </w:p>
          <w:p w14:paraId="47B6A9EB" w14:textId="77777777" w:rsidR="007E6CA1" w:rsidRPr="00320C9C" w:rsidRDefault="007E6CA1" w:rsidP="007E6CA1">
            <w:pPr>
              <w:pStyle w:val="ListParagraph"/>
              <w:numPr>
                <w:ilvl w:val="0"/>
                <w:numId w:val="2"/>
              </w:numPr>
              <w:jc w:val="both"/>
              <w:rPr>
                <w:rFonts w:ascii="Arial" w:hAnsi="Arial" w:cs="Arial"/>
                <w:sz w:val="20"/>
                <w:szCs w:val="20"/>
                <w:lang w:val="en-GB"/>
              </w:rPr>
            </w:pPr>
            <w:r w:rsidRPr="00320C9C">
              <w:rPr>
                <w:rFonts w:ascii="Arial" w:hAnsi="Arial" w:cs="Arial"/>
                <w:sz w:val="20"/>
                <w:szCs w:val="20"/>
                <w:lang w:val="en-GB"/>
              </w:rPr>
              <w:t xml:space="preserve">Key terms included; </w:t>
            </w:r>
            <w:r w:rsidRPr="00320C9C">
              <w:rPr>
                <w:rFonts w:ascii="Arial" w:hAnsi="Arial" w:cs="Arial"/>
                <w:sz w:val="20"/>
                <w:szCs w:val="20"/>
              </w:rPr>
              <w:t>“Paget’s disease of the breast”, “breast cancer detection”, breast cancer in women of color”,</w:t>
            </w:r>
            <w:r>
              <w:rPr>
                <w:rFonts w:ascii="Arial" w:hAnsi="Arial" w:cs="Arial"/>
                <w:sz w:val="20"/>
                <w:szCs w:val="20"/>
              </w:rPr>
              <w:t xml:space="preserve"> “diagnostic delays,”</w:t>
            </w:r>
            <w:r w:rsidRPr="00320C9C">
              <w:rPr>
                <w:rFonts w:ascii="Arial" w:hAnsi="Arial" w:cs="Arial"/>
                <w:sz w:val="20"/>
                <w:szCs w:val="20"/>
              </w:rPr>
              <w:t xml:space="preserve"> “</w:t>
            </w:r>
            <w:r>
              <w:rPr>
                <w:rFonts w:ascii="Arial" w:hAnsi="Arial" w:cs="Arial"/>
                <w:sz w:val="20"/>
                <w:szCs w:val="20"/>
              </w:rPr>
              <w:t>health inequalities,” “misdiagnosis</w:t>
            </w:r>
            <w:r w:rsidRPr="00320C9C">
              <w:rPr>
                <w:rFonts w:ascii="Arial" w:hAnsi="Arial" w:cs="Arial"/>
                <w:sz w:val="20"/>
                <w:szCs w:val="20"/>
              </w:rPr>
              <w:t xml:space="preserve"> of nipple eczema</w:t>
            </w:r>
            <w:r>
              <w:rPr>
                <w:rFonts w:ascii="Arial" w:hAnsi="Arial" w:cs="Arial"/>
                <w:sz w:val="20"/>
                <w:szCs w:val="20"/>
              </w:rPr>
              <w:t>,</w:t>
            </w:r>
            <w:r w:rsidRPr="00320C9C">
              <w:rPr>
                <w:rFonts w:ascii="Arial" w:hAnsi="Arial" w:cs="Arial"/>
                <w:sz w:val="20"/>
                <w:szCs w:val="20"/>
              </w:rPr>
              <w:t>” “skin tone and medical diagnosis”</w:t>
            </w:r>
          </w:p>
          <w:p w14:paraId="45A174F0" w14:textId="77777777" w:rsidR="007E6CA1" w:rsidRPr="00320C9C" w:rsidRDefault="007E6CA1" w:rsidP="007E6CA1">
            <w:pPr>
              <w:pStyle w:val="ListParagraph"/>
              <w:numPr>
                <w:ilvl w:val="0"/>
                <w:numId w:val="2"/>
              </w:numPr>
              <w:jc w:val="both"/>
              <w:rPr>
                <w:rFonts w:ascii="Arial" w:hAnsi="Arial" w:cs="Arial"/>
                <w:sz w:val="20"/>
                <w:szCs w:val="20"/>
                <w:lang w:val="en-GB"/>
              </w:rPr>
            </w:pPr>
            <w:r w:rsidRPr="00320C9C">
              <w:rPr>
                <w:rFonts w:ascii="Arial" w:hAnsi="Arial" w:cs="Arial"/>
                <w:sz w:val="20"/>
                <w:szCs w:val="20"/>
              </w:rPr>
              <w:t>Boolean operators AND, OR, and NOT were used to refine the searches.</w:t>
            </w:r>
          </w:p>
          <w:p w14:paraId="5E0FE97C" w14:textId="77777777" w:rsidR="007E6CA1" w:rsidRPr="00320C9C" w:rsidRDefault="007E6CA1" w:rsidP="007E6CA1">
            <w:pPr>
              <w:pStyle w:val="ListParagraph"/>
              <w:numPr>
                <w:ilvl w:val="0"/>
                <w:numId w:val="2"/>
              </w:numPr>
              <w:jc w:val="both"/>
              <w:rPr>
                <w:rFonts w:ascii="Arial" w:hAnsi="Arial" w:cs="Arial"/>
                <w:sz w:val="20"/>
                <w:szCs w:val="20"/>
                <w:lang w:val="en-GB"/>
              </w:rPr>
            </w:pPr>
            <w:r w:rsidRPr="00320C9C">
              <w:rPr>
                <w:rFonts w:ascii="Arial" w:hAnsi="Arial" w:cs="Arial"/>
                <w:sz w:val="20"/>
                <w:szCs w:val="20"/>
              </w:rPr>
              <w:t>Truncation to capture variation in key terms e.g. cancer* → cancer, cancers, cancerous</w:t>
            </w:r>
          </w:p>
          <w:p w14:paraId="237D3322" w14:textId="77777777" w:rsidR="007E6CA1" w:rsidRPr="00254FC1" w:rsidRDefault="007E6CA1" w:rsidP="007E6CA1">
            <w:pPr>
              <w:pStyle w:val="ListParagraph"/>
              <w:numPr>
                <w:ilvl w:val="0"/>
                <w:numId w:val="2"/>
              </w:numPr>
              <w:jc w:val="both"/>
              <w:rPr>
                <w:rFonts w:ascii="Aptos" w:hAnsi="Aptos"/>
                <w:lang w:val="en-GB"/>
              </w:rPr>
            </w:pPr>
            <w:r w:rsidRPr="00320C9C">
              <w:rPr>
                <w:rFonts w:ascii="Arial" w:hAnsi="Arial" w:cs="Arial"/>
                <w:sz w:val="20"/>
                <w:szCs w:val="20"/>
                <w:lang w:val="en-GB"/>
              </w:rPr>
              <w:t>Selected approach critical in ensuring all the literature included is relevant, credible and academically sound (</w:t>
            </w:r>
            <w:r w:rsidRPr="00320C9C">
              <w:rPr>
                <w:rFonts w:ascii="Arial" w:hAnsi="Arial" w:cs="Arial"/>
                <w:sz w:val="20"/>
                <w:szCs w:val="20"/>
              </w:rPr>
              <w:t>Chigbu et al., 2023</w:t>
            </w:r>
            <w:r w:rsidRPr="00320C9C">
              <w:rPr>
                <w:rFonts w:ascii="Arial" w:hAnsi="Arial" w:cs="Arial"/>
                <w:sz w:val="20"/>
                <w:szCs w:val="20"/>
                <w:lang w:val="en-GB"/>
              </w:rPr>
              <w:t>).</w:t>
            </w:r>
            <w:r w:rsidRPr="00254FC1">
              <w:rPr>
                <w:rFonts w:ascii="Aptos" w:hAnsi="Aptos"/>
                <w:lang w:val="en-GB"/>
              </w:rPr>
              <w:t xml:space="preserve"> </w:t>
            </w:r>
          </w:p>
        </w:tc>
      </w:tr>
      <w:tr w:rsidR="007E6CA1" w:rsidRPr="009960FF" w14:paraId="0B1F81BA" w14:textId="77777777" w:rsidTr="00D61E9B">
        <w:trPr>
          <w:trHeight w:val="1856"/>
        </w:trPr>
        <w:tc>
          <w:tcPr>
            <w:tcW w:w="7105" w:type="dxa"/>
            <w:shd w:val="clear" w:color="auto" w:fill="E5DFEC" w:themeFill="accent4" w:themeFillTint="33"/>
          </w:tcPr>
          <w:p w14:paraId="70C73D82" w14:textId="77777777" w:rsidR="007E6CA1" w:rsidRDefault="007E6CA1" w:rsidP="007E6CA1">
            <w:pPr>
              <w:pStyle w:val="ListParagraph"/>
              <w:numPr>
                <w:ilvl w:val="0"/>
                <w:numId w:val="3"/>
              </w:numPr>
              <w:rPr>
                <w:rFonts w:ascii="Aptos" w:hAnsi="Aptos"/>
                <w:lang w:val="en-GB"/>
              </w:rPr>
            </w:pPr>
            <w:r w:rsidRPr="00254FC1">
              <w:rPr>
                <w:rFonts w:ascii="Aptos" w:hAnsi="Aptos"/>
                <w:b/>
                <w:bCs/>
                <w:lang w:val="en-GB"/>
              </w:rPr>
              <w:t>Searching for Information</w:t>
            </w:r>
            <w:r w:rsidRPr="00254FC1">
              <w:rPr>
                <w:rFonts w:ascii="Aptos" w:hAnsi="Aptos"/>
                <w:lang w:val="en-GB"/>
              </w:rPr>
              <w:t xml:space="preserve"> </w:t>
            </w:r>
          </w:p>
          <w:p w14:paraId="268F9B97" w14:textId="77777777" w:rsidR="007E6CA1" w:rsidRPr="00254FC1" w:rsidRDefault="007E6CA1" w:rsidP="00D61E9B">
            <w:pPr>
              <w:pStyle w:val="ListParagraph"/>
              <w:ind w:left="780"/>
              <w:rPr>
                <w:rFonts w:ascii="Aptos" w:hAnsi="Aptos"/>
                <w:lang w:val="en-GB"/>
              </w:rPr>
            </w:pPr>
          </w:p>
          <w:p w14:paraId="6E50B0F7" w14:textId="77777777" w:rsidR="007E6CA1" w:rsidRPr="00320C9C" w:rsidRDefault="007E6CA1" w:rsidP="007E6CA1">
            <w:pPr>
              <w:pStyle w:val="ListParagraph"/>
              <w:numPr>
                <w:ilvl w:val="0"/>
                <w:numId w:val="4"/>
              </w:numPr>
              <w:jc w:val="both"/>
              <w:rPr>
                <w:rFonts w:ascii="Arial" w:hAnsi="Arial" w:cs="Arial"/>
                <w:sz w:val="20"/>
                <w:szCs w:val="20"/>
                <w:lang w:val="en-GB"/>
              </w:rPr>
            </w:pPr>
            <w:r w:rsidRPr="00320C9C">
              <w:rPr>
                <w:rFonts w:ascii="Arial" w:hAnsi="Arial" w:cs="Arial"/>
                <w:sz w:val="20"/>
                <w:szCs w:val="20"/>
              </w:rPr>
              <w:t>Identification of Keywords and search terms related to breast cancer and Paget’s disease.</w:t>
            </w:r>
          </w:p>
          <w:p w14:paraId="28A1EE04" w14:textId="77777777" w:rsidR="007E6CA1" w:rsidRPr="00320C9C" w:rsidRDefault="007E6CA1" w:rsidP="007E6CA1">
            <w:pPr>
              <w:pStyle w:val="ListParagraph"/>
              <w:numPr>
                <w:ilvl w:val="0"/>
                <w:numId w:val="4"/>
              </w:numPr>
              <w:jc w:val="both"/>
              <w:rPr>
                <w:rFonts w:ascii="Arial" w:hAnsi="Arial" w:cs="Arial"/>
                <w:sz w:val="20"/>
                <w:szCs w:val="20"/>
                <w:lang w:val="en-GB"/>
              </w:rPr>
            </w:pPr>
            <w:r w:rsidRPr="00320C9C">
              <w:rPr>
                <w:rFonts w:ascii="Arial" w:hAnsi="Arial" w:cs="Arial"/>
                <w:sz w:val="20"/>
                <w:szCs w:val="20"/>
              </w:rPr>
              <w:t>Database Selection - Academic databases such as Google Scholar, PubMed, and university library resources were searched.</w:t>
            </w:r>
          </w:p>
          <w:p w14:paraId="6734D3B6" w14:textId="77777777" w:rsidR="007E6CA1" w:rsidRPr="00320C9C" w:rsidRDefault="007E6CA1" w:rsidP="007E6CA1">
            <w:pPr>
              <w:pStyle w:val="ListParagraph"/>
              <w:numPr>
                <w:ilvl w:val="0"/>
                <w:numId w:val="4"/>
              </w:numPr>
              <w:jc w:val="both"/>
              <w:rPr>
                <w:rFonts w:ascii="Arial" w:hAnsi="Arial" w:cs="Arial"/>
                <w:sz w:val="20"/>
                <w:szCs w:val="20"/>
                <w:lang w:val="en-GB"/>
              </w:rPr>
            </w:pPr>
            <w:r w:rsidRPr="00320C9C">
              <w:rPr>
                <w:rFonts w:ascii="Arial" w:hAnsi="Arial" w:cs="Arial"/>
                <w:sz w:val="20"/>
                <w:szCs w:val="20"/>
                <w:lang w:val="en-GB"/>
              </w:rPr>
              <w:t>Filtering results- filters integrated to limit results to peer-reviewed and recent publications.</w:t>
            </w:r>
          </w:p>
          <w:p w14:paraId="70AAD929" w14:textId="77777777" w:rsidR="007E6CA1" w:rsidRPr="00320C9C" w:rsidRDefault="007E6CA1" w:rsidP="007E6CA1">
            <w:pPr>
              <w:pStyle w:val="ListParagraph"/>
              <w:numPr>
                <w:ilvl w:val="0"/>
                <w:numId w:val="4"/>
              </w:numPr>
              <w:jc w:val="both"/>
              <w:rPr>
                <w:rFonts w:ascii="Arial" w:hAnsi="Arial" w:cs="Arial"/>
                <w:sz w:val="20"/>
                <w:szCs w:val="20"/>
                <w:lang w:val="en-GB"/>
              </w:rPr>
            </w:pPr>
            <w:r w:rsidRPr="00320C9C">
              <w:rPr>
                <w:rFonts w:ascii="Arial" w:hAnsi="Arial" w:cs="Arial"/>
                <w:sz w:val="20"/>
                <w:szCs w:val="20"/>
                <w:lang w:val="en-GB"/>
              </w:rPr>
              <w:t xml:space="preserve">Removal of duplicate articles appearing across multiple studies </w:t>
            </w:r>
          </w:p>
          <w:p w14:paraId="6559F73F" w14:textId="77777777" w:rsidR="007E6CA1" w:rsidRPr="00320C9C" w:rsidRDefault="007E6CA1" w:rsidP="007E6CA1">
            <w:pPr>
              <w:pStyle w:val="ListParagraph"/>
              <w:numPr>
                <w:ilvl w:val="0"/>
                <w:numId w:val="4"/>
              </w:numPr>
              <w:jc w:val="both"/>
              <w:rPr>
                <w:rFonts w:ascii="Arial" w:hAnsi="Arial" w:cs="Arial"/>
                <w:sz w:val="20"/>
                <w:szCs w:val="20"/>
                <w:lang w:val="en-GB"/>
              </w:rPr>
            </w:pPr>
            <w:r w:rsidRPr="00320C9C">
              <w:rPr>
                <w:rFonts w:ascii="Arial" w:hAnsi="Arial" w:cs="Arial"/>
                <w:sz w:val="20"/>
                <w:szCs w:val="20"/>
                <w:lang w:val="en-GB"/>
              </w:rPr>
              <w:lastRenderedPageBreak/>
              <w:t>Screening of titles and abstracts to ascertain the relevance to the research aim.</w:t>
            </w:r>
          </w:p>
          <w:p w14:paraId="476F27BE" w14:textId="77777777" w:rsidR="007E6CA1" w:rsidRPr="00320C9C" w:rsidRDefault="007E6CA1" w:rsidP="007E6CA1">
            <w:pPr>
              <w:pStyle w:val="ListParagraph"/>
              <w:numPr>
                <w:ilvl w:val="0"/>
                <w:numId w:val="4"/>
              </w:numPr>
              <w:jc w:val="both"/>
              <w:rPr>
                <w:rFonts w:ascii="Arial" w:hAnsi="Arial" w:cs="Arial"/>
                <w:sz w:val="20"/>
                <w:szCs w:val="20"/>
                <w:lang w:val="en-GB"/>
              </w:rPr>
            </w:pPr>
            <w:r w:rsidRPr="00320C9C">
              <w:rPr>
                <w:rFonts w:ascii="Arial" w:hAnsi="Arial" w:cs="Arial"/>
                <w:sz w:val="20"/>
                <w:szCs w:val="20"/>
                <w:lang w:val="en-GB"/>
              </w:rPr>
              <w:t>Full-text review of selected articles to establish if they fit the inclusion criteria.</w:t>
            </w:r>
          </w:p>
          <w:p w14:paraId="0E548788" w14:textId="77777777" w:rsidR="007E6CA1" w:rsidRPr="00320C9C" w:rsidRDefault="007E6CA1" w:rsidP="007E6CA1">
            <w:pPr>
              <w:pStyle w:val="ListParagraph"/>
              <w:numPr>
                <w:ilvl w:val="0"/>
                <w:numId w:val="4"/>
              </w:numPr>
              <w:jc w:val="both"/>
              <w:rPr>
                <w:rFonts w:ascii="Arial" w:hAnsi="Arial" w:cs="Arial"/>
                <w:sz w:val="20"/>
                <w:szCs w:val="20"/>
                <w:lang w:val="en-GB"/>
              </w:rPr>
            </w:pPr>
            <w:r w:rsidRPr="00320C9C">
              <w:rPr>
                <w:rFonts w:ascii="Arial" w:hAnsi="Arial" w:cs="Arial"/>
                <w:sz w:val="20"/>
                <w:szCs w:val="20"/>
              </w:rPr>
              <w:t>Select studies that directly address diagnosis, detection, and health disparities for inclusion.</w:t>
            </w:r>
          </w:p>
          <w:p w14:paraId="5BE02846" w14:textId="77777777" w:rsidR="007E6CA1" w:rsidRPr="007240BC" w:rsidRDefault="007E6CA1" w:rsidP="007E6CA1">
            <w:pPr>
              <w:pStyle w:val="ListParagraph"/>
              <w:numPr>
                <w:ilvl w:val="0"/>
                <w:numId w:val="4"/>
              </w:numPr>
              <w:spacing w:line="360" w:lineRule="auto"/>
              <w:jc w:val="both"/>
              <w:rPr>
                <w:rFonts w:ascii="Arial" w:hAnsi="Arial" w:cs="Arial"/>
                <w:sz w:val="20"/>
                <w:szCs w:val="20"/>
                <w:lang w:val="en-GB"/>
              </w:rPr>
            </w:pPr>
            <w:r w:rsidRPr="00320C9C">
              <w:rPr>
                <w:rFonts w:ascii="Arial" w:hAnsi="Arial" w:cs="Arial"/>
                <w:sz w:val="20"/>
                <w:szCs w:val="20"/>
                <w:lang w:val="en-GB"/>
              </w:rPr>
              <w:t>Critical Appraisal of selected studies using CASP Tool (Long et al., 2020).</w:t>
            </w:r>
          </w:p>
        </w:tc>
        <w:tc>
          <w:tcPr>
            <w:tcW w:w="7511" w:type="dxa"/>
            <w:shd w:val="clear" w:color="auto" w:fill="E5DFEC" w:themeFill="accent4" w:themeFillTint="33"/>
          </w:tcPr>
          <w:p w14:paraId="4175E44A" w14:textId="77777777" w:rsidR="007E6CA1" w:rsidRPr="009960FF" w:rsidRDefault="007E6CA1" w:rsidP="00D61E9B">
            <w:pPr>
              <w:rPr>
                <w:rFonts w:ascii="Aptos" w:hAnsi="Aptos"/>
                <w:lang w:val="en-GB"/>
              </w:rPr>
            </w:pPr>
            <w:r w:rsidRPr="009960FF">
              <w:rPr>
                <w:rFonts w:ascii="Aptos" w:hAnsi="Aptos"/>
                <w:b/>
                <w:bCs/>
                <w:sz w:val="40"/>
                <w:szCs w:val="40"/>
                <w:lang w:val="en-GB"/>
              </w:rPr>
              <w:lastRenderedPageBreak/>
              <w:t>04</w:t>
            </w:r>
            <w:r w:rsidRPr="009960FF">
              <w:rPr>
                <w:rFonts w:ascii="Aptos" w:hAnsi="Aptos"/>
                <w:lang w:val="en-GB"/>
              </w:rPr>
              <w:t xml:space="preserve"> </w:t>
            </w:r>
            <w:r w:rsidRPr="009960FF">
              <w:rPr>
                <w:rFonts w:ascii="Aptos" w:hAnsi="Aptos"/>
                <w:b/>
                <w:bCs/>
                <w:lang w:val="en-GB"/>
              </w:rPr>
              <w:t xml:space="preserve">Picture </w:t>
            </w:r>
            <w:r>
              <w:rPr>
                <w:rFonts w:ascii="Aptos" w:hAnsi="Aptos"/>
                <w:b/>
                <w:bCs/>
                <w:lang w:val="en-GB"/>
              </w:rPr>
              <w:t>-</w:t>
            </w:r>
            <w:r w:rsidRPr="007240BC">
              <w:t xml:space="preserve"> </w:t>
            </w:r>
            <w:r w:rsidRPr="007240BC">
              <w:rPr>
                <w:rFonts w:ascii="Aptos" w:hAnsi="Aptos"/>
                <w:b/>
                <w:bCs/>
              </w:rPr>
              <w:t>Literature Search and Screening Process</w:t>
            </w:r>
          </w:p>
          <w:p w14:paraId="62C3C312" w14:textId="77777777" w:rsidR="007E6CA1" w:rsidRPr="009960FF" w:rsidRDefault="007E6CA1" w:rsidP="00D61E9B">
            <w:pPr>
              <w:spacing w:line="360" w:lineRule="auto"/>
              <w:jc w:val="both"/>
              <w:rPr>
                <w:rFonts w:ascii="Aptos" w:hAnsi="Aptos"/>
                <w:lang w:val="en-GB"/>
              </w:rPr>
            </w:pPr>
            <w:r>
              <w:rPr>
                <w:rFonts w:ascii="Aptos" w:hAnsi="Aptos"/>
                <w:noProof/>
              </w:rPr>
              <w:lastRenderedPageBreak/>
              <w:drawing>
                <wp:inline distT="0" distB="0" distL="0" distR="0" wp14:anchorId="6DADBA99" wp14:editId="3CDC6EC7">
                  <wp:extent cx="4632325" cy="2701925"/>
                  <wp:effectExtent l="95250" t="57150" r="92075" b="98425"/>
                  <wp:docPr id="109214109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4" r:lo="rId65" r:qs="rId66" r:cs="rId67"/>
                    </a:graphicData>
                  </a:graphic>
                </wp:inline>
              </w:drawing>
            </w:r>
          </w:p>
        </w:tc>
      </w:tr>
      <w:tr w:rsidR="007E6CA1" w:rsidRPr="009960FF" w14:paraId="401BD69E" w14:textId="77777777" w:rsidTr="00D61E9B">
        <w:trPr>
          <w:trHeight w:val="3140"/>
        </w:trPr>
        <w:tc>
          <w:tcPr>
            <w:tcW w:w="14616" w:type="dxa"/>
            <w:gridSpan w:val="2"/>
            <w:shd w:val="clear" w:color="auto" w:fill="E5DFEC" w:themeFill="accent4" w:themeFillTint="33"/>
          </w:tcPr>
          <w:p w14:paraId="52C07D88" w14:textId="77777777" w:rsidR="007E6CA1" w:rsidRPr="009960FF" w:rsidRDefault="007E6CA1" w:rsidP="00D61E9B">
            <w:pPr>
              <w:jc w:val="center"/>
              <w:rPr>
                <w:rFonts w:ascii="Aptos" w:hAnsi="Aptos"/>
                <w:b/>
                <w:bCs/>
                <w:lang w:val="en-GB"/>
              </w:rPr>
            </w:pPr>
            <w:r w:rsidRPr="009960FF">
              <w:rPr>
                <w:rFonts w:ascii="Aptos" w:hAnsi="Aptos"/>
                <w:b/>
                <w:bCs/>
                <w:sz w:val="40"/>
                <w:szCs w:val="40"/>
                <w:lang w:val="en-GB"/>
              </w:rPr>
              <w:lastRenderedPageBreak/>
              <w:t>05</w:t>
            </w:r>
            <w:r w:rsidRPr="009960FF">
              <w:rPr>
                <w:rFonts w:ascii="Aptos" w:hAnsi="Aptos"/>
                <w:lang w:val="en-GB"/>
              </w:rPr>
              <w:t xml:space="preserve"> </w:t>
            </w:r>
            <w:r w:rsidRPr="009960FF">
              <w:rPr>
                <w:rFonts w:ascii="Aptos" w:hAnsi="Aptos"/>
                <w:b/>
                <w:bCs/>
                <w:lang w:val="en-GB"/>
              </w:rPr>
              <w:t>Research Validation and Analysis</w:t>
            </w:r>
          </w:p>
          <w:p w14:paraId="3D9CB6C1" w14:textId="77777777" w:rsidR="007E6CA1" w:rsidRPr="008D558A" w:rsidRDefault="007E6CA1" w:rsidP="00D61E9B">
            <w:pPr>
              <w:jc w:val="both"/>
              <w:rPr>
                <w:rFonts w:ascii="Aptos" w:hAnsi="Aptos"/>
                <w:sz w:val="20"/>
                <w:szCs w:val="20"/>
                <w:lang w:val="en-GB"/>
              </w:rPr>
            </w:pPr>
            <w:r w:rsidRPr="008D558A">
              <w:rPr>
                <w:rFonts w:ascii="Aptos" w:hAnsi="Aptos"/>
                <w:sz w:val="20"/>
                <w:szCs w:val="20"/>
                <w:lang w:val="en-GB"/>
              </w:rPr>
              <w:t xml:space="preserve">Nobble and Smith (2025) conceptualises research validation as the process of ensuring the research data and sources are credible, reliable and appropriate for academic use. Protecting the validity is critical because it strengthens the quality of the conclusions emanating from the dissertation. Credibility in the current study was upheld through ensuring that all sources were peer reviewed and published in reputable journals, and authors  are recognised experts. Each source was also appraised using </w:t>
            </w:r>
            <w:r w:rsidRPr="008D558A">
              <w:rPr>
                <w:rFonts w:ascii="Aptos" w:hAnsi="Aptos"/>
                <w:sz w:val="20"/>
                <w:szCs w:val="20"/>
              </w:rPr>
              <w:t>Critical Appraisal Skills Programme (CASP) tool</w:t>
            </w:r>
            <w:r w:rsidRPr="008D558A">
              <w:rPr>
                <w:rFonts w:ascii="Aptos" w:hAnsi="Aptos"/>
                <w:sz w:val="20"/>
                <w:szCs w:val="20"/>
                <w:lang w:val="en-GB"/>
              </w:rPr>
              <w:t xml:space="preserve"> for reliability and methodological quality. Even so, secondary research has limitations. Researchers have to depend on existing studies that may contain bias, limited sample or gaps in diversity or representation (Baldwin et al., 2022). Thematic analysis was adopted, guided by Braun and Clarke (2006) six phase approach, to identify the recurring patterns or themes. Identified themes for the current dissertation include; m</w:t>
            </w:r>
            <w:r w:rsidRPr="00DC78AC">
              <w:rPr>
                <w:rFonts w:ascii="Aptos" w:hAnsi="Aptos"/>
                <w:sz w:val="20"/>
                <w:szCs w:val="20"/>
                <w:lang w:val="en-GB"/>
              </w:rPr>
              <w:t>isdiagnosis of nipple symptoms as eczema</w:t>
            </w:r>
            <w:r w:rsidRPr="008D558A">
              <w:rPr>
                <w:rFonts w:ascii="Aptos" w:hAnsi="Aptos"/>
                <w:sz w:val="20"/>
                <w:szCs w:val="20"/>
                <w:lang w:val="en-GB"/>
              </w:rPr>
              <w:t>, d</w:t>
            </w:r>
            <w:r w:rsidRPr="00DC78AC">
              <w:rPr>
                <w:rFonts w:ascii="Aptos" w:hAnsi="Aptos"/>
                <w:sz w:val="20"/>
                <w:szCs w:val="20"/>
                <w:lang w:val="en-GB"/>
              </w:rPr>
              <w:t>elayed diagnosis of Paget’s disease of the breast</w:t>
            </w:r>
            <w:r w:rsidRPr="008D558A">
              <w:rPr>
                <w:rFonts w:ascii="Aptos" w:hAnsi="Aptos"/>
                <w:sz w:val="20"/>
                <w:szCs w:val="20"/>
                <w:lang w:val="en-GB"/>
              </w:rPr>
              <w:t>, l</w:t>
            </w:r>
            <w:r w:rsidRPr="00DC78AC">
              <w:rPr>
                <w:rFonts w:ascii="Aptos" w:hAnsi="Aptos"/>
                <w:sz w:val="20"/>
                <w:szCs w:val="20"/>
                <w:lang w:val="en-GB"/>
              </w:rPr>
              <w:t>ack of representation of darker skin tones in medical education</w:t>
            </w:r>
            <w:r w:rsidRPr="008D558A">
              <w:rPr>
                <w:rFonts w:ascii="Aptos" w:hAnsi="Aptos"/>
                <w:sz w:val="20"/>
                <w:szCs w:val="20"/>
                <w:lang w:val="en-GB"/>
              </w:rPr>
              <w:t xml:space="preserve"> and p</w:t>
            </w:r>
            <w:r w:rsidRPr="00DC78AC">
              <w:rPr>
                <w:rFonts w:ascii="Aptos" w:hAnsi="Aptos"/>
                <w:sz w:val="20"/>
                <w:szCs w:val="20"/>
                <w:lang w:val="en-GB"/>
              </w:rPr>
              <w:t>otential inequalities in early detection for women of colour</w:t>
            </w:r>
            <w:r w:rsidRPr="008D558A">
              <w:rPr>
                <w:rFonts w:ascii="Aptos" w:hAnsi="Aptos"/>
                <w:sz w:val="20"/>
                <w:szCs w:val="20"/>
                <w:lang w:val="en-GB"/>
              </w:rPr>
              <w:t xml:space="preserve">, which are explored in chapter 4. </w:t>
            </w:r>
          </w:p>
        </w:tc>
      </w:tr>
      <w:tr w:rsidR="007E6CA1" w:rsidRPr="009960FF" w14:paraId="63B376CD" w14:textId="77777777" w:rsidTr="00D61E9B">
        <w:trPr>
          <w:trHeight w:val="1856"/>
        </w:trPr>
        <w:tc>
          <w:tcPr>
            <w:tcW w:w="7105" w:type="dxa"/>
            <w:shd w:val="clear" w:color="auto" w:fill="E5DFEC" w:themeFill="accent4" w:themeFillTint="33"/>
          </w:tcPr>
          <w:p w14:paraId="07053056" w14:textId="77777777" w:rsidR="007E6CA1" w:rsidRPr="009960FF" w:rsidRDefault="007E6CA1" w:rsidP="00D61E9B">
            <w:pPr>
              <w:rPr>
                <w:rFonts w:ascii="Aptos" w:hAnsi="Aptos"/>
                <w:lang w:val="en-GB"/>
              </w:rPr>
            </w:pPr>
            <w:r w:rsidRPr="009960FF">
              <w:rPr>
                <w:rFonts w:ascii="Aptos" w:hAnsi="Aptos"/>
                <w:b/>
                <w:bCs/>
                <w:sz w:val="40"/>
                <w:szCs w:val="40"/>
                <w:lang w:val="en-GB"/>
              </w:rPr>
              <w:lastRenderedPageBreak/>
              <w:t>06</w:t>
            </w:r>
            <w:r w:rsidRPr="009960FF">
              <w:rPr>
                <w:rFonts w:ascii="Aptos" w:hAnsi="Aptos"/>
                <w:lang w:val="en-GB"/>
              </w:rPr>
              <w:t xml:space="preserve"> </w:t>
            </w:r>
            <w:r w:rsidRPr="009960FF">
              <w:rPr>
                <w:rFonts w:ascii="Aptos" w:hAnsi="Aptos"/>
                <w:b/>
                <w:bCs/>
                <w:lang w:val="en-GB"/>
              </w:rPr>
              <w:t>Inclusion Criteria</w:t>
            </w:r>
            <w:r w:rsidRPr="009960FF">
              <w:rPr>
                <w:rFonts w:ascii="Aptos" w:hAnsi="Aptos"/>
                <w:lang w:val="en-GB"/>
              </w:rPr>
              <w:t xml:space="preserve"> </w:t>
            </w:r>
          </w:p>
          <w:p w14:paraId="6D1C0AE9" w14:textId="77777777" w:rsidR="007E6CA1" w:rsidRPr="008D558A" w:rsidRDefault="007E6CA1" w:rsidP="007E6CA1">
            <w:pPr>
              <w:pStyle w:val="ListParagraph"/>
              <w:numPr>
                <w:ilvl w:val="0"/>
                <w:numId w:val="5"/>
              </w:numPr>
              <w:rPr>
                <w:rFonts w:ascii="Aptos" w:hAnsi="Aptos"/>
                <w:sz w:val="20"/>
                <w:szCs w:val="20"/>
                <w:lang w:val="en-GB"/>
              </w:rPr>
            </w:pPr>
            <w:r w:rsidRPr="008D558A">
              <w:rPr>
                <w:rFonts w:ascii="Aptos" w:hAnsi="Aptos"/>
                <w:sz w:val="20"/>
                <w:szCs w:val="20"/>
              </w:rPr>
              <w:t>Peer-reviewed sources</w:t>
            </w:r>
          </w:p>
          <w:p w14:paraId="67DB8B45" w14:textId="77777777" w:rsidR="007E6CA1" w:rsidRPr="008D558A" w:rsidRDefault="007E6CA1" w:rsidP="007E6CA1">
            <w:pPr>
              <w:pStyle w:val="ListParagraph"/>
              <w:numPr>
                <w:ilvl w:val="0"/>
                <w:numId w:val="5"/>
              </w:numPr>
              <w:rPr>
                <w:rFonts w:ascii="Aptos" w:hAnsi="Aptos"/>
                <w:sz w:val="20"/>
                <w:szCs w:val="20"/>
                <w:lang w:val="en-GB"/>
              </w:rPr>
            </w:pPr>
            <w:r w:rsidRPr="008D558A">
              <w:rPr>
                <w:rFonts w:ascii="Aptos" w:hAnsi="Aptos"/>
                <w:sz w:val="20"/>
                <w:szCs w:val="20"/>
              </w:rPr>
              <w:t>Published within the last 1</w:t>
            </w:r>
            <w:r>
              <w:rPr>
                <w:rFonts w:ascii="Aptos" w:hAnsi="Aptos"/>
                <w:sz w:val="20"/>
                <w:szCs w:val="20"/>
              </w:rPr>
              <w:t>5</w:t>
            </w:r>
            <w:r w:rsidRPr="008D558A">
              <w:rPr>
                <w:rFonts w:ascii="Aptos" w:hAnsi="Aptos"/>
                <w:sz w:val="20"/>
                <w:szCs w:val="20"/>
              </w:rPr>
              <w:t xml:space="preserve"> years</w:t>
            </w:r>
          </w:p>
          <w:p w14:paraId="6C7AD55E" w14:textId="77777777" w:rsidR="007E6CA1" w:rsidRPr="008D558A" w:rsidRDefault="007E6CA1" w:rsidP="007E6CA1">
            <w:pPr>
              <w:pStyle w:val="ListParagraph"/>
              <w:numPr>
                <w:ilvl w:val="0"/>
                <w:numId w:val="5"/>
              </w:numPr>
              <w:rPr>
                <w:rFonts w:ascii="Aptos" w:hAnsi="Aptos"/>
                <w:sz w:val="20"/>
                <w:szCs w:val="20"/>
                <w:lang w:val="en-GB"/>
              </w:rPr>
            </w:pPr>
            <w:r w:rsidRPr="008D558A">
              <w:rPr>
                <w:rFonts w:ascii="Aptos" w:hAnsi="Aptos"/>
                <w:sz w:val="20"/>
                <w:szCs w:val="20"/>
              </w:rPr>
              <w:t>Studies related to breast cancer diagnosis and Paget’s disease of the breast</w:t>
            </w:r>
          </w:p>
          <w:p w14:paraId="3F58684A" w14:textId="77777777" w:rsidR="007E6CA1" w:rsidRPr="00DC78AC" w:rsidRDefault="007E6CA1" w:rsidP="007E6CA1">
            <w:pPr>
              <w:pStyle w:val="ListParagraph"/>
              <w:numPr>
                <w:ilvl w:val="0"/>
                <w:numId w:val="5"/>
              </w:numPr>
              <w:rPr>
                <w:lang w:val="en-GB"/>
              </w:rPr>
            </w:pPr>
            <w:r w:rsidRPr="008D558A">
              <w:rPr>
                <w:rFonts w:ascii="Aptos" w:hAnsi="Aptos"/>
                <w:sz w:val="20"/>
                <w:szCs w:val="20"/>
              </w:rPr>
              <w:t>Available in full text and English</w:t>
            </w:r>
          </w:p>
        </w:tc>
        <w:tc>
          <w:tcPr>
            <w:tcW w:w="7511" w:type="dxa"/>
            <w:shd w:val="clear" w:color="auto" w:fill="E5DFEC" w:themeFill="accent4" w:themeFillTint="33"/>
          </w:tcPr>
          <w:p w14:paraId="3DA5C383" w14:textId="77777777" w:rsidR="007E6CA1" w:rsidRPr="009960FF" w:rsidRDefault="007E6CA1" w:rsidP="00D61E9B">
            <w:pPr>
              <w:rPr>
                <w:rFonts w:ascii="Aptos" w:hAnsi="Aptos"/>
                <w:lang w:val="en-GB"/>
              </w:rPr>
            </w:pPr>
            <w:r w:rsidRPr="009960FF">
              <w:rPr>
                <w:rFonts w:ascii="Aptos" w:hAnsi="Aptos"/>
                <w:b/>
                <w:bCs/>
                <w:sz w:val="40"/>
                <w:szCs w:val="40"/>
                <w:lang w:val="en-GB"/>
              </w:rPr>
              <w:t>07</w:t>
            </w:r>
            <w:r w:rsidRPr="009960FF">
              <w:rPr>
                <w:rFonts w:ascii="Aptos" w:hAnsi="Aptos"/>
                <w:lang w:val="en-GB"/>
              </w:rPr>
              <w:t xml:space="preserve"> </w:t>
            </w:r>
            <w:r w:rsidRPr="009960FF">
              <w:rPr>
                <w:rFonts w:ascii="Aptos" w:hAnsi="Aptos"/>
                <w:b/>
                <w:bCs/>
                <w:lang w:val="en-GB"/>
              </w:rPr>
              <w:t>Exclusion Criteria</w:t>
            </w:r>
            <w:r w:rsidRPr="009960FF">
              <w:rPr>
                <w:rFonts w:ascii="Aptos" w:hAnsi="Aptos"/>
                <w:lang w:val="en-GB"/>
              </w:rPr>
              <w:t xml:space="preserve"> </w:t>
            </w:r>
          </w:p>
          <w:p w14:paraId="1B4A5042" w14:textId="77777777" w:rsidR="007E6CA1" w:rsidRPr="008D558A" w:rsidRDefault="007E6CA1" w:rsidP="007E6CA1">
            <w:pPr>
              <w:pStyle w:val="ListParagraph"/>
              <w:numPr>
                <w:ilvl w:val="0"/>
                <w:numId w:val="6"/>
              </w:numPr>
              <w:spacing w:after="160" w:line="278" w:lineRule="auto"/>
              <w:rPr>
                <w:rFonts w:ascii="Aptos" w:hAnsi="Aptos"/>
                <w:sz w:val="20"/>
                <w:szCs w:val="20"/>
              </w:rPr>
            </w:pPr>
            <w:r w:rsidRPr="008D558A">
              <w:rPr>
                <w:rFonts w:ascii="Aptos" w:hAnsi="Aptos"/>
                <w:sz w:val="20"/>
                <w:szCs w:val="20"/>
              </w:rPr>
              <w:t>Studies older than 1</w:t>
            </w:r>
            <w:r>
              <w:rPr>
                <w:rFonts w:ascii="Aptos" w:hAnsi="Aptos"/>
                <w:sz w:val="20"/>
                <w:szCs w:val="20"/>
              </w:rPr>
              <w:t>5</w:t>
            </w:r>
            <w:r w:rsidRPr="008D558A">
              <w:rPr>
                <w:rFonts w:ascii="Aptos" w:hAnsi="Aptos"/>
                <w:sz w:val="20"/>
                <w:szCs w:val="20"/>
              </w:rPr>
              <w:t xml:space="preserve"> years</w:t>
            </w:r>
          </w:p>
          <w:p w14:paraId="0CF5BB63" w14:textId="77777777" w:rsidR="007E6CA1" w:rsidRPr="008D558A" w:rsidRDefault="007E6CA1" w:rsidP="007E6CA1">
            <w:pPr>
              <w:pStyle w:val="ListParagraph"/>
              <w:numPr>
                <w:ilvl w:val="0"/>
                <w:numId w:val="6"/>
              </w:numPr>
              <w:spacing w:after="160" w:line="278" w:lineRule="auto"/>
              <w:rPr>
                <w:rFonts w:ascii="Aptos" w:hAnsi="Aptos"/>
                <w:sz w:val="20"/>
                <w:szCs w:val="20"/>
              </w:rPr>
            </w:pPr>
            <w:r w:rsidRPr="008D558A">
              <w:rPr>
                <w:rFonts w:ascii="Aptos" w:hAnsi="Aptos"/>
                <w:sz w:val="20"/>
                <w:szCs w:val="20"/>
              </w:rPr>
              <w:t>Non-academic or non-peer-reviewed sources</w:t>
            </w:r>
          </w:p>
          <w:p w14:paraId="4A227C69" w14:textId="77777777" w:rsidR="007E6CA1" w:rsidRPr="008D558A" w:rsidRDefault="007E6CA1" w:rsidP="007E6CA1">
            <w:pPr>
              <w:pStyle w:val="ListParagraph"/>
              <w:numPr>
                <w:ilvl w:val="0"/>
                <w:numId w:val="6"/>
              </w:numPr>
              <w:spacing w:after="160" w:line="278" w:lineRule="auto"/>
              <w:rPr>
                <w:rFonts w:ascii="Aptos" w:hAnsi="Aptos"/>
                <w:sz w:val="20"/>
                <w:szCs w:val="20"/>
              </w:rPr>
            </w:pPr>
            <w:r w:rsidRPr="008D558A">
              <w:rPr>
                <w:rFonts w:ascii="Aptos" w:hAnsi="Aptos"/>
                <w:sz w:val="20"/>
                <w:szCs w:val="20"/>
              </w:rPr>
              <w:t>Articles not directly relevant to the research topic</w:t>
            </w:r>
          </w:p>
          <w:p w14:paraId="280BB1DF" w14:textId="77777777" w:rsidR="007E6CA1" w:rsidRPr="008D558A" w:rsidRDefault="007E6CA1" w:rsidP="007E6CA1">
            <w:pPr>
              <w:pStyle w:val="ListParagraph"/>
              <w:numPr>
                <w:ilvl w:val="0"/>
                <w:numId w:val="6"/>
              </w:numPr>
              <w:spacing w:after="160" w:line="278" w:lineRule="auto"/>
            </w:pPr>
            <w:r w:rsidRPr="008D558A">
              <w:rPr>
                <w:rFonts w:ascii="Aptos" w:hAnsi="Aptos"/>
                <w:sz w:val="20"/>
                <w:szCs w:val="20"/>
              </w:rPr>
              <w:t>Sources without full-text access</w:t>
            </w:r>
          </w:p>
        </w:tc>
      </w:tr>
      <w:tr w:rsidR="007E6CA1" w:rsidRPr="009960FF" w14:paraId="050D6379" w14:textId="77777777" w:rsidTr="00D61E9B">
        <w:trPr>
          <w:trHeight w:val="1798"/>
        </w:trPr>
        <w:tc>
          <w:tcPr>
            <w:tcW w:w="14616" w:type="dxa"/>
            <w:gridSpan w:val="2"/>
            <w:shd w:val="clear" w:color="auto" w:fill="E5DFEC" w:themeFill="accent4" w:themeFillTint="33"/>
          </w:tcPr>
          <w:p w14:paraId="76E1788D" w14:textId="77777777" w:rsidR="007E6CA1" w:rsidRPr="009960FF" w:rsidRDefault="007E6CA1" w:rsidP="00D61E9B">
            <w:pPr>
              <w:jc w:val="center"/>
              <w:rPr>
                <w:rFonts w:ascii="Aptos" w:hAnsi="Aptos"/>
                <w:b/>
                <w:bCs/>
                <w:lang w:val="en-GB"/>
              </w:rPr>
            </w:pPr>
            <w:r w:rsidRPr="009960FF">
              <w:rPr>
                <w:rFonts w:ascii="Aptos" w:hAnsi="Aptos"/>
                <w:b/>
                <w:bCs/>
                <w:sz w:val="40"/>
                <w:szCs w:val="40"/>
                <w:lang w:val="en-GB"/>
              </w:rPr>
              <w:t>08</w:t>
            </w:r>
            <w:r w:rsidRPr="009960FF">
              <w:rPr>
                <w:rFonts w:ascii="Aptos" w:hAnsi="Aptos"/>
                <w:lang w:val="en-GB"/>
              </w:rPr>
              <w:t xml:space="preserve"> </w:t>
            </w:r>
            <w:r w:rsidRPr="009960FF">
              <w:rPr>
                <w:rFonts w:ascii="Aptos" w:hAnsi="Aptos"/>
                <w:b/>
                <w:bCs/>
                <w:lang w:val="en-GB"/>
              </w:rPr>
              <w:t>Ethical Considerations</w:t>
            </w:r>
          </w:p>
          <w:p w14:paraId="42DAB082" w14:textId="77777777" w:rsidR="007E6CA1" w:rsidRPr="009960FF" w:rsidRDefault="007E6CA1" w:rsidP="007E6CA1">
            <w:pPr>
              <w:numPr>
                <w:ilvl w:val="0"/>
                <w:numId w:val="1"/>
              </w:numPr>
              <w:rPr>
                <w:rFonts w:ascii="Aptos" w:hAnsi="Aptos"/>
                <w:lang w:val="en-GB"/>
              </w:rPr>
            </w:pPr>
            <w:r w:rsidRPr="009960FF">
              <w:rPr>
                <w:rFonts w:ascii="Aptos" w:hAnsi="Aptos"/>
                <w:noProof/>
              </w:rPr>
              <w:drawing>
                <wp:anchor distT="0" distB="0" distL="114300" distR="114300" simplePos="0" relativeHeight="251661312" behindDoc="1" locked="0" layoutInCell="1" allowOverlap="1" wp14:anchorId="6F92910C" wp14:editId="64D36182">
                  <wp:simplePos x="0" y="0"/>
                  <wp:positionH relativeFrom="column">
                    <wp:posOffset>156845</wp:posOffset>
                  </wp:positionH>
                  <wp:positionV relativeFrom="paragraph">
                    <wp:posOffset>471170</wp:posOffset>
                  </wp:positionV>
                  <wp:extent cx="8886825" cy="2124075"/>
                  <wp:effectExtent l="57150" t="19050" r="66675" b="9525"/>
                  <wp:wrapTight wrapText="bothSides">
                    <wp:wrapPolygon edited="0">
                      <wp:start x="-139" y="-194"/>
                      <wp:lineTo x="-93" y="21503"/>
                      <wp:lineTo x="21669" y="21503"/>
                      <wp:lineTo x="21716" y="-194"/>
                      <wp:lineTo x="-139" y="-194"/>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9" r:lo="rId70" r:qs="rId71" r:cs="rId72"/>
                    </a:graphicData>
                  </a:graphic>
                  <wp14:sizeRelV relativeFrom="margin">
                    <wp14:pctHeight>0</wp14:pctHeight>
                  </wp14:sizeRelV>
                </wp:anchor>
              </w:drawing>
            </w:r>
            <w:r>
              <w:rPr>
                <w:rFonts w:ascii="Aptos" w:hAnsi="Aptos"/>
                <w:lang w:val="en-GB"/>
              </w:rPr>
              <w:t>In secondary research, Ethics is the responsible use of the existing research while upholding academic integrity and fostering intellectual property.  Ethical considerations in the study encompassed;</w:t>
            </w:r>
          </w:p>
          <w:p w14:paraId="5AB24BA8" w14:textId="77777777" w:rsidR="007E6CA1" w:rsidRPr="009960FF" w:rsidRDefault="007E6CA1" w:rsidP="00D61E9B">
            <w:pPr>
              <w:rPr>
                <w:rFonts w:ascii="Aptos" w:hAnsi="Aptos"/>
                <w:lang w:val="en-GB"/>
              </w:rPr>
            </w:pPr>
          </w:p>
        </w:tc>
      </w:tr>
    </w:tbl>
    <w:p w14:paraId="4C740936" w14:textId="77777777" w:rsidR="007E6CA1" w:rsidRDefault="007E6CA1" w:rsidP="003E3922">
      <w:pPr>
        <w:spacing w:line="360" w:lineRule="auto"/>
        <w:jc w:val="both"/>
        <w:rPr>
          <w:rFonts w:ascii="Arial" w:eastAsia="Arial" w:hAnsi="Arial" w:cs="Arial"/>
        </w:rPr>
        <w:sectPr w:rsidR="007E6CA1" w:rsidSect="007E6CA1">
          <w:pgSz w:w="16838" w:h="11906" w:orient="landscape"/>
          <w:pgMar w:top="1440" w:right="1440" w:bottom="1440" w:left="1440" w:header="720" w:footer="720" w:gutter="0"/>
          <w:pgNumType w:start="1"/>
          <w:cols w:space="720"/>
        </w:sectPr>
      </w:pPr>
    </w:p>
    <w:p w14:paraId="399EDC72" w14:textId="77777777" w:rsidR="00DB09AE" w:rsidRDefault="00DB09AE" w:rsidP="007E6CA1">
      <w:pPr>
        <w:spacing w:line="360" w:lineRule="auto"/>
        <w:jc w:val="both"/>
        <w:rPr>
          <w:rFonts w:ascii="Arial" w:eastAsia="Arial" w:hAnsi="Arial" w:cs="Arial"/>
          <w:sz w:val="22"/>
          <w:szCs w:val="22"/>
        </w:rPr>
      </w:pPr>
    </w:p>
    <w:sectPr w:rsidR="00DB09AE" w:rsidSect="007E6CA1">
      <w:pgSz w:w="16838" w:h="11906" w:orient="landscape"/>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343A13" w14:textId="77777777" w:rsidR="00366A85" w:rsidRDefault="00366A85">
      <w:pPr>
        <w:spacing w:after="0" w:line="240" w:lineRule="auto"/>
      </w:pPr>
      <w:r>
        <w:separator/>
      </w:r>
    </w:p>
  </w:endnote>
  <w:endnote w:type="continuationSeparator" w:id="0">
    <w:p w14:paraId="60817130" w14:textId="77777777" w:rsidR="00366A85" w:rsidRDefault="00366A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74D7CC5-B82F-4F61-9F09-F56EB1F44839}"/>
    <w:embedBold r:id="rId2" w:fontKey="{0B49A51B-1A82-432E-ABB2-95357C6DB71C}"/>
    <w:embedItalic r:id="rId3" w:fontKey="{36281531-E56A-45B2-9DA6-9E425DE96724}"/>
  </w:font>
  <w:font w:name="Calibri Light">
    <w:panose1 w:val="020F0302020204030204"/>
    <w:charset w:val="00"/>
    <w:family w:val="swiss"/>
    <w:pitch w:val="variable"/>
    <w:sig w:usb0="E4002EFF" w:usb1="C200247B" w:usb2="00000009" w:usb3="00000000" w:csb0="000001FF" w:csb1="00000000"/>
    <w:embedRegular r:id="rId4" w:fontKey="{0B84A84A-0370-4800-94B0-6F82A3C747A3}"/>
  </w:font>
  <w:font w:name="Cambria">
    <w:panose1 w:val="02040503050406030204"/>
    <w:charset w:val="00"/>
    <w:family w:val="roman"/>
    <w:pitch w:val="variable"/>
    <w:sig w:usb0="E00006FF" w:usb1="420024FF" w:usb2="02000000" w:usb3="00000000" w:csb0="0000019F" w:csb1="00000000"/>
    <w:embedRegular r:id="rId5" w:fontKey="{99E000BA-2FE0-4C46-A8D0-455972CE54C4}"/>
    <w:embedBold r:id="rId6" w:fontKey="{BD63728F-245D-4353-96F7-45C09F4DA0BC}"/>
  </w:font>
  <w:font w:name="Aptos">
    <w:charset w:val="00"/>
    <w:family w:val="swiss"/>
    <w:pitch w:val="variable"/>
    <w:sig w:usb0="20000287" w:usb1="00000003" w:usb2="00000000" w:usb3="00000000" w:csb0="0000019F" w:csb1="00000000"/>
    <w:embedRegular r:id="rId7" w:fontKey="{19FA7EBA-CB7D-4BCE-AA3D-B1D59D9AE8CB}"/>
    <w:embedBold r:id="rId8" w:fontKey="{7C40296F-34DC-4D43-8EE8-24E44D1B1339}"/>
  </w:font>
  <w:font w:name="Congenial Black">
    <w:charset w:val="00"/>
    <w:family w:val="auto"/>
    <w:pitch w:val="variable"/>
    <w:sig w:usb0="8000002F" w:usb1="1000205B" w:usb2="00000000" w:usb3="00000000" w:csb0="00000001" w:csb1="00000000"/>
    <w:embedRegular r:id="rId9" w:fontKey="{3523BCFA-CC53-4CD1-9493-ED5C107E7ECC}"/>
  </w:font>
  <w:font w:name="Cambria Math">
    <w:panose1 w:val="02040503050406030204"/>
    <w:charset w:val="00"/>
    <w:family w:val="roman"/>
    <w:pitch w:val="variable"/>
    <w:sig w:usb0="E00006FF" w:usb1="420024FF" w:usb2="02000000" w:usb3="00000000" w:csb0="0000019F" w:csb1="00000000"/>
    <w:embedRegular r:id="rId10" w:fontKey="{55FEEC9B-EEFB-4BF2-950B-0125BAA53462}"/>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8AB309" w14:textId="77777777" w:rsidR="00366A85" w:rsidRDefault="00366A85">
      <w:pPr>
        <w:spacing w:after="0" w:line="240" w:lineRule="auto"/>
      </w:pPr>
      <w:r>
        <w:separator/>
      </w:r>
    </w:p>
  </w:footnote>
  <w:footnote w:type="continuationSeparator" w:id="0">
    <w:p w14:paraId="3BBC82A6" w14:textId="77777777" w:rsidR="00366A85" w:rsidRDefault="00366A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E3D43" w14:textId="77777777" w:rsidR="00DB09AE" w:rsidRDefault="00000000">
    <w:pPr>
      <w:pBdr>
        <w:top w:val="nil"/>
        <w:left w:val="nil"/>
        <w:bottom w:val="nil"/>
        <w:right w:val="nil"/>
        <w:between w:val="nil"/>
      </w:pBdr>
      <w:tabs>
        <w:tab w:val="center" w:pos="4513"/>
        <w:tab w:val="right" w:pos="9026"/>
      </w:tabs>
      <w:spacing w:after="0" w:line="240" w:lineRule="auto"/>
      <w:jc w:val="right"/>
      <w:rPr>
        <w:rFonts w:ascii="Arial" w:eastAsia="Arial" w:hAnsi="Arial" w:cs="Arial"/>
        <w:color w:val="000000"/>
      </w:rPr>
    </w:pP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3E3922">
      <w:rPr>
        <w:rFonts w:ascii="Arial" w:eastAsia="Arial" w:hAnsi="Arial" w:cs="Arial"/>
        <w:noProof/>
        <w:color w:val="000000"/>
      </w:rPr>
      <w:t>1</w:t>
    </w:r>
    <w:r>
      <w:rPr>
        <w:rFonts w:ascii="Arial" w:eastAsia="Arial" w:hAnsi="Arial" w:cs="Arial"/>
        <w:color w:val="000000"/>
      </w:rPr>
      <w:fldChar w:fldCharType="end"/>
    </w:r>
  </w:p>
  <w:p w14:paraId="5A713796" w14:textId="77777777" w:rsidR="00DB09AE" w:rsidRDefault="00DB09AE">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E168E"/>
    <w:multiLevelType w:val="hybridMultilevel"/>
    <w:tmpl w:val="E786A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124089"/>
    <w:multiLevelType w:val="hybridMultilevel"/>
    <w:tmpl w:val="B1D231CC"/>
    <w:lvl w:ilvl="0" w:tplc="958A3BF0">
      <w:start w:val="1"/>
      <w:numFmt w:val="decimal"/>
      <w:lvlText w:val="%1."/>
      <w:lvlJc w:val="left"/>
      <w:pPr>
        <w:ind w:left="400" w:hanging="360"/>
      </w:pPr>
      <w:rPr>
        <w:rFonts w:hint="default"/>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abstractNum w:abstractNumId="3" w15:restartNumberingAfterBreak="0">
    <w:nsid w:val="174F5B2A"/>
    <w:multiLevelType w:val="hybridMultilevel"/>
    <w:tmpl w:val="DF545902"/>
    <w:lvl w:ilvl="0" w:tplc="6A54AE28">
      <w:start w:val="3"/>
      <w:numFmt w:val="decimalZero"/>
      <w:lvlText w:val="%1"/>
      <w:lvlJc w:val="left"/>
      <w:pPr>
        <w:ind w:left="780" w:hanging="420"/>
      </w:pPr>
      <w:rPr>
        <w:rFonts w:hint="default"/>
        <w:b/>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BE4E07"/>
    <w:multiLevelType w:val="hybridMultilevel"/>
    <w:tmpl w:val="536E01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56B793C"/>
    <w:multiLevelType w:val="hybridMultilevel"/>
    <w:tmpl w:val="9AECF11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468278">
    <w:abstractNumId w:val="1"/>
  </w:num>
  <w:num w:numId="2" w16cid:durableId="17393022">
    <w:abstractNumId w:val="5"/>
  </w:num>
  <w:num w:numId="3" w16cid:durableId="314993542">
    <w:abstractNumId w:val="3"/>
  </w:num>
  <w:num w:numId="4" w16cid:durableId="1689940357">
    <w:abstractNumId w:val="2"/>
  </w:num>
  <w:num w:numId="5" w16cid:durableId="340083769">
    <w:abstractNumId w:val="0"/>
  </w:num>
  <w:num w:numId="6" w16cid:durableId="19546253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09AE"/>
    <w:rsid w:val="00035D9C"/>
    <w:rsid w:val="00050DD0"/>
    <w:rsid w:val="00067B32"/>
    <w:rsid w:val="00090769"/>
    <w:rsid w:val="001347F9"/>
    <w:rsid w:val="0013511F"/>
    <w:rsid w:val="001D6F5E"/>
    <w:rsid w:val="002038E7"/>
    <w:rsid w:val="00226D11"/>
    <w:rsid w:val="00240386"/>
    <w:rsid w:val="00253978"/>
    <w:rsid w:val="00281DAD"/>
    <w:rsid w:val="002D1BE9"/>
    <w:rsid w:val="002D63D1"/>
    <w:rsid w:val="00330360"/>
    <w:rsid w:val="00366A85"/>
    <w:rsid w:val="003E3922"/>
    <w:rsid w:val="003F528F"/>
    <w:rsid w:val="00421EB0"/>
    <w:rsid w:val="0044557C"/>
    <w:rsid w:val="004F1470"/>
    <w:rsid w:val="0052574C"/>
    <w:rsid w:val="00540667"/>
    <w:rsid w:val="005A6A74"/>
    <w:rsid w:val="00651CD6"/>
    <w:rsid w:val="00672D22"/>
    <w:rsid w:val="006802A2"/>
    <w:rsid w:val="006E608D"/>
    <w:rsid w:val="0078529C"/>
    <w:rsid w:val="007B66EB"/>
    <w:rsid w:val="007E6CA1"/>
    <w:rsid w:val="008B1420"/>
    <w:rsid w:val="008C0636"/>
    <w:rsid w:val="008E09F9"/>
    <w:rsid w:val="00961253"/>
    <w:rsid w:val="00984028"/>
    <w:rsid w:val="00986B19"/>
    <w:rsid w:val="009C78E1"/>
    <w:rsid w:val="00A352F4"/>
    <w:rsid w:val="00A41311"/>
    <w:rsid w:val="00A520AB"/>
    <w:rsid w:val="00A82680"/>
    <w:rsid w:val="00A8285B"/>
    <w:rsid w:val="00A92493"/>
    <w:rsid w:val="00B006BF"/>
    <w:rsid w:val="00B05F63"/>
    <w:rsid w:val="00B15A1C"/>
    <w:rsid w:val="00B34509"/>
    <w:rsid w:val="00B42777"/>
    <w:rsid w:val="00B53153"/>
    <w:rsid w:val="00BA2231"/>
    <w:rsid w:val="00BA3CBC"/>
    <w:rsid w:val="00C03336"/>
    <w:rsid w:val="00C24F92"/>
    <w:rsid w:val="00C718D1"/>
    <w:rsid w:val="00C94280"/>
    <w:rsid w:val="00C9582C"/>
    <w:rsid w:val="00CC3CEF"/>
    <w:rsid w:val="00CE20B6"/>
    <w:rsid w:val="00D14DBF"/>
    <w:rsid w:val="00D3461B"/>
    <w:rsid w:val="00D51075"/>
    <w:rsid w:val="00D64F34"/>
    <w:rsid w:val="00D95029"/>
    <w:rsid w:val="00D96B9C"/>
    <w:rsid w:val="00D9779A"/>
    <w:rsid w:val="00DB09AE"/>
    <w:rsid w:val="00E516A1"/>
    <w:rsid w:val="00EA61FC"/>
    <w:rsid w:val="00EF162D"/>
    <w:rsid w:val="00EF5566"/>
    <w:rsid w:val="00F00EBA"/>
    <w:rsid w:val="00F55AFC"/>
    <w:rsid w:val="00FA30A6"/>
    <w:rsid w:val="00FD74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FCC11"/>
  <w15:docId w15:val="{93D4C5E8-D811-4EED-85A1-D75065E31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jc w:val="center"/>
      <w:outlineLvl w:val="0"/>
    </w:pPr>
    <w:rPr>
      <w:rFonts w:ascii="Arial" w:eastAsia="Arial" w:hAnsi="Arial" w:cs="Arial"/>
      <w:b/>
      <w:bCs/>
      <w:color w:val="000000"/>
    </w:rPr>
  </w:style>
  <w:style w:type="paragraph" w:styleId="Heading2">
    <w:name w:val="heading 2"/>
    <w:basedOn w:val="Normal"/>
    <w:next w:val="Normal"/>
    <w:uiPriority w:val="9"/>
    <w:unhideWhenUsed/>
    <w:qFormat/>
    <w:pPr>
      <w:keepNext/>
      <w:keepLines/>
      <w:spacing w:before="160" w:after="80"/>
      <w:outlineLvl w:val="1"/>
    </w:pPr>
    <w:rPr>
      <w:rFonts w:ascii="Arial" w:eastAsia="Arial" w:hAnsi="Arial" w:cs="Arial"/>
      <w:b/>
      <w:bCs/>
      <w:color w:val="000000"/>
    </w:rPr>
  </w:style>
  <w:style w:type="paragraph" w:styleId="Heading3">
    <w:name w:val="heading 3"/>
    <w:basedOn w:val="Normal"/>
    <w:next w:val="Normal"/>
    <w:uiPriority w:val="9"/>
    <w:unhideWhenUsed/>
    <w:qFormat/>
    <w:pPr>
      <w:keepNext/>
      <w:keepLines/>
      <w:spacing w:before="160" w:after="80"/>
      <w:outlineLvl w:val="2"/>
    </w:pPr>
    <w:rPr>
      <w:rFonts w:ascii="Arial" w:eastAsia="Arial" w:hAnsi="Arial" w:cs="Arial"/>
      <w:i/>
      <w:iCs/>
      <w:color w:val="000000"/>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pPr>
      <w:spacing w:after="0" w:line="240" w:lineRule="auto"/>
    </w:pPr>
    <w:rPr>
      <w:sz w:val="22"/>
      <w:szCs w:val="22"/>
    </w:r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rPr>
      <w:sz w:val="22"/>
      <w:szCs w:val="22"/>
    </w:rPr>
    <w:tblPr>
      <w:tblStyleRowBandSize w:val="1"/>
      <w:tblStyleColBandSize w:val="1"/>
      <w:tblCellMar>
        <w:top w:w="0" w:type="dxa"/>
        <w:left w:w="108" w:type="dxa"/>
        <w:bottom w:w="0" w:type="dxa"/>
        <w:right w:w="108" w:type="dxa"/>
      </w:tblCellMar>
    </w:tblPr>
  </w:style>
  <w:style w:type="paragraph" w:styleId="TOC1">
    <w:name w:val="toc 1"/>
    <w:basedOn w:val="Normal"/>
    <w:next w:val="Normal"/>
    <w:autoRedefine/>
    <w:uiPriority w:val="39"/>
    <w:unhideWhenUsed/>
    <w:rsid w:val="003E3922"/>
    <w:pPr>
      <w:spacing w:after="100"/>
    </w:pPr>
  </w:style>
  <w:style w:type="paragraph" w:styleId="TOC2">
    <w:name w:val="toc 2"/>
    <w:basedOn w:val="Normal"/>
    <w:next w:val="Normal"/>
    <w:autoRedefine/>
    <w:uiPriority w:val="39"/>
    <w:unhideWhenUsed/>
    <w:rsid w:val="003E3922"/>
    <w:pPr>
      <w:spacing w:after="100"/>
      <w:ind w:left="240"/>
    </w:pPr>
  </w:style>
  <w:style w:type="paragraph" w:styleId="TOC3">
    <w:name w:val="toc 3"/>
    <w:basedOn w:val="Normal"/>
    <w:next w:val="Normal"/>
    <w:autoRedefine/>
    <w:uiPriority w:val="39"/>
    <w:unhideWhenUsed/>
    <w:rsid w:val="003E3922"/>
    <w:pPr>
      <w:spacing w:after="100"/>
      <w:ind w:left="480"/>
    </w:pPr>
  </w:style>
  <w:style w:type="character" w:styleId="Hyperlink">
    <w:name w:val="Hyperlink"/>
    <w:basedOn w:val="DefaultParagraphFont"/>
    <w:uiPriority w:val="99"/>
    <w:unhideWhenUsed/>
    <w:rsid w:val="003E3922"/>
    <w:rPr>
      <w:color w:val="0000FF" w:themeColor="hyperlink"/>
      <w:u w:val="single"/>
    </w:rPr>
  </w:style>
  <w:style w:type="paragraph" w:styleId="BodyText">
    <w:name w:val="Body Text"/>
    <w:basedOn w:val="Normal"/>
    <w:link w:val="BodyTextChar"/>
    <w:uiPriority w:val="1"/>
    <w:unhideWhenUsed/>
    <w:qFormat/>
    <w:rsid w:val="008C0636"/>
    <w:pPr>
      <w:widowControl w:val="0"/>
      <w:autoSpaceDE w:val="0"/>
      <w:autoSpaceDN w:val="0"/>
      <w:spacing w:after="0" w:line="240" w:lineRule="auto"/>
    </w:pPr>
    <w:rPr>
      <w:rFonts w:ascii="Arial" w:eastAsia="Calibri Light" w:hAnsi="Arial" w:cs="Calibri Light"/>
      <w:sz w:val="22"/>
      <w:szCs w:val="22"/>
      <w:lang w:eastAsia="en-GB" w:bidi="en-GB"/>
    </w:rPr>
  </w:style>
  <w:style w:type="character" w:customStyle="1" w:styleId="BodyTextChar">
    <w:name w:val="Body Text Char"/>
    <w:basedOn w:val="DefaultParagraphFont"/>
    <w:link w:val="BodyText"/>
    <w:uiPriority w:val="1"/>
    <w:rsid w:val="008C0636"/>
    <w:rPr>
      <w:rFonts w:ascii="Arial" w:eastAsia="Calibri Light" w:hAnsi="Arial" w:cs="Calibri Light"/>
      <w:sz w:val="22"/>
      <w:szCs w:val="22"/>
      <w:lang w:eastAsia="en-GB" w:bidi="en-GB"/>
    </w:rPr>
  </w:style>
  <w:style w:type="table" w:styleId="TableGrid">
    <w:name w:val="Table Grid"/>
    <w:basedOn w:val="TableNormal"/>
    <w:uiPriority w:val="39"/>
    <w:rsid w:val="007E6CA1"/>
    <w:pPr>
      <w:spacing w:after="220" w:line="240" w:lineRule="auto"/>
    </w:pPr>
    <w:rPr>
      <w:rFonts w:asciiTheme="minorHAnsi" w:eastAsiaTheme="minorHAnsi" w:hAnsiTheme="minorHAnsi" w:cstheme="minorBidi"/>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6CA1"/>
    <w:pPr>
      <w:spacing w:after="220" w:line="240" w:lineRule="auto"/>
      <w:ind w:left="720"/>
      <w:contextualSpacing/>
    </w:pPr>
    <w:rPr>
      <w:rFonts w:asciiTheme="minorHAnsi" w:eastAsiaTheme="minorHAnsi"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007/s10459-022-10196-6" TargetMode="External"/><Relationship Id="rId21" Type="http://schemas.openxmlformats.org/officeDocument/2006/relationships/hyperlink" Target="https://doi.org/10.1002/ijc.33260" TargetMode="External"/><Relationship Id="rId42" Type="http://schemas.openxmlformats.org/officeDocument/2006/relationships/hyperlink" Target="https://doi.org/10.17269/s41997-025-01112-7" TargetMode="External"/><Relationship Id="rId47" Type="http://schemas.openxmlformats.org/officeDocument/2006/relationships/hyperlink" Target="https://www.nmc.org.uk/standards/code/" TargetMode="External"/><Relationship Id="rId63" Type="http://schemas.openxmlformats.org/officeDocument/2006/relationships/header" Target="header1.xml"/><Relationship Id="rId68"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hyperlink" Target="https://doi.org/10.3322/caac.21834" TargetMode="External"/><Relationship Id="rId29" Type="http://schemas.openxmlformats.org/officeDocument/2006/relationships/hyperlink" Target="https://doi.org/10.3390/ijerph17165856" TargetMode="External"/><Relationship Id="rId11" Type="http://schemas.openxmlformats.org/officeDocument/2006/relationships/hyperlink" Target="https://doi.org/10.1016/j.socscimed.2014.03.022" TargetMode="External"/><Relationship Id="rId24" Type="http://schemas.openxmlformats.org/officeDocument/2006/relationships/hyperlink" Target="https://doi.org/10.3322/caac.21583" TargetMode="External"/><Relationship Id="rId32" Type="http://schemas.openxmlformats.org/officeDocument/2006/relationships/hyperlink" Target="https://doi.org/10.4103/1477-3163.90676" TargetMode="External"/><Relationship Id="rId37" Type="http://schemas.openxmlformats.org/officeDocument/2006/relationships/hyperlink" Target="https://doi.org/10.1016/j.iswa.2022.200091" TargetMode="External"/><Relationship Id="rId40" Type="http://schemas.openxmlformats.org/officeDocument/2006/relationships/hyperlink" Target="https://doi.org/10.1111/1467-9566.13001" TargetMode="External"/><Relationship Id="rId45" Type="http://schemas.openxmlformats.org/officeDocument/2006/relationships/hyperlink" Target="https://www.england.nhs.uk/about/equality/equality-hub/core20plus5/" TargetMode="External"/><Relationship Id="rId53" Type="http://schemas.openxmlformats.org/officeDocument/2006/relationships/hyperlink" Target="https://doi.org/10.3390/cancers17101641" TargetMode="External"/><Relationship Id="rId58" Type="http://schemas.openxmlformats.org/officeDocument/2006/relationships/hyperlink" Target="https://www.sciencedirect.com/science/article/pii/S0148296319304564" TargetMode="External"/><Relationship Id="rId66" Type="http://schemas.openxmlformats.org/officeDocument/2006/relationships/diagramQuickStyle" Target="diagrams/quickStyle1.xml"/><Relationship Id="rId74"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doi.org/10.1016/j.cpsurg.2025.101773" TargetMode="External"/><Relationship Id="rId19" Type="http://schemas.openxmlformats.org/officeDocument/2006/relationships/hyperlink" Target="https://www.cancerresearchuk.org/health-professional/cancer-statistics/inequalities/early-diagnosis" TargetMode="External"/><Relationship Id="rId14" Type="http://schemas.openxmlformats.org/officeDocument/2006/relationships/hyperlink" Target="https://doi.org/10.1634/theoncologist.2019-0057" TargetMode="External"/><Relationship Id="rId22" Type="http://schemas.openxmlformats.org/officeDocument/2006/relationships/hyperlink" Target="https://doi.org/10.1126/science.aay9040" TargetMode="External"/><Relationship Id="rId27" Type="http://schemas.openxmlformats.org/officeDocument/2006/relationships/hyperlink" Target="https://www.legislation.gov.uk/ukpga/2010/15/contents" TargetMode="External"/><Relationship Id="rId30" Type="http://schemas.openxmlformats.org/officeDocument/2006/relationships/hyperlink" Target="https://doi.org/10.4103/sajc.sajc_107_18" TargetMode="External"/><Relationship Id="rId35" Type="http://schemas.openxmlformats.org/officeDocument/2006/relationships/hyperlink" Target="https://doi.org/10.1016/j.nurpra.2025.105616" TargetMode="External"/><Relationship Id="rId43" Type="http://schemas.openxmlformats.org/officeDocument/2006/relationships/hyperlink" Target="https://www.england.nhs.uk/long-term-plan/areas-of-work/cancer/" TargetMode="External"/><Relationship Id="rId48" Type="http://schemas.openxmlformats.org/officeDocument/2006/relationships/hyperlink" Target="https://doi.org/10.1136/bmj.q1316" TargetMode="External"/><Relationship Id="rId56" Type="http://schemas.openxmlformats.org/officeDocument/2006/relationships/hyperlink" Target="https://doi.org/10.1111/j.2044-8287.2012.02077.x" TargetMode="External"/><Relationship Id="rId64" Type="http://schemas.openxmlformats.org/officeDocument/2006/relationships/diagramData" Target="diagrams/data1.xml"/><Relationship Id="rId69" Type="http://schemas.openxmlformats.org/officeDocument/2006/relationships/diagramData" Target="diagrams/data2.xml"/><Relationship Id="rId8" Type="http://schemas.openxmlformats.org/officeDocument/2006/relationships/hyperlink" Target="https://doi.org/10.1093/jamia/ocaa148" TargetMode="External"/><Relationship Id="rId51" Type="http://schemas.openxmlformats.org/officeDocument/2006/relationships/hyperlink" Target="https://doi.org/10.5195/jmla.2025.2163" TargetMode="External"/><Relationship Id="rId72" Type="http://schemas.openxmlformats.org/officeDocument/2006/relationships/diagramColors" Target="diagrams/colors2.xml"/><Relationship Id="rId3" Type="http://schemas.openxmlformats.org/officeDocument/2006/relationships/settings" Target="settings.xml"/><Relationship Id="rId12" Type="http://schemas.openxmlformats.org/officeDocument/2006/relationships/hyperlink" Target="https://www.oecd.org/content/dam/oecd/en/publications/reports/2025/12/assessing-cancer-care-quality-in-oecd-countries_56dc9c26/b3f47ece-en.pdf" TargetMode="External"/><Relationship Id="rId17" Type="http://schemas.openxmlformats.org/officeDocument/2006/relationships/hyperlink" Target="https://doi.org/10.1186/s12962-025-00657-1" TargetMode="External"/><Relationship Id="rId25" Type="http://schemas.openxmlformats.org/officeDocument/2006/relationships/hyperlink" Target="https://doi.org/10.1093/ced/llad173" TargetMode="External"/><Relationship Id="rId33" Type="http://schemas.openxmlformats.org/officeDocument/2006/relationships/hyperlink" Target="https://doi.org/10.1177/15581551241289263" TargetMode="External"/><Relationship Id="rId38" Type="http://schemas.openxmlformats.org/officeDocument/2006/relationships/hyperlink" Target="https://www.health.org.uk/publications/reports/the-marmot-review-10-years-on" TargetMode="External"/><Relationship Id="rId46" Type="http://schemas.openxmlformats.org/officeDocument/2006/relationships/hyperlink" Target="https://doi.org/10.1177/1609406917733847" TargetMode="External"/><Relationship Id="rId59" Type="http://schemas.openxmlformats.org/officeDocument/2006/relationships/hyperlink" Target="https://doi.org/10.1007/s10900-022-01147-8" TargetMode="External"/><Relationship Id="rId67" Type="http://schemas.openxmlformats.org/officeDocument/2006/relationships/diagramColors" Target="diagrams/colors1.xml"/><Relationship Id="rId20" Type="http://schemas.openxmlformats.org/officeDocument/2006/relationships/hyperlink" Target="https://doi.org/10.1001/jamaoncol.2022.7826?urlappend=%3Futm_source%3Dresearchgate.net%26utm_medium%3Darticle" TargetMode="External"/><Relationship Id="rId41" Type="http://schemas.openxmlformats.org/officeDocument/2006/relationships/hyperlink" Target="https://doi.org/10.1038/bjc.2015.48" TargetMode="External"/><Relationship Id="rId54" Type="http://schemas.openxmlformats.org/officeDocument/2006/relationships/hyperlink" Target="https://doi.org/10.1200/GO.20.00281" TargetMode="External"/><Relationship Id="rId62" Type="http://schemas.openxmlformats.org/officeDocument/2006/relationships/hyperlink" Target="https://doi.org/10.1016/j.ejon.2025.103089" TargetMode="External"/><Relationship Id="rId70" Type="http://schemas.openxmlformats.org/officeDocument/2006/relationships/diagramLayout" Target="diagrams/layout2.xm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91/1478088706qp063oa" TargetMode="External"/><Relationship Id="rId23" Type="http://schemas.openxmlformats.org/officeDocument/2006/relationships/hyperlink" Target="https://doi.org/10.1016/j.radcr.2024.12.057" TargetMode="External"/><Relationship Id="rId28" Type="http://schemas.openxmlformats.org/officeDocument/2006/relationships/hyperlink" Target="https://doi.org/10.1177/1359105310386634" TargetMode="External"/><Relationship Id="rId36" Type="http://schemas.openxmlformats.org/officeDocument/2006/relationships/hyperlink" Target="https://doi.org/10.1093/annonc/mds526" TargetMode="External"/><Relationship Id="rId49" Type="http://schemas.openxmlformats.org/officeDocument/2006/relationships/hyperlink" Target="https://www.oecd.org/en/publications/delivering-high-value-cancer-care_060869fe-en/full-report/timely-access-to-cancer-care_2be13969.html" TargetMode="External"/><Relationship Id="rId57" Type="http://schemas.openxmlformats.org/officeDocument/2006/relationships/hyperlink" Target="https://doi.org/10.7759/cureus.65378" TargetMode="External"/><Relationship Id="rId10" Type="http://schemas.openxmlformats.org/officeDocument/2006/relationships/hyperlink" Target="https://doi.org/10.1186/1471-2288-9-59" TargetMode="External"/><Relationship Id="rId31" Type="http://schemas.openxmlformats.org/officeDocument/2006/relationships/hyperlink" Target="https://doi.org/10.2147/BCTT.S476416" TargetMode="External"/><Relationship Id="rId44" Type="http://schemas.openxmlformats.org/officeDocument/2006/relationships/hyperlink" Target="https://www.england.nhs.uk/publication/professional-standards-framework-for-quality-assurance-and-improvement/" TargetMode="External"/><Relationship Id="rId52" Type="http://schemas.openxmlformats.org/officeDocument/2006/relationships/hyperlink" Target="https://doi.org/10.1016/j.jcpo.2026.100712" TargetMode="External"/><Relationship Id="rId60" Type="http://schemas.openxmlformats.org/officeDocument/2006/relationships/hyperlink" Target="https://doi.org/10.1258/jhsrp.2011.010113" TargetMode="External"/><Relationship Id="rId65" Type="http://schemas.openxmlformats.org/officeDocument/2006/relationships/diagramLayout" Target="diagrams/layout1.xml"/><Relationship Id="rId73" Type="http://schemas.microsoft.com/office/2007/relationships/diagramDrawing" Target="diagrams/drawing2.xml"/><Relationship Id="rId4" Type="http://schemas.openxmlformats.org/officeDocument/2006/relationships/webSettings" Target="webSettings.xml"/><Relationship Id="rId9" Type="http://schemas.openxmlformats.org/officeDocument/2006/relationships/hyperlink" Target="https://doi.org/10.1038/s41598-024-69006-1" TargetMode="External"/><Relationship Id="rId13" Type="http://schemas.openxmlformats.org/officeDocument/2006/relationships/hyperlink" Target="https://doi.org/10.1186/s13643-017-0644-y" TargetMode="External"/><Relationship Id="rId18" Type="http://schemas.openxmlformats.org/officeDocument/2006/relationships/hyperlink" Target="https://doi.org/10.3390/ijerph23020207" TargetMode="External"/><Relationship Id="rId39" Type="http://schemas.openxmlformats.org/officeDocument/2006/relationships/hyperlink" Target="https://www.nice.org.uk/guidance/ng12" TargetMode="External"/><Relationship Id="rId34" Type="http://schemas.openxmlformats.org/officeDocument/2006/relationships/hyperlink" Target="https://doi.org/10.1055/s-0044-1791745" TargetMode="External"/><Relationship Id="rId50" Type="http://schemas.openxmlformats.org/officeDocument/2006/relationships/hyperlink" Target="https://doi.org/10.1097/PRS.0b013e3181de24bc" TargetMode="External"/><Relationship Id="rId55" Type="http://schemas.openxmlformats.org/officeDocument/2006/relationships/hyperlink" Target="https://doi.org/10.1016/j.eclinm.2024.102864" TargetMode="External"/><Relationship Id="rId7" Type="http://schemas.openxmlformats.org/officeDocument/2006/relationships/image" Target="media/image1.png"/><Relationship Id="rId71" Type="http://schemas.openxmlformats.org/officeDocument/2006/relationships/diagramQuickStyle" Target="diagrams/quickStyle2.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EAA01E-A21A-4BD9-A554-2C0804B90A0C}" type="doc">
      <dgm:prSet loTypeId="urn:microsoft.com/office/officeart/2005/8/layout/bProcess4" loCatId="process" qsTypeId="urn:microsoft.com/office/officeart/2005/8/quickstyle/simple3" qsCatId="simple" csTypeId="urn:microsoft.com/office/officeart/2005/8/colors/colorful1" csCatId="colorful" phldr="1"/>
      <dgm:spPr/>
      <dgm:t>
        <a:bodyPr/>
        <a:lstStyle/>
        <a:p>
          <a:endParaRPr lang="en-GB"/>
        </a:p>
      </dgm:t>
    </dgm:pt>
    <dgm:pt modelId="{E5D9370A-BB57-4775-B9CD-6E89B8400E78}">
      <dgm:prSet phldrT="[Text]" custT="1"/>
      <dgm:spPr/>
      <dgm:t>
        <a:bodyPr/>
        <a:lstStyle/>
        <a:p>
          <a:pPr>
            <a:buNone/>
          </a:pPr>
          <a:r>
            <a:rPr lang="en-GB" sz="1050">
              <a:latin typeface="Arial" panose="020B0604020202020204" pitchFamily="34" charset="0"/>
              <a:cs typeface="Arial" panose="020B0604020202020204" pitchFamily="34" charset="0"/>
            </a:rPr>
            <a:t>Records identified through database searching: 152</a:t>
          </a:r>
        </a:p>
      </dgm:t>
    </dgm:pt>
    <dgm:pt modelId="{068F1724-E7DC-4BC5-909E-8DF9B329CF5F}" type="parTrans" cxnId="{314197E4-EC3F-4561-8119-B4982823F14A}">
      <dgm:prSet/>
      <dgm:spPr/>
      <dgm:t>
        <a:bodyPr/>
        <a:lstStyle/>
        <a:p>
          <a:endParaRPr lang="en-GB"/>
        </a:p>
      </dgm:t>
    </dgm:pt>
    <dgm:pt modelId="{4BCFBDA8-0676-45A1-8192-298B422B7041}" type="sibTrans" cxnId="{314197E4-EC3F-4561-8119-B4982823F14A}">
      <dgm:prSet/>
      <dgm:spPr/>
      <dgm:t>
        <a:bodyPr/>
        <a:lstStyle/>
        <a:p>
          <a:endParaRPr lang="en-GB"/>
        </a:p>
      </dgm:t>
    </dgm:pt>
    <dgm:pt modelId="{6CCBF9AA-99ED-4147-9D34-DF0E013DE5CE}">
      <dgm:prSet phldrT="[Text]" custT="1"/>
      <dgm:spPr/>
      <dgm:t>
        <a:bodyPr/>
        <a:lstStyle/>
        <a:p>
          <a:pPr>
            <a:buNone/>
          </a:pPr>
          <a:r>
            <a:rPr lang="en-GB" sz="1050">
              <a:latin typeface="Arial" panose="020B0604020202020204" pitchFamily="34" charset="0"/>
              <a:cs typeface="Arial" panose="020B0604020202020204" pitchFamily="34" charset="0"/>
            </a:rPr>
            <a:t>Duplicate records removed: 34</a:t>
          </a:r>
        </a:p>
      </dgm:t>
    </dgm:pt>
    <dgm:pt modelId="{0D5241ED-BBB9-46EC-9B8C-E816DF5A1BB0}" type="parTrans" cxnId="{D5B0068D-0762-46D7-BA0D-92B65DCE6E5A}">
      <dgm:prSet/>
      <dgm:spPr/>
      <dgm:t>
        <a:bodyPr/>
        <a:lstStyle/>
        <a:p>
          <a:endParaRPr lang="en-GB"/>
        </a:p>
      </dgm:t>
    </dgm:pt>
    <dgm:pt modelId="{D2C57F02-092F-48E1-97A4-28EE88E1530B}" type="sibTrans" cxnId="{D5B0068D-0762-46D7-BA0D-92B65DCE6E5A}">
      <dgm:prSet/>
      <dgm:spPr/>
      <dgm:t>
        <a:bodyPr/>
        <a:lstStyle/>
        <a:p>
          <a:endParaRPr lang="en-GB"/>
        </a:p>
      </dgm:t>
    </dgm:pt>
    <dgm:pt modelId="{C9BF3CF7-4610-49E5-8381-139626E4B8D1}">
      <dgm:prSet phldrT="[Text]" custT="1"/>
      <dgm:spPr/>
      <dgm:t>
        <a:bodyPr/>
        <a:lstStyle/>
        <a:p>
          <a:pPr>
            <a:buNone/>
          </a:pPr>
          <a:r>
            <a:rPr lang="en-GB" sz="1050">
              <a:latin typeface="Arial" panose="020B0604020202020204" pitchFamily="34" charset="0"/>
              <a:cs typeface="Arial" panose="020B0604020202020204" pitchFamily="34" charset="0"/>
            </a:rPr>
            <a:t>Records remaining after duplicates removed: 118</a:t>
          </a:r>
        </a:p>
      </dgm:t>
    </dgm:pt>
    <dgm:pt modelId="{AFE127DA-BA26-4694-8564-ED976C5787B1}" type="parTrans" cxnId="{71B91B2D-5C58-4F50-9550-C7B6CE39CEE2}">
      <dgm:prSet/>
      <dgm:spPr/>
      <dgm:t>
        <a:bodyPr/>
        <a:lstStyle/>
        <a:p>
          <a:endParaRPr lang="en-GB"/>
        </a:p>
      </dgm:t>
    </dgm:pt>
    <dgm:pt modelId="{CCD61977-C95F-4C00-90E5-66960515BA91}" type="sibTrans" cxnId="{71B91B2D-5C58-4F50-9550-C7B6CE39CEE2}">
      <dgm:prSet/>
      <dgm:spPr/>
      <dgm:t>
        <a:bodyPr/>
        <a:lstStyle/>
        <a:p>
          <a:endParaRPr lang="en-GB"/>
        </a:p>
      </dgm:t>
    </dgm:pt>
    <dgm:pt modelId="{64B317D6-CC66-4613-B967-210F8E64DC6E}">
      <dgm:prSet phldrT="[Text]" custT="1"/>
      <dgm:spPr/>
      <dgm:t>
        <a:bodyPr/>
        <a:lstStyle/>
        <a:p>
          <a:pPr>
            <a:buNone/>
          </a:pPr>
          <a:r>
            <a:rPr lang="en-GB" sz="1050">
              <a:latin typeface="Arial" panose="020B0604020202020204" pitchFamily="34" charset="0"/>
              <a:cs typeface="Arial" panose="020B0604020202020204" pitchFamily="34" charset="0"/>
            </a:rPr>
            <a:t>Records screened by title and abstract: 118</a:t>
          </a:r>
        </a:p>
      </dgm:t>
    </dgm:pt>
    <dgm:pt modelId="{E547FE2E-67EA-4837-BEB6-ABE64BFD109F}" type="parTrans" cxnId="{70146165-273F-48AE-8CB7-BB14C8C3F806}">
      <dgm:prSet/>
      <dgm:spPr/>
      <dgm:t>
        <a:bodyPr/>
        <a:lstStyle/>
        <a:p>
          <a:endParaRPr lang="en-GB"/>
        </a:p>
      </dgm:t>
    </dgm:pt>
    <dgm:pt modelId="{6FD111D6-179B-427F-BCF7-5BFFBB0A9D62}" type="sibTrans" cxnId="{70146165-273F-48AE-8CB7-BB14C8C3F806}">
      <dgm:prSet/>
      <dgm:spPr/>
      <dgm:t>
        <a:bodyPr/>
        <a:lstStyle/>
        <a:p>
          <a:endParaRPr lang="en-GB"/>
        </a:p>
      </dgm:t>
    </dgm:pt>
    <dgm:pt modelId="{576E380C-40F1-4E12-9A38-A974429071F9}">
      <dgm:prSet phldrT="[Text]" custT="1"/>
      <dgm:spPr/>
      <dgm:t>
        <a:bodyPr/>
        <a:lstStyle/>
        <a:p>
          <a:pPr>
            <a:buNone/>
          </a:pPr>
          <a:r>
            <a:rPr lang="en-GB" sz="1050">
              <a:latin typeface="Arial" panose="020B0604020202020204" pitchFamily="34" charset="0"/>
              <a:cs typeface="Arial" panose="020B0604020202020204" pitchFamily="34" charset="0"/>
            </a:rPr>
            <a:t>Studies excluded after full-text review: 31</a:t>
          </a:r>
        </a:p>
      </dgm:t>
    </dgm:pt>
    <dgm:pt modelId="{662DCA41-97FB-4B90-866F-DE1038AF68B3}" type="parTrans" cxnId="{9AEFF0D9-1381-47F8-BC39-52AA14BB01B6}">
      <dgm:prSet/>
      <dgm:spPr/>
      <dgm:t>
        <a:bodyPr/>
        <a:lstStyle/>
        <a:p>
          <a:endParaRPr lang="en-GB"/>
        </a:p>
      </dgm:t>
    </dgm:pt>
    <dgm:pt modelId="{81F90CBC-1B01-4D60-BED1-8C4A0508D77D}" type="sibTrans" cxnId="{9AEFF0D9-1381-47F8-BC39-52AA14BB01B6}">
      <dgm:prSet/>
      <dgm:spPr/>
      <dgm:t>
        <a:bodyPr/>
        <a:lstStyle/>
        <a:p>
          <a:endParaRPr lang="en-GB"/>
        </a:p>
      </dgm:t>
    </dgm:pt>
    <dgm:pt modelId="{E783F08E-5481-4737-A6DB-1F0582FDC2B7}">
      <dgm:prSet phldrT="[Text]" custT="1"/>
      <dgm:spPr/>
      <dgm:t>
        <a:bodyPr/>
        <a:lstStyle/>
        <a:p>
          <a:pPr>
            <a:buNone/>
          </a:pPr>
          <a:r>
            <a:rPr lang="en-GB" sz="1050">
              <a:latin typeface="Arial" panose="020B0604020202020204" pitchFamily="34" charset="0"/>
              <a:cs typeface="Arial" panose="020B0604020202020204" pitchFamily="34" charset="0"/>
            </a:rPr>
            <a:t>Final studies included in the literature review: 5</a:t>
          </a:r>
        </a:p>
      </dgm:t>
    </dgm:pt>
    <dgm:pt modelId="{97E3EDE5-EB50-4A48-8906-1C71C5690FBB}" type="parTrans" cxnId="{B4D3DC5D-1CE4-468E-A375-688B209F39C1}">
      <dgm:prSet/>
      <dgm:spPr/>
      <dgm:t>
        <a:bodyPr/>
        <a:lstStyle/>
        <a:p>
          <a:endParaRPr lang="en-GB"/>
        </a:p>
      </dgm:t>
    </dgm:pt>
    <dgm:pt modelId="{01894E8B-3CAB-483C-9AEC-CE55CF36B5F8}" type="sibTrans" cxnId="{B4D3DC5D-1CE4-468E-A375-688B209F39C1}">
      <dgm:prSet/>
      <dgm:spPr/>
      <dgm:t>
        <a:bodyPr/>
        <a:lstStyle/>
        <a:p>
          <a:endParaRPr lang="en-GB"/>
        </a:p>
      </dgm:t>
    </dgm:pt>
    <dgm:pt modelId="{D38A742C-0793-454C-B974-9564D87C22CF}">
      <dgm:prSet custT="1"/>
      <dgm:spPr/>
      <dgm:t>
        <a:bodyPr/>
        <a:lstStyle/>
        <a:p>
          <a:pPr>
            <a:buNone/>
          </a:pPr>
          <a:r>
            <a:rPr lang="en-GB" sz="1050">
              <a:latin typeface="Arial" panose="020B0604020202020204" pitchFamily="34" charset="0"/>
              <a:cs typeface="Arial" panose="020B0604020202020204" pitchFamily="34" charset="0"/>
            </a:rPr>
            <a:t>Records excluded: 82</a:t>
          </a:r>
        </a:p>
      </dgm:t>
    </dgm:pt>
    <dgm:pt modelId="{068F1F20-B3BE-4FF1-A774-826D68E28E97}" type="parTrans" cxnId="{A47FF65D-2F06-413C-8ED6-48688A135E71}">
      <dgm:prSet/>
      <dgm:spPr/>
      <dgm:t>
        <a:bodyPr/>
        <a:lstStyle/>
        <a:p>
          <a:endParaRPr lang="en-GB"/>
        </a:p>
      </dgm:t>
    </dgm:pt>
    <dgm:pt modelId="{70C6BADD-436E-4ADA-BA95-911AA5B55355}" type="sibTrans" cxnId="{A47FF65D-2F06-413C-8ED6-48688A135E71}">
      <dgm:prSet/>
      <dgm:spPr/>
      <dgm:t>
        <a:bodyPr/>
        <a:lstStyle/>
        <a:p>
          <a:endParaRPr lang="en-GB"/>
        </a:p>
      </dgm:t>
    </dgm:pt>
    <dgm:pt modelId="{015A57D4-1226-47B7-B5F6-80DCF35C222B}">
      <dgm:prSet custT="1"/>
      <dgm:spPr/>
      <dgm:t>
        <a:bodyPr/>
        <a:lstStyle/>
        <a:p>
          <a:pPr>
            <a:buNone/>
          </a:pPr>
          <a:r>
            <a:rPr lang="en-GB" sz="1050">
              <a:latin typeface="Arial" panose="020B0604020202020204" pitchFamily="34" charset="0"/>
              <a:cs typeface="Arial" panose="020B0604020202020204" pitchFamily="34" charset="0"/>
            </a:rPr>
            <a:t>Full-text articles assessed for eligibility: 36</a:t>
          </a:r>
        </a:p>
      </dgm:t>
    </dgm:pt>
    <dgm:pt modelId="{8138C950-39D4-41CE-B19F-975E63E5EEAC}" type="parTrans" cxnId="{35AD4D25-7E01-4F4F-8009-672911F58993}">
      <dgm:prSet/>
      <dgm:spPr/>
      <dgm:t>
        <a:bodyPr/>
        <a:lstStyle/>
        <a:p>
          <a:endParaRPr lang="en-GB"/>
        </a:p>
      </dgm:t>
    </dgm:pt>
    <dgm:pt modelId="{2DD6DFC5-1195-437E-976F-6D57D78EEDA6}" type="sibTrans" cxnId="{35AD4D25-7E01-4F4F-8009-672911F58993}">
      <dgm:prSet/>
      <dgm:spPr/>
      <dgm:t>
        <a:bodyPr/>
        <a:lstStyle/>
        <a:p>
          <a:endParaRPr lang="en-GB"/>
        </a:p>
      </dgm:t>
    </dgm:pt>
    <dgm:pt modelId="{0C57222B-B4B3-456E-B48E-FDDBE4E1874F}" type="pres">
      <dgm:prSet presAssocID="{5FEAA01E-A21A-4BD9-A554-2C0804B90A0C}" presName="Name0" presStyleCnt="0">
        <dgm:presLayoutVars>
          <dgm:dir/>
          <dgm:resizeHandles/>
        </dgm:presLayoutVars>
      </dgm:prSet>
      <dgm:spPr/>
    </dgm:pt>
    <dgm:pt modelId="{33E99A39-ECAA-4644-9DD9-8C0095186221}" type="pres">
      <dgm:prSet presAssocID="{E5D9370A-BB57-4775-B9CD-6E89B8400E78}" presName="compNode" presStyleCnt="0"/>
      <dgm:spPr/>
    </dgm:pt>
    <dgm:pt modelId="{BE1B26E2-3256-47DD-AB21-558791FEC1EB}" type="pres">
      <dgm:prSet presAssocID="{E5D9370A-BB57-4775-B9CD-6E89B8400E78}" presName="dummyConnPt" presStyleCnt="0"/>
      <dgm:spPr/>
    </dgm:pt>
    <dgm:pt modelId="{A19F73A5-141D-49A6-94A2-79A23533044C}" type="pres">
      <dgm:prSet presAssocID="{E5D9370A-BB57-4775-B9CD-6E89B8400E78}" presName="node" presStyleLbl="node1" presStyleIdx="0" presStyleCnt="8">
        <dgm:presLayoutVars>
          <dgm:bulletEnabled val="1"/>
        </dgm:presLayoutVars>
      </dgm:prSet>
      <dgm:spPr/>
    </dgm:pt>
    <dgm:pt modelId="{9B3A2587-2E0A-4EAF-8ABD-ACD75B68BEC2}" type="pres">
      <dgm:prSet presAssocID="{4BCFBDA8-0676-45A1-8192-298B422B7041}" presName="sibTrans" presStyleLbl="bgSibTrans2D1" presStyleIdx="0" presStyleCnt="7"/>
      <dgm:spPr/>
    </dgm:pt>
    <dgm:pt modelId="{91EA0189-8C5F-4CA0-B2EA-32BC46465AC6}" type="pres">
      <dgm:prSet presAssocID="{6CCBF9AA-99ED-4147-9D34-DF0E013DE5CE}" presName="compNode" presStyleCnt="0"/>
      <dgm:spPr/>
    </dgm:pt>
    <dgm:pt modelId="{26D5D33B-7925-44F7-9F09-5C479461A106}" type="pres">
      <dgm:prSet presAssocID="{6CCBF9AA-99ED-4147-9D34-DF0E013DE5CE}" presName="dummyConnPt" presStyleCnt="0"/>
      <dgm:spPr/>
    </dgm:pt>
    <dgm:pt modelId="{6BAE0592-07E7-4558-BAF4-6B818A8AE48A}" type="pres">
      <dgm:prSet presAssocID="{6CCBF9AA-99ED-4147-9D34-DF0E013DE5CE}" presName="node" presStyleLbl="node1" presStyleIdx="1" presStyleCnt="8">
        <dgm:presLayoutVars>
          <dgm:bulletEnabled val="1"/>
        </dgm:presLayoutVars>
      </dgm:prSet>
      <dgm:spPr/>
    </dgm:pt>
    <dgm:pt modelId="{6C796335-1357-46FB-8416-B3776D7DD7CC}" type="pres">
      <dgm:prSet presAssocID="{D2C57F02-092F-48E1-97A4-28EE88E1530B}" presName="sibTrans" presStyleLbl="bgSibTrans2D1" presStyleIdx="1" presStyleCnt="7"/>
      <dgm:spPr/>
    </dgm:pt>
    <dgm:pt modelId="{67AAC735-D921-4F4D-98F8-B638C0C3B898}" type="pres">
      <dgm:prSet presAssocID="{C9BF3CF7-4610-49E5-8381-139626E4B8D1}" presName="compNode" presStyleCnt="0"/>
      <dgm:spPr/>
    </dgm:pt>
    <dgm:pt modelId="{869FB5F0-911A-4455-AC70-33DF14AE8FA5}" type="pres">
      <dgm:prSet presAssocID="{C9BF3CF7-4610-49E5-8381-139626E4B8D1}" presName="dummyConnPt" presStyleCnt="0"/>
      <dgm:spPr/>
    </dgm:pt>
    <dgm:pt modelId="{67EE27D5-8780-4A27-BF28-99811D0E8818}" type="pres">
      <dgm:prSet presAssocID="{C9BF3CF7-4610-49E5-8381-139626E4B8D1}" presName="node" presStyleLbl="node1" presStyleIdx="2" presStyleCnt="8">
        <dgm:presLayoutVars>
          <dgm:bulletEnabled val="1"/>
        </dgm:presLayoutVars>
      </dgm:prSet>
      <dgm:spPr/>
    </dgm:pt>
    <dgm:pt modelId="{4E8E4322-5DD0-4D75-8138-EE0B7688F6F6}" type="pres">
      <dgm:prSet presAssocID="{CCD61977-C95F-4C00-90E5-66960515BA91}" presName="sibTrans" presStyleLbl="bgSibTrans2D1" presStyleIdx="2" presStyleCnt="7"/>
      <dgm:spPr/>
    </dgm:pt>
    <dgm:pt modelId="{EBECBD5E-9429-481D-869D-3C86FEC9B168}" type="pres">
      <dgm:prSet presAssocID="{64B317D6-CC66-4613-B967-210F8E64DC6E}" presName="compNode" presStyleCnt="0"/>
      <dgm:spPr/>
    </dgm:pt>
    <dgm:pt modelId="{29589ABD-9BAE-401A-A2A3-2CFEE8A7DB56}" type="pres">
      <dgm:prSet presAssocID="{64B317D6-CC66-4613-B967-210F8E64DC6E}" presName="dummyConnPt" presStyleCnt="0"/>
      <dgm:spPr/>
    </dgm:pt>
    <dgm:pt modelId="{F96E8C97-31B2-4FC3-8D5E-DEE867745AA4}" type="pres">
      <dgm:prSet presAssocID="{64B317D6-CC66-4613-B967-210F8E64DC6E}" presName="node" presStyleLbl="node1" presStyleIdx="3" presStyleCnt="8">
        <dgm:presLayoutVars>
          <dgm:bulletEnabled val="1"/>
        </dgm:presLayoutVars>
      </dgm:prSet>
      <dgm:spPr/>
    </dgm:pt>
    <dgm:pt modelId="{E5F7F06E-0A4A-48EE-BE34-846EE1B74DEC}" type="pres">
      <dgm:prSet presAssocID="{6FD111D6-179B-427F-BCF7-5BFFBB0A9D62}" presName="sibTrans" presStyleLbl="bgSibTrans2D1" presStyleIdx="3" presStyleCnt="7"/>
      <dgm:spPr/>
    </dgm:pt>
    <dgm:pt modelId="{51C638AB-A5EC-4887-825B-6050DD1B5E6F}" type="pres">
      <dgm:prSet presAssocID="{D38A742C-0793-454C-B974-9564D87C22CF}" presName="compNode" presStyleCnt="0"/>
      <dgm:spPr/>
    </dgm:pt>
    <dgm:pt modelId="{87592757-091B-487C-96EC-8F145EBEAA93}" type="pres">
      <dgm:prSet presAssocID="{D38A742C-0793-454C-B974-9564D87C22CF}" presName="dummyConnPt" presStyleCnt="0"/>
      <dgm:spPr/>
    </dgm:pt>
    <dgm:pt modelId="{7F207CAB-FE1E-4DE5-AE48-28981514948E}" type="pres">
      <dgm:prSet presAssocID="{D38A742C-0793-454C-B974-9564D87C22CF}" presName="node" presStyleLbl="node1" presStyleIdx="4" presStyleCnt="8">
        <dgm:presLayoutVars>
          <dgm:bulletEnabled val="1"/>
        </dgm:presLayoutVars>
      </dgm:prSet>
      <dgm:spPr/>
    </dgm:pt>
    <dgm:pt modelId="{2E2D13F9-F723-4A25-B645-2C1801C598DE}" type="pres">
      <dgm:prSet presAssocID="{70C6BADD-436E-4ADA-BA95-911AA5B55355}" presName="sibTrans" presStyleLbl="bgSibTrans2D1" presStyleIdx="4" presStyleCnt="7"/>
      <dgm:spPr/>
    </dgm:pt>
    <dgm:pt modelId="{96E9CDC6-D9B9-4D91-88BB-CF7A6DF9D751}" type="pres">
      <dgm:prSet presAssocID="{015A57D4-1226-47B7-B5F6-80DCF35C222B}" presName="compNode" presStyleCnt="0"/>
      <dgm:spPr/>
    </dgm:pt>
    <dgm:pt modelId="{8FF99C51-97E0-4A23-84D3-18446FA5BAA0}" type="pres">
      <dgm:prSet presAssocID="{015A57D4-1226-47B7-B5F6-80DCF35C222B}" presName="dummyConnPt" presStyleCnt="0"/>
      <dgm:spPr/>
    </dgm:pt>
    <dgm:pt modelId="{B81DF6C4-0AC2-4ACE-973F-7242388EC79F}" type="pres">
      <dgm:prSet presAssocID="{015A57D4-1226-47B7-B5F6-80DCF35C222B}" presName="node" presStyleLbl="node1" presStyleIdx="5" presStyleCnt="8">
        <dgm:presLayoutVars>
          <dgm:bulletEnabled val="1"/>
        </dgm:presLayoutVars>
      </dgm:prSet>
      <dgm:spPr/>
    </dgm:pt>
    <dgm:pt modelId="{B6F36A49-B6EA-4090-A976-EA467AEFD066}" type="pres">
      <dgm:prSet presAssocID="{2DD6DFC5-1195-437E-976F-6D57D78EEDA6}" presName="sibTrans" presStyleLbl="bgSibTrans2D1" presStyleIdx="5" presStyleCnt="7"/>
      <dgm:spPr/>
    </dgm:pt>
    <dgm:pt modelId="{96499E79-36F8-446A-A402-EE5D2AA20FF9}" type="pres">
      <dgm:prSet presAssocID="{576E380C-40F1-4E12-9A38-A974429071F9}" presName="compNode" presStyleCnt="0"/>
      <dgm:spPr/>
    </dgm:pt>
    <dgm:pt modelId="{76D007F7-68D9-4EFD-B7C3-AB3635457C84}" type="pres">
      <dgm:prSet presAssocID="{576E380C-40F1-4E12-9A38-A974429071F9}" presName="dummyConnPt" presStyleCnt="0"/>
      <dgm:spPr/>
    </dgm:pt>
    <dgm:pt modelId="{A758B494-6130-498D-A93B-13D9AFA28E66}" type="pres">
      <dgm:prSet presAssocID="{576E380C-40F1-4E12-9A38-A974429071F9}" presName="node" presStyleLbl="node1" presStyleIdx="6" presStyleCnt="8">
        <dgm:presLayoutVars>
          <dgm:bulletEnabled val="1"/>
        </dgm:presLayoutVars>
      </dgm:prSet>
      <dgm:spPr/>
    </dgm:pt>
    <dgm:pt modelId="{F2683BDD-69FC-4A1B-8F8A-CC0EA91F75EA}" type="pres">
      <dgm:prSet presAssocID="{81F90CBC-1B01-4D60-BED1-8C4A0508D77D}" presName="sibTrans" presStyleLbl="bgSibTrans2D1" presStyleIdx="6" presStyleCnt="7"/>
      <dgm:spPr/>
    </dgm:pt>
    <dgm:pt modelId="{D2701C6B-0404-49DF-88A8-11C1A1F1E23B}" type="pres">
      <dgm:prSet presAssocID="{E783F08E-5481-4737-A6DB-1F0582FDC2B7}" presName="compNode" presStyleCnt="0"/>
      <dgm:spPr/>
    </dgm:pt>
    <dgm:pt modelId="{208FA3B0-AF9B-4173-8C7C-F7EEAF7973F0}" type="pres">
      <dgm:prSet presAssocID="{E783F08E-5481-4737-A6DB-1F0582FDC2B7}" presName="dummyConnPt" presStyleCnt="0"/>
      <dgm:spPr/>
    </dgm:pt>
    <dgm:pt modelId="{98EA0987-F48F-4F8D-B8F5-C441528B8BDE}" type="pres">
      <dgm:prSet presAssocID="{E783F08E-5481-4737-A6DB-1F0582FDC2B7}" presName="node" presStyleLbl="node1" presStyleIdx="7" presStyleCnt="8">
        <dgm:presLayoutVars>
          <dgm:bulletEnabled val="1"/>
        </dgm:presLayoutVars>
      </dgm:prSet>
      <dgm:spPr/>
    </dgm:pt>
  </dgm:ptLst>
  <dgm:cxnLst>
    <dgm:cxn modelId="{E551CF1C-FB1B-496E-AF96-BD6DD5620A3B}" type="presOf" srcId="{576E380C-40F1-4E12-9A38-A974429071F9}" destId="{A758B494-6130-498D-A93B-13D9AFA28E66}" srcOrd="0" destOrd="0" presId="urn:microsoft.com/office/officeart/2005/8/layout/bProcess4"/>
    <dgm:cxn modelId="{839E4A20-7396-460F-BDBD-6FD246195946}" type="presOf" srcId="{015A57D4-1226-47B7-B5F6-80DCF35C222B}" destId="{B81DF6C4-0AC2-4ACE-973F-7242388EC79F}" srcOrd="0" destOrd="0" presId="urn:microsoft.com/office/officeart/2005/8/layout/bProcess4"/>
    <dgm:cxn modelId="{35AD4D25-7E01-4F4F-8009-672911F58993}" srcId="{5FEAA01E-A21A-4BD9-A554-2C0804B90A0C}" destId="{015A57D4-1226-47B7-B5F6-80DCF35C222B}" srcOrd="5" destOrd="0" parTransId="{8138C950-39D4-41CE-B19F-975E63E5EEAC}" sibTransId="{2DD6DFC5-1195-437E-976F-6D57D78EEDA6}"/>
    <dgm:cxn modelId="{71B91B2D-5C58-4F50-9550-C7B6CE39CEE2}" srcId="{5FEAA01E-A21A-4BD9-A554-2C0804B90A0C}" destId="{C9BF3CF7-4610-49E5-8381-139626E4B8D1}" srcOrd="2" destOrd="0" parTransId="{AFE127DA-BA26-4694-8564-ED976C5787B1}" sibTransId="{CCD61977-C95F-4C00-90E5-66960515BA91}"/>
    <dgm:cxn modelId="{1FCDDA31-917A-4386-B535-B4BC3010CE26}" type="presOf" srcId="{5FEAA01E-A21A-4BD9-A554-2C0804B90A0C}" destId="{0C57222B-B4B3-456E-B48E-FDDBE4E1874F}" srcOrd="0" destOrd="0" presId="urn:microsoft.com/office/officeart/2005/8/layout/bProcess4"/>
    <dgm:cxn modelId="{F1AB2D35-3AD3-490F-B580-757DF3155186}" type="presOf" srcId="{81F90CBC-1B01-4D60-BED1-8C4A0508D77D}" destId="{F2683BDD-69FC-4A1B-8F8A-CC0EA91F75EA}" srcOrd="0" destOrd="0" presId="urn:microsoft.com/office/officeart/2005/8/layout/bProcess4"/>
    <dgm:cxn modelId="{9883173A-6F79-40C4-9912-DF9CAB470651}" type="presOf" srcId="{D38A742C-0793-454C-B974-9564D87C22CF}" destId="{7F207CAB-FE1E-4DE5-AE48-28981514948E}" srcOrd="0" destOrd="0" presId="urn:microsoft.com/office/officeart/2005/8/layout/bProcess4"/>
    <dgm:cxn modelId="{B849113B-CC30-4ADB-AF37-5B49F567F8E7}" type="presOf" srcId="{64B317D6-CC66-4613-B967-210F8E64DC6E}" destId="{F96E8C97-31B2-4FC3-8D5E-DEE867745AA4}" srcOrd="0" destOrd="0" presId="urn:microsoft.com/office/officeart/2005/8/layout/bProcess4"/>
    <dgm:cxn modelId="{5FA68B3E-799F-419A-80A0-43BEA7685C3E}" type="presOf" srcId="{4BCFBDA8-0676-45A1-8192-298B422B7041}" destId="{9B3A2587-2E0A-4EAF-8ABD-ACD75B68BEC2}" srcOrd="0" destOrd="0" presId="urn:microsoft.com/office/officeart/2005/8/layout/bProcess4"/>
    <dgm:cxn modelId="{A163675C-64AA-4052-BC6B-9332F03EDBD6}" type="presOf" srcId="{E783F08E-5481-4737-A6DB-1F0582FDC2B7}" destId="{98EA0987-F48F-4F8D-B8F5-C441528B8BDE}" srcOrd="0" destOrd="0" presId="urn:microsoft.com/office/officeart/2005/8/layout/bProcess4"/>
    <dgm:cxn modelId="{54C1D15C-5424-43EB-AE95-9B8586347DBD}" type="presOf" srcId="{E5D9370A-BB57-4775-B9CD-6E89B8400E78}" destId="{A19F73A5-141D-49A6-94A2-79A23533044C}" srcOrd="0" destOrd="0" presId="urn:microsoft.com/office/officeart/2005/8/layout/bProcess4"/>
    <dgm:cxn modelId="{B4D3DC5D-1CE4-468E-A375-688B209F39C1}" srcId="{5FEAA01E-A21A-4BD9-A554-2C0804B90A0C}" destId="{E783F08E-5481-4737-A6DB-1F0582FDC2B7}" srcOrd="7" destOrd="0" parTransId="{97E3EDE5-EB50-4A48-8906-1C71C5690FBB}" sibTransId="{01894E8B-3CAB-483C-9AEC-CE55CF36B5F8}"/>
    <dgm:cxn modelId="{A47FF65D-2F06-413C-8ED6-48688A135E71}" srcId="{5FEAA01E-A21A-4BD9-A554-2C0804B90A0C}" destId="{D38A742C-0793-454C-B974-9564D87C22CF}" srcOrd="4" destOrd="0" parTransId="{068F1F20-B3BE-4FF1-A774-826D68E28E97}" sibTransId="{70C6BADD-436E-4ADA-BA95-911AA5B55355}"/>
    <dgm:cxn modelId="{70146165-273F-48AE-8CB7-BB14C8C3F806}" srcId="{5FEAA01E-A21A-4BD9-A554-2C0804B90A0C}" destId="{64B317D6-CC66-4613-B967-210F8E64DC6E}" srcOrd="3" destOrd="0" parTransId="{E547FE2E-67EA-4837-BEB6-ABE64BFD109F}" sibTransId="{6FD111D6-179B-427F-BCF7-5BFFBB0A9D62}"/>
    <dgm:cxn modelId="{DBB82F4A-A5F6-4B1C-A4CE-13605474E69E}" type="presOf" srcId="{6FD111D6-179B-427F-BCF7-5BFFBB0A9D62}" destId="{E5F7F06E-0A4A-48EE-BE34-846EE1B74DEC}" srcOrd="0" destOrd="0" presId="urn:microsoft.com/office/officeart/2005/8/layout/bProcess4"/>
    <dgm:cxn modelId="{8EF88654-A1C1-41E6-8D99-DD8F04A53CA0}" type="presOf" srcId="{70C6BADD-436E-4ADA-BA95-911AA5B55355}" destId="{2E2D13F9-F723-4A25-B645-2C1801C598DE}" srcOrd="0" destOrd="0" presId="urn:microsoft.com/office/officeart/2005/8/layout/bProcess4"/>
    <dgm:cxn modelId="{D5B0068D-0762-46D7-BA0D-92B65DCE6E5A}" srcId="{5FEAA01E-A21A-4BD9-A554-2C0804B90A0C}" destId="{6CCBF9AA-99ED-4147-9D34-DF0E013DE5CE}" srcOrd="1" destOrd="0" parTransId="{0D5241ED-BBB9-46EC-9B8C-E816DF5A1BB0}" sibTransId="{D2C57F02-092F-48E1-97A4-28EE88E1530B}"/>
    <dgm:cxn modelId="{5E43B3C1-1ABE-4FAB-86BE-15BA55E173FA}" type="presOf" srcId="{C9BF3CF7-4610-49E5-8381-139626E4B8D1}" destId="{67EE27D5-8780-4A27-BF28-99811D0E8818}" srcOrd="0" destOrd="0" presId="urn:microsoft.com/office/officeart/2005/8/layout/bProcess4"/>
    <dgm:cxn modelId="{E8DC0CC3-5838-4A7D-8788-3F2345368A38}" type="presOf" srcId="{D2C57F02-092F-48E1-97A4-28EE88E1530B}" destId="{6C796335-1357-46FB-8416-B3776D7DD7CC}" srcOrd="0" destOrd="0" presId="urn:microsoft.com/office/officeart/2005/8/layout/bProcess4"/>
    <dgm:cxn modelId="{3637F6C4-0C59-486A-ADC0-EDBDFDDD744D}" type="presOf" srcId="{2DD6DFC5-1195-437E-976F-6D57D78EEDA6}" destId="{B6F36A49-B6EA-4090-A976-EA467AEFD066}" srcOrd="0" destOrd="0" presId="urn:microsoft.com/office/officeart/2005/8/layout/bProcess4"/>
    <dgm:cxn modelId="{9AEFF0D9-1381-47F8-BC39-52AA14BB01B6}" srcId="{5FEAA01E-A21A-4BD9-A554-2C0804B90A0C}" destId="{576E380C-40F1-4E12-9A38-A974429071F9}" srcOrd="6" destOrd="0" parTransId="{662DCA41-97FB-4B90-866F-DE1038AF68B3}" sibTransId="{81F90CBC-1B01-4D60-BED1-8C4A0508D77D}"/>
    <dgm:cxn modelId="{2352C4DC-3AB7-4284-ADC5-FCA9CA2D94DA}" type="presOf" srcId="{6CCBF9AA-99ED-4147-9D34-DF0E013DE5CE}" destId="{6BAE0592-07E7-4558-BAF4-6B818A8AE48A}" srcOrd="0" destOrd="0" presId="urn:microsoft.com/office/officeart/2005/8/layout/bProcess4"/>
    <dgm:cxn modelId="{314197E4-EC3F-4561-8119-B4982823F14A}" srcId="{5FEAA01E-A21A-4BD9-A554-2C0804B90A0C}" destId="{E5D9370A-BB57-4775-B9CD-6E89B8400E78}" srcOrd="0" destOrd="0" parTransId="{068F1724-E7DC-4BC5-909E-8DF9B329CF5F}" sibTransId="{4BCFBDA8-0676-45A1-8192-298B422B7041}"/>
    <dgm:cxn modelId="{50A3A8F1-87A3-4704-BDE3-680D96AF4073}" type="presOf" srcId="{CCD61977-C95F-4C00-90E5-66960515BA91}" destId="{4E8E4322-5DD0-4D75-8138-EE0B7688F6F6}" srcOrd="0" destOrd="0" presId="urn:microsoft.com/office/officeart/2005/8/layout/bProcess4"/>
    <dgm:cxn modelId="{CAD3AD72-36A5-4432-9033-118998729DD2}" type="presParOf" srcId="{0C57222B-B4B3-456E-B48E-FDDBE4E1874F}" destId="{33E99A39-ECAA-4644-9DD9-8C0095186221}" srcOrd="0" destOrd="0" presId="urn:microsoft.com/office/officeart/2005/8/layout/bProcess4"/>
    <dgm:cxn modelId="{D860EDE7-24FC-4C34-965B-48F3EE1C6E4C}" type="presParOf" srcId="{33E99A39-ECAA-4644-9DD9-8C0095186221}" destId="{BE1B26E2-3256-47DD-AB21-558791FEC1EB}" srcOrd="0" destOrd="0" presId="urn:microsoft.com/office/officeart/2005/8/layout/bProcess4"/>
    <dgm:cxn modelId="{26D1658B-EDC9-4117-8138-05E3879A4335}" type="presParOf" srcId="{33E99A39-ECAA-4644-9DD9-8C0095186221}" destId="{A19F73A5-141D-49A6-94A2-79A23533044C}" srcOrd="1" destOrd="0" presId="urn:microsoft.com/office/officeart/2005/8/layout/bProcess4"/>
    <dgm:cxn modelId="{5947AD18-1757-4105-B2B0-EF4F74E7999C}" type="presParOf" srcId="{0C57222B-B4B3-456E-B48E-FDDBE4E1874F}" destId="{9B3A2587-2E0A-4EAF-8ABD-ACD75B68BEC2}" srcOrd="1" destOrd="0" presId="urn:microsoft.com/office/officeart/2005/8/layout/bProcess4"/>
    <dgm:cxn modelId="{1A1EC476-68CE-4D25-89A7-F0C15AEB1949}" type="presParOf" srcId="{0C57222B-B4B3-456E-B48E-FDDBE4E1874F}" destId="{91EA0189-8C5F-4CA0-B2EA-32BC46465AC6}" srcOrd="2" destOrd="0" presId="urn:microsoft.com/office/officeart/2005/8/layout/bProcess4"/>
    <dgm:cxn modelId="{5358965A-1ABB-4AB5-A997-74F340A74405}" type="presParOf" srcId="{91EA0189-8C5F-4CA0-B2EA-32BC46465AC6}" destId="{26D5D33B-7925-44F7-9F09-5C479461A106}" srcOrd="0" destOrd="0" presId="urn:microsoft.com/office/officeart/2005/8/layout/bProcess4"/>
    <dgm:cxn modelId="{AED0FCD2-141F-445C-AEE3-465A1A5E453D}" type="presParOf" srcId="{91EA0189-8C5F-4CA0-B2EA-32BC46465AC6}" destId="{6BAE0592-07E7-4558-BAF4-6B818A8AE48A}" srcOrd="1" destOrd="0" presId="urn:microsoft.com/office/officeart/2005/8/layout/bProcess4"/>
    <dgm:cxn modelId="{468B0CDB-DE90-46E4-9F70-D34C633ED78A}" type="presParOf" srcId="{0C57222B-B4B3-456E-B48E-FDDBE4E1874F}" destId="{6C796335-1357-46FB-8416-B3776D7DD7CC}" srcOrd="3" destOrd="0" presId="urn:microsoft.com/office/officeart/2005/8/layout/bProcess4"/>
    <dgm:cxn modelId="{1A153E7A-B077-44B3-B73F-651A8CF45C68}" type="presParOf" srcId="{0C57222B-B4B3-456E-B48E-FDDBE4E1874F}" destId="{67AAC735-D921-4F4D-98F8-B638C0C3B898}" srcOrd="4" destOrd="0" presId="urn:microsoft.com/office/officeart/2005/8/layout/bProcess4"/>
    <dgm:cxn modelId="{DFD6DE8A-CC70-4EE6-B331-5C63086897B2}" type="presParOf" srcId="{67AAC735-D921-4F4D-98F8-B638C0C3B898}" destId="{869FB5F0-911A-4455-AC70-33DF14AE8FA5}" srcOrd="0" destOrd="0" presId="urn:microsoft.com/office/officeart/2005/8/layout/bProcess4"/>
    <dgm:cxn modelId="{BE521025-F7F4-44EE-8E70-82E516D803CE}" type="presParOf" srcId="{67AAC735-D921-4F4D-98F8-B638C0C3B898}" destId="{67EE27D5-8780-4A27-BF28-99811D0E8818}" srcOrd="1" destOrd="0" presId="urn:microsoft.com/office/officeart/2005/8/layout/bProcess4"/>
    <dgm:cxn modelId="{06118A9F-FC48-4A19-8F6A-3A58D074F0A2}" type="presParOf" srcId="{0C57222B-B4B3-456E-B48E-FDDBE4E1874F}" destId="{4E8E4322-5DD0-4D75-8138-EE0B7688F6F6}" srcOrd="5" destOrd="0" presId="urn:microsoft.com/office/officeart/2005/8/layout/bProcess4"/>
    <dgm:cxn modelId="{CAFAA6F1-EC24-494F-988E-27DC5348E08E}" type="presParOf" srcId="{0C57222B-B4B3-456E-B48E-FDDBE4E1874F}" destId="{EBECBD5E-9429-481D-869D-3C86FEC9B168}" srcOrd="6" destOrd="0" presId="urn:microsoft.com/office/officeart/2005/8/layout/bProcess4"/>
    <dgm:cxn modelId="{A23C4E0E-BE39-44B1-AF46-06D827D2875C}" type="presParOf" srcId="{EBECBD5E-9429-481D-869D-3C86FEC9B168}" destId="{29589ABD-9BAE-401A-A2A3-2CFEE8A7DB56}" srcOrd="0" destOrd="0" presId="urn:microsoft.com/office/officeart/2005/8/layout/bProcess4"/>
    <dgm:cxn modelId="{E2852E9E-43FF-452C-B68C-30EC4B2CDE59}" type="presParOf" srcId="{EBECBD5E-9429-481D-869D-3C86FEC9B168}" destId="{F96E8C97-31B2-4FC3-8D5E-DEE867745AA4}" srcOrd="1" destOrd="0" presId="urn:microsoft.com/office/officeart/2005/8/layout/bProcess4"/>
    <dgm:cxn modelId="{6F6A5D07-F053-458D-B0EA-EB254A29199E}" type="presParOf" srcId="{0C57222B-B4B3-456E-B48E-FDDBE4E1874F}" destId="{E5F7F06E-0A4A-48EE-BE34-846EE1B74DEC}" srcOrd="7" destOrd="0" presId="urn:microsoft.com/office/officeart/2005/8/layout/bProcess4"/>
    <dgm:cxn modelId="{88DC9ED6-9724-438B-ACCA-5750B0EA939E}" type="presParOf" srcId="{0C57222B-B4B3-456E-B48E-FDDBE4E1874F}" destId="{51C638AB-A5EC-4887-825B-6050DD1B5E6F}" srcOrd="8" destOrd="0" presId="urn:microsoft.com/office/officeart/2005/8/layout/bProcess4"/>
    <dgm:cxn modelId="{35BAFF7D-DBA3-4EAC-AD14-BC4BA718CBF0}" type="presParOf" srcId="{51C638AB-A5EC-4887-825B-6050DD1B5E6F}" destId="{87592757-091B-487C-96EC-8F145EBEAA93}" srcOrd="0" destOrd="0" presId="urn:microsoft.com/office/officeart/2005/8/layout/bProcess4"/>
    <dgm:cxn modelId="{15F1DC03-CE04-4672-BE9B-E060BEE71003}" type="presParOf" srcId="{51C638AB-A5EC-4887-825B-6050DD1B5E6F}" destId="{7F207CAB-FE1E-4DE5-AE48-28981514948E}" srcOrd="1" destOrd="0" presId="urn:microsoft.com/office/officeart/2005/8/layout/bProcess4"/>
    <dgm:cxn modelId="{09CC0520-A173-496C-A63A-EE0BA2610391}" type="presParOf" srcId="{0C57222B-B4B3-456E-B48E-FDDBE4E1874F}" destId="{2E2D13F9-F723-4A25-B645-2C1801C598DE}" srcOrd="9" destOrd="0" presId="urn:microsoft.com/office/officeart/2005/8/layout/bProcess4"/>
    <dgm:cxn modelId="{8D46ECC5-3038-4EB2-A00F-DE50F1694AFA}" type="presParOf" srcId="{0C57222B-B4B3-456E-B48E-FDDBE4E1874F}" destId="{96E9CDC6-D9B9-4D91-88BB-CF7A6DF9D751}" srcOrd="10" destOrd="0" presId="urn:microsoft.com/office/officeart/2005/8/layout/bProcess4"/>
    <dgm:cxn modelId="{2570E703-5528-4906-969D-78CB6BF4A319}" type="presParOf" srcId="{96E9CDC6-D9B9-4D91-88BB-CF7A6DF9D751}" destId="{8FF99C51-97E0-4A23-84D3-18446FA5BAA0}" srcOrd="0" destOrd="0" presId="urn:microsoft.com/office/officeart/2005/8/layout/bProcess4"/>
    <dgm:cxn modelId="{4E00CC51-B66E-4047-BC4F-4D1CCBBE476F}" type="presParOf" srcId="{96E9CDC6-D9B9-4D91-88BB-CF7A6DF9D751}" destId="{B81DF6C4-0AC2-4ACE-973F-7242388EC79F}" srcOrd="1" destOrd="0" presId="urn:microsoft.com/office/officeart/2005/8/layout/bProcess4"/>
    <dgm:cxn modelId="{5443C2EC-4C6D-442D-9278-8CA15BDBE529}" type="presParOf" srcId="{0C57222B-B4B3-456E-B48E-FDDBE4E1874F}" destId="{B6F36A49-B6EA-4090-A976-EA467AEFD066}" srcOrd="11" destOrd="0" presId="urn:microsoft.com/office/officeart/2005/8/layout/bProcess4"/>
    <dgm:cxn modelId="{14F6FF5F-7262-44DE-A0E5-37362A5E72A6}" type="presParOf" srcId="{0C57222B-B4B3-456E-B48E-FDDBE4E1874F}" destId="{96499E79-36F8-446A-A402-EE5D2AA20FF9}" srcOrd="12" destOrd="0" presId="urn:microsoft.com/office/officeart/2005/8/layout/bProcess4"/>
    <dgm:cxn modelId="{4C9AFB87-8C89-4294-BD0B-D89F4529B5F6}" type="presParOf" srcId="{96499E79-36F8-446A-A402-EE5D2AA20FF9}" destId="{76D007F7-68D9-4EFD-B7C3-AB3635457C84}" srcOrd="0" destOrd="0" presId="urn:microsoft.com/office/officeart/2005/8/layout/bProcess4"/>
    <dgm:cxn modelId="{C69E17AC-5807-4F7B-B317-91785D08DBB7}" type="presParOf" srcId="{96499E79-36F8-446A-A402-EE5D2AA20FF9}" destId="{A758B494-6130-498D-A93B-13D9AFA28E66}" srcOrd="1" destOrd="0" presId="urn:microsoft.com/office/officeart/2005/8/layout/bProcess4"/>
    <dgm:cxn modelId="{40BC7C16-B77D-4138-8417-F8A0D010E6CF}" type="presParOf" srcId="{0C57222B-B4B3-456E-B48E-FDDBE4E1874F}" destId="{F2683BDD-69FC-4A1B-8F8A-CC0EA91F75EA}" srcOrd="13" destOrd="0" presId="urn:microsoft.com/office/officeart/2005/8/layout/bProcess4"/>
    <dgm:cxn modelId="{FA4F841F-53EC-4C6D-9389-8A35485F3E5F}" type="presParOf" srcId="{0C57222B-B4B3-456E-B48E-FDDBE4E1874F}" destId="{D2701C6B-0404-49DF-88A8-11C1A1F1E23B}" srcOrd="14" destOrd="0" presId="urn:microsoft.com/office/officeart/2005/8/layout/bProcess4"/>
    <dgm:cxn modelId="{7211B85B-B609-42BF-80EC-BA4823816A56}" type="presParOf" srcId="{D2701C6B-0404-49DF-88A8-11C1A1F1E23B}" destId="{208FA3B0-AF9B-4173-8C7C-F7EEAF7973F0}" srcOrd="0" destOrd="0" presId="urn:microsoft.com/office/officeart/2005/8/layout/bProcess4"/>
    <dgm:cxn modelId="{86BE66D8-765C-4D02-96BC-64FEF3021C5E}" type="presParOf" srcId="{D2701C6B-0404-49DF-88A8-11C1A1F1E23B}" destId="{98EA0987-F48F-4F8D-B8F5-C441528B8BDE}" srcOrd="1" destOrd="0" presId="urn:microsoft.com/office/officeart/2005/8/layout/bProcess4"/>
  </dgm:cxnLst>
  <dgm:bg/>
  <dgm:whole/>
  <dgm:extLst>
    <a:ext uri="http://schemas.microsoft.com/office/drawing/2008/diagram">
      <dsp:dataModelExt xmlns:dsp="http://schemas.microsoft.com/office/drawing/2008/diagram" relId="rId6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4" qsCatId="simple" csTypeId="urn:microsoft.com/office/officeart/2005/8/colors/colorful3" csCatId="colorful" phldr="1"/>
      <dgm:spPr/>
      <dgm:t>
        <a:bodyPr/>
        <a:lstStyle/>
        <a:p>
          <a:endParaRPr lang="en-GB"/>
        </a:p>
      </dgm:t>
    </dgm:pt>
    <dgm:pt modelId="{D895BCAF-11FD-4161-9460-71155FF594D5}">
      <dgm:prSet custT="1"/>
      <dgm:spPr/>
      <dgm:t>
        <a:bodyPr/>
        <a:lstStyle/>
        <a:p>
          <a:r>
            <a:rPr lang="en-GB" sz="1200"/>
            <a:t>Respect for Intellectual Property:</a:t>
          </a:r>
        </a:p>
      </dgm:t>
    </dgm:pt>
    <dgm:pt modelId="{55C24B6C-44F8-45FA-AE8C-D7852F8F756E}" type="parTrans" cxnId="{56DD223B-87BE-41AD-A123-502044CB6C82}">
      <dgm:prSet/>
      <dgm:spPr/>
      <dgm:t>
        <a:bodyPr/>
        <a:lstStyle/>
        <a:p>
          <a:endParaRPr lang="en-GB"/>
        </a:p>
      </dgm:t>
    </dgm:pt>
    <dgm:pt modelId="{1D8F6D8C-F89F-400C-A451-06369F630D13}" type="sibTrans" cxnId="{56DD223B-87BE-41AD-A123-502044CB6C82}">
      <dgm:prSet/>
      <dgm:spPr/>
      <dgm:t>
        <a:bodyPr/>
        <a:lstStyle/>
        <a:p>
          <a:endParaRPr lang="en-GB"/>
        </a:p>
      </dgm:t>
    </dgm:pt>
    <dgm:pt modelId="{DD8DD7F7-557F-4529-952E-996BE575A6CC}">
      <dgm:prSet custT="1"/>
      <dgm:spPr/>
      <dgm:t>
        <a:bodyPr/>
        <a:lstStyle/>
        <a:p>
          <a:r>
            <a:rPr lang="en-GB" sz="1200"/>
            <a:t>Accurately referencing all sources to avoid plagiarism</a:t>
          </a:r>
          <a:endParaRPr lang="en-GB" sz="1200" dirty="0"/>
        </a:p>
      </dgm:t>
    </dgm:pt>
    <dgm:pt modelId="{898A7FBF-8854-4FCD-8F75-6D0A10D342BF}" type="parTrans" cxnId="{DA224816-7824-4FE5-9CD1-3E0ECE27E8A0}">
      <dgm:prSet/>
      <dgm:spPr/>
      <dgm:t>
        <a:bodyPr/>
        <a:lstStyle/>
        <a:p>
          <a:endParaRPr lang="en-GB"/>
        </a:p>
      </dgm:t>
    </dgm:pt>
    <dgm:pt modelId="{069345D4-AF17-4BE2-BEFD-16AAD453ED22}" type="sibTrans" cxnId="{DA224816-7824-4FE5-9CD1-3E0ECE27E8A0}">
      <dgm:prSet/>
      <dgm:spPr/>
      <dgm:t>
        <a:bodyPr/>
        <a:lstStyle/>
        <a:p>
          <a:endParaRPr lang="en-GB"/>
        </a:p>
      </dgm:t>
    </dgm:pt>
    <dgm:pt modelId="{D2F35989-0D76-4707-8851-E95507DAC780}">
      <dgm:prSet custT="1"/>
      <dgm:spPr/>
      <dgm:t>
        <a:bodyPr/>
        <a:lstStyle/>
        <a:p>
          <a:r>
            <a:rPr lang="en-GB" sz="1200"/>
            <a:t>Privacy and Confidentiality:</a:t>
          </a:r>
        </a:p>
      </dgm:t>
    </dgm:pt>
    <dgm:pt modelId="{95A47F62-7CA1-4144-B825-A44483178729}" type="parTrans" cxnId="{CB93FF67-74EB-4163-A9EC-6469F10734D1}">
      <dgm:prSet/>
      <dgm:spPr/>
      <dgm:t>
        <a:bodyPr/>
        <a:lstStyle/>
        <a:p>
          <a:endParaRPr lang="en-GB"/>
        </a:p>
      </dgm:t>
    </dgm:pt>
    <dgm:pt modelId="{B96B68E4-E5AE-4BB2-A658-AF9FA9406E6C}" type="sibTrans" cxnId="{CB93FF67-74EB-4163-A9EC-6469F10734D1}">
      <dgm:prSet/>
      <dgm:spPr/>
      <dgm:t>
        <a:bodyPr/>
        <a:lstStyle/>
        <a:p>
          <a:endParaRPr lang="en-GB"/>
        </a:p>
      </dgm:t>
    </dgm:pt>
    <dgm:pt modelId="{B8AA4B07-C565-4CCF-9950-02D7DCC3515C}">
      <dgm:prSet custT="1"/>
      <dgm:spPr/>
      <dgm:t>
        <a:bodyPr/>
        <a:lstStyle/>
        <a:p>
          <a:r>
            <a:rPr lang="en-GB" sz="1200"/>
            <a:t>Respecting the sensitivity of the topic due to its personal and social significance</a:t>
          </a:r>
        </a:p>
      </dgm:t>
    </dgm:pt>
    <dgm:pt modelId="{7CE0ECD8-FF60-40FC-834A-69289342858B}" type="parTrans" cxnId="{54E1D1F9-2D03-4A36-ADEB-7EC8EB0F85F9}">
      <dgm:prSet/>
      <dgm:spPr/>
      <dgm:t>
        <a:bodyPr/>
        <a:lstStyle/>
        <a:p>
          <a:endParaRPr lang="en-GB"/>
        </a:p>
      </dgm:t>
    </dgm:pt>
    <dgm:pt modelId="{BA44317E-0141-443D-B3B3-5D8A23F7257D}" type="sibTrans" cxnId="{54E1D1F9-2D03-4A36-ADEB-7EC8EB0F85F9}">
      <dgm:prSet/>
      <dgm:spPr/>
      <dgm:t>
        <a:bodyPr/>
        <a:lstStyle/>
        <a:p>
          <a:endParaRPr lang="en-GB"/>
        </a:p>
      </dgm:t>
    </dgm:pt>
    <dgm:pt modelId="{5674B894-A55E-4559-8EA7-028C3F32E4B2}">
      <dgm:prSet custT="1"/>
      <dgm:spPr/>
      <dgm:t>
        <a:bodyPr/>
        <a:lstStyle/>
        <a:p>
          <a:r>
            <a:rPr lang="en-GB" sz="1200"/>
            <a:t>Data Integrity and Reliability: </a:t>
          </a:r>
        </a:p>
      </dgm:t>
    </dgm:pt>
    <dgm:pt modelId="{CF4D6B60-7FC7-4A9C-B7E1-C22EA10EB381}" type="parTrans" cxnId="{8A48955A-FF8F-4776-99D4-D2F9A35739B0}">
      <dgm:prSet/>
      <dgm:spPr/>
      <dgm:t>
        <a:bodyPr/>
        <a:lstStyle/>
        <a:p>
          <a:endParaRPr lang="en-GB"/>
        </a:p>
      </dgm:t>
    </dgm:pt>
    <dgm:pt modelId="{94E754A5-C7C4-42B9-A350-BD17338F58B9}" type="sibTrans" cxnId="{8A48955A-FF8F-4776-99D4-D2F9A35739B0}">
      <dgm:prSet/>
      <dgm:spPr/>
      <dgm:t>
        <a:bodyPr/>
        <a:lstStyle/>
        <a:p>
          <a:endParaRPr lang="en-GB"/>
        </a:p>
      </dgm:t>
    </dgm:pt>
    <dgm:pt modelId="{31ECEDD7-80EF-414B-BE50-B610D566367B}">
      <dgm:prSet custT="1"/>
      <dgm:spPr/>
      <dgm:t>
        <a:bodyPr/>
        <a:lstStyle/>
        <a:p>
          <a:r>
            <a:rPr lang="en-GB" sz="1200"/>
            <a:t>Using credible and peer-reviewed literature</a:t>
          </a:r>
        </a:p>
      </dgm:t>
    </dgm:pt>
    <dgm:pt modelId="{20439AF7-F994-4596-8154-7958604637F8}" type="parTrans" cxnId="{7B9CB682-0DC9-4815-951A-E787AB7CD2FE}">
      <dgm:prSet/>
      <dgm:spPr/>
      <dgm:t>
        <a:bodyPr/>
        <a:lstStyle/>
        <a:p>
          <a:endParaRPr lang="en-GB"/>
        </a:p>
      </dgm:t>
    </dgm:pt>
    <dgm:pt modelId="{BAE7B1D5-018D-43C6-93C5-0E28100285E0}" type="sibTrans" cxnId="{7B9CB682-0DC9-4815-951A-E787AB7CD2FE}">
      <dgm:prSet/>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3">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3">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3">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3">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3">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3">
        <dgm:presLayoutVars>
          <dgm:bulletEnabled val="1"/>
        </dgm:presLayoutVars>
      </dgm:prSet>
      <dgm:spPr/>
    </dgm:pt>
  </dgm:ptLst>
  <dgm:cxnLst>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399E6863-0942-4C7F-888F-D5A856FD2535}" type="presOf" srcId="{D2F35989-0D76-4707-8851-E95507DAC780}" destId="{0F07604D-46A6-4ADA-B996-B9E43A897BA8}" srcOrd="0" destOrd="0"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6D02BE70-8BF6-45CD-ABFA-06108FDCC6B4}" type="presOf" srcId="{B8AA4B07-C565-4CCF-9950-02D7DCC3515C}" destId="{D9C43641-36D4-43D5-A2FD-0F9F6D2C43BC}"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69B898E8-8AC1-49BC-ACDC-C481A18F83F5}" type="presOf" srcId="{DD8DD7F7-557F-4529-952E-996BE575A6CC}" destId="{0916EB88-9427-4C81-A0D0-B1BC4D25BFB9}" srcOrd="0" destOrd="0" presId="urn:microsoft.com/office/officeart/2005/8/layout/hList1"/>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Lst>
  <dgm:bg>
    <a:effectLst>
      <a:outerShdw blurRad="50800" dist="50800" dir="5400000" algn="ctr" rotWithShape="0">
        <a:schemeClr val="bg1"/>
      </a:outerShdw>
    </a:effectLst>
  </dgm:bg>
  <dgm:whole/>
  <dgm:extLst>
    <a:ext uri="http://schemas.microsoft.com/office/drawing/2008/diagram">
      <dsp:dataModelExt xmlns:dsp="http://schemas.microsoft.com/office/drawing/2008/diagram" relId="rId7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3A2587-2E0A-4EAF-8ABD-ACD75B68BEC2}">
      <dsp:nvSpPr>
        <dsp:cNvPr id="0" name=""/>
        <dsp:cNvSpPr/>
      </dsp:nvSpPr>
      <dsp:spPr>
        <a:xfrm rot="5400000">
          <a:off x="-209112" y="628851"/>
          <a:ext cx="938465" cy="113795"/>
        </a:xfrm>
        <a:prstGeom prst="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A19F73A5-141D-49A6-94A2-79A23533044C}">
      <dsp:nvSpPr>
        <dsp:cNvPr id="0" name=""/>
        <dsp:cNvSpPr/>
      </dsp:nvSpPr>
      <dsp:spPr>
        <a:xfrm>
          <a:off x="2329" y="23353"/>
          <a:ext cx="1264389" cy="758633"/>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Records identified through database searching: 152</a:t>
          </a:r>
        </a:p>
      </dsp:txBody>
      <dsp:txXfrm>
        <a:off x="24549" y="45573"/>
        <a:ext cx="1219949" cy="714193"/>
      </dsp:txXfrm>
    </dsp:sp>
    <dsp:sp modelId="{6C796335-1357-46FB-8416-B3776D7DD7CC}">
      <dsp:nvSpPr>
        <dsp:cNvPr id="0" name=""/>
        <dsp:cNvSpPr/>
      </dsp:nvSpPr>
      <dsp:spPr>
        <a:xfrm rot="5400000">
          <a:off x="-209112" y="1577143"/>
          <a:ext cx="938465" cy="113795"/>
        </a:xfrm>
        <a:prstGeom prst="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6BAE0592-07E7-4558-BAF4-6B818A8AE48A}">
      <dsp:nvSpPr>
        <dsp:cNvPr id="0" name=""/>
        <dsp:cNvSpPr/>
      </dsp:nvSpPr>
      <dsp:spPr>
        <a:xfrm>
          <a:off x="2329" y="971645"/>
          <a:ext cx="1264389" cy="758633"/>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Duplicate records removed: 34</a:t>
          </a:r>
        </a:p>
      </dsp:txBody>
      <dsp:txXfrm>
        <a:off x="24549" y="993865"/>
        <a:ext cx="1219949" cy="714193"/>
      </dsp:txXfrm>
    </dsp:sp>
    <dsp:sp modelId="{4E8E4322-5DD0-4D75-8138-EE0B7688F6F6}">
      <dsp:nvSpPr>
        <dsp:cNvPr id="0" name=""/>
        <dsp:cNvSpPr/>
      </dsp:nvSpPr>
      <dsp:spPr>
        <a:xfrm>
          <a:off x="265033" y="2051289"/>
          <a:ext cx="1671811" cy="113795"/>
        </a:xfrm>
        <a:prstGeom prst="rect">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67EE27D5-8780-4A27-BF28-99811D0E8818}">
      <dsp:nvSpPr>
        <dsp:cNvPr id="0" name=""/>
        <dsp:cNvSpPr/>
      </dsp:nvSpPr>
      <dsp:spPr>
        <a:xfrm>
          <a:off x="2329" y="1919937"/>
          <a:ext cx="1264389" cy="758633"/>
        </a:xfrm>
        <a:prstGeom prst="roundRect">
          <a:avLst>
            <a:gd name="adj" fmla="val 1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Records remaining after duplicates removed: 118</a:t>
          </a:r>
        </a:p>
      </dsp:txBody>
      <dsp:txXfrm>
        <a:off x="24549" y="1942157"/>
        <a:ext cx="1219949" cy="714193"/>
      </dsp:txXfrm>
    </dsp:sp>
    <dsp:sp modelId="{E5F7F06E-0A4A-48EE-BE34-846EE1B74DEC}">
      <dsp:nvSpPr>
        <dsp:cNvPr id="0" name=""/>
        <dsp:cNvSpPr/>
      </dsp:nvSpPr>
      <dsp:spPr>
        <a:xfrm rot="16200000">
          <a:off x="1472525" y="1577143"/>
          <a:ext cx="938465" cy="113795"/>
        </a:xfrm>
        <a:prstGeom prst="rect">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F96E8C97-31B2-4FC3-8D5E-DEE867745AA4}">
      <dsp:nvSpPr>
        <dsp:cNvPr id="0" name=""/>
        <dsp:cNvSpPr/>
      </dsp:nvSpPr>
      <dsp:spPr>
        <a:xfrm>
          <a:off x="1683967" y="1919937"/>
          <a:ext cx="1264389" cy="758633"/>
        </a:xfrm>
        <a:prstGeom prst="roundRect">
          <a:avLst>
            <a:gd name="adj" fmla="val 10000"/>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Records screened by title and abstract: 118</a:t>
          </a:r>
        </a:p>
      </dsp:txBody>
      <dsp:txXfrm>
        <a:off x="1706187" y="1942157"/>
        <a:ext cx="1219949" cy="714193"/>
      </dsp:txXfrm>
    </dsp:sp>
    <dsp:sp modelId="{2E2D13F9-F723-4A25-B645-2C1801C598DE}">
      <dsp:nvSpPr>
        <dsp:cNvPr id="0" name=""/>
        <dsp:cNvSpPr/>
      </dsp:nvSpPr>
      <dsp:spPr>
        <a:xfrm rot="16200000">
          <a:off x="1472525" y="628851"/>
          <a:ext cx="938465" cy="113795"/>
        </a:xfrm>
        <a:prstGeom prst="rect">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7F207CAB-FE1E-4DE5-AE48-28981514948E}">
      <dsp:nvSpPr>
        <dsp:cNvPr id="0" name=""/>
        <dsp:cNvSpPr/>
      </dsp:nvSpPr>
      <dsp:spPr>
        <a:xfrm>
          <a:off x="1683967" y="971645"/>
          <a:ext cx="1264389" cy="758633"/>
        </a:xfrm>
        <a:prstGeom prst="roundRect">
          <a:avLst>
            <a:gd name="adj" fmla="val 10000"/>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Records excluded: 82</a:t>
          </a:r>
        </a:p>
      </dsp:txBody>
      <dsp:txXfrm>
        <a:off x="1706187" y="993865"/>
        <a:ext cx="1219949" cy="714193"/>
      </dsp:txXfrm>
    </dsp:sp>
    <dsp:sp modelId="{B6F36A49-B6EA-4090-A976-EA467AEFD066}">
      <dsp:nvSpPr>
        <dsp:cNvPr id="0" name=""/>
        <dsp:cNvSpPr/>
      </dsp:nvSpPr>
      <dsp:spPr>
        <a:xfrm>
          <a:off x="1946671" y="154705"/>
          <a:ext cx="1671811" cy="113795"/>
        </a:xfrm>
        <a:prstGeom prst="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B81DF6C4-0AC2-4ACE-973F-7242388EC79F}">
      <dsp:nvSpPr>
        <dsp:cNvPr id="0" name=""/>
        <dsp:cNvSpPr/>
      </dsp:nvSpPr>
      <dsp:spPr>
        <a:xfrm>
          <a:off x="1683967" y="23353"/>
          <a:ext cx="1264389" cy="758633"/>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Full-text articles assessed for eligibility: 36</a:t>
          </a:r>
        </a:p>
      </dsp:txBody>
      <dsp:txXfrm>
        <a:off x="1706187" y="45573"/>
        <a:ext cx="1219949" cy="714193"/>
      </dsp:txXfrm>
    </dsp:sp>
    <dsp:sp modelId="{F2683BDD-69FC-4A1B-8F8A-CC0EA91F75EA}">
      <dsp:nvSpPr>
        <dsp:cNvPr id="0" name=""/>
        <dsp:cNvSpPr/>
      </dsp:nvSpPr>
      <dsp:spPr>
        <a:xfrm rot="5400000">
          <a:off x="3154163" y="628851"/>
          <a:ext cx="938465" cy="113795"/>
        </a:xfrm>
        <a:prstGeom prst="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A758B494-6130-498D-A93B-13D9AFA28E66}">
      <dsp:nvSpPr>
        <dsp:cNvPr id="0" name=""/>
        <dsp:cNvSpPr/>
      </dsp:nvSpPr>
      <dsp:spPr>
        <a:xfrm>
          <a:off x="3365605" y="23353"/>
          <a:ext cx="1264389" cy="758633"/>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Studies excluded after full-text review: 31</a:t>
          </a:r>
        </a:p>
      </dsp:txBody>
      <dsp:txXfrm>
        <a:off x="3387825" y="45573"/>
        <a:ext cx="1219949" cy="714193"/>
      </dsp:txXfrm>
    </dsp:sp>
    <dsp:sp modelId="{98EA0987-F48F-4F8D-B8F5-C441528B8BDE}">
      <dsp:nvSpPr>
        <dsp:cNvPr id="0" name=""/>
        <dsp:cNvSpPr/>
      </dsp:nvSpPr>
      <dsp:spPr>
        <a:xfrm>
          <a:off x="3365605" y="971645"/>
          <a:ext cx="1264389" cy="758633"/>
        </a:xfrm>
        <a:prstGeom prst="roundRect">
          <a:avLst>
            <a:gd name="adj" fmla="val 1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Final studies included in the literature review: 5</a:t>
          </a:r>
        </a:p>
      </dsp:txBody>
      <dsp:txXfrm>
        <a:off x="3387825" y="993865"/>
        <a:ext cx="1219949" cy="71419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2777" y="7597"/>
          <a:ext cx="2707704" cy="835200"/>
        </a:xfrm>
        <a:prstGeom prst="rect">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t>Respect for Intellectual Property:</a:t>
          </a:r>
        </a:p>
      </dsp:txBody>
      <dsp:txXfrm>
        <a:off x="2777" y="7597"/>
        <a:ext cx="2707704" cy="835200"/>
      </dsp:txXfrm>
    </dsp:sp>
    <dsp:sp modelId="{0916EB88-9427-4C81-A0D0-B1BC4D25BFB9}">
      <dsp:nvSpPr>
        <dsp:cNvPr id="0" name=""/>
        <dsp:cNvSpPr/>
      </dsp:nvSpPr>
      <dsp:spPr>
        <a:xfrm>
          <a:off x="2777" y="842797"/>
          <a:ext cx="2707704" cy="1273680"/>
        </a:xfrm>
        <a:prstGeom prst="rect">
          <a:avLst/>
        </a:prstGeom>
        <a:solidFill>
          <a:schemeClr val="accent3">
            <a:tint val="40000"/>
            <a:alpha val="90000"/>
            <a:hueOff val="0"/>
            <a:satOff val="0"/>
            <a:lumOff val="0"/>
            <a:alphaOff val="0"/>
          </a:schemeClr>
        </a:solidFill>
        <a:ln w="9525" cap="flat" cmpd="sng" algn="ctr">
          <a:solidFill>
            <a:schemeClr val="accent3">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t>Accurately referencing all sources to avoid plagiarism</a:t>
          </a:r>
          <a:endParaRPr lang="en-GB" sz="1200" kern="1200" dirty="0"/>
        </a:p>
      </dsp:txBody>
      <dsp:txXfrm>
        <a:off x="2777" y="842797"/>
        <a:ext cx="2707704" cy="1273680"/>
      </dsp:txXfrm>
    </dsp:sp>
    <dsp:sp modelId="{0F07604D-46A6-4ADA-B996-B9E43A897BA8}">
      <dsp:nvSpPr>
        <dsp:cNvPr id="0" name=""/>
        <dsp:cNvSpPr/>
      </dsp:nvSpPr>
      <dsp:spPr>
        <a:xfrm>
          <a:off x="3089560" y="7597"/>
          <a:ext cx="2707704" cy="835200"/>
        </a:xfrm>
        <a:prstGeom prst="rect">
          <a:avLst/>
        </a:prstGeom>
        <a:gradFill rotWithShape="0">
          <a:gsLst>
            <a:gs pos="0">
              <a:schemeClr val="accent3">
                <a:hueOff val="5625132"/>
                <a:satOff val="-8440"/>
                <a:lumOff val="-1373"/>
                <a:alphaOff val="0"/>
                <a:tint val="100000"/>
                <a:shade val="100000"/>
                <a:satMod val="130000"/>
              </a:schemeClr>
            </a:gs>
            <a:gs pos="100000">
              <a:schemeClr val="accent3">
                <a:hueOff val="5625132"/>
                <a:satOff val="-8440"/>
                <a:lumOff val="-1373"/>
                <a:alphaOff val="0"/>
                <a:tint val="50000"/>
                <a:shade val="100000"/>
                <a:satMod val="350000"/>
              </a:schemeClr>
            </a:gs>
          </a:gsLst>
          <a:lin ang="16200000" scaled="0"/>
        </a:gradFill>
        <a:ln w="9525" cap="flat" cmpd="sng" algn="ctr">
          <a:solidFill>
            <a:schemeClr val="accent3">
              <a:hueOff val="5625132"/>
              <a:satOff val="-8440"/>
              <a:lumOff val="-1373"/>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t>Privacy and Confidentiality:</a:t>
          </a:r>
        </a:p>
      </dsp:txBody>
      <dsp:txXfrm>
        <a:off x="3089560" y="7597"/>
        <a:ext cx="2707704" cy="835200"/>
      </dsp:txXfrm>
    </dsp:sp>
    <dsp:sp modelId="{D9C43641-36D4-43D5-A2FD-0F9F6D2C43BC}">
      <dsp:nvSpPr>
        <dsp:cNvPr id="0" name=""/>
        <dsp:cNvSpPr/>
      </dsp:nvSpPr>
      <dsp:spPr>
        <a:xfrm>
          <a:off x="3089560" y="842797"/>
          <a:ext cx="2707704" cy="1273680"/>
        </a:xfrm>
        <a:prstGeom prst="rect">
          <a:avLst/>
        </a:prstGeom>
        <a:solidFill>
          <a:schemeClr val="accent3">
            <a:tint val="40000"/>
            <a:alpha val="90000"/>
            <a:hueOff val="5358427"/>
            <a:satOff val="-6896"/>
            <a:lumOff val="-537"/>
            <a:alphaOff val="0"/>
          </a:schemeClr>
        </a:solidFill>
        <a:ln w="9525" cap="flat" cmpd="sng" algn="ctr">
          <a:solidFill>
            <a:schemeClr val="accent3">
              <a:tint val="40000"/>
              <a:alpha val="90000"/>
              <a:hueOff val="5358427"/>
              <a:satOff val="-6896"/>
              <a:lumOff val="-537"/>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t>Respecting the sensitivity of the topic due to its personal and social significance</a:t>
          </a:r>
        </a:p>
      </dsp:txBody>
      <dsp:txXfrm>
        <a:off x="3089560" y="842797"/>
        <a:ext cx="2707704" cy="1273680"/>
      </dsp:txXfrm>
    </dsp:sp>
    <dsp:sp modelId="{594F44BC-596E-4978-9BF4-2F7DCCF10A7F}">
      <dsp:nvSpPr>
        <dsp:cNvPr id="0" name=""/>
        <dsp:cNvSpPr/>
      </dsp:nvSpPr>
      <dsp:spPr>
        <a:xfrm>
          <a:off x="6176343" y="7597"/>
          <a:ext cx="2707704" cy="835200"/>
        </a:xfrm>
        <a:prstGeom prst="rect">
          <a:avLst/>
        </a:prstGeom>
        <a:gradFill rotWithShape="0">
          <a:gsLst>
            <a:gs pos="0">
              <a:schemeClr val="accent3">
                <a:hueOff val="11250264"/>
                <a:satOff val="-16880"/>
                <a:lumOff val="-2745"/>
                <a:alphaOff val="0"/>
                <a:tint val="100000"/>
                <a:shade val="100000"/>
                <a:satMod val="130000"/>
              </a:schemeClr>
            </a:gs>
            <a:gs pos="100000">
              <a:schemeClr val="accent3">
                <a:hueOff val="11250264"/>
                <a:satOff val="-16880"/>
                <a:lumOff val="-2745"/>
                <a:alphaOff val="0"/>
                <a:tint val="50000"/>
                <a:shade val="100000"/>
                <a:satMod val="350000"/>
              </a:schemeClr>
            </a:gs>
          </a:gsLst>
          <a:lin ang="16200000" scaled="0"/>
        </a:gradFill>
        <a:ln w="9525" cap="flat" cmpd="sng" algn="ctr">
          <a:solidFill>
            <a:schemeClr val="accent3">
              <a:hueOff val="11250264"/>
              <a:satOff val="-16880"/>
              <a:lumOff val="-2745"/>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t>Data Integrity and Reliability: </a:t>
          </a:r>
        </a:p>
      </dsp:txBody>
      <dsp:txXfrm>
        <a:off x="6176343" y="7597"/>
        <a:ext cx="2707704" cy="835200"/>
      </dsp:txXfrm>
    </dsp:sp>
    <dsp:sp modelId="{B4F89DDA-DC7D-4C4E-967D-E22B07A05DB1}">
      <dsp:nvSpPr>
        <dsp:cNvPr id="0" name=""/>
        <dsp:cNvSpPr/>
      </dsp:nvSpPr>
      <dsp:spPr>
        <a:xfrm>
          <a:off x="6176343" y="842797"/>
          <a:ext cx="2707704" cy="1273680"/>
        </a:xfrm>
        <a:prstGeom prst="rect">
          <a:avLst/>
        </a:prstGeom>
        <a:solidFill>
          <a:schemeClr val="accent3">
            <a:tint val="40000"/>
            <a:alpha val="90000"/>
            <a:hueOff val="10716854"/>
            <a:satOff val="-13793"/>
            <a:lumOff val="-1075"/>
            <a:alphaOff val="0"/>
          </a:schemeClr>
        </a:solidFill>
        <a:ln w="9525" cap="flat" cmpd="sng" algn="ctr">
          <a:solidFill>
            <a:schemeClr val="accent3">
              <a:tint val="40000"/>
              <a:alpha val="90000"/>
              <a:hueOff val="10716854"/>
              <a:satOff val="-13793"/>
              <a:lumOff val="-1075"/>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t>Using credible and peer-reviewed literature</a:t>
          </a:r>
        </a:p>
      </dsp:txBody>
      <dsp:txXfrm>
        <a:off x="6176343" y="842797"/>
        <a:ext cx="2707704" cy="1273680"/>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59</Pages>
  <Words>16976</Words>
  <Characters>96766</Characters>
  <Application>Microsoft Office Word</Application>
  <DocSecurity>0</DocSecurity>
  <Lines>806</Lines>
  <Paragraphs>227</Paragraphs>
  <ScaleCrop>false</ScaleCrop>
  <Company/>
  <LinksUpToDate>false</LinksUpToDate>
  <CharactersWithSpaces>113515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Lucresha Lewis</dc:creator>
  <cp:lastModifiedBy>Lucresha Lewis (2315413)</cp:lastModifiedBy>
  <cp:revision>7</cp:revision>
  <dcterms:created xsi:type="dcterms:W3CDTF">2026-07-29T04:04:00Z</dcterms:created>
  <dcterms:modified xsi:type="dcterms:W3CDTF">2026-07-29T04:11:00Z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9b8a2b80-d2b2-4611-a370-15c4954b293f</vt:lpwstr>
  </property>
</Properties>
</file>