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67817" w14:textId="77777777" w:rsidR="00B45F3F" w:rsidRDefault="00B45F3F" w:rsidP="00AE0180">
      <w:pPr>
        <w:spacing w:before="100" w:beforeAutospacing="1" w:after="100" w:afterAutospacing="1"/>
        <w:jc w:val="center"/>
        <w:rPr>
          <w:b/>
          <w:bCs/>
          <w:lang w:val="en-US"/>
        </w:rPr>
      </w:pPr>
    </w:p>
    <w:p w14:paraId="0DC9CAA6" w14:textId="77777777" w:rsidR="00B45F3F" w:rsidRDefault="00B45F3F" w:rsidP="00AE0180">
      <w:pPr>
        <w:spacing w:before="100" w:beforeAutospacing="1" w:after="100" w:afterAutospacing="1"/>
        <w:jc w:val="center"/>
        <w:rPr>
          <w:b/>
          <w:bCs/>
          <w:lang w:val="en-US"/>
        </w:rPr>
      </w:pPr>
    </w:p>
    <w:p w14:paraId="116FEFF0" w14:textId="77777777" w:rsidR="00B45F3F" w:rsidRDefault="00B45F3F" w:rsidP="00AE0180">
      <w:pPr>
        <w:spacing w:before="100" w:beforeAutospacing="1" w:after="100" w:afterAutospacing="1"/>
        <w:jc w:val="center"/>
        <w:rPr>
          <w:b/>
          <w:bCs/>
          <w:lang w:val="en-US"/>
        </w:rPr>
      </w:pPr>
    </w:p>
    <w:p w14:paraId="0E54956B" w14:textId="77777777" w:rsidR="00B45F3F" w:rsidRDefault="00B45F3F" w:rsidP="00AE0180">
      <w:pPr>
        <w:spacing w:before="100" w:beforeAutospacing="1" w:after="100" w:afterAutospacing="1"/>
        <w:jc w:val="center"/>
        <w:rPr>
          <w:b/>
          <w:bCs/>
          <w:lang w:val="en-US"/>
        </w:rPr>
      </w:pPr>
    </w:p>
    <w:p w14:paraId="5DF4EB6F" w14:textId="77777777" w:rsidR="00B45F3F" w:rsidRDefault="00B45F3F" w:rsidP="00AE0180">
      <w:pPr>
        <w:spacing w:before="100" w:beforeAutospacing="1" w:after="100" w:afterAutospacing="1"/>
        <w:jc w:val="center"/>
        <w:rPr>
          <w:b/>
          <w:bCs/>
          <w:lang w:val="en-US"/>
        </w:rPr>
      </w:pPr>
    </w:p>
    <w:p w14:paraId="17F8D8B2" w14:textId="77777777" w:rsidR="00B45F3F" w:rsidRDefault="00B45F3F" w:rsidP="00AE0180">
      <w:pPr>
        <w:spacing w:before="100" w:beforeAutospacing="1" w:after="100" w:afterAutospacing="1"/>
        <w:jc w:val="center"/>
        <w:rPr>
          <w:b/>
          <w:bCs/>
          <w:lang w:val="en-US"/>
        </w:rPr>
      </w:pPr>
    </w:p>
    <w:p w14:paraId="409DD033" w14:textId="77777777" w:rsidR="00B45F3F" w:rsidRDefault="00B45F3F" w:rsidP="00AE0180">
      <w:pPr>
        <w:spacing w:before="100" w:beforeAutospacing="1" w:after="100" w:afterAutospacing="1"/>
        <w:jc w:val="center"/>
        <w:rPr>
          <w:b/>
          <w:bCs/>
          <w:lang w:val="en-US"/>
        </w:rPr>
      </w:pPr>
    </w:p>
    <w:p w14:paraId="45B77EAB" w14:textId="270C1CA9" w:rsidR="0057185A" w:rsidRPr="0057185A" w:rsidRDefault="0057185A" w:rsidP="00AE0180">
      <w:pPr>
        <w:spacing w:before="100" w:beforeAutospacing="1" w:after="100" w:afterAutospacing="1"/>
        <w:jc w:val="center"/>
        <w:rPr>
          <w:lang w:val="en-US"/>
        </w:rPr>
      </w:pPr>
      <w:r w:rsidRPr="0057185A">
        <w:rPr>
          <w:b/>
          <w:bCs/>
          <w:lang w:val="en-US"/>
        </w:rPr>
        <w:t>A Report</w:t>
      </w:r>
      <w:r w:rsidR="00B45F3F">
        <w:rPr>
          <w:b/>
          <w:bCs/>
          <w:lang w:val="en-US"/>
        </w:rPr>
        <w:t xml:space="preserve"> Examining</w:t>
      </w:r>
      <w:r w:rsidRPr="0057185A">
        <w:rPr>
          <w:b/>
          <w:bCs/>
          <w:lang w:val="en-US"/>
        </w:rPr>
        <w:t xml:space="preserve"> the Life Course Approach to Health and Wellbeing: The Impact of Social, Economic and Environmental Determinants and Evaluation of Interventions</w:t>
      </w:r>
    </w:p>
    <w:p w14:paraId="2B83328D" w14:textId="7FD9CFDE" w:rsidR="0057185A" w:rsidRDefault="0057185A" w:rsidP="00AE0180">
      <w:pPr>
        <w:spacing w:before="100" w:beforeAutospacing="1" w:after="100" w:afterAutospacing="1"/>
        <w:jc w:val="center"/>
        <w:rPr>
          <w:lang w:val="en-US"/>
        </w:rPr>
      </w:pPr>
      <w:r w:rsidRPr="0057185A">
        <w:rPr>
          <w:lang w:val="en-US"/>
        </w:rPr>
        <w:t>Module: BMNS4014 – Living Well: A Life Course Approach to Health &amp; Wellbeing</w:t>
      </w:r>
      <w:r w:rsidRPr="0057185A">
        <w:rPr>
          <w:lang w:val="en-US"/>
        </w:rPr>
        <w:br/>
        <w:t xml:space="preserve">Student Name: </w:t>
      </w:r>
      <w:r w:rsidR="00025666">
        <w:rPr>
          <w:lang w:val="en-US"/>
        </w:rPr>
        <w:t>Denisa Rebova</w:t>
      </w:r>
      <w:r w:rsidRPr="0057185A">
        <w:rPr>
          <w:lang w:val="en-US"/>
        </w:rPr>
        <w:br/>
        <w:t xml:space="preserve">Student Number: </w:t>
      </w:r>
      <w:r w:rsidR="00D2604B">
        <w:rPr>
          <w:lang w:val="en-US"/>
        </w:rPr>
        <w:t>2327048</w:t>
      </w:r>
      <w:r w:rsidRPr="0057185A">
        <w:rPr>
          <w:lang w:val="en-US"/>
        </w:rPr>
        <w:br/>
        <w:t xml:space="preserve">Lecturer: </w:t>
      </w:r>
      <w:r w:rsidR="001D2785">
        <w:rPr>
          <w:lang w:val="en-US"/>
        </w:rPr>
        <w:t>Ben Duxbury</w:t>
      </w:r>
    </w:p>
    <w:p w14:paraId="4F54C4D8" w14:textId="77777777" w:rsidR="0057185A" w:rsidRDefault="0057185A" w:rsidP="004B3147">
      <w:pPr>
        <w:spacing w:after="160"/>
        <w:rPr>
          <w:lang w:val="en-US"/>
        </w:rPr>
      </w:pPr>
      <w:r>
        <w:rPr>
          <w:lang w:val="en-US"/>
        </w:rPr>
        <w:br w:type="page"/>
      </w:r>
    </w:p>
    <w:p w14:paraId="5DD279B0" w14:textId="649DDE41" w:rsidR="0057185A" w:rsidRPr="0057185A" w:rsidRDefault="0057185A" w:rsidP="004B3147">
      <w:pPr>
        <w:pStyle w:val="Heading1"/>
        <w:spacing w:line="360" w:lineRule="auto"/>
        <w:jc w:val="both"/>
      </w:pPr>
      <w:bookmarkStart w:id="0" w:name="_Toc226994140"/>
      <w:r w:rsidRPr="0057185A">
        <w:lastRenderedPageBreak/>
        <w:t>Abstract</w:t>
      </w:r>
      <w:bookmarkEnd w:id="0"/>
    </w:p>
    <w:p w14:paraId="588A0B7E" w14:textId="62F6EF47" w:rsidR="00B45F3F" w:rsidRDefault="0057185A" w:rsidP="004B3147">
      <w:pPr>
        <w:spacing w:before="100" w:beforeAutospacing="1" w:after="100" w:afterAutospacing="1"/>
        <w:rPr>
          <w:lang w:val="en-US"/>
        </w:rPr>
      </w:pPr>
      <w:r w:rsidRPr="0057185A">
        <w:t xml:space="preserve">This report critically </w:t>
      </w:r>
      <w:r w:rsidR="00B45F3F">
        <w:t>analysed</w:t>
      </w:r>
      <w:r w:rsidRPr="0057185A">
        <w:t xml:space="preserve"> the life course approach to health and wellbeing with respect to how social, </w:t>
      </w:r>
      <w:r w:rsidR="00656E95" w:rsidRPr="0057185A">
        <w:t>economic,</w:t>
      </w:r>
      <w:r w:rsidRPr="0057185A">
        <w:t xml:space="preserve"> and environmental factors impact the health and wellbeing of individuals at various stages of life. Using more recent scholarly sources, policy reports, and health reports aroun</w:t>
      </w:r>
      <w:r w:rsidR="00B45F3F">
        <w:t>d the world, the report examined</w:t>
      </w:r>
      <w:r w:rsidRPr="0057185A">
        <w:t xml:space="preserve"> how inequalities develop during early childhood to later adulthood and the development of health outcomes in </w:t>
      </w:r>
      <w:r w:rsidR="00B45F3F">
        <w:t>the long-term. It also considered</w:t>
      </w:r>
      <w:r w:rsidRPr="0057185A">
        <w:t xml:space="preserve"> the effectiveness of life course interventions, such as early childhood programmes, education-based health promotion, and public health policy inter</w:t>
      </w:r>
      <w:r w:rsidR="00B45F3F">
        <w:t>ventions. The evidence indicated</w:t>
      </w:r>
      <w:r w:rsidRPr="0057185A">
        <w:t xml:space="preserve"> that structural inequalities have a strong influence on health outcomes</w:t>
      </w:r>
      <w:r w:rsidR="00AE0180">
        <w:t>,</w:t>
      </w:r>
      <w:r w:rsidRPr="0057185A">
        <w:t xml:space="preserve"> especially when it comes to socioeconomic status, education, housing, and environmental ex</w:t>
      </w:r>
      <w:r w:rsidR="00B45F3F">
        <w:t>posure. The evidence also pointed</w:t>
      </w:r>
      <w:r w:rsidRPr="0057185A">
        <w:t xml:space="preserve"> out that early intervention offers the best approach in minimi</w:t>
      </w:r>
      <w:r w:rsidR="00AE0180">
        <w:t>s</w:t>
      </w:r>
      <w:r w:rsidRPr="0057185A">
        <w:t>ing the lifelong health disparities, but there still exist gaps in the policy implementation, their accessibility, and sust</w:t>
      </w:r>
      <w:r w:rsidR="00B45F3F">
        <w:t>ainability. The report concluded</w:t>
      </w:r>
      <w:r w:rsidRPr="0057185A">
        <w:t xml:space="preserve"> that life course approaches are becoming more integrated into the policy of public health</w:t>
      </w:r>
      <w:r w:rsidR="00AE0180">
        <w:t>,</w:t>
      </w:r>
      <w:r w:rsidRPr="0057185A">
        <w:t xml:space="preserve"> but more needs to be combined across sectors. It is recommended to enhance the effectiveness of early intervention strategies and intersectoral policy coordination, public health education, and longitudinal research to facilitate evidence-based decision-making</w:t>
      </w:r>
      <w:r w:rsidRPr="0057185A">
        <w:rPr>
          <w:lang w:val="en-US"/>
        </w:rPr>
        <w:t>.</w:t>
      </w:r>
    </w:p>
    <w:p w14:paraId="2163CD16" w14:textId="77777777" w:rsidR="00B45F3F" w:rsidRDefault="00B45F3F">
      <w:pPr>
        <w:spacing w:after="160" w:line="278" w:lineRule="auto"/>
        <w:jc w:val="left"/>
        <w:rPr>
          <w:lang w:val="en-US"/>
        </w:rPr>
      </w:pPr>
      <w:r>
        <w:rPr>
          <w:lang w:val="en-US"/>
        </w:rPr>
        <w:br w:type="page"/>
      </w:r>
    </w:p>
    <w:sdt>
      <w:sdtPr>
        <w:rPr>
          <w:rFonts w:ascii="Times New Roman" w:eastAsia="Times New Roman" w:hAnsi="Times New Roman" w:cs="Times New Roman"/>
          <w:color w:val="auto"/>
          <w:sz w:val="24"/>
          <w:szCs w:val="24"/>
          <w:lang w:val="en-GB"/>
        </w:rPr>
        <w:id w:val="-1766905975"/>
        <w:docPartObj>
          <w:docPartGallery w:val="Table of Contents"/>
          <w:docPartUnique/>
        </w:docPartObj>
      </w:sdtPr>
      <w:sdtEndPr>
        <w:rPr>
          <w:b/>
          <w:bCs/>
          <w:noProof/>
        </w:rPr>
      </w:sdtEndPr>
      <w:sdtContent>
        <w:p w14:paraId="4488942A" w14:textId="14C5C109" w:rsidR="005634B4" w:rsidRDefault="005634B4">
          <w:pPr>
            <w:pStyle w:val="TOCHeading"/>
          </w:pPr>
          <w:r>
            <w:t>Contents</w:t>
          </w:r>
        </w:p>
        <w:p w14:paraId="4B11378A" w14:textId="77777777" w:rsidR="005634B4" w:rsidRDefault="005634B4">
          <w:pPr>
            <w:pStyle w:val="TOC1"/>
            <w:tabs>
              <w:tab w:val="right" w:leader="dot" w:pos="9350"/>
            </w:tabs>
            <w:rPr>
              <w:noProof/>
            </w:rPr>
          </w:pPr>
          <w:r>
            <w:fldChar w:fldCharType="begin"/>
          </w:r>
          <w:r>
            <w:instrText xml:space="preserve"> TOC \o "1-3" \h \z \u </w:instrText>
          </w:r>
          <w:r>
            <w:fldChar w:fldCharType="separate"/>
          </w:r>
          <w:hyperlink w:anchor="_Toc226994140" w:history="1">
            <w:r w:rsidRPr="002B4143">
              <w:rPr>
                <w:rStyle w:val="Hyperlink"/>
                <w:rFonts w:eastAsiaTheme="majorEastAsia"/>
                <w:noProof/>
              </w:rPr>
              <w:t>Abstract</w:t>
            </w:r>
            <w:r>
              <w:rPr>
                <w:noProof/>
                <w:webHidden/>
              </w:rPr>
              <w:tab/>
            </w:r>
            <w:r>
              <w:rPr>
                <w:noProof/>
                <w:webHidden/>
              </w:rPr>
              <w:fldChar w:fldCharType="begin"/>
            </w:r>
            <w:r>
              <w:rPr>
                <w:noProof/>
                <w:webHidden/>
              </w:rPr>
              <w:instrText xml:space="preserve"> PAGEREF _Toc226994140 \h </w:instrText>
            </w:r>
            <w:r>
              <w:rPr>
                <w:noProof/>
                <w:webHidden/>
              </w:rPr>
            </w:r>
            <w:r>
              <w:rPr>
                <w:noProof/>
                <w:webHidden/>
              </w:rPr>
              <w:fldChar w:fldCharType="separate"/>
            </w:r>
            <w:r>
              <w:rPr>
                <w:noProof/>
                <w:webHidden/>
              </w:rPr>
              <w:t>2</w:t>
            </w:r>
            <w:r>
              <w:rPr>
                <w:noProof/>
                <w:webHidden/>
              </w:rPr>
              <w:fldChar w:fldCharType="end"/>
            </w:r>
          </w:hyperlink>
        </w:p>
        <w:p w14:paraId="6E8C85AB" w14:textId="77777777" w:rsidR="005634B4" w:rsidRDefault="005634B4">
          <w:pPr>
            <w:pStyle w:val="TOC1"/>
            <w:tabs>
              <w:tab w:val="right" w:leader="dot" w:pos="9350"/>
            </w:tabs>
            <w:rPr>
              <w:noProof/>
            </w:rPr>
          </w:pPr>
          <w:hyperlink w:anchor="_Toc226994141" w:history="1">
            <w:r w:rsidRPr="002B4143">
              <w:rPr>
                <w:rStyle w:val="Hyperlink"/>
                <w:rFonts w:eastAsiaTheme="majorEastAsia"/>
                <w:noProof/>
              </w:rPr>
              <w:t>1. Introduction</w:t>
            </w:r>
            <w:r>
              <w:rPr>
                <w:noProof/>
                <w:webHidden/>
              </w:rPr>
              <w:tab/>
            </w:r>
            <w:r>
              <w:rPr>
                <w:noProof/>
                <w:webHidden/>
              </w:rPr>
              <w:fldChar w:fldCharType="begin"/>
            </w:r>
            <w:r>
              <w:rPr>
                <w:noProof/>
                <w:webHidden/>
              </w:rPr>
              <w:instrText xml:space="preserve"> PAGEREF _Toc226994141 \h </w:instrText>
            </w:r>
            <w:r>
              <w:rPr>
                <w:noProof/>
                <w:webHidden/>
              </w:rPr>
            </w:r>
            <w:r>
              <w:rPr>
                <w:noProof/>
                <w:webHidden/>
              </w:rPr>
              <w:fldChar w:fldCharType="separate"/>
            </w:r>
            <w:r>
              <w:rPr>
                <w:noProof/>
                <w:webHidden/>
              </w:rPr>
              <w:t>4</w:t>
            </w:r>
            <w:r>
              <w:rPr>
                <w:noProof/>
                <w:webHidden/>
              </w:rPr>
              <w:fldChar w:fldCharType="end"/>
            </w:r>
          </w:hyperlink>
        </w:p>
        <w:p w14:paraId="1FF0D77A" w14:textId="77777777" w:rsidR="005634B4" w:rsidRDefault="005634B4">
          <w:pPr>
            <w:pStyle w:val="TOC1"/>
            <w:tabs>
              <w:tab w:val="right" w:leader="dot" w:pos="9350"/>
            </w:tabs>
            <w:rPr>
              <w:noProof/>
            </w:rPr>
          </w:pPr>
          <w:hyperlink w:anchor="_Toc226994142" w:history="1">
            <w:r w:rsidRPr="002B4143">
              <w:rPr>
                <w:rStyle w:val="Hyperlink"/>
                <w:rFonts w:eastAsiaTheme="majorEastAsia"/>
                <w:noProof/>
              </w:rPr>
              <w:t>2. Social Determinants of Health</w:t>
            </w:r>
            <w:r>
              <w:rPr>
                <w:noProof/>
                <w:webHidden/>
              </w:rPr>
              <w:tab/>
            </w:r>
            <w:r>
              <w:rPr>
                <w:noProof/>
                <w:webHidden/>
              </w:rPr>
              <w:fldChar w:fldCharType="begin"/>
            </w:r>
            <w:r>
              <w:rPr>
                <w:noProof/>
                <w:webHidden/>
              </w:rPr>
              <w:instrText xml:space="preserve"> PAGEREF _Toc226994142 \h </w:instrText>
            </w:r>
            <w:r>
              <w:rPr>
                <w:noProof/>
                <w:webHidden/>
              </w:rPr>
            </w:r>
            <w:r>
              <w:rPr>
                <w:noProof/>
                <w:webHidden/>
              </w:rPr>
              <w:fldChar w:fldCharType="separate"/>
            </w:r>
            <w:r>
              <w:rPr>
                <w:noProof/>
                <w:webHidden/>
              </w:rPr>
              <w:t>4</w:t>
            </w:r>
            <w:r>
              <w:rPr>
                <w:noProof/>
                <w:webHidden/>
              </w:rPr>
              <w:fldChar w:fldCharType="end"/>
            </w:r>
          </w:hyperlink>
        </w:p>
        <w:p w14:paraId="75871B97" w14:textId="77777777" w:rsidR="005634B4" w:rsidRDefault="005634B4">
          <w:pPr>
            <w:pStyle w:val="TOC1"/>
            <w:tabs>
              <w:tab w:val="right" w:leader="dot" w:pos="9350"/>
            </w:tabs>
            <w:rPr>
              <w:noProof/>
            </w:rPr>
          </w:pPr>
          <w:hyperlink w:anchor="_Toc226994143" w:history="1">
            <w:r w:rsidRPr="002B4143">
              <w:rPr>
                <w:rStyle w:val="Hyperlink"/>
                <w:rFonts w:eastAsiaTheme="majorEastAsia"/>
                <w:noProof/>
              </w:rPr>
              <w:t>3. Economic Determinants of Health</w:t>
            </w:r>
            <w:r>
              <w:rPr>
                <w:noProof/>
                <w:webHidden/>
              </w:rPr>
              <w:tab/>
            </w:r>
            <w:r>
              <w:rPr>
                <w:noProof/>
                <w:webHidden/>
              </w:rPr>
              <w:fldChar w:fldCharType="begin"/>
            </w:r>
            <w:r>
              <w:rPr>
                <w:noProof/>
                <w:webHidden/>
              </w:rPr>
              <w:instrText xml:space="preserve"> PAGEREF _Toc226994143 \h </w:instrText>
            </w:r>
            <w:r>
              <w:rPr>
                <w:noProof/>
                <w:webHidden/>
              </w:rPr>
            </w:r>
            <w:r>
              <w:rPr>
                <w:noProof/>
                <w:webHidden/>
              </w:rPr>
              <w:fldChar w:fldCharType="separate"/>
            </w:r>
            <w:r>
              <w:rPr>
                <w:noProof/>
                <w:webHidden/>
              </w:rPr>
              <w:t>5</w:t>
            </w:r>
            <w:r>
              <w:rPr>
                <w:noProof/>
                <w:webHidden/>
              </w:rPr>
              <w:fldChar w:fldCharType="end"/>
            </w:r>
          </w:hyperlink>
        </w:p>
        <w:p w14:paraId="5B3A5981" w14:textId="77777777" w:rsidR="005634B4" w:rsidRDefault="005634B4">
          <w:pPr>
            <w:pStyle w:val="TOC1"/>
            <w:tabs>
              <w:tab w:val="right" w:leader="dot" w:pos="9350"/>
            </w:tabs>
            <w:rPr>
              <w:noProof/>
            </w:rPr>
          </w:pPr>
          <w:hyperlink w:anchor="_Toc226994144" w:history="1">
            <w:r w:rsidRPr="002B4143">
              <w:rPr>
                <w:rStyle w:val="Hyperlink"/>
                <w:rFonts w:eastAsiaTheme="majorEastAsia"/>
                <w:noProof/>
              </w:rPr>
              <w:t>4. Environmental Determinants of Health</w:t>
            </w:r>
            <w:r>
              <w:rPr>
                <w:noProof/>
                <w:webHidden/>
              </w:rPr>
              <w:tab/>
            </w:r>
            <w:r>
              <w:rPr>
                <w:noProof/>
                <w:webHidden/>
              </w:rPr>
              <w:fldChar w:fldCharType="begin"/>
            </w:r>
            <w:r>
              <w:rPr>
                <w:noProof/>
                <w:webHidden/>
              </w:rPr>
              <w:instrText xml:space="preserve"> PAGEREF _Toc226994144 \h </w:instrText>
            </w:r>
            <w:r>
              <w:rPr>
                <w:noProof/>
                <w:webHidden/>
              </w:rPr>
            </w:r>
            <w:r>
              <w:rPr>
                <w:noProof/>
                <w:webHidden/>
              </w:rPr>
              <w:fldChar w:fldCharType="separate"/>
            </w:r>
            <w:r>
              <w:rPr>
                <w:noProof/>
                <w:webHidden/>
              </w:rPr>
              <w:t>6</w:t>
            </w:r>
            <w:r>
              <w:rPr>
                <w:noProof/>
                <w:webHidden/>
              </w:rPr>
              <w:fldChar w:fldCharType="end"/>
            </w:r>
          </w:hyperlink>
        </w:p>
        <w:p w14:paraId="68888832" w14:textId="77777777" w:rsidR="005634B4" w:rsidRDefault="005634B4">
          <w:pPr>
            <w:pStyle w:val="TOC1"/>
            <w:tabs>
              <w:tab w:val="right" w:leader="dot" w:pos="9350"/>
            </w:tabs>
            <w:rPr>
              <w:noProof/>
            </w:rPr>
          </w:pPr>
          <w:hyperlink w:anchor="_Toc226994145" w:history="1">
            <w:r w:rsidRPr="002B4143">
              <w:rPr>
                <w:rStyle w:val="Hyperlink"/>
                <w:rFonts w:eastAsiaTheme="majorEastAsia"/>
                <w:noProof/>
              </w:rPr>
              <w:t>5. Life Course Interventions</w:t>
            </w:r>
            <w:r>
              <w:rPr>
                <w:noProof/>
                <w:webHidden/>
              </w:rPr>
              <w:tab/>
            </w:r>
            <w:r>
              <w:rPr>
                <w:noProof/>
                <w:webHidden/>
              </w:rPr>
              <w:fldChar w:fldCharType="begin"/>
            </w:r>
            <w:r>
              <w:rPr>
                <w:noProof/>
                <w:webHidden/>
              </w:rPr>
              <w:instrText xml:space="preserve"> PAGEREF _Toc226994145 \h </w:instrText>
            </w:r>
            <w:r>
              <w:rPr>
                <w:noProof/>
                <w:webHidden/>
              </w:rPr>
            </w:r>
            <w:r>
              <w:rPr>
                <w:noProof/>
                <w:webHidden/>
              </w:rPr>
              <w:fldChar w:fldCharType="separate"/>
            </w:r>
            <w:r>
              <w:rPr>
                <w:noProof/>
                <w:webHidden/>
              </w:rPr>
              <w:t>6</w:t>
            </w:r>
            <w:r>
              <w:rPr>
                <w:noProof/>
                <w:webHidden/>
              </w:rPr>
              <w:fldChar w:fldCharType="end"/>
            </w:r>
          </w:hyperlink>
        </w:p>
        <w:p w14:paraId="58DDDA4D" w14:textId="77777777" w:rsidR="005634B4" w:rsidRDefault="005634B4">
          <w:pPr>
            <w:pStyle w:val="TOC1"/>
            <w:tabs>
              <w:tab w:val="right" w:leader="dot" w:pos="9350"/>
            </w:tabs>
            <w:rPr>
              <w:noProof/>
            </w:rPr>
          </w:pPr>
          <w:hyperlink w:anchor="_Toc226994146" w:history="1">
            <w:r w:rsidRPr="002B4143">
              <w:rPr>
                <w:rStyle w:val="Hyperlink"/>
                <w:rFonts w:eastAsiaTheme="majorEastAsia"/>
                <w:noProof/>
              </w:rPr>
              <w:t>6. Conclusion</w:t>
            </w:r>
            <w:r>
              <w:rPr>
                <w:noProof/>
                <w:webHidden/>
              </w:rPr>
              <w:tab/>
            </w:r>
            <w:r>
              <w:rPr>
                <w:noProof/>
                <w:webHidden/>
              </w:rPr>
              <w:fldChar w:fldCharType="begin"/>
            </w:r>
            <w:r>
              <w:rPr>
                <w:noProof/>
                <w:webHidden/>
              </w:rPr>
              <w:instrText xml:space="preserve"> PAGEREF _Toc226994146 \h </w:instrText>
            </w:r>
            <w:r>
              <w:rPr>
                <w:noProof/>
                <w:webHidden/>
              </w:rPr>
            </w:r>
            <w:r>
              <w:rPr>
                <w:noProof/>
                <w:webHidden/>
              </w:rPr>
              <w:fldChar w:fldCharType="separate"/>
            </w:r>
            <w:r>
              <w:rPr>
                <w:noProof/>
                <w:webHidden/>
              </w:rPr>
              <w:t>7</w:t>
            </w:r>
            <w:r>
              <w:rPr>
                <w:noProof/>
                <w:webHidden/>
              </w:rPr>
              <w:fldChar w:fldCharType="end"/>
            </w:r>
          </w:hyperlink>
        </w:p>
        <w:p w14:paraId="520CAAA4" w14:textId="77777777" w:rsidR="005634B4" w:rsidRDefault="005634B4">
          <w:pPr>
            <w:pStyle w:val="TOC1"/>
            <w:tabs>
              <w:tab w:val="right" w:leader="dot" w:pos="9350"/>
            </w:tabs>
            <w:rPr>
              <w:noProof/>
            </w:rPr>
          </w:pPr>
          <w:hyperlink w:anchor="_Toc226994147" w:history="1">
            <w:r w:rsidRPr="002B4143">
              <w:rPr>
                <w:rStyle w:val="Hyperlink"/>
                <w:rFonts w:eastAsiaTheme="majorEastAsia"/>
                <w:noProof/>
              </w:rPr>
              <w:t>7. Recommendations</w:t>
            </w:r>
            <w:r>
              <w:rPr>
                <w:noProof/>
                <w:webHidden/>
              </w:rPr>
              <w:tab/>
            </w:r>
            <w:r>
              <w:rPr>
                <w:noProof/>
                <w:webHidden/>
              </w:rPr>
              <w:fldChar w:fldCharType="begin"/>
            </w:r>
            <w:r>
              <w:rPr>
                <w:noProof/>
                <w:webHidden/>
              </w:rPr>
              <w:instrText xml:space="preserve"> PAGEREF _Toc226994147 \h </w:instrText>
            </w:r>
            <w:r>
              <w:rPr>
                <w:noProof/>
                <w:webHidden/>
              </w:rPr>
            </w:r>
            <w:r>
              <w:rPr>
                <w:noProof/>
                <w:webHidden/>
              </w:rPr>
              <w:fldChar w:fldCharType="separate"/>
            </w:r>
            <w:r>
              <w:rPr>
                <w:noProof/>
                <w:webHidden/>
              </w:rPr>
              <w:t>7</w:t>
            </w:r>
            <w:r>
              <w:rPr>
                <w:noProof/>
                <w:webHidden/>
              </w:rPr>
              <w:fldChar w:fldCharType="end"/>
            </w:r>
          </w:hyperlink>
        </w:p>
        <w:p w14:paraId="4AFB3A48" w14:textId="77777777" w:rsidR="005634B4" w:rsidRDefault="005634B4">
          <w:pPr>
            <w:pStyle w:val="TOC1"/>
            <w:tabs>
              <w:tab w:val="right" w:leader="dot" w:pos="9350"/>
            </w:tabs>
            <w:rPr>
              <w:noProof/>
            </w:rPr>
          </w:pPr>
          <w:hyperlink w:anchor="_Toc226994148" w:history="1">
            <w:r w:rsidRPr="002B4143">
              <w:rPr>
                <w:rStyle w:val="Hyperlink"/>
                <w:rFonts w:eastAsiaTheme="majorEastAsia"/>
                <w:noProof/>
              </w:rPr>
              <w:t>References</w:t>
            </w:r>
            <w:r>
              <w:rPr>
                <w:noProof/>
                <w:webHidden/>
              </w:rPr>
              <w:tab/>
            </w:r>
            <w:r>
              <w:rPr>
                <w:noProof/>
                <w:webHidden/>
              </w:rPr>
              <w:fldChar w:fldCharType="begin"/>
            </w:r>
            <w:r>
              <w:rPr>
                <w:noProof/>
                <w:webHidden/>
              </w:rPr>
              <w:instrText xml:space="preserve"> PAGEREF _Toc226994148 \h </w:instrText>
            </w:r>
            <w:r>
              <w:rPr>
                <w:noProof/>
                <w:webHidden/>
              </w:rPr>
            </w:r>
            <w:r>
              <w:rPr>
                <w:noProof/>
                <w:webHidden/>
              </w:rPr>
              <w:fldChar w:fldCharType="separate"/>
            </w:r>
            <w:r>
              <w:rPr>
                <w:noProof/>
                <w:webHidden/>
              </w:rPr>
              <w:t>9</w:t>
            </w:r>
            <w:r>
              <w:rPr>
                <w:noProof/>
                <w:webHidden/>
              </w:rPr>
              <w:fldChar w:fldCharType="end"/>
            </w:r>
          </w:hyperlink>
        </w:p>
        <w:p w14:paraId="46A8F1A3" w14:textId="22F7BACB" w:rsidR="005634B4" w:rsidRDefault="005634B4">
          <w:r>
            <w:rPr>
              <w:b/>
              <w:bCs/>
              <w:noProof/>
            </w:rPr>
            <w:fldChar w:fldCharType="end"/>
          </w:r>
        </w:p>
      </w:sdtContent>
    </w:sdt>
    <w:p w14:paraId="44E3516D" w14:textId="77777777" w:rsidR="0057185A" w:rsidRPr="0057185A" w:rsidRDefault="0057185A" w:rsidP="004B3147">
      <w:pPr>
        <w:spacing w:before="100" w:beforeAutospacing="1" w:after="100" w:afterAutospacing="1"/>
        <w:rPr>
          <w:lang w:val="en-US"/>
        </w:rPr>
      </w:pPr>
    </w:p>
    <w:p w14:paraId="42E7CB9F" w14:textId="5CBEBD9A" w:rsidR="0057185A" w:rsidRPr="004B3147" w:rsidRDefault="004B3147" w:rsidP="004B3147">
      <w:pPr>
        <w:pStyle w:val="Heading1"/>
        <w:spacing w:line="360" w:lineRule="auto"/>
        <w:jc w:val="both"/>
      </w:pPr>
      <w:r>
        <w:br w:type="page"/>
      </w:r>
      <w:bookmarkStart w:id="1" w:name="_Toc226994141"/>
      <w:r w:rsidR="0057185A" w:rsidRPr="0057185A">
        <w:lastRenderedPageBreak/>
        <w:t>1. Introduction</w:t>
      </w:r>
      <w:bookmarkEnd w:id="1"/>
      <w:r w:rsidR="0057185A" w:rsidRPr="0057185A">
        <w:t xml:space="preserve"> </w:t>
      </w:r>
    </w:p>
    <w:p w14:paraId="6152581D" w14:textId="22CEFA9E" w:rsidR="0057185A" w:rsidRPr="0057185A" w:rsidRDefault="004B3147" w:rsidP="004B3147">
      <w:pPr>
        <w:spacing w:before="100" w:beforeAutospacing="1" w:after="100" w:afterAutospacing="1"/>
        <w:rPr>
          <w:lang w:val="en-US"/>
        </w:rPr>
      </w:pPr>
      <w:r w:rsidRPr="004B3147">
        <w:t>The life course approach to health and well</w:t>
      </w:r>
      <w:r>
        <w:t>-</w:t>
      </w:r>
      <w:r w:rsidRPr="004B3147">
        <w:t>being can be defined as the concept that biological, social, and environmental factors influence the health outcomes of an individual at the whole lifespan (World Health Organi</w:t>
      </w:r>
      <w:r>
        <w:t>s</w:t>
      </w:r>
      <w:r w:rsidRPr="004B3147">
        <w:t>ation, 2021). The view underlines that health is not predetermined but a result of cumulative exposures and experiences between pre-birth and old age. This method is becoming the norm in recent global health research owing to the increased health inequality and the chronic disease burden in the long-term. The World Health Organi</w:t>
      </w:r>
      <w:r>
        <w:t>s</w:t>
      </w:r>
      <w:r w:rsidRPr="004B3147">
        <w:t>ation (2022) states that non-communicable diseases cause more than 70</w:t>
      </w:r>
      <w:r w:rsidR="00AE0180">
        <w:t xml:space="preserve">% </w:t>
      </w:r>
      <w:r w:rsidRPr="004B3147">
        <w:t xml:space="preserve">of deaths worldwide, with a significant percentage of them being related to an early-life disadvantage and prolonged exposure to risk factors. This has created more interest in preventative interventions throughout </w:t>
      </w:r>
      <w:r>
        <w:t xml:space="preserve">the </w:t>
      </w:r>
      <w:r w:rsidRPr="004B3147">
        <w:t xml:space="preserve">life course. The significance of the approach is that it can be used to describe the interplay between social inequalities, economic disadvantage, and environmental risks to determine health trajectories. As an illustration, children born in poverty have a higher chance of poor diets, low education, and less access to healthcare, all of which predispose them to health risks throughout their lives (Marmot et al., </w:t>
      </w:r>
      <w:r>
        <w:t>2022</w:t>
      </w:r>
      <w:r w:rsidRPr="004B3147">
        <w:t>). This report will critically analy</w:t>
      </w:r>
      <w:r>
        <w:t>s</w:t>
      </w:r>
      <w:r w:rsidRPr="004B3147">
        <w:t xml:space="preserve">e how social, </w:t>
      </w:r>
      <w:r w:rsidR="00656E95" w:rsidRPr="004B3147">
        <w:t>economic,</w:t>
      </w:r>
      <w:r w:rsidRPr="004B3147">
        <w:t xml:space="preserve"> and environmental determinants of health change throughout the life course. It will then consider applicable interventions and finally make future policy, practice, education, and research recommendations</w:t>
      </w:r>
      <w:r w:rsidR="0057185A" w:rsidRPr="0057185A">
        <w:rPr>
          <w:lang w:val="en-US"/>
        </w:rPr>
        <w:t>.</w:t>
      </w:r>
    </w:p>
    <w:p w14:paraId="2F0B34A4" w14:textId="6E76E3FD" w:rsidR="0057185A" w:rsidRPr="0057185A" w:rsidRDefault="0057185A" w:rsidP="004B3147">
      <w:pPr>
        <w:pStyle w:val="Heading1"/>
        <w:spacing w:line="360" w:lineRule="auto"/>
        <w:jc w:val="both"/>
      </w:pPr>
      <w:bookmarkStart w:id="2" w:name="_Toc226994142"/>
      <w:r w:rsidRPr="0057185A">
        <w:t>2. Social Determinants of Health</w:t>
      </w:r>
      <w:bookmarkEnd w:id="2"/>
      <w:r w:rsidRPr="0057185A">
        <w:t xml:space="preserve"> </w:t>
      </w:r>
    </w:p>
    <w:p w14:paraId="6351D1BF" w14:textId="6D250073" w:rsidR="0057185A" w:rsidRPr="0057185A" w:rsidRDefault="004B3147" w:rsidP="004B3147">
      <w:pPr>
        <w:spacing w:before="100" w:beforeAutospacing="1" w:after="100" w:afterAutospacing="1"/>
        <w:rPr>
          <w:lang w:val="en-US"/>
        </w:rPr>
      </w:pPr>
      <w:r w:rsidRPr="004B3147">
        <w:t xml:space="preserve">The social determinants are essential in the development of health outcomes in the life course. These are education, family structure, social </w:t>
      </w:r>
      <w:r w:rsidR="00656E95" w:rsidRPr="004B3147">
        <w:t>support,</w:t>
      </w:r>
      <w:r w:rsidRPr="004B3147">
        <w:t xml:space="preserve"> and inequality. According to the Marmot Review (</w:t>
      </w:r>
      <w:r>
        <w:t>2022</w:t>
      </w:r>
      <w:r w:rsidRPr="004B3147">
        <w:t xml:space="preserve">), social inequality has been noted as one of the best predictors of poor health outcomes both in early and later life. Early childhood family has a significant impact. Children brought up in unstable families or having a lack of parental support tend to develop slower in their developmental process and have mental health challenges (Amateau, Newbanks-Hawks, and MacDonald, 2026). Long-term conditions associated with early childhood adversity have also been associated with cardiovascular disease and depression in adulthood. Another important determinant is education. Increased education level is linked to better health literacy, better health behaviours, and better access to job opportunities. On the other hand, less education is associated </w:t>
      </w:r>
      <w:r w:rsidRPr="004B3147">
        <w:lastRenderedPageBreak/>
        <w:t>with worse health and shorter life expectancy (OECD, 2021). Health disparity is also caused by social inequality among the populations. Lower-socioeconomic status individuals also tend to have lesser access to healthcare, worse living situations, and increased stress. Public Health England (2022) states that the gap between the most and least deprived regions can be over 10 years in terms of life expectancy. Nevertheless, social determinants are not independent. They are exposed to economic and environmental conditions resulting in cumulative disadvantage over the course of life</w:t>
      </w:r>
      <w:r w:rsidR="00AE0180">
        <w:t xml:space="preserve"> (Wagner et al., 2023)</w:t>
      </w:r>
      <w:r w:rsidRPr="004B3147">
        <w:t>. Indicatively, in impoverished families, children are more prone to reside in crowded houses and study in under-resourced</w:t>
      </w:r>
      <w:r>
        <w:t xml:space="preserve"> schools</w:t>
      </w:r>
      <w:r w:rsidRPr="004B3147">
        <w:t>, perpetuating inequality. Generally, social determinants show that health does not just depend on individual behaviour but also on structural conditions. To deal with these inequalities, policy interventions should be made in a coordinated way; they should aim at providing early life support, education, and social protection</w:t>
      </w:r>
      <w:r w:rsidR="00AE0180">
        <w:t xml:space="preserve"> (Ben-Shlomo et al., 2023)</w:t>
      </w:r>
      <w:r w:rsidRPr="004B3147">
        <w:t>.</w:t>
      </w:r>
    </w:p>
    <w:p w14:paraId="54E8651A" w14:textId="0AD602D8" w:rsidR="0057185A" w:rsidRPr="0057185A" w:rsidRDefault="0057185A" w:rsidP="004B3147">
      <w:pPr>
        <w:pStyle w:val="Heading1"/>
        <w:spacing w:line="360" w:lineRule="auto"/>
        <w:jc w:val="both"/>
      </w:pPr>
      <w:bookmarkStart w:id="3" w:name="_Toc226994143"/>
      <w:r w:rsidRPr="0057185A">
        <w:t>3. Economic Determinants of Health</w:t>
      </w:r>
      <w:bookmarkEnd w:id="3"/>
      <w:r w:rsidRPr="0057185A">
        <w:t xml:space="preserve"> </w:t>
      </w:r>
    </w:p>
    <w:p w14:paraId="0D2C87F0" w14:textId="78C58E96" w:rsidR="0057185A" w:rsidRPr="0057185A" w:rsidRDefault="004B3147" w:rsidP="004B3147">
      <w:pPr>
        <w:spacing w:before="100" w:beforeAutospacing="1" w:after="100" w:afterAutospacing="1"/>
        <w:rPr>
          <w:lang w:val="en-US"/>
        </w:rPr>
      </w:pPr>
      <w:r w:rsidRPr="004B3147">
        <w:rPr>
          <w:lang w:val="en-US"/>
        </w:rPr>
        <w:t xml:space="preserve">One of the key determinants of health throughout the life course is economic conditions. The income level, employment and housing affordability can all play a leading role in long-term wellbeing. World Bank (2023) suggests that poverty is one of the strongest predictors of ill health in the world. Income inequality has an impact on access to basic resources including nutritious food, medical services, and secure housing. Food insecurity affects people in the lower-income groups more, and it increases the risk of developing such chronic diseases as diabetes and obesity (FAO, 2022). This illustrates the direct relationship of economic </w:t>
      </w:r>
      <w:r w:rsidR="00A001B6" w:rsidRPr="004B3147">
        <w:rPr>
          <w:lang w:val="en-US"/>
        </w:rPr>
        <w:t>disadvantages</w:t>
      </w:r>
      <w:r w:rsidRPr="004B3147">
        <w:rPr>
          <w:lang w:val="en-US"/>
        </w:rPr>
        <w:t xml:space="preserve"> to health inequality. Work is</w:t>
      </w:r>
      <w:r w:rsidR="00AE0180">
        <w:rPr>
          <w:lang w:val="en-US"/>
        </w:rPr>
        <w:t xml:space="preserve"> also</w:t>
      </w:r>
      <w:r w:rsidRPr="004B3147">
        <w:rPr>
          <w:lang w:val="en-US"/>
        </w:rPr>
        <w:t xml:space="preserve"> very important. Stable jobs are linked to good mental health, social stability, and healthcare benefits. Conversely, stress, anxiety, and adverse physical health results are associated with unemployment or unstable working conditions (International Labour Organi</w:t>
      </w:r>
      <w:r w:rsidR="00AE0180">
        <w:rPr>
          <w:lang w:val="en-US"/>
        </w:rPr>
        <w:t>s</w:t>
      </w:r>
      <w:r w:rsidRPr="004B3147">
        <w:rPr>
          <w:lang w:val="en-US"/>
        </w:rPr>
        <w:t>ation, 2021). Another factor is the housing conditions. The housing of poor quality such as dampness, overcrowding, and insufficient heating</w:t>
      </w:r>
      <w:r w:rsidR="00AE0180">
        <w:rPr>
          <w:lang w:val="en-US"/>
        </w:rPr>
        <w:t>,</w:t>
      </w:r>
      <w:r w:rsidRPr="004B3147">
        <w:rPr>
          <w:lang w:val="en-US"/>
        </w:rPr>
        <w:t xml:space="preserve"> encourages respiratory diseases and mental health problems. Housing inequality was a central factor in the COVID-19 pandemic as a factor that predisposed people to infections and health risks (OECD, 2021). Notably, economic disadvantage is a cumulative measure. Poverty in early life may also impede the level of education, thus inhibiting adult opportunities to work. This reflects the life course concept of cumulative </w:t>
      </w:r>
      <w:r w:rsidRPr="004B3147">
        <w:rPr>
          <w:lang w:val="en-US"/>
        </w:rPr>
        <w:lastRenderedPageBreak/>
        <w:t>disadvantage, or where inequalities accrue over time and are not experienced in a vacuum. Economic measures like minimum wage laws, welfare benefits and housing subsidies have however been found to alleviate some of these impacts</w:t>
      </w:r>
      <w:r w:rsidR="00AE0180">
        <w:rPr>
          <w:lang w:val="en-US"/>
        </w:rPr>
        <w:t xml:space="preserve"> (</w:t>
      </w:r>
      <w:r w:rsidR="00AE0180">
        <w:t>Russ et al., 2022</w:t>
      </w:r>
      <w:r w:rsidR="00AE0180">
        <w:rPr>
          <w:lang w:val="en-US"/>
        </w:rPr>
        <w:t>)</w:t>
      </w:r>
      <w:r w:rsidRPr="004B3147">
        <w:rPr>
          <w:lang w:val="en-US"/>
        </w:rPr>
        <w:t xml:space="preserve">. This notwithstanding, there are still gaps in policy coverage especially among the low- and middle-income groups. Therefore, economic determinants emphasise the necessity of structural interventions that decrease inequality at its origin instead of </w:t>
      </w:r>
      <w:r w:rsidR="001E4548" w:rsidRPr="004B3147">
        <w:rPr>
          <w:lang w:val="en-US"/>
        </w:rPr>
        <w:t>emphasizing</w:t>
      </w:r>
      <w:r w:rsidRPr="004B3147">
        <w:rPr>
          <w:lang w:val="en-US"/>
        </w:rPr>
        <w:t xml:space="preserve"> on individual </w:t>
      </w:r>
      <w:r w:rsidR="00480B1D" w:rsidRPr="004B3147">
        <w:rPr>
          <w:lang w:val="en-US"/>
        </w:rPr>
        <w:t>behavior</w:t>
      </w:r>
      <w:r w:rsidRPr="004B3147">
        <w:rPr>
          <w:lang w:val="en-US"/>
        </w:rPr>
        <w:t xml:space="preserve"> change</w:t>
      </w:r>
      <w:r w:rsidR="0057185A" w:rsidRPr="0057185A">
        <w:rPr>
          <w:lang w:val="en-US"/>
        </w:rPr>
        <w:t>.</w:t>
      </w:r>
    </w:p>
    <w:p w14:paraId="0067B3DF" w14:textId="06BED4E9" w:rsidR="0057185A" w:rsidRPr="0057185A" w:rsidRDefault="0057185A" w:rsidP="004B3147">
      <w:pPr>
        <w:pStyle w:val="Heading1"/>
        <w:spacing w:line="360" w:lineRule="auto"/>
        <w:jc w:val="both"/>
      </w:pPr>
      <w:bookmarkStart w:id="4" w:name="_Toc226994144"/>
      <w:r w:rsidRPr="0057185A">
        <w:t>4. Environmental Determinants of Health</w:t>
      </w:r>
      <w:bookmarkEnd w:id="4"/>
    </w:p>
    <w:p w14:paraId="61AADB1E" w14:textId="5B680EC4" w:rsidR="0057185A" w:rsidRPr="0057185A" w:rsidRDefault="004B3147" w:rsidP="004B3147">
      <w:pPr>
        <w:spacing w:before="100" w:beforeAutospacing="1" w:after="100" w:afterAutospacing="1"/>
        <w:rPr>
          <w:lang w:val="en-US"/>
        </w:rPr>
      </w:pPr>
      <w:r w:rsidRPr="004B3147">
        <w:t xml:space="preserve">Environmental factors play a key role in determining health outcomes in the life course, especially in terms of pollution, housing conditions and risks associated with climate. The World Health Organization (2021) states that the share of global disease burden is about 24 percent of environmental-related risks. One of the most important environmental determinants is air pollution. The chronic effects of pollutants include respiratory diseases, cardiovascular </w:t>
      </w:r>
      <w:r w:rsidR="00656E95" w:rsidRPr="004B3147">
        <w:t>diseases,</w:t>
      </w:r>
      <w:r w:rsidRPr="004B3147">
        <w:t xml:space="preserve"> and shortened life expectancy. The urban population, especially in low-income regions, is more vulnerable because of the increased level of exposure (UNEP, 2022). There are also housing and neighbourhood environments which affect health. Unhealthy housing, inaccessibility to green space, and hazardous neighbourhoods are also associated with physical and mental health issues. Green space access has, in turn, been associated with better mental health and increased physical activity (Public Health England, 2022). Climate change is a new determinant of health. Older adults and children are the most vulnerable groups when it comes to rising temperatures, extreme weather conditions, and food insecurity (IPCC, 2021). This brings out the role of environmental justice as part of the life course approach. Social and economic disadvantage tend to be overlapped with environmental inequalities. The combination of multiple determinants to influence health outcomes is shown by the fact that low-income populations are more likely to reside in more polluted areas with less health resources. Altogether, the environmental determinants strengthen the necessity of sustainable policy on the level of public health concerning immediate risks as well as the environmental change in the long run</w:t>
      </w:r>
      <w:r w:rsidR="005634B4">
        <w:t xml:space="preserve">. </w:t>
      </w:r>
    </w:p>
    <w:p w14:paraId="72A4F718" w14:textId="58EDB10D" w:rsidR="0057185A" w:rsidRPr="0057185A" w:rsidRDefault="0057185A" w:rsidP="004B3147">
      <w:pPr>
        <w:pStyle w:val="Heading1"/>
        <w:spacing w:line="360" w:lineRule="auto"/>
        <w:jc w:val="both"/>
      </w:pPr>
      <w:bookmarkStart w:id="5" w:name="_Toc226994145"/>
      <w:r w:rsidRPr="0057185A">
        <w:t>5. Life Course Interventions</w:t>
      </w:r>
      <w:bookmarkEnd w:id="5"/>
    </w:p>
    <w:p w14:paraId="71A6F0BC" w14:textId="0C111BB3" w:rsidR="0057185A" w:rsidRPr="0057185A" w:rsidRDefault="004B3147" w:rsidP="004B3147">
      <w:pPr>
        <w:spacing w:before="100" w:beforeAutospacing="1" w:after="100" w:afterAutospacing="1"/>
        <w:rPr>
          <w:lang w:val="en-US"/>
        </w:rPr>
      </w:pPr>
      <w:r w:rsidRPr="004B3147">
        <w:lastRenderedPageBreak/>
        <w:t xml:space="preserve">The main point of life course interventions is to minimize health disparities by addressing various life phases. Some of the most effective strategies to enhance long-term health outcomes are early childhood interventions, like vaccination programmes, nutrition support, and parenting education (WHO, 2022). Health promotion </w:t>
      </w:r>
      <w:r w:rsidR="001E4548" w:rsidRPr="004B3147">
        <w:t>program memes</w:t>
      </w:r>
      <w:r w:rsidRPr="004B3147">
        <w:t xml:space="preserve"> in schools are also significant in influencing behaviours like diet, physical activity and substance use. Education There is evidence that obesity and mental illness risk in the future can be mitigated through early education interventions (OECD, 2021). In adult life, the interventions usually </w:t>
      </w:r>
      <w:r w:rsidR="001E4548" w:rsidRPr="004B3147">
        <w:t>canter</w:t>
      </w:r>
      <w:r w:rsidRPr="004B3147">
        <w:t xml:space="preserve"> on lifestyle change, workplace health promotion as well as prevention of chronic diseases. Nevertheless, such interventions do not tend to be effective in the absence of structural inequalities. Although the idea of life course interventions is highly policy-supported, the lack of equal access and funding usually restricts its effectiveness. Interventions are usually best applied early, but investment is usually skewed toward treatment, not prevention. Consequently, life course interventions have a conceptual strength, but their practical implementation requires long-term funding, intersectoral collaboration, and long-term commitment to the policy</w:t>
      </w:r>
      <w:r w:rsidR="00AE0180">
        <w:t xml:space="preserve"> (Ben-Shlomo et al., 2023)</w:t>
      </w:r>
      <w:r w:rsidR="0057185A" w:rsidRPr="0057185A">
        <w:rPr>
          <w:lang w:val="en-US"/>
        </w:rPr>
        <w:t>.</w:t>
      </w:r>
    </w:p>
    <w:p w14:paraId="650AD0ED" w14:textId="0B07A90C" w:rsidR="004B3147" w:rsidRPr="0057185A" w:rsidRDefault="0057185A" w:rsidP="004B3147">
      <w:pPr>
        <w:pStyle w:val="Heading1"/>
        <w:spacing w:line="360" w:lineRule="auto"/>
        <w:jc w:val="both"/>
      </w:pPr>
      <w:bookmarkStart w:id="6" w:name="_Toc226994146"/>
      <w:r w:rsidRPr="0057185A">
        <w:t>6. Conclusion</w:t>
      </w:r>
      <w:bookmarkEnd w:id="6"/>
    </w:p>
    <w:p w14:paraId="70BAB341" w14:textId="378EC026" w:rsidR="0057185A" w:rsidRPr="0057185A" w:rsidRDefault="004B3147" w:rsidP="004B3147">
      <w:pPr>
        <w:spacing w:before="100" w:beforeAutospacing="1" w:after="100" w:afterAutospacing="1"/>
        <w:rPr>
          <w:lang w:val="en-US"/>
        </w:rPr>
      </w:pPr>
      <w:r w:rsidRPr="004B3147">
        <w:t xml:space="preserve">This report has shown that health and wellbeing are influenced by the intertwined social, </w:t>
      </w:r>
      <w:r w:rsidR="00746D44" w:rsidRPr="004B3147">
        <w:t>economic,</w:t>
      </w:r>
      <w:r w:rsidRPr="004B3147">
        <w:t xml:space="preserve"> and environmental determinants throughout the life course. The cumulative health risks are caused by social inequality, economic disadvantage, and exposure to the environment, and they continue to impact later in life. The facts show that the most effective strategy to be adopted in mitigating health inequalities in the long term is early intervention. But the interventions that are currently in place are constrained by structural barriers such as unequal access and disjointed policy implementation. In general, the life course approach offers an in-depth understanding of health inequalities and demonstrates the significance of prevention at all life periods. These inequalities need to be tackled through a concerted effort in various sectors</w:t>
      </w:r>
      <w:r w:rsidR="0057185A" w:rsidRPr="0057185A">
        <w:rPr>
          <w:lang w:val="en-US"/>
        </w:rPr>
        <w:t>.</w:t>
      </w:r>
    </w:p>
    <w:p w14:paraId="457BC125" w14:textId="06237721" w:rsidR="0057185A" w:rsidRPr="0057185A" w:rsidRDefault="0057185A" w:rsidP="004B3147">
      <w:pPr>
        <w:pStyle w:val="Heading1"/>
        <w:spacing w:line="360" w:lineRule="auto"/>
        <w:jc w:val="both"/>
      </w:pPr>
      <w:bookmarkStart w:id="7" w:name="_Toc226994147"/>
      <w:r w:rsidRPr="0057185A">
        <w:t>7. Recommendations</w:t>
      </w:r>
      <w:bookmarkEnd w:id="7"/>
    </w:p>
    <w:p w14:paraId="37AD7DEF" w14:textId="77777777" w:rsidR="0057185A" w:rsidRPr="0057185A" w:rsidRDefault="0057185A" w:rsidP="004B3147">
      <w:pPr>
        <w:spacing w:before="100" w:beforeAutospacing="1" w:after="100" w:afterAutospacing="1"/>
        <w:rPr>
          <w:lang w:val="en-US"/>
        </w:rPr>
      </w:pPr>
      <w:r w:rsidRPr="0057185A">
        <w:rPr>
          <w:b/>
          <w:bCs/>
          <w:lang w:val="en-US"/>
        </w:rPr>
        <w:t>Policy</w:t>
      </w:r>
    </w:p>
    <w:p w14:paraId="15C51D55" w14:textId="77777777" w:rsidR="0057185A" w:rsidRPr="0057185A" w:rsidRDefault="0057185A" w:rsidP="004B3147">
      <w:pPr>
        <w:numPr>
          <w:ilvl w:val="0"/>
          <w:numId w:val="2"/>
        </w:numPr>
        <w:spacing w:before="100" w:beforeAutospacing="1" w:after="100" w:afterAutospacing="1"/>
        <w:rPr>
          <w:lang w:val="en-US"/>
        </w:rPr>
      </w:pPr>
      <w:r w:rsidRPr="0057185A">
        <w:rPr>
          <w:lang w:val="en-US"/>
        </w:rPr>
        <w:t xml:space="preserve">Increase investment in early childhood health and nutrition programmes. </w:t>
      </w:r>
    </w:p>
    <w:p w14:paraId="460301BF" w14:textId="77777777" w:rsidR="0057185A" w:rsidRPr="0057185A" w:rsidRDefault="0057185A" w:rsidP="004B3147">
      <w:pPr>
        <w:numPr>
          <w:ilvl w:val="0"/>
          <w:numId w:val="2"/>
        </w:numPr>
        <w:spacing w:before="100" w:beforeAutospacing="1" w:after="100" w:afterAutospacing="1"/>
        <w:rPr>
          <w:lang w:val="en-US"/>
        </w:rPr>
      </w:pPr>
      <w:r w:rsidRPr="0057185A">
        <w:rPr>
          <w:lang w:val="en-US"/>
        </w:rPr>
        <w:lastRenderedPageBreak/>
        <w:t xml:space="preserve">Strengthen policies addressing income inequality and housing quality. </w:t>
      </w:r>
    </w:p>
    <w:p w14:paraId="7C66DB3E" w14:textId="77777777" w:rsidR="0057185A" w:rsidRPr="0057185A" w:rsidRDefault="0057185A" w:rsidP="004B3147">
      <w:pPr>
        <w:spacing w:before="100" w:beforeAutospacing="1" w:after="100" w:afterAutospacing="1"/>
        <w:rPr>
          <w:lang w:val="en-US"/>
        </w:rPr>
      </w:pPr>
      <w:r w:rsidRPr="0057185A">
        <w:rPr>
          <w:b/>
          <w:bCs/>
          <w:lang w:val="en-US"/>
        </w:rPr>
        <w:t>Practice</w:t>
      </w:r>
    </w:p>
    <w:p w14:paraId="10F5D815" w14:textId="77777777" w:rsidR="0057185A" w:rsidRPr="0057185A" w:rsidRDefault="0057185A" w:rsidP="004B3147">
      <w:pPr>
        <w:numPr>
          <w:ilvl w:val="0"/>
          <w:numId w:val="3"/>
        </w:numPr>
        <w:spacing w:before="100" w:beforeAutospacing="1" w:after="100" w:afterAutospacing="1"/>
        <w:rPr>
          <w:lang w:val="en-US"/>
        </w:rPr>
      </w:pPr>
      <w:r w:rsidRPr="0057185A">
        <w:rPr>
          <w:lang w:val="en-US"/>
        </w:rPr>
        <w:t xml:space="preserve">Expand community-based preventive healthcare services. </w:t>
      </w:r>
    </w:p>
    <w:p w14:paraId="426F492A" w14:textId="77777777" w:rsidR="0057185A" w:rsidRPr="0057185A" w:rsidRDefault="0057185A" w:rsidP="004B3147">
      <w:pPr>
        <w:numPr>
          <w:ilvl w:val="0"/>
          <w:numId w:val="3"/>
        </w:numPr>
        <w:spacing w:before="100" w:beforeAutospacing="1" w:after="100" w:afterAutospacing="1"/>
        <w:rPr>
          <w:lang w:val="en-US"/>
        </w:rPr>
      </w:pPr>
      <w:r w:rsidRPr="0057185A">
        <w:rPr>
          <w:lang w:val="en-US"/>
        </w:rPr>
        <w:t xml:space="preserve">Improve training for healthcare professionals on life course determinants. </w:t>
      </w:r>
    </w:p>
    <w:p w14:paraId="42569830" w14:textId="77777777" w:rsidR="0057185A" w:rsidRPr="0057185A" w:rsidRDefault="0057185A" w:rsidP="004B3147">
      <w:pPr>
        <w:spacing w:before="100" w:beforeAutospacing="1" w:after="100" w:afterAutospacing="1"/>
        <w:rPr>
          <w:lang w:val="en-US"/>
        </w:rPr>
      </w:pPr>
      <w:r w:rsidRPr="0057185A">
        <w:rPr>
          <w:b/>
          <w:bCs/>
          <w:lang w:val="en-US"/>
        </w:rPr>
        <w:t>Education</w:t>
      </w:r>
    </w:p>
    <w:p w14:paraId="0F1951AB" w14:textId="77777777" w:rsidR="0057185A" w:rsidRPr="0057185A" w:rsidRDefault="0057185A" w:rsidP="004B3147">
      <w:pPr>
        <w:numPr>
          <w:ilvl w:val="0"/>
          <w:numId w:val="4"/>
        </w:numPr>
        <w:spacing w:before="100" w:beforeAutospacing="1" w:after="100" w:afterAutospacing="1"/>
        <w:rPr>
          <w:lang w:val="en-US"/>
        </w:rPr>
      </w:pPr>
      <w:r w:rsidRPr="0057185A">
        <w:rPr>
          <w:lang w:val="en-US"/>
        </w:rPr>
        <w:t xml:space="preserve">Introduce mandatory health inequality education in schools. </w:t>
      </w:r>
    </w:p>
    <w:p w14:paraId="595EB3A2" w14:textId="77777777" w:rsidR="0057185A" w:rsidRPr="0057185A" w:rsidRDefault="0057185A" w:rsidP="004B3147">
      <w:pPr>
        <w:numPr>
          <w:ilvl w:val="0"/>
          <w:numId w:val="4"/>
        </w:numPr>
        <w:spacing w:before="100" w:beforeAutospacing="1" w:after="100" w:afterAutospacing="1"/>
        <w:rPr>
          <w:lang w:val="en-US"/>
        </w:rPr>
      </w:pPr>
      <w:r w:rsidRPr="0057185A">
        <w:rPr>
          <w:lang w:val="en-US"/>
        </w:rPr>
        <w:t xml:space="preserve">Promote public health awareness campaigns. </w:t>
      </w:r>
    </w:p>
    <w:p w14:paraId="211E35A1" w14:textId="77777777" w:rsidR="0057185A" w:rsidRPr="0057185A" w:rsidRDefault="0057185A" w:rsidP="004B3147">
      <w:pPr>
        <w:spacing w:before="100" w:beforeAutospacing="1" w:after="100" w:afterAutospacing="1"/>
        <w:rPr>
          <w:lang w:val="en-US"/>
        </w:rPr>
      </w:pPr>
      <w:r w:rsidRPr="0057185A">
        <w:rPr>
          <w:b/>
          <w:bCs/>
          <w:lang w:val="en-US"/>
        </w:rPr>
        <w:t>Research</w:t>
      </w:r>
    </w:p>
    <w:p w14:paraId="1EFC2AEC" w14:textId="77777777" w:rsidR="0057185A" w:rsidRPr="0057185A" w:rsidRDefault="0057185A" w:rsidP="004B3147">
      <w:pPr>
        <w:numPr>
          <w:ilvl w:val="0"/>
          <w:numId w:val="5"/>
        </w:numPr>
        <w:spacing w:before="100" w:beforeAutospacing="1" w:after="100" w:afterAutospacing="1"/>
        <w:rPr>
          <w:lang w:val="en-US"/>
        </w:rPr>
      </w:pPr>
      <w:r w:rsidRPr="0057185A">
        <w:rPr>
          <w:lang w:val="en-US"/>
        </w:rPr>
        <w:t xml:space="preserve">Expand longitudinal studies on life course health outcomes. </w:t>
      </w:r>
    </w:p>
    <w:p w14:paraId="731B8FC5" w14:textId="41536AE1" w:rsidR="004B3147" w:rsidRDefault="0057185A" w:rsidP="004B3147">
      <w:pPr>
        <w:numPr>
          <w:ilvl w:val="0"/>
          <w:numId w:val="5"/>
        </w:numPr>
        <w:spacing w:before="100" w:beforeAutospacing="1" w:after="100" w:afterAutospacing="1"/>
        <w:rPr>
          <w:lang w:val="en-US"/>
        </w:rPr>
      </w:pPr>
      <w:r w:rsidRPr="0057185A">
        <w:rPr>
          <w:lang w:val="en-US"/>
        </w:rPr>
        <w:t xml:space="preserve">Evaluate long-term effectiveness of interventions across populations. </w:t>
      </w:r>
    </w:p>
    <w:p w14:paraId="383816BA" w14:textId="77777777" w:rsidR="004B3147" w:rsidRDefault="004B3147" w:rsidP="004B3147">
      <w:pPr>
        <w:spacing w:after="160"/>
        <w:rPr>
          <w:lang w:val="en-US"/>
        </w:rPr>
      </w:pPr>
      <w:r>
        <w:rPr>
          <w:lang w:val="en-US"/>
        </w:rPr>
        <w:br w:type="page"/>
      </w:r>
    </w:p>
    <w:p w14:paraId="036767D7" w14:textId="395D7B61" w:rsidR="0057185A" w:rsidRPr="0057185A" w:rsidRDefault="0057185A" w:rsidP="004B3147">
      <w:pPr>
        <w:pStyle w:val="Heading1"/>
        <w:spacing w:line="360" w:lineRule="auto"/>
        <w:jc w:val="both"/>
        <w:rPr>
          <w:kern w:val="0"/>
          <w:sz w:val="24"/>
          <w:szCs w:val="24"/>
        </w:rPr>
      </w:pPr>
      <w:bookmarkStart w:id="8" w:name="_Toc226994148"/>
      <w:r w:rsidRPr="0057185A">
        <w:lastRenderedPageBreak/>
        <w:t>References</w:t>
      </w:r>
      <w:bookmarkEnd w:id="8"/>
      <w:r w:rsidRPr="0057185A">
        <w:t xml:space="preserve"> </w:t>
      </w:r>
    </w:p>
    <w:p w14:paraId="0978BE9C" w14:textId="46B4AF53" w:rsidR="00AE0180" w:rsidRDefault="00AE0180" w:rsidP="00AE0180">
      <w:pPr>
        <w:pStyle w:val="NormalWeb"/>
        <w:ind w:left="720" w:hanging="720"/>
      </w:pPr>
      <w:r>
        <w:t>Amateau, G., Newbanks-Hawks, C. and MacDonald, C. (</w:t>
      </w:r>
      <w:r w:rsidR="00A001B6">
        <w:t xml:space="preserve">2026) </w:t>
      </w:r>
      <w:r>
        <w:t xml:space="preserve">Trauma and ageism: intersections of harm across the lifespan’, in </w:t>
      </w:r>
      <w:r>
        <w:rPr>
          <w:rStyle w:val="Emphasis"/>
        </w:rPr>
        <w:t>Disrupting Ageism</w:t>
      </w:r>
      <w:r>
        <w:t>. London: Academic Press, pp. 51–62.</w:t>
      </w:r>
    </w:p>
    <w:p w14:paraId="78351A4B" w14:textId="2E3D4E77" w:rsidR="00AE0180" w:rsidRDefault="00AE0180" w:rsidP="00AE0180">
      <w:pPr>
        <w:pStyle w:val="NormalWeb"/>
        <w:ind w:left="720" w:hanging="720"/>
      </w:pPr>
      <w:r>
        <w:t>Ben-Shlomo, Y., Mishra, G.D. and Kuh, D. (</w:t>
      </w:r>
      <w:r w:rsidR="00A001B6">
        <w:t xml:space="preserve">2023) </w:t>
      </w:r>
      <w:r>
        <w:t xml:space="preserve">Life course epidemiology’, in </w:t>
      </w:r>
      <w:r>
        <w:rPr>
          <w:rStyle w:val="Emphasis"/>
        </w:rPr>
        <w:t>Handbook of Epidemiology</w:t>
      </w:r>
      <w:r>
        <w:t>. New York, NY: Springer New York, pp. 1–31.</w:t>
      </w:r>
    </w:p>
    <w:p w14:paraId="283EB538" w14:textId="77777777" w:rsidR="00AE0180" w:rsidRDefault="00AE0180" w:rsidP="00AE0180">
      <w:pPr>
        <w:pStyle w:val="NormalWeb"/>
        <w:ind w:left="720" w:hanging="720"/>
      </w:pPr>
      <w:r>
        <w:t xml:space="preserve">FAO (2022) </w:t>
      </w:r>
      <w:r>
        <w:rPr>
          <w:rStyle w:val="Emphasis"/>
        </w:rPr>
        <w:t>The State of Food Security and Nutrition in the World</w:t>
      </w:r>
      <w:r>
        <w:t xml:space="preserve">. Rome: Food and Agriculture Organization. Available at: </w:t>
      </w:r>
      <w:hyperlink r:id="rId6" w:tgtFrame="_new" w:history="1">
        <w:r>
          <w:rPr>
            <w:rStyle w:val="Hyperlink"/>
            <w:rFonts w:eastAsiaTheme="majorEastAsia"/>
          </w:rPr>
          <w:t>https://openknowledge.fao.org/server/api/core/bitstreams/67b1e9c7-1a7f-4dc6-a19e-f6472a4ea83a/content</w:t>
        </w:r>
      </w:hyperlink>
      <w:r>
        <w:t xml:space="preserve"> (Accessed: 13 April 2026).</w:t>
      </w:r>
    </w:p>
    <w:p w14:paraId="08BAF67F" w14:textId="77777777" w:rsidR="00AE0180" w:rsidRDefault="00AE0180" w:rsidP="00AE0180">
      <w:pPr>
        <w:pStyle w:val="NormalWeb"/>
        <w:ind w:left="720" w:hanging="720"/>
      </w:pPr>
      <w:r>
        <w:t xml:space="preserve">International Labour Organization (2021) </w:t>
      </w:r>
      <w:r>
        <w:rPr>
          <w:rStyle w:val="Emphasis"/>
        </w:rPr>
        <w:t>World Employment and Social Outlook: Trends 2021</w:t>
      </w:r>
      <w:r>
        <w:t xml:space="preserve">. Geneva: ILO. Available at: </w:t>
      </w:r>
      <w:hyperlink r:id="rId7" w:tgtFrame="_new" w:history="1">
        <w:r>
          <w:rPr>
            <w:rStyle w:val="Hyperlink"/>
            <w:rFonts w:eastAsiaTheme="majorEastAsia"/>
          </w:rPr>
          <w:t>https://www.ilo.org/publications/world-employment-and-social-outlook-trends-2021</w:t>
        </w:r>
      </w:hyperlink>
      <w:r>
        <w:t xml:space="preserve"> (Accessed: 13 April 2026).</w:t>
      </w:r>
    </w:p>
    <w:p w14:paraId="078F0EC0" w14:textId="77777777" w:rsidR="00AE0180" w:rsidRDefault="00AE0180" w:rsidP="00AE0180">
      <w:pPr>
        <w:pStyle w:val="NormalWeb"/>
        <w:ind w:left="720" w:hanging="720"/>
      </w:pPr>
      <w:r>
        <w:t xml:space="preserve">IPCC (2021) </w:t>
      </w:r>
      <w:r>
        <w:rPr>
          <w:rStyle w:val="Emphasis"/>
        </w:rPr>
        <w:t>Climate Change 2021: Impacts, Adaptation and Vulnerability</w:t>
      </w:r>
      <w:r>
        <w:t xml:space="preserve">. Geneva: Intergovernmental Panel on Climate Change. Available at: </w:t>
      </w:r>
      <w:hyperlink r:id="rId8" w:tgtFrame="_new" w:history="1">
        <w:r>
          <w:rPr>
            <w:rStyle w:val="Hyperlink"/>
            <w:rFonts w:eastAsiaTheme="majorEastAsia"/>
          </w:rPr>
          <w:t>https://www.ipcc.ch/report/ar6/wg2/</w:t>
        </w:r>
      </w:hyperlink>
      <w:r>
        <w:t xml:space="preserve"> (Accessed: 13 April 2026).</w:t>
      </w:r>
    </w:p>
    <w:p w14:paraId="1635A076" w14:textId="77777777" w:rsidR="00AE0180" w:rsidRDefault="00AE0180" w:rsidP="00AE0180">
      <w:pPr>
        <w:pStyle w:val="NormalWeb"/>
        <w:ind w:left="720" w:hanging="720"/>
      </w:pPr>
      <w:r>
        <w:t xml:space="preserve">Marmot, M. (2022) ‘Public health and health inequalities: a half century of personal involvement’, </w:t>
      </w:r>
      <w:r>
        <w:rPr>
          <w:rStyle w:val="Emphasis"/>
        </w:rPr>
        <w:t>Journal of Public Health</w:t>
      </w:r>
      <w:r>
        <w:t>, 44(Supplement_1), pp. i23–i27. https://doi.org/10.1093/pubmed/fdac002</w:t>
      </w:r>
    </w:p>
    <w:p w14:paraId="22599800" w14:textId="77777777" w:rsidR="00AE0180" w:rsidRDefault="00AE0180" w:rsidP="00AE0180">
      <w:pPr>
        <w:pStyle w:val="NormalWeb"/>
        <w:ind w:left="720" w:hanging="720"/>
      </w:pPr>
      <w:r>
        <w:t xml:space="preserve">OECD (2021) </w:t>
      </w:r>
      <w:r>
        <w:rPr>
          <w:rStyle w:val="Emphasis"/>
        </w:rPr>
        <w:t>Health at a Glance 2021</w:t>
      </w:r>
      <w:r>
        <w:t xml:space="preserve">. Paris: Organisation for Economic Co-operation and Development. Available at: </w:t>
      </w:r>
      <w:hyperlink r:id="rId9" w:tgtFrame="_new" w:history="1">
        <w:r>
          <w:rPr>
            <w:rStyle w:val="Hyperlink"/>
            <w:rFonts w:eastAsiaTheme="majorEastAsia"/>
          </w:rPr>
          <w:t>https://www.oecd.org/en/publications/2021/11/health-at-a-glance-2021_cc38aa56.html</w:t>
        </w:r>
      </w:hyperlink>
      <w:r>
        <w:t xml:space="preserve"> (Accessed: 13 April 2026).</w:t>
      </w:r>
    </w:p>
    <w:p w14:paraId="6228F643" w14:textId="77777777" w:rsidR="00AE0180" w:rsidRDefault="00AE0180" w:rsidP="00AE0180">
      <w:pPr>
        <w:pStyle w:val="NormalWeb"/>
        <w:ind w:left="720" w:hanging="720"/>
      </w:pPr>
      <w:r>
        <w:t xml:space="preserve">Public Health England (2022) </w:t>
      </w:r>
      <w:r>
        <w:rPr>
          <w:rStyle w:val="Emphasis"/>
        </w:rPr>
        <w:t>Health Profile for England</w:t>
      </w:r>
      <w:r>
        <w:t xml:space="preserve">. London: Public Health England. Available at: </w:t>
      </w:r>
      <w:hyperlink r:id="rId10" w:tgtFrame="_new" w:history="1">
        <w:r>
          <w:rPr>
            <w:rStyle w:val="Hyperlink"/>
            <w:rFonts w:eastAsiaTheme="majorEastAsia"/>
          </w:rPr>
          <w:t>https://www.gov.uk/government/organisations/public-health-england</w:t>
        </w:r>
      </w:hyperlink>
      <w:r>
        <w:t xml:space="preserve"> (Accessed: 13 April 2026).</w:t>
      </w:r>
    </w:p>
    <w:p w14:paraId="587C665E" w14:textId="77777777" w:rsidR="00AE0180" w:rsidRDefault="00AE0180" w:rsidP="00AE0180">
      <w:pPr>
        <w:pStyle w:val="NormalWeb"/>
        <w:ind w:left="720" w:hanging="720"/>
      </w:pPr>
      <w:r>
        <w:t xml:space="preserve">Russ, S.A., Hotez, E., Berghaus, M., Verbiest, S., Hoover, C., Schor, E.L. and Halfon, N. (2022) ‘What makes an intervention a life course intervention?’, </w:t>
      </w:r>
      <w:r>
        <w:rPr>
          <w:rStyle w:val="Emphasis"/>
        </w:rPr>
        <w:t>Pediatrics</w:t>
      </w:r>
      <w:r>
        <w:t>, 149(Supplement 5).</w:t>
      </w:r>
    </w:p>
    <w:p w14:paraId="377011EB" w14:textId="77777777" w:rsidR="00AE0180" w:rsidRDefault="00AE0180" w:rsidP="00AE0180">
      <w:pPr>
        <w:pStyle w:val="NormalWeb"/>
        <w:ind w:left="720" w:hanging="720"/>
      </w:pPr>
      <w:r>
        <w:t xml:space="preserve">UNEP (2022) </w:t>
      </w:r>
      <w:r>
        <w:rPr>
          <w:rStyle w:val="Emphasis"/>
        </w:rPr>
        <w:t>Air Pollution and Health Impacts Report</w:t>
      </w:r>
      <w:r>
        <w:t xml:space="preserve">. Nairobi: United Nations Environment Programme. Available at: </w:t>
      </w:r>
      <w:hyperlink r:id="rId11" w:tgtFrame="_new" w:history="1">
        <w:r>
          <w:rPr>
            <w:rStyle w:val="Hyperlink"/>
            <w:rFonts w:eastAsiaTheme="majorEastAsia"/>
          </w:rPr>
          <w:t>https://www.unep.org/annualreport/2022</w:t>
        </w:r>
      </w:hyperlink>
      <w:r>
        <w:t xml:space="preserve"> (Accessed: 13 April 2026).</w:t>
      </w:r>
    </w:p>
    <w:p w14:paraId="616C422E" w14:textId="77777777" w:rsidR="00AE0180" w:rsidRDefault="00AE0180" w:rsidP="00AE0180">
      <w:pPr>
        <w:pStyle w:val="NormalWeb"/>
        <w:ind w:left="720" w:hanging="720"/>
      </w:pPr>
      <w:r>
        <w:t xml:space="preserve">Wagner, C., Carmeli, C., Jackisch, J., Kivimäki, M., van der Linden, B.W., Cullati, S. and Chiolero, A. (2024) ‘Life course epidemiology and public health’, </w:t>
      </w:r>
      <w:r>
        <w:rPr>
          <w:rStyle w:val="Emphasis"/>
        </w:rPr>
        <w:t>The Lancet Public Health</w:t>
      </w:r>
      <w:r>
        <w:t>, 9(4), pp. e261–e269.</w:t>
      </w:r>
    </w:p>
    <w:p w14:paraId="1133C870" w14:textId="77777777" w:rsidR="00AE0180" w:rsidRDefault="00AE0180" w:rsidP="00AE0180">
      <w:pPr>
        <w:pStyle w:val="NormalWeb"/>
        <w:ind w:left="720" w:hanging="720"/>
      </w:pPr>
      <w:r>
        <w:lastRenderedPageBreak/>
        <w:t xml:space="preserve">World Bank (2023) </w:t>
      </w:r>
      <w:r>
        <w:rPr>
          <w:rStyle w:val="Emphasis"/>
        </w:rPr>
        <w:t>Global Poverty and Health Report</w:t>
      </w:r>
      <w:r>
        <w:t xml:space="preserve">. Washington DC: World Bank. Available at: </w:t>
      </w:r>
      <w:hyperlink r:id="rId12" w:tgtFrame="_new" w:history="1">
        <w:r>
          <w:rPr>
            <w:rStyle w:val="Hyperlink"/>
            <w:rFonts w:eastAsiaTheme="majorEastAsia"/>
          </w:rPr>
          <w:t>https://www.worldbank.org/en/publication/wdr/wdr-archive</w:t>
        </w:r>
      </w:hyperlink>
      <w:r>
        <w:t xml:space="preserve"> (Accessed: 13 April 2026).</w:t>
      </w:r>
    </w:p>
    <w:p w14:paraId="0A9D2F7B" w14:textId="77777777" w:rsidR="00AE0180" w:rsidRDefault="00AE0180" w:rsidP="00AE0180">
      <w:pPr>
        <w:pStyle w:val="NormalWeb"/>
        <w:ind w:left="720" w:hanging="720"/>
      </w:pPr>
      <w:r>
        <w:t xml:space="preserve">World Health Organization (2021) </w:t>
      </w:r>
      <w:r>
        <w:rPr>
          <w:rStyle w:val="Emphasis"/>
        </w:rPr>
        <w:t>Life Course Approach to Health</w:t>
      </w:r>
      <w:r>
        <w:t xml:space="preserve">. Geneva: World Health Organization. Available at: </w:t>
      </w:r>
      <w:hyperlink r:id="rId13" w:tgtFrame="_new" w:history="1">
        <w:r>
          <w:rPr>
            <w:rStyle w:val="Hyperlink"/>
            <w:rFonts w:eastAsiaTheme="majorEastAsia"/>
          </w:rPr>
          <w:t>https://www.who.int/teams/maternal-newborn-child-adolescent-health-and-ageing/life-course</w:t>
        </w:r>
      </w:hyperlink>
      <w:r>
        <w:t xml:space="preserve"> (Accessed: 13 April 2026).</w:t>
      </w:r>
    </w:p>
    <w:p w14:paraId="4B333D67" w14:textId="77777777" w:rsidR="00AE0180" w:rsidRDefault="00AE0180" w:rsidP="00AE0180">
      <w:pPr>
        <w:pStyle w:val="NormalWeb"/>
        <w:ind w:left="720" w:hanging="720"/>
      </w:pPr>
      <w:r>
        <w:t xml:space="preserve">World Health Organization (2022) </w:t>
      </w:r>
      <w:r>
        <w:rPr>
          <w:rStyle w:val="Emphasis"/>
        </w:rPr>
        <w:t>Noncommunicable Diseases Progress Monitor 2022</w:t>
      </w:r>
      <w:r>
        <w:t xml:space="preserve">. Geneva: World Health Organization. Available at: </w:t>
      </w:r>
      <w:hyperlink r:id="rId14" w:tgtFrame="_new" w:history="1">
        <w:r>
          <w:rPr>
            <w:rStyle w:val="Hyperlink"/>
            <w:rFonts w:eastAsiaTheme="majorEastAsia"/>
          </w:rPr>
          <w:t>https://www.who.int/publications/i/item/9789240047761</w:t>
        </w:r>
      </w:hyperlink>
      <w:r>
        <w:t xml:space="preserve"> (Accessed: 13 April 2026).</w:t>
      </w:r>
    </w:p>
    <w:p w14:paraId="347CC8FB" w14:textId="77777777" w:rsidR="00AE0180" w:rsidRDefault="00AE0180" w:rsidP="00AE0180">
      <w:pPr>
        <w:pStyle w:val="NormalWeb"/>
      </w:pPr>
    </w:p>
    <w:p w14:paraId="7F900917" w14:textId="77777777" w:rsidR="0043621F" w:rsidRDefault="0043621F" w:rsidP="004B3147"/>
    <w:sectPr w:rsidR="004362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57B58"/>
    <w:multiLevelType w:val="multilevel"/>
    <w:tmpl w:val="4DF4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423D77"/>
    <w:multiLevelType w:val="multilevel"/>
    <w:tmpl w:val="8F66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0F32D8"/>
    <w:multiLevelType w:val="multilevel"/>
    <w:tmpl w:val="81E4A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FE6E4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71552992"/>
    <w:multiLevelType w:val="multilevel"/>
    <w:tmpl w:val="26E8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737403">
    <w:abstractNumId w:val="3"/>
  </w:num>
  <w:num w:numId="2" w16cid:durableId="1648048149">
    <w:abstractNumId w:val="4"/>
  </w:num>
  <w:num w:numId="3" w16cid:durableId="470513031">
    <w:abstractNumId w:val="0"/>
  </w:num>
  <w:num w:numId="4" w16cid:durableId="1248004999">
    <w:abstractNumId w:val="2"/>
  </w:num>
  <w:num w:numId="5" w16cid:durableId="1288465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85A"/>
    <w:rsid w:val="00025666"/>
    <w:rsid w:val="00034F91"/>
    <w:rsid w:val="0004116A"/>
    <w:rsid w:val="00045ADF"/>
    <w:rsid w:val="000D6CEB"/>
    <w:rsid w:val="00176624"/>
    <w:rsid w:val="001D2785"/>
    <w:rsid w:val="001E4548"/>
    <w:rsid w:val="00223B98"/>
    <w:rsid w:val="00366A40"/>
    <w:rsid w:val="0043621F"/>
    <w:rsid w:val="0046487B"/>
    <w:rsid w:val="00480B1D"/>
    <w:rsid w:val="004B3147"/>
    <w:rsid w:val="005634B4"/>
    <w:rsid w:val="0057185A"/>
    <w:rsid w:val="00592FC8"/>
    <w:rsid w:val="00594AA5"/>
    <w:rsid w:val="006117C5"/>
    <w:rsid w:val="00656E95"/>
    <w:rsid w:val="00746D44"/>
    <w:rsid w:val="00764F72"/>
    <w:rsid w:val="007735B3"/>
    <w:rsid w:val="008545C5"/>
    <w:rsid w:val="009871C5"/>
    <w:rsid w:val="009B1969"/>
    <w:rsid w:val="00A0001A"/>
    <w:rsid w:val="00A001B6"/>
    <w:rsid w:val="00A46356"/>
    <w:rsid w:val="00AD20B3"/>
    <w:rsid w:val="00AE0180"/>
    <w:rsid w:val="00AF1DDC"/>
    <w:rsid w:val="00B2132E"/>
    <w:rsid w:val="00B45F3F"/>
    <w:rsid w:val="00B56C28"/>
    <w:rsid w:val="00B7633D"/>
    <w:rsid w:val="00B90D96"/>
    <w:rsid w:val="00C70838"/>
    <w:rsid w:val="00D2604B"/>
    <w:rsid w:val="00E40A9D"/>
    <w:rsid w:val="00E715AD"/>
    <w:rsid w:val="00EF03F6"/>
    <w:rsid w:val="00EF1DFB"/>
    <w:rsid w:val="00F25228"/>
    <w:rsid w:val="00F50D28"/>
    <w:rsid w:val="00F92D4D"/>
    <w:rsid w:val="00FD68C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27B51"/>
  <w15:chartTrackingRefBased/>
  <w15:docId w15:val="{EDC9A37C-3BE9-3942-A94B-F474223B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16A"/>
    <w:pPr>
      <w:spacing w:after="0" w:line="360" w:lineRule="auto"/>
      <w:jc w:val="both"/>
    </w:pPr>
    <w:rPr>
      <w:rFonts w:ascii="Times New Roman" w:hAnsi="Times New Roman" w:cs="Times New Roman"/>
      <w:kern w:val="0"/>
      <w:lang w:val="en-GB"/>
      <w14:ligatures w14:val="none"/>
    </w:rPr>
  </w:style>
  <w:style w:type="paragraph" w:styleId="Heading1">
    <w:name w:val="heading 1"/>
    <w:basedOn w:val="Normal"/>
    <w:link w:val="Heading1Char"/>
    <w:autoRedefine/>
    <w:uiPriority w:val="9"/>
    <w:qFormat/>
    <w:rsid w:val="00C70838"/>
    <w:pPr>
      <w:spacing w:before="100" w:beforeAutospacing="1" w:after="100" w:afterAutospacing="1" w:line="240" w:lineRule="auto"/>
      <w:jc w:val="left"/>
      <w:outlineLvl w:val="0"/>
    </w:pPr>
    <w:rPr>
      <w:b/>
      <w:bCs/>
      <w:kern w:val="36"/>
      <w:sz w:val="32"/>
      <w:szCs w:val="48"/>
      <w:lang w:val="en-US"/>
      <w14:ligatures w14:val="standardContextual"/>
    </w:rPr>
  </w:style>
  <w:style w:type="paragraph" w:styleId="Heading2">
    <w:name w:val="heading 2"/>
    <w:basedOn w:val="Normal"/>
    <w:next w:val="Normal"/>
    <w:link w:val="Heading2Char"/>
    <w:autoRedefine/>
    <w:uiPriority w:val="9"/>
    <w:unhideWhenUsed/>
    <w:qFormat/>
    <w:rsid w:val="00E715AD"/>
    <w:pPr>
      <w:keepNext/>
      <w:keepLines/>
      <w:spacing w:before="160" w:after="80" w:line="278" w:lineRule="auto"/>
      <w:jc w:val="left"/>
      <w:outlineLvl w:val="1"/>
    </w:pPr>
    <w:rPr>
      <w:rFonts w:asciiTheme="majorBidi" w:eastAsiaTheme="majorEastAsia" w:hAnsiTheme="majorBidi" w:cstheme="majorBidi"/>
      <w:b/>
      <w:color w:val="000000" w:themeColor="text1"/>
      <w:kern w:val="2"/>
      <w:sz w:val="28"/>
      <w:szCs w:val="32"/>
      <w14:ligatures w14:val="standardContextual"/>
    </w:rPr>
  </w:style>
  <w:style w:type="paragraph" w:styleId="Heading3">
    <w:name w:val="heading 3"/>
    <w:basedOn w:val="Normal"/>
    <w:next w:val="Normal"/>
    <w:link w:val="Heading3Char"/>
    <w:autoRedefine/>
    <w:uiPriority w:val="9"/>
    <w:unhideWhenUsed/>
    <w:qFormat/>
    <w:rsid w:val="00B2132E"/>
    <w:pPr>
      <w:keepNext/>
      <w:keepLines/>
      <w:jc w:val="left"/>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57185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7185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7185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7185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7185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7185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838"/>
    <w:rPr>
      <w:rFonts w:ascii="Times New Roman" w:hAnsi="Times New Roman" w:cs="Times New Roman"/>
      <w:b/>
      <w:bCs/>
      <w:kern w:val="36"/>
      <w:sz w:val="32"/>
      <w:szCs w:val="48"/>
    </w:rPr>
  </w:style>
  <w:style w:type="character" w:customStyle="1" w:styleId="Heading2Char">
    <w:name w:val="Heading 2 Char"/>
    <w:basedOn w:val="DefaultParagraphFont"/>
    <w:link w:val="Heading2"/>
    <w:uiPriority w:val="9"/>
    <w:rsid w:val="00E715AD"/>
    <w:rPr>
      <w:rFonts w:asciiTheme="majorBidi" w:eastAsiaTheme="majorEastAsia" w:hAnsiTheme="majorBidi" w:cstheme="majorBidi"/>
      <w:b/>
      <w:color w:val="000000" w:themeColor="text1"/>
      <w:sz w:val="28"/>
      <w:szCs w:val="32"/>
      <w:lang w:val="en-GB"/>
    </w:rPr>
  </w:style>
  <w:style w:type="paragraph" w:styleId="NoSpacing">
    <w:name w:val="No Spacing"/>
    <w:autoRedefine/>
    <w:uiPriority w:val="1"/>
    <w:qFormat/>
    <w:rsid w:val="009871C5"/>
    <w:pPr>
      <w:spacing w:after="0" w:line="360" w:lineRule="auto"/>
      <w:jc w:val="both"/>
    </w:pPr>
    <w:rPr>
      <w:rFonts w:asciiTheme="majorBidi" w:hAnsiTheme="majorBidi"/>
      <w:lang w:val="en-GB"/>
    </w:rPr>
  </w:style>
  <w:style w:type="character" w:customStyle="1" w:styleId="Heading3Char">
    <w:name w:val="Heading 3 Char"/>
    <w:basedOn w:val="DefaultParagraphFont"/>
    <w:link w:val="Heading3"/>
    <w:uiPriority w:val="9"/>
    <w:rsid w:val="00B2132E"/>
    <w:rPr>
      <w:rFonts w:ascii="Times New Roman" w:eastAsiaTheme="majorEastAsia" w:hAnsi="Times New Roman" w:cstheme="majorBidi"/>
      <w:b/>
      <w:i/>
      <w:color w:val="000000" w:themeColor="text1"/>
      <w:kern w:val="0"/>
      <w:szCs w:val="28"/>
      <w:lang w:val="en-GB"/>
      <w14:ligatures w14:val="none"/>
    </w:rPr>
  </w:style>
  <w:style w:type="character" w:customStyle="1" w:styleId="Heading4Char">
    <w:name w:val="Heading 4 Char"/>
    <w:basedOn w:val="DefaultParagraphFont"/>
    <w:link w:val="Heading4"/>
    <w:uiPriority w:val="9"/>
    <w:semiHidden/>
    <w:rsid w:val="0057185A"/>
    <w:rPr>
      <w:rFonts w:eastAsiaTheme="majorEastAsia" w:cstheme="majorBidi"/>
      <w:i/>
      <w:iCs/>
      <w:color w:val="0F4761" w:themeColor="accent1" w:themeShade="BF"/>
      <w:kern w:val="0"/>
      <w:lang w:val="en-GB"/>
      <w14:ligatures w14:val="none"/>
    </w:rPr>
  </w:style>
  <w:style w:type="character" w:customStyle="1" w:styleId="Heading5Char">
    <w:name w:val="Heading 5 Char"/>
    <w:basedOn w:val="DefaultParagraphFont"/>
    <w:link w:val="Heading5"/>
    <w:uiPriority w:val="9"/>
    <w:semiHidden/>
    <w:rsid w:val="0057185A"/>
    <w:rPr>
      <w:rFonts w:eastAsiaTheme="majorEastAsia" w:cstheme="majorBidi"/>
      <w:color w:val="0F4761" w:themeColor="accent1" w:themeShade="BF"/>
      <w:kern w:val="0"/>
      <w:lang w:val="en-GB"/>
      <w14:ligatures w14:val="none"/>
    </w:rPr>
  </w:style>
  <w:style w:type="character" w:customStyle="1" w:styleId="Heading6Char">
    <w:name w:val="Heading 6 Char"/>
    <w:basedOn w:val="DefaultParagraphFont"/>
    <w:link w:val="Heading6"/>
    <w:uiPriority w:val="9"/>
    <w:semiHidden/>
    <w:rsid w:val="0057185A"/>
    <w:rPr>
      <w:rFonts w:eastAsiaTheme="majorEastAsia" w:cstheme="majorBidi"/>
      <w:i/>
      <w:iCs/>
      <w:color w:val="595959" w:themeColor="text1" w:themeTint="A6"/>
      <w:kern w:val="0"/>
      <w:lang w:val="en-GB"/>
      <w14:ligatures w14:val="none"/>
    </w:rPr>
  </w:style>
  <w:style w:type="character" w:customStyle="1" w:styleId="Heading7Char">
    <w:name w:val="Heading 7 Char"/>
    <w:basedOn w:val="DefaultParagraphFont"/>
    <w:link w:val="Heading7"/>
    <w:uiPriority w:val="9"/>
    <w:semiHidden/>
    <w:rsid w:val="0057185A"/>
    <w:rPr>
      <w:rFonts w:eastAsiaTheme="majorEastAsia" w:cstheme="majorBidi"/>
      <w:color w:val="595959" w:themeColor="text1" w:themeTint="A6"/>
      <w:kern w:val="0"/>
      <w:lang w:val="en-GB"/>
      <w14:ligatures w14:val="none"/>
    </w:rPr>
  </w:style>
  <w:style w:type="character" w:customStyle="1" w:styleId="Heading8Char">
    <w:name w:val="Heading 8 Char"/>
    <w:basedOn w:val="DefaultParagraphFont"/>
    <w:link w:val="Heading8"/>
    <w:uiPriority w:val="9"/>
    <w:semiHidden/>
    <w:rsid w:val="0057185A"/>
    <w:rPr>
      <w:rFonts w:eastAsiaTheme="majorEastAsia" w:cstheme="majorBidi"/>
      <w:i/>
      <w:iCs/>
      <w:color w:val="272727" w:themeColor="text1" w:themeTint="D8"/>
      <w:kern w:val="0"/>
      <w:lang w:val="en-GB"/>
      <w14:ligatures w14:val="none"/>
    </w:rPr>
  </w:style>
  <w:style w:type="character" w:customStyle="1" w:styleId="Heading9Char">
    <w:name w:val="Heading 9 Char"/>
    <w:basedOn w:val="DefaultParagraphFont"/>
    <w:link w:val="Heading9"/>
    <w:uiPriority w:val="9"/>
    <w:semiHidden/>
    <w:rsid w:val="0057185A"/>
    <w:rPr>
      <w:rFonts w:eastAsiaTheme="majorEastAsia" w:cstheme="majorBidi"/>
      <w:color w:val="272727" w:themeColor="text1" w:themeTint="D8"/>
      <w:kern w:val="0"/>
      <w:lang w:val="en-GB"/>
      <w14:ligatures w14:val="none"/>
    </w:rPr>
  </w:style>
  <w:style w:type="paragraph" w:styleId="Title">
    <w:name w:val="Title"/>
    <w:basedOn w:val="Normal"/>
    <w:next w:val="Normal"/>
    <w:link w:val="TitleChar"/>
    <w:uiPriority w:val="10"/>
    <w:qFormat/>
    <w:rsid w:val="00571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85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57185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85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7185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185A"/>
    <w:rPr>
      <w:rFonts w:ascii="Times New Roman" w:hAnsi="Times New Roman" w:cs="Times New Roman"/>
      <w:i/>
      <w:iCs/>
      <w:color w:val="404040" w:themeColor="text1" w:themeTint="BF"/>
      <w:kern w:val="0"/>
      <w:lang w:val="en-GB"/>
      <w14:ligatures w14:val="none"/>
    </w:rPr>
  </w:style>
  <w:style w:type="paragraph" w:styleId="ListParagraph">
    <w:name w:val="List Paragraph"/>
    <w:basedOn w:val="Normal"/>
    <w:uiPriority w:val="34"/>
    <w:qFormat/>
    <w:rsid w:val="0057185A"/>
    <w:pPr>
      <w:ind w:left="720"/>
      <w:contextualSpacing/>
    </w:pPr>
  </w:style>
  <w:style w:type="character" w:styleId="IntenseEmphasis">
    <w:name w:val="Intense Emphasis"/>
    <w:basedOn w:val="DefaultParagraphFont"/>
    <w:uiPriority w:val="21"/>
    <w:qFormat/>
    <w:rsid w:val="0057185A"/>
    <w:rPr>
      <w:i/>
      <w:iCs/>
      <w:color w:val="0F4761" w:themeColor="accent1" w:themeShade="BF"/>
    </w:rPr>
  </w:style>
  <w:style w:type="paragraph" w:styleId="IntenseQuote">
    <w:name w:val="Intense Quote"/>
    <w:basedOn w:val="Normal"/>
    <w:next w:val="Normal"/>
    <w:link w:val="IntenseQuoteChar"/>
    <w:uiPriority w:val="30"/>
    <w:qFormat/>
    <w:rsid w:val="00571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85A"/>
    <w:rPr>
      <w:rFonts w:ascii="Times New Roman" w:hAnsi="Times New Roman" w:cs="Times New Roman"/>
      <w:i/>
      <w:iCs/>
      <w:color w:val="0F4761" w:themeColor="accent1" w:themeShade="BF"/>
      <w:kern w:val="0"/>
      <w:lang w:val="en-GB"/>
      <w14:ligatures w14:val="none"/>
    </w:rPr>
  </w:style>
  <w:style w:type="character" w:styleId="IntenseReference">
    <w:name w:val="Intense Reference"/>
    <w:basedOn w:val="DefaultParagraphFont"/>
    <w:uiPriority w:val="32"/>
    <w:qFormat/>
    <w:rsid w:val="0057185A"/>
    <w:rPr>
      <w:b/>
      <w:bCs/>
      <w:smallCaps/>
      <w:color w:val="0F4761" w:themeColor="accent1" w:themeShade="BF"/>
      <w:spacing w:val="5"/>
    </w:rPr>
  </w:style>
  <w:style w:type="paragraph" w:styleId="NormalWeb">
    <w:name w:val="Normal (Web)"/>
    <w:basedOn w:val="Normal"/>
    <w:uiPriority w:val="99"/>
    <w:semiHidden/>
    <w:unhideWhenUsed/>
    <w:rsid w:val="0057185A"/>
    <w:pPr>
      <w:spacing w:before="100" w:beforeAutospacing="1" w:after="100" w:afterAutospacing="1" w:line="240" w:lineRule="auto"/>
      <w:jc w:val="left"/>
    </w:pPr>
    <w:rPr>
      <w:lang w:val="en-US"/>
    </w:rPr>
  </w:style>
  <w:style w:type="character" w:styleId="Strong">
    <w:name w:val="Strong"/>
    <w:basedOn w:val="DefaultParagraphFont"/>
    <w:uiPriority w:val="22"/>
    <w:qFormat/>
    <w:rsid w:val="0057185A"/>
    <w:rPr>
      <w:b/>
      <w:bCs/>
    </w:rPr>
  </w:style>
  <w:style w:type="character" w:styleId="Emphasis">
    <w:name w:val="Emphasis"/>
    <w:basedOn w:val="DefaultParagraphFont"/>
    <w:uiPriority w:val="20"/>
    <w:qFormat/>
    <w:rsid w:val="0057185A"/>
    <w:rPr>
      <w:i/>
      <w:iCs/>
    </w:rPr>
  </w:style>
  <w:style w:type="character" w:styleId="Hyperlink">
    <w:name w:val="Hyperlink"/>
    <w:basedOn w:val="DefaultParagraphFont"/>
    <w:uiPriority w:val="99"/>
    <w:unhideWhenUsed/>
    <w:rsid w:val="004B3147"/>
    <w:rPr>
      <w:color w:val="467886" w:themeColor="hyperlink"/>
      <w:u w:val="single"/>
    </w:rPr>
  </w:style>
  <w:style w:type="character" w:customStyle="1" w:styleId="UnresolvedMention1">
    <w:name w:val="Unresolved Mention1"/>
    <w:basedOn w:val="DefaultParagraphFont"/>
    <w:uiPriority w:val="99"/>
    <w:semiHidden/>
    <w:unhideWhenUsed/>
    <w:rsid w:val="004B3147"/>
    <w:rPr>
      <w:color w:val="605E5C"/>
      <w:shd w:val="clear" w:color="auto" w:fill="E1DFDD"/>
    </w:rPr>
  </w:style>
  <w:style w:type="character" w:styleId="FollowedHyperlink">
    <w:name w:val="FollowedHyperlink"/>
    <w:basedOn w:val="DefaultParagraphFont"/>
    <w:uiPriority w:val="99"/>
    <w:semiHidden/>
    <w:unhideWhenUsed/>
    <w:rsid w:val="004B3147"/>
    <w:rPr>
      <w:color w:val="96607D" w:themeColor="followedHyperlink"/>
      <w:u w:val="single"/>
    </w:rPr>
  </w:style>
  <w:style w:type="paragraph" w:styleId="TOCHeading">
    <w:name w:val="TOC Heading"/>
    <w:basedOn w:val="Heading1"/>
    <w:next w:val="Normal"/>
    <w:uiPriority w:val="39"/>
    <w:unhideWhenUsed/>
    <w:qFormat/>
    <w:rsid w:val="005634B4"/>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Cs w:val="32"/>
      <w14:ligatures w14:val="none"/>
    </w:rPr>
  </w:style>
  <w:style w:type="paragraph" w:styleId="TOC1">
    <w:name w:val="toc 1"/>
    <w:basedOn w:val="Normal"/>
    <w:next w:val="Normal"/>
    <w:autoRedefine/>
    <w:uiPriority w:val="39"/>
    <w:unhideWhenUsed/>
    <w:rsid w:val="005634B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cc.ch/report/ar6/wg2/" TargetMode="External"/><Relationship Id="rId13" Type="http://schemas.openxmlformats.org/officeDocument/2006/relationships/hyperlink" Target="https://www.who.int/teams/maternal-newborn-child-adolescent-health-and-ageing/life-course" TargetMode="External"/><Relationship Id="rId3" Type="http://schemas.openxmlformats.org/officeDocument/2006/relationships/styles" Target="styles.xml"/><Relationship Id="rId7" Type="http://schemas.openxmlformats.org/officeDocument/2006/relationships/hyperlink" Target="https://www.ilo.org/publications/world-employment-and-social-outlook-trends-2021" TargetMode="External"/><Relationship Id="rId12" Type="http://schemas.openxmlformats.org/officeDocument/2006/relationships/hyperlink" Target="https://www.worldbank.org/en/publication/wdr/wdr-archiv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openknowledge.fao.org/server/api/core/bitstreams/67b1e9c7-1a7f-4dc6-a19e-f6472a4ea83a/content" TargetMode="External"/><Relationship Id="rId11" Type="http://schemas.openxmlformats.org/officeDocument/2006/relationships/hyperlink" Target="https://www.unep.org/annualreport/202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organisations/public-health-england" TargetMode="External"/><Relationship Id="rId4" Type="http://schemas.openxmlformats.org/officeDocument/2006/relationships/settings" Target="settings.xml"/><Relationship Id="rId9" Type="http://schemas.openxmlformats.org/officeDocument/2006/relationships/hyperlink" Target="https://www.oecd.org/en/publications/2021/11/health-at-a-glance-2021_cc38aa56.html" TargetMode="External"/><Relationship Id="rId14" Type="http://schemas.openxmlformats.org/officeDocument/2006/relationships/hyperlink" Target="https://www.who.int/publications/i/item/97892400477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DD566D-A790-4CCA-80EC-86467248D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10</Pages>
  <Words>2397</Words>
  <Characters>14144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Adan Dharejo</dc:creator>
  <cp:keywords/>
  <dc:description/>
  <cp:lastModifiedBy>Denisa Rebova</cp:lastModifiedBy>
  <cp:revision>14</cp:revision>
  <dcterms:created xsi:type="dcterms:W3CDTF">2026-04-13T07:13:00Z</dcterms:created>
  <dcterms:modified xsi:type="dcterms:W3CDTF">2026-04-15T09:41:00Z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151E9999-4C59-4F3F-B6D2-A1E50AB6E2AC</vt:lpwstr>
  </property>
</Properties>
</file>