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4"/>
          <w:szCs w:val="24"/>
        </w:rPr>
        <w:id w:val="-646356153"/>
        <w:docPartObj>
          <w:docPartGallery w:val="Cover Pages"/>
          <w:docPartUnique/>
        </w:docPartObj>
      </w:sdtPr>
      <w:sdtEndPr>
        <w:rPr>
          <w:rFonts w:eastAsiaTheme="minorHAnsi"/>
          <w:color w:val="auto"/>
          <w:lang w:val="en-GB"/>
        </w:rPr>
      </w:sdtEndPr>
      <w:sdtContent>
        <w:p w14:paraId="6C2ACB9C" w14:textId="77603803" w:rsidR="002F50A9" w:rsidRPr="00340312" w:rsidRDefault="002F50A9" w:rsidP="00340312">
          <w:pPr>
            <w:pStyle w:val="NoSpacing"/>
            <w:spacing w:before="1540" w:after="240" w:line="360" w:lineRule="auto"/>
            <w:rPr>
              <w:rFonts w:ascii="Arial" w:hAnsi="Arial" w:cs="Arial"/>
              <w:color w:val="4472C4" w:themeColor="accent1"/>
              <w:sz w:val="24"/>
              <w:szCs w:val="24"/>
            </w:rPr>
          </w:pPr>
          <w:r w:rsidRPr="00340312">
            <w:rPr>
              <w:rFonts w:ascii="Arial" w:hAnsi="Arial" w:cs="Arial"/>
              <w:noProof/>
              <w:color w:val="4472C4" w:themeColor="accent1"/>
              <w:sz w:val="24"/>
              <w:szCs w:val="24"/>
            </w:rPr>
            <w:drawing>
              <wp:inline distT="0" distB="0" distL="0" distR="0" wp14:anchorId="56AB65ED" wp14:editId="4151BC3B">
                <wp:extent cx="2649631" cy="1062355"/>
                <wp:effectExtent l="0" t="0" r="0" b="444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046" cy="1066531"/>
                        </a:xfrm>
                        <a:prstGeom prst="rect">
                          <a:avLst/>
                        </a:prstGeom>
                        <a:noFill/>
                      </pic:spPr>
                    </pic:pic>
                  </a:graphicData>
                </a:graphic>
              </wp:inline>
            </w:drawing>
          </w:r>
        </w:p>
        <w:p w14:paraId="02D576E8" w14:textId="445AD85A" w:rsidR="002F50A9" w:rsidRPr="00340312" w:rsidRDefault="002F50A9" w:rsidP="00340312">
          <w:pPr>
            <w:pStyle w:val="NoSpacing"/>
            <w:spacing w:before="1540" w:after="240" w:line="360" w:lineRule="auto"/>
            <w:jc w:val="center"/>
            <w:rPr>
              <w:rFonts w:ascii="Arial" w:hAnsi="Arial" w:cs="Arial"/>
              <w:color w:val="4472C4" w:themeColor="accent1"/>
              <w:sz w:val="24"/>
              <w:szCs w:val="24"/>
            </w:rPr>
          </w:pPr>
          <w:r w:rsidRPr="00340312">
            <w:rPr>
              <w:rFonts w:ascii="Arial" w:hAnsi="Arial" w:cs="Arial"/>
              <w:noProof/>
              <w:color w:val="4472C4" w:themeColor="accent1"/>
              <w:sz w:val="24"/>
              <w:szCs w:val="24"/>
            </w:rPr>
            <w:drawing>
              <wp:inline distT="0" distB="0" distL="0" distR="0" wp14:anchorId="16670692" wp14:editId="0973C2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sz w:val="24"/>
              <w:szCs w:val="24"/>
            </w:rPr>
            <w:alias w:val="Title"/>
            <w:tag w:val=""/>
            <w:id w:val="1735040861"/>
            <w:placeholder>
              <w:docPart w:val="91ACEDF9C0064BF3B79B615D360EA455"/>
            </w:placeholder>
            <w:dataBinding w:prefixMappings="xmlns:ns0='http://purl.org/dc/elements/1.1/' xmlns:ns1='http://schemas.openxmlformats.org/package/2006/metadata/core-properties' " w:xpath="/ns1:coreProperties[1]/ns0:title[1]" w:storeItemID="{6C3C8BC8-F283-45AE-878A-BAB7291924A1}"/>
            <w:text/>
          </w:sdtPr>
          <w:sdtContent>
            <w:p w14:paraId="631D2166" w14:textId="22B787B1" w:rsidR="002F50A9" w:rsidRPr="00340312" w:rsidRDefault="00623DA9" w:rsidP="00340312">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sz w:val="24"/>
                  <w:szCs w:val="24"/>
                </w:rPr>
              </w:pPr>
              <w:r>
                <w:rPr>
                  <w:rFonts w:ascii="Arial" w:eastAsiaTheme="majorEastAsia" w:hAnsi="Arial" w:cs="Arial"/>
                  <w:b/>
                  <w:bCs/>
                  <w:caps/>
                  <w:color w:val="000000"/>
                  <w:sz w:val="24"/>
                  <w:szCs w:val="24"/>
                </w:rPr>
                <w:t xml:space="preserve">Assessment </w:t>
              </w:r>
              <w:r w:rsidR="002F50A9" w:rsidRPr="00340312">
                <w:rPr>
                  <w:rFonts w:ascii="Arial" w:eastAsiaTheme="majorEastAsia" w:hAnsi="Arial" w:cs="Arial"/>
                  <w:b/>
                  <w:bCs/>
                  <w:caps/>
                  <w:color w:val="000000"/>
                  <w:sz w:val="24"/>
                  <w:szCs w:val="24"/>
                </w:rPr>
                <w:t>Health, Wellbeing</w:t>
              </w:r>
              <w:r>
                <w:rPr>
                  <w:rFonts w:ascii="Arial" w:eastAsiaTheme="majorEastAsia" w:hAnsi="Arial" w:cs="Arial"/>
                  <w:b/>
                  <w:bCs/>
                  <w:caps/>
                  <w:color w:val="000000"/>
                  <w:sz w:val="24"/>
                  <w:szCs w:val="24"/>
                </w:rPr>
                <w:t xml:space="preserve"> </w:t>
              </w:r>
              <w:r w:rsidR="002F50A9" w:rsidRPr="00340312">
                <w:rPr>
                  <w:rFonts w:ascii="Arial" w:eastAsiaTheme="majorEastAsia" w:hAnsi="Arial" w:cs="Arial"/>
                  <w:b/>
                  <w:bCs/>
                  <w:caps/>
                  <w:color w:val="000000"/>
                  <w:sz w:val="24"/>
                  <w:szCs w:val="24"/>
                </w:rPr>
                <w:t>and Sustainable Development</w:t>
              </w:r>
            </w:p>
          </w:sdtContent>
        </w:sdt>
        <w:p w14:paraId="3C0E803A" w14:textId="3AE6B1AF" w:rsidR="00615781" w:rsidRPr="00340312" w:rsidRDefault="002F50A9" w:rsidP="00340312">
          <w:pPr>
            <w:pStyle w:val="NoSpacing"/>
            <w:spacing w:before="480" w:line="360" w:lineRule="auto"/>
            <w:jc w:val="center"/>
            <w:rPr>
              <w:rFonts w:ascii="Arial" w:hAnsi="Arial" w:cs="Arial"/>
              <w:color w:val="4472C4" w:themeColor="accent1"/>
              <w:sz w:val="24"/>
              <w:szCs w:val="24"/>
            </w:rPr>
          </w:pPr>
          <w:r w:rsidRPr="00340312">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38EE9425" wp14:editId="33B612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4F97F4" w14:textId="10DAF79C" w:rsidR="002F50A9" w:rsidRDefault="002B2272">
                                    <w:pPr>
                                      <w:pStyle w:val="NoSpacing"/>
                                      <w:spacing w:after="40"/>
                                      <w:jc w:val="center"/>
                                      <w:rPr>
                                        <w:caps/>
                                        <w:color w:val="4472C4" w:themeColor="accent1"/>
                                        <w:sz w:val="28"/>
                                        <w:szCs w:val="28"/>
                                      </w:rPr>
                                    </w:pPr>
                                    <w:r>
                                      <w:rPr>
                                        <w:caps/>
                                        <w:color w:val="4472C4" w:themeColor="accent1"/>
                                        <w:sz w:val="28"/>
                                        <w:szCs w:val="28"/>
                                      </w:rPr>
                                      <w:t>ApRILE 26, 2022</w:t>
                                    </w:r>
                                  </w:p>
                                </w:sdtContent>
                              </w:sdt>
                              <w:p w14:paraId="09855093" w14:textId="7DFA8271" w:rsidR="002F50A9" w:rsidRDefault="002F50A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20D90">
                                      <w:rPr>
                                        <w:caps/>
                                        <w:color w:val="4472C4" w:themeColor="accent1"/>
                                      </w:rPr>
                                      <w:t xml:space="preserve">     </w:t>
                                    </w:r>
                                  </w:sdtContent>
                                </w:sdt>
                              </w:p>
                              <w:p w14:paraId="5A70BE4A" w14:textId="79FE0B30" w:rsidR="002F50A9" w:rsidRDefault="002F50A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20D90">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EE94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4F97F4" w14:textId="10DAF79C" w:rsidR="002F50A9" w:rsidRDefault="002B2272">
                              <w:pPr>
                                <w:pStyle w:val="NoSpacing"/>
                                <w:spacing w:after="40"/>
                                <w:jc w:val="center"/>
                                <w:rPr>
                                  <w:caps/>
                                  <w:color w:val="4472C4" w:themeColor="accent1"/>
                                  <w:sz w:val="28"/>
                                  <w:szCs w:val="28"/>
                                </w:rPr>
                              </w:pPr>
                              <w:r>
                                <w:rPr>
                                  <w:caps/>
                                  <w:color w:val="4472C4" w:themeColor="accent1"/>
                                  <w:sz w:val="28"/>
                                  <w:szCs w:val="28"/>
                                </w:rPr>
                                <w:t>ApRILE 26, 2022</w:t>
                              </w:r>
                            </w:p>
                          </w:sdtContent>
                        </w:sdt>
                        <w:p w14:paraId="09855093" w14:textId="7DFA8271" w:rsidR="002F50A9" w:rsidRDefault="002F50A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20D90">
                                <w:rPr>
                                  <w:caps/>
                                  <w:color w:val="4472C4" w:themeColor="accent1"/>
                                </w:rPr>
                                <w:t xml:space="preserve">     </w:t>
                              </w:r>
                            </w:sdtContent>
                          </w:sdt>
                        </w:p>
                        <w:p w14:paraId="5A70BE4A" w14:textId="79FE0B30" w:rsidR="002F50A9" w:rsidRDefault="002F50A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20D90">
                                <w:rPr>
                                  <w:color w:val="4472C4" w:themeColor="accent1"/>
                                </w:rPr>
                                <w:t xml:space="preserve">     </w:t>
                              </w:r>
                            </w:sdtContent>
                          </w:sdt>
                        </w:p>
                      </w:txbxContent>
                    </v:textbox>
                    <w10:wrap anchorx="margin" anchory="page"/>
                  </v:shape>
                </w:pict>
              </mc:Fallback>
            </mc:AlternateContent>
          </w:r>
          <w:r w:rsidRPr="00340312">
            <w:rPr>
              <w:rFonts w:ascii="Arial" w:hAnsi="Arial" w:cs="Arial"/>
              <w:noProof/>
              <w:color w:val="4472C4" w:themeColor="accent1"/>
              <w:sz w:val="24"/>
              <w:szCs w:val="24"/>
            </w:rPr>
            <w:drawing>
              <wp:inline distT="0" distB="0" distL="0" distR="0" wp14:anchorId="6B01E75D" wp14:editId="4315DA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8213F4" w14:textId="49446FE6" w:rsidR="00615781" w:rsidRPr="00340312" w:rsidRDefault="00615781" w:rsidP="00340312">
          <w:pPr>
            <w:pStyle w:val="NoSpacing"/>
            <w:spacing w:before="480" w:line="360" w:lineRule="auto"/>
            <w:rPr>
              <w:rFonts w:ascii="Arial" w:hAnsi="Arial" w:cs="Arial"/>
              <w:color w:val="4472C4" w:themeColor="accent1"/>
              <w:sz w:val="24"/>
              <w:szCs w:val="24"/>
            </w:rPr>
          </w:pPr>
          <w:r w:rsidRPr="00340312">
            <w:rPr>
              <w:rFonts w:ascii="Arial" w:hAnsi="Arial" w:cs="Arial"/>
              <w:color w:val="4472C4" w:themeColor="accent1"/>
              <w:sz w:val="24"/>
              <w:szCs w:val="24"/>
            </w:rPr>
            <w:t>Student name: Florentina Gavril</w:t>
          </w:r>
        </w:p>
        <w:p w14:paraId="431197A3" w14:textId="6820D06E" w:rsidR="00615781" w:rsidRPr="00340312" w:rsidRDefault="00615781" w:rsidP="00340312">
          <w:pPr>
            <w:pStyle w:val="NoSpacing"/>
            <w:spacing w:before="480" w:line="360" w:lineRule="auto"/>
            <w:rPr>
              <w:rFonts w:ascii="Arial" w:hAnsi="Arial" w:cs="Arial"/>
              <w:color w:val="4472C4" w:themeColor="accent1"/>
              <w:sz w:val="24"/>
              <w:szCs w:val="24"/>
            </w:rPr>
          </w:pPr>
          <w:r w:rsidRPr="00340312">
            <w:rPr>
              <w:rFonts w:ascii="Arial" w:hAnsi="Arial" w:cs="Arial"/>
              <w:color w:val="4472C4" w:themeColor="accent1"/>
              <w:sz w:val="24"/>
              <w:szCs w:val="24"/>
            </w:rPr>
            <w:t>Student id     :1906521</w:t>
          </w:r>
        </w:p>
        <w:p w14:paraId="76DFD03F" w14:textId="0344F75A" w:rsidR="002B2272" w:rsidRPr="00340312" w:rsidRDefault="00615781" w:rsidP="00340312">
          <w:pPr>
            <w:pStyle w:val="NoSpacing"/>
            <w:spacing w:before="480" w:line="360" w:lineRule="auto"/>
            <w:rPr>
              <w:rFonts w:ascii="Arial" w:hAnsi="Arial" w:cs="Arial"/>
              <w:color w:val="4472C4" w:themeColor="accent1"/>
              <w:sz w:val="24"/>
              <w:szCs w:val="24"/>
            </w:rPr>
          </w:pPr>
          <w:r w:rsidRPr="00340312">
            <w:rPr>
              <w:rFonts w:ascii="Arial" w:hAnsi="Arial" w:cs="Arial"/>
              <w:color w:val="4472C4" w:themeColor="accent1"/>
              <w:sz w:val="24"/>
              <w:szCs w:val="24"/>
            </w:rPr>
            <w:t xml:space="preserve">Lecturer name: Diola </w:t>
          </w:r>
          <w:proofErr w:type="spellStart"/>
          <w:r w:rsidR="002B2272" w:rsidRPr="00340312">
            <w:rPr>
              <w:rFonts w:ascii="Arial" w:hAnsi="Arial" w:cs="Arial"/>
              <w:color w:val="4472C4" w:themeColor="accent1"/>
              <w:sz w:val="24"/>
              <w:szCs w:val="24"/>
            </w:rPr>
            <w:t>Bijlhout</w:t>
          </w:r>
          <w:proofErr w:type="spellEnd"/>
        </w:p>
        <w:p w14:paraId="3A6DF475" w14:textId="4D67C0D2" w:rsidR="00615781" w:rsidRPr="00340312" w:rsidRDefault="00615781" w:rsidP="00340312">
          <w:pPr>
            <w:pStyle w:val="NoSpacing"/>
            <w:spacing w:before="480" w:line="360" w:lineRule="auto"/>
            <w:rPr>
              <w:rFonts w:ascii="Arial" w:hAnsi="Arial" w:cs="Arial"/>
              <w:color w:val="4472C4" w:themeColor="accent1"/>
              <w:sz w:val="24"/>
              <w:szCs w:val="24"/>
            </w:rPr>
          </w:pPr>
          <w:r w:rsidRPr="00340312">
            <w:rPr>
              <w:rFonts w:ascii="Arial" w:hAnsi="Arial" w:cs="Arial"/>
              <w:color w:val="4472C4" w:themeColor="accent1"/>
              <w:sz w:val="24"/>
              <w:szCs w:val="24"/>
            </w:rPr>
            <w:t xml:space="preserve">Module code: </w:t>
          </w:r>
          <w:r w:rsidR="002B2272" w:rsidRPr="00340312">
            <w:rPr>
              <w:rFonts w:ascii="Arial" w:hAnsi="Arial" w:cs="Arial"/>
              <w:color w:val="4472C4" w:themeColor="accent1"/>
              <w:sz w:val="24"/>
              <w:szCs w:val="24"/>
            </w:rPr>
            <w:t>BMHP6021</w:t>
          </w:r>
        </w:p>
        <w:p w14:paraId="5AAC5B13" w14:textId="0E8B8209" w:rsidR="00615781" w:rsidRPr="00340312" w:rsidRDefault="00615781" w:rsidP="00340312">
          <w:pPr>
            <w:pStyle w:val="NoSpacing"/>
            <w:spacing w:before="480" w:line="360" w:lineRule="auto"/>
            <w:rPr>
              <w:rFonts w:ascii="Arial" w:hAnsi="Arial" w:cs="Arial"/>
              <w:color w:val="4472C4" w:themeColor="accent1"/>
              <w:sz w:val="24"/>
              <w:szCs w:val="24"/>
            </w:rPr>
          </w:pPr>
        </w:p>
        <w:p w14:paraId="22A9A947" w14:textId="4AA393E5" w:rsidR="002F50A9" w:rsidRPr="00340312" w:rsidRDefault="002F50A9" w:rsidP="00340312">
          <w:pPr>
            <w:spacing w:line="360" w:lineRule="auto"/>
            <w:rPr>
              <w:rFonts w:ascii="Arial" w:hAnsi="Arial" w:cs="Arial"/>
              <w:sz w:val="24"/>
              <w:szCs w:val="24"/>
            </w:rPr>
          </w:pPr>
          <w:r w:rsidRPr="00340312">
            <w:rPr>
              <w:rFonts w:ascii="Arial" w:hAnsi="Arial" w:cs="Arial"/>
              <w:sz w:val="24"/>
              <w:szCs w:val="24"/>
            </w:rPr>
            <w:br w:type="page"/>
          </w:r>
        </w:p>
      </w:sdtContent>
    </w:sdt>
    <w:p w14:paraId="113EFF74" w14:textId="77777777" w:rsidR="00620D90" w:rsidRPr="00340312" w:rsidRDefault="00620D90" w:rsidP="00340312">
      <w:pPr>
        <w:spacing w:line="360" w:lineRule="auto"/>
        <w:rPr>
          <w:rFonts w:ascii="Arial" w:hAnsi="Arial" w:cs="Arial"/>
          <w:sz w:val="24"/>
          <w:szCs w:val="24"/>
        </w:rPr>
      </w:pPr>
      <w:r w:rsidRPr="00340312">
        <w:rPr>
          <w:rFonts w:ascii="Arial" w:hAnsi="Arial" w:cs="Arial"/>
          <w:sz w:val="24"/>
          <w:szCs w:val="24"/>
        </w:rPr>
        <w:lastRenderedPageBreak/>
        <w:t>Executive Summary</w:t>
      </w:r>
    </w:p>
    <w:p w14:paraId="38DAC8E0" w14:textId="77777777" w:rsidR="00620D90" w:rsidRPr="00340312" w:rsidRDefault="00620D90" w:rsidP="00340312">
      <w:pPr>
        <w:spacing w:line="360" w:lineRule="auto"/>
        <w:rPr>
          <w:rFonts w:ascii="Arial" w:hAnsi="Arial" w:cs="Arial"/>
          <w:color w:val="202123"/>
          <w:sz w:val="24"/>
          <w:szCs w:val="24"/>
        </w:rPr>
      </w:pPr>
      <w:r w:rsidRPr="00340312">
        <w:rPr>
          <w:rFonts w:ascii="Arial" w:hAnsi="Arial" w:cs="Arial"/>
          <w:color w:val="202123"/>
          <w:sz w:val="24"/>
          <w:szCs w:val="24"/>
        </w:rPr>
        <w:t>The report critically examines the current situation of health, wellbeing, and sustainable development within the present health care sectors in the UK. It finds that health care in the UK is in a state of crisis, with significant implications for wellbeing and sustainable development. The report makes several recommendations for improving the health care system in the UK, including increasing investment in primary care, reducing waiting times, and improving access to mental health services. The report also includes recommendations on how the Birmingham city council can improve its progress on these goals.</w:t>
      </w:r>
    </w:p>
    <w:p w14:paraId="593B1B65" w14:textId="0B4E2634" w:rsidR="005769CD" w:rsidRPr="00340312" w:rsidRDefault="005769CD" w:rsidP="00340312">
      <w:pPr>
        <w:spacing w:line="360" w:lineRule="auto"/>
        <w:rPr>
          <w:rFonts w:ascii="Arial" w:hAnsi="Arial" w:cs="Arial"/>
          <w:sz w:val="24"/>
          <w:szCs w:val="24"/>
        </w:rPr>
      </w:pPr>
    </w:p>
    <w:p w14:paraId="501C5E0C" w14:textId="6B50E54C" w:rsidR="00620D90" w:rsidRPr="00340312" w:rsidRDefault="00620D90" w:rsidP="00340312">
      <w:pPr>
        <w:spacing w:line="360" w:lineRule="auto"/>
        <w:rPr>
          <w:rFonts w:ascii="Arial" w:hAnsi="Arial" w:cs="Arial"/>
          <w:sz w:val="24"/>
          <w:szCs w:val="24"/>
        </w:rPr>
      </w:pPr>
    </w:p>
    <w:p w14:paraId="197986E1" w14:textId="6638195D" w:rsidR="00620D90" w:rsidRPr="00340312" w:rsidRDefault="00620D90" w:rsidP="00340312">
      <w:pPr>
        <w:spacing w:line="360" w:lineRule="auto"/>
        <w:rPr>
          <w:rFonts w:ascii="Arial" w:hAnsi="Arial" w:cs="Arial"/>
          <w:sz w:val="24"/>
          <w:szCs w:val="24"/>
        </w:rPr>
      </w:pPr>
    </w:p>
    <w:p w14:paraId="1131E466" w14:textId="4213C7D7" w:rsidR="00620D90" w:rsidRPr="00340312" w:rsidRDefault="00620D90" w:rsidP="00340312">
      <w:pPr>
        <w:spacing w:line="360" w:lineRule="auto"/>
        <w:rPr>
          <w:rFonts w:ascii="Arial" w:hAnsi="Arial" w:cs="Arial"/>
          <w:sz w:val="24"/>
          <w:szCs w:val="24"/>
        </w:rPr>
      </w:pPr>
    </w:p>
    <w:p w14:paraId="0BE65215" w14:textId="1DE7B457" w:rsidR="00620D90" w:rsidRPr="00340312" w:rsidRDefault="00620D90" w:rsidP="00340312">
      <w:pPr>
        <w:spacing w:line="360" w:lineRule="auto"/>
        <w:rPr>
          <w:rFonts w:ascii="Arial" w:hAnsi="Arial" w:cs="Arial"/>
          <w:sz w:val="24"/>
          <w:szCs w:val="24"/>
        </w:rPr>
      </w:pPr>
    </w:p>
    <w:p w14:paraId="5CFE36BC" w14:textId="1F86AEEE" w:rsidR="00620D90" w:rsidRPr="00340312" w:rsidRDefault="00620D90" w:rsidP="00340312">
      <w:pPr>
        <w:spacing w:line="360" w:lineRule="auto"/>
        <w:rPr>
          <w:rFonts w:ascii="Arial" w:hAnsi="Arial" w:cs="Arial"/>
          <w:sz w:val="24"/>
          <w:szCs w:val="24"/>
        </w:rPr>
      </w:pPr>
    </w:p>
    <w:p w14:paraId="0CF191C4" w14:textId="2A71D39D" w:rsidR="00620D90" w:rsidRPr="00340312" w:rsidRDefault="00620D90" w:rsidP="00340312">
      <w:pPr>
        <w:spacing w:line="360" w:lineRule="auto"/>
        <w:rPr>
          <w:rFonts w:ascii="Arial" w:hAnsi="Arial" w:cs="Arial"/>
          <w:sz w:val="24"/>
          <w:szCs w:val="24"/>
        </w:rPr>
      </w:pPr>
    </w:p>
    <w:p w14:paraId="6BCFE57B" w14:textId="21A38969" w:rsidR="00620D90" w:rsidRPr="00340312" w:rsidRDefault="00620D90" w:rsidP="00340312">
      <w:pPr>
        <w:spacing w:line="360" w:lineRule="auto"/>
        <w:rPr>
          <w:rFonts w:ascii="Arial" w:hAnsi="Arial" w:cs="Arial"/>
          <w:sz w:val="24"/>
          <w:szCs w:val="24"/>
        </w:rPr>
      </w:pPr>
    </w:p>
    <w:p w14:paraId="19DB4003" w14:textId="0B3375C8" w:rsidR="00620D90" w:rsidRPr="00340312" w:rsidRDefault="00620D90" w:rsidP="00340312">
      <w:pPr>
        <w:spacing w:line="360" w:lineRule="auto"/>
        <w:rPr>
          <w:rFonts w:ascii="Arial" w:hAnsi="Arial" w:cs="Arial"/>
          <w:sz w:val="24"/>
          <w:szCs w:val="24"/>
        </w:rPr>
      </w:pPr>
    </w:p>
    <w:p w14:paraId="503A2018" w14:textId="60EE1986" w:rsidR="00620D90" w:rsidRPr="00340312" w:rsidRDefault="00620D90" w:rsidP="00340312">
      <w:pPr>
        <w:spacing w:line="360" w:lineRule="auto"/>
        <w:rPr>
          <w:rFonts w:ascii="Arial" w:hAnsi="Arial" w:cs="Arial"/>
          <w:sz w:val="24"/>
          <w:szCs w:val="24"/>
        </w:rPr>
      </w:pPr>
    </w:p>
    <w:p w14:paraId="29561D98" w14:textId="67BA29FB" w:rsidR="00620D90" w:rsidRPr="00340312" w:rsidRDefault="00620D90" w:rsidP="00340312">
      <w:pPr>
        <w:spacing w:line="360" w:lineRule="auto"/>
        <w:rPr>
          <w:rFonts w:ascii="Arial" w:hAnsi="Arial" w:cs="Arial"/>
          <w:sz w:val="24"/>
          <w:szCs w:val="24"/>
        </w:rPr>
      </w:pPr>
    </w:p>
    <w:p w14:paraId="6BE9733F" w14:textId="75F73BC2" w:rsidR="00620D90" w:rsidRPr="00340312" w:rsidRDefault="00620D90" w:rsidP="00340312">
      <w:pPr>
        <w:spacing w:line="360" w:lineRule="auto"/>
        <w:rPr>
          <w:rFonts w:ascii="Arial" w:hAnsi="Arial" w:cs="Arial"/>
          <w:sz w:val="24"/>
          <w:szCs w:val="24"/>
        </w:rPr>
      </w:pPr>
    </w:p>
    <w:p w14:paraId="28BC75B1" w14:textId="60FBD6A6" w:rsidR="00620D90" w:rsidRPr="00340312" w:rsidRDefault="00620D90" w:rsidP="00340312">
      <w:pPr>
        <w:spacing w:line="360" w:lineRule="auto"/>
        <w:rPr>
          <w:rFonts w:ascii="Arial" w:hAnsi="Arial" w:cs="Arial"/>
          <w:sz w:val="24"/>
          <w:szCs w:val="24"/>
        </w:rPr>
      </w:pPr>
    </w:p>
    <w:p w14:paraId="386685DB" w14:textId="5029FD72" w:rsidR="00620D90" w:rsidRPr="00340312" w:rsidRDefault="00620D90" w:rsidP="00340312">
      <w:pPr>
        <w:spacing w:line="360" w:lineRule="auto"/>
        <w:rPr>
          <w:rFonts w:ascii="Arial" w:hAnsi="Arial" w:cs="Arial"/>
          <w:sz w:val="24"/>
          <w:szCs w:val="24"/>
        </w:rPr>
      </w:pPr>
    </w:p>
    <w:p w14:paraId="75ECE4EA" w14:textId="1C16D16E" w:rsidR="00620D90" w:rsidRPr="00340312" w:rsidRDefault="00620D90" w:rsidP="00340312">
      <w:pPr>
        <w:spacing w:line="360" w:lineRule="auto"/>
        <w:rPr>
          <w:rFonts w:ascii="Arial" w:hAnsi="Arial" w:cs="Arial"/>
          <w:sz w:val="24"/>
          <w:szCs w:val="24"/>
        </w:rPr>
      </w:pPr>
    </w:p>
    <w:p w14:paraId="326D3C82" w14:textId="23B70F03" w:rsidR="00620D90" w:rsidRPr="00340312" w:rsidRDefault="00620D90" w:rsidP="00340312">
      <w:pPr>
        <w:spacing w:line="360" w:lineRule="auto"/>
        <w:rPr>
          <w:rFonts w:ascii="Arial" w:hAnsi="Arial" w:cs="Arial"/>
          <w:sz w:val="24"/>
          <w:szCs w:val="24"/>
        </w:rPr>
      </w:pPr>
    </w:p>
    <w:p w14:paraId="40C79A04" w14:textId="446C6092" w:rsidR="00620D90" w:rsidRPr="00340312" w:rsidRDefault="00620D90" w:rsidP="00340312">
      <w:pPr>
        <w:spacing w:line="360" w:lineRule="auto"/>
        <w:rPr>
          <w:rFonts w:ascii="Arial" w:hAnsi="Arial" w:cs="Arial"/>
          <w:sz w:val="24"/>
          <w:szCs w:val="24"/>
        </w:rPr>
      </w:pPr>
    </w:p>
    <w:sdt>
      <w:sdtPr>
        <w:id w:val="-14931074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8F9022" w14:textId="5EC65E31" w:rsidR="003702D9" w:rsidRDefault="003702D9">
          <w:pPr>
            <w:pStyle w:val="TOCHeading"/>
          </w:pPr>
          <w:r>
            <w:t>Table of Contents</w:t>
          </w:r>
        </w:p>
        <w:p w14:paraId="7B1860DA" w14:textId="77777777" w:rsidR="00EA4350" w:rsidRPr="00EA4350" w:rsidRDefault="00EA4350" w:rsidP="00EA4350">
          <w:pPr>
            <w:rPr>
              <w:lang w:val="en-US"/>
            </w:rPr>
          </w:pPr>
        </w:p>
        <w:p w14:paraId="1E435CA9" w14:textId="49D73C16" w:rsidR="00EA4350" w:rsidRDefault="003702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810657" w:history="1">
            <w:r w:rsidR="00EA4350" w:rsidRPr="00F251BA">
              <w:rPr>
                <w:rStyle w:val="Hyperlink"/>
                <w:rFonts w:ascii="Arial" w:eastAsia="Times New Roman" w:hAnsi="Arial" w:cs="Arial"/>
                <w:b/>
                <w:noProof/>
              </w:rPr>
              <w:t>Introduction</w:t>
            </w:r>
            <w:r w:rsidR="00EA4350">
              <w:rPr>
                <w:noProof/>
                <w:webHidden/>
              </w:rPr>
              <w:tab/>
            </w:r>
            <w:r w:rsidR="00EA4350">
              <w:rPr>
                <w:noProof/>
                <w:webHidden/>
              </w:rPr>
              <w:fldChar w:fldCharType="begin"/>
            </w:r>
            <w:r w:rsidR="00EA4350">
              <w:rPr>
                <w:noProof/>
                <w:webHidden/>
              </w:rPr>
              <w:instrText xml:space="preserve"> PAGEREF _Toc101810657 \h </w:instrText>
            </w:r>
            <w:r w:rsidR="00EA4350">
              <w:rPr>
                <w:noProof/>
                <w:webHidden/>
              </w:rPr>
            </w:r>
            <w:r w:rsidR="00EA4350">
              <w:rPr>
                <w:noProof/>
                <w:webHidden/>
              </w:rPr>
              <w:fldChar w:fldCharType="separate"/>
            </w:r>
            <w:r w:rsidR="00623DA9">
              <w:rPr>
                <w:noProof/>
                <w:webHidden/>
              </w:rPr>
              <w:t>3</w:t>
            </w:r>
            <w:r w:rsidR="00EA4350">
              <w:rPr>
                <w:noProof/>
                <w:webHidden/>
              </w:rPr>
              <w:fldChar w:fldCharType="end"/>
            </w:r>
          </w:hyperlink>
        </w:p>
        <w:p w14:paraId="19468B86" w14:textId="7C47F93C" w:rsidR="00EA4350" w:rsidRDefault="00EA4350">
          <w:pPr>
            <w:pStyle w:val="TOC1"/>
            <w:tabs>
              <w:tab w:val="right" w:leader="dot" w:pos="9016"/>
            </w:tabs>
            <w:rPr>
              <w:rFonts w:eastAsiaTheme="minorEastAsia"/>
              <w:noProof/>
              <w:lang w:eastAsia="en-GB"/>
            </w:rPr>
          </w:pPr>
          <w:hyperlink w:anchor="_Toc101810658" w:history="1">
            <w:r w:rsidRPr="00F251BA">
              <w:rPr>
                <w:rStyle w:val="Hyperlink"/>
                <w:rFonts w:ascii="Arial" w:hAnsi="Arial" w:cs="Arial"/>
                <w:noProof/>
              </w:rPr>
              <w:t>The 17 Sustainable Development Goals (SDGs)</w:t>
            </w:r>
            <w:r>
              <w:rPr>
                <w:noProof/>
                <w:webHidden/>
              </w:rPr>
              <w:tab/>
            </w:r>
            <w:r>
              <w:rPr>
                <w:noProof/>
                <w:webHidden/>
              </w:rPr>
              <w:fldChar w:fldCharType="begin"/>
            </w:r>
            <w:r>
              <w:rPr>
                <w:noProof/>
                <w:webHidden/>
              </w:rPr>
              <w:instrText xml:space="preserve"> PAGEREF _Toc101810658 \h </w:instrText>
            </w:r>
            <w:r>
              <w:rPr>
                <w:noProof/>
                <w:webHidden/>
              </w:rPr>
            </w:r>
            <w:r>
              <w:rPr>
                <w:noProof/>
                <w:webHidden/>
              </w:rPr>
              <w:fldChar w:fldCharType="separate"/>
            </w:r>
            <w:r w:rsidR="00623DA9">
              <w:rPr>
                <w:noProof/>
                <w:webHidden/>
              </w:rPr>
              <w:t>3</w:t>
            </w:r>
            <w:r>
              <w:rPr>
                <w:noProof/>
                <w:webHidden/>
              </w:rPr>
              <w:fldChar w:fldCharType="end"/>
            </w:r>
          </w:hyperlink>
        </w:p>
        <w:p w14:paraId="42635C23" w14:textId="34381732" w:rsidR="00EA4350" w:rsidRDefault="00EA4350">
          <w:pPr>
            <w:pStyle w:val="TOC1"/>
            <w:tabs>
              <w:tab w:val="right" w:leader="dot" w:pos="9016"/>
            </w:tabs>
            <w:rPr>
              <w:rFonts w:eastAsiaTheme="minorEastAsia"/>
              <w:noProof/>
              <w:lang w:eastAsia="en-GB"/>
            </w:rPr>
          </w:pPr>
          <w:hyperlink w:anchor="_Toc101810659" w:history="1">
            <w:r w:rsidRPr="00F251BA">
              <w:rPr>
                <w:rStyle w:val="Hyperlink"/>
                <w:noProof/>
              </w:rPr>
              <w:t>Reasons behind UK’s success in meeting the three SD goals</w:t>
            </w:r>
            <w:r>
              <w:rPr>
                <w:noProof/>
                <w:webHidden/>
              </w:rPr>
              <w:tab/>
            </w:r>
            <w:r>
              <w:rPr>
                <w:noProof/>
                <w:webHidden/>
              </w:rPr>
              <w:fldChar w:fldCharType="begin"/>
            </w:r>
            <w:r>
              <w:rPr>
                <w:noProof/>
                <w:webHidden/>
              </w:rPr>
              <w:instrText xml:space="preserve"> PAGEREF _Toc101810659 \h </w:instrText>
            </w:r>
            <w:r>
              <w:rPr>
                <w:noProof/>
                <w:webHidden/>
              </w:rPr>
            </w:r>
            <w:r>
              <w:rPr>
                <w:noProof/>
                <w:webHidden/>
              </w:rPr>
              <w:fldChar w:fldCharType="separate"/>
            </w:r>
            <w:r w:rsidR="00623DA9">
              <w:rPr>
                <w:noProof/>
                <w:webHidden/>
              </w:rPr>
              <w:t>4</w:t>
            </w:r>
            <w:r>
              <w:rPr>
                <w:noProof/>
                <w:webHidden/>
              </w:rPr>
              <w:fldChar w:fldCharType="end"/>
            </w:r>
          </w:hyperlink>
        </w:p>
        <w:p w14:paraId="78D276FD" w14:textId="07D986CC" w:rsidR="00EA4350" w:rsidRDefault="00EA4350">
          <w:pPr>
            <w:pStyle w:val="TOC1"/>
            <w:tabs>
              <w:tab w:val="right" w:leader="dot" w:pos="9016"/>
            </w:tabs>
            <w:rPr>
              <w:rFonts w:eastAsiaTheme="minorEastAsia"/>
              <w:noProof/>
              <w:lang w:eastAsia="en-GB"/>
            </w:rPr>
          </w:pPr>
          <w:hyperlink w:anchor="_Toc101810660" w:history="1">
            <w:r w:rsidRPr="00F251BA">
              <w:rPr>
                <w:rStyle w:val="Hyperlink"/>
                <w:noProof/>
              </w:rPr>
              <w:t>Goal 3: Good Health and Wellbeing</w:t>
            </w:r>
            <w:r>
              <w:rPr>
                <w:noProof/>
                <w:webHidden/>
              </w:rPr>
              <w:tab/>
            </w:r>
            <w:r>
              <w:rPr>
                <w:noProof/>
                <w:webHidden/>
              </w:rPr>
              <w:fldChar w:fldCharType="begin"/>
            </w:r>
            <w:r>
              <w:rPr>
                <w:noProof/>
                <w:webHidden/>
              </w:rPr>
              <w:instrText xml:space="preserve"> PAGEREF _Toc101810660 \h </w:instrText>
            </w:r>
            <w:r>
              <w:rPr>
                <w:noProof/>
                <w:webHidden/>
              </w:rPr>
            </w:r>
            <w:r>
              <w:rPr>
                <w:noProof/>
                <w:webHidden/>
              </w:rPr>
              <w:fldChar w:fldCharType="separate"/>
            </w:r>
            <w:r w:rsidR="00623DA9">
              <w:rPr>
                <w:noProof/>
                <w:webHidden/>
              </w:rPr>
              <w:t>4</w:t>
            </w:r>
            <w:r>
              <w:rPr>
                <w:noProof/>
                <w:webHidden/>
              </w:rPr>
              <w:fldChar w:fldCharType="end"/>
            </w:r>
          </w:hyperlink>
        </w:p>
        <w:p w14:paraId="3D2BC4AB" w14:textId="244FB675" w:rsidR="00EA4350" w:rsidRDefault="00EA4350">
          <w:pPr>
            <w:pStyle w:val="TOC1"/>
            <w:tabs>
              <w:tab w:val="right" w:leader="dot" w:pos="9016"/>
            </w:tabs>
            <w:rPr>
              <w:rFonts w:eastAsiaTheme="minorEastAsia"/>
              <w:noProof/>
              <w:lang w:eastAsia="en-GB"/>
            </w:rPr>
          </w:pPr>
          <w:hyperlink w:anchor="_Toc101810661" w:history="1">
            <w:r w:rsidRPr="00F251BA">
              <w:rPr>
                <w:rStyle w:val="Hyperlink"/>
                <w:noProof/>
              </w:rPr>
              <w:t>Goal 4: Quality Education</w:t>
            </w:r>
            <w:r>
              <w:rPr>
                <w:noProof/>
                <w:webHidden/>
              </w:rPr>
              <w:tab/>
            </w:r>
            <w:r>
              <w:rPr>
                <w:noProof/>
                <w:webHidden/>
              </w:rPr>
              <w:fldChar w:fldCharType="begin"/>
            </w:r>
            <w:r>
              <w:rPr>
                <w:noProof/>
                <w:webHidden/>
              </w:rPr>
              <w:instrText xml:space="preserve"> PAGEREF _Toc101810661 \h </w:instrText>
            </w:r>
            <w:r>
              <w:rPr>
                <w:noProof/>
                <w:webHidden/>
              </w:rPr>
            </w:r>
            <w:r>
              <w:rPr>
                <w:noProof/>
                <w:webHidden/>
              </w:rPr>
              <w:fldChar w:fldCharType="separate"/>
            </w:r>
            <w:r w:rsidR="00623DA9">
              <w:rPr>
                <w:noProof/>
                <w:webHidden/>
              </w:rPr>
              <w:t>5</w:t>
            </w:r>
            <w:r>
              <w:rPr>
                <w:noProof/>
                <w:webHidden/>
              </w:rPr>
              <w:fldChar w:fldCharType="end"/>
            </w:r>
          </w:hyperlink>
        </w:p>
        <w:p w14:paraId="5324983B" w14:textId="18B2BA8C" w:rsidR="00EA4350" w:rsidRDefault="00EA4350">
          <w:pPr>
            <w:pStyle w:val="TOC1"/>
            <w:tabs>
              <w:tab w:val="right" w:leader="dot" w:pos="9016"/>
            </w:tabs>
            <w:rPr>
              <w:rFonts w:eastAsiaTheme="minorEastAsia"/>
              <w:noProof/>
              <w:lang w:eastAsia="en-GB"/>
            </w:rPr>
          </w:pPr>
          <w:hyperlink w:anchor="_Toc101810662" w:history="1">
            <w:r w:rsidRPr="00F251BA">
              <w:rPr>
                <w:rStyle w:val="Hyperlink"/>
                <w:noProof/>
              </w:rPr>
              <w:t>Goal 17: Partnership to Achieve the Goals</w:t>
            </w:r>
            <w:r>
              <w:rPr>
                <w:noProof/>
                <w:webHidden/>
              </w:rPr>
              <w:tab/>
            </w:r>
            <w:r>
              <w:rPr>
                <w:noProof/>
                <w:webHidden/>
              </w:rPr>
              <w:fldChar w:fldCharType="begin"/>
            </w:r>
            <w:r>
              <w:rPr>
                <w:noProof/>
                <w:webHidden/>
              </w:rPr>
              <w:instrText xml:space="preserve"> PAGEREF _Toc101810662 \h </w:instrText>
            </w:r>
            <w:r>
              <w:rPr>
                <w:noProof/>
                <w:webHidden/>
              </w:rPr>
            </w:r>
            <w:r>
              <w:rPr>
                <w:noProof/>
                <w:webHidden/>
              </w:rPr>
              <w:fldChar w:fldCharType="separate"/>
            </w:r>
            <w:r w:rsidR="00623DA9">
              <w:rPr>
                <w:noProof/>
                <w:webHidden/>
              </w:rPr>
              <w:t>6</w:t>
            </w:r>
            <w:r>
              <w:rPr>
                <w:noProof/>
                <w:webHidden/>
              </w:rPr>
              <w:fldChar w:fldCharType="end"/>
            </w:r>
          </w:hyperlink>
        </w:p>
        <w:p w14:paraId="3DF0ED8B" w14:textId="1545A41B" w:rsidR="00EA4350" w:rsidRDefault="00EA4350">
          <w:pPr>
            <w:pStyle w:val="TOC1"/>
            <w:tabs>
              <w:tab w:val="right" w:leader="dot" w:pos="9016"/>
            </w:tabs>
            <w:rPr>
              <w:rFonts w:eastAsiaTheme="minorEastAsia"/>
              <w:noProof/>
              <w:lang w:eastAsia="en-GB"/>
            </w:rPr>
          </w:pPr>
          <w:hyperlink w:anchor="_Toc101810663" w:history="1">
            <w:r w:rsidRPr="00F251BA">
              <w:rPr>
                <w:rStyle w:val="Hyperlink"/>
                <w:noProof/>
              </w:rPr>
              <w:t>UK Government’s Policies and Initiatives</w:t>
            </w:r>
            <w:r>
              <w:rPr>
                <w:noProof/>
                <w:webHidden/>
              </w:rPr>
              <w:tab/>
            </w:r>
            <w:r>
              <w:rPr>
                <w:noProof/>
                <w:webHidden/>
              </w:rPr>
              <w:fldChar w:fldCharType="begin"/>
            </w:r>
            <w:r>
              <w:rPr>
                <w:noProof/>
                <w:webHidden/>
              </w:rPr>
              <w:instrText xml:space="preserve"> PAGEREF _Toc101810663 \h </w:instrText>
            </w:r>
            <w:r>
              <w:rPr>
                <w:noProof/>
                <w:webHidden/>
              </w:rPr>
            </w:r>
            <w:r>
              <w:rPr>
                <w:noProof/>
                <w:webHidden/>
              </w:rPr>
              <w:fldChar w:fldCharType="separate"/>
            </w:r>
            <w:r w:rsidR="00623DA9">
              <w:rPr>
                <w:noProof/>
                <w:webHidden/>
              </w:rPr>
              <w:t>7</w:t>
            </w:r>
            <w:r>
              <w:rPr>
                <w:noProof/>
                <w:webHidden/>
              </w:rPr>
              <w:fldChar w:fldCharType="end"/>
            </w:r>
          </w:hyperlink>
        </w:p>
        <w:p w14:paraId="5ED5CCBA" w14:textId="666B67A3" w:rsidR="00EA4350" w:rsidRDefault="00EA4350">
          <w:pPr>
            <w:pStyle w:val="TOC1"/>
            <w:tabs>
              <w:tab w:val="right" w:leader="dot" w:pos="9016"/>
            </w:tabs>
            <w:rPr>
              <w:rFonts w:eastAsiaTheme="minorEastAsia"/>
              <w:noProof/>
              <w:lang w:eastAsia="en-GB"/>
            </w:rPr>
          </w:pPr>
          <w:hyperlink w:anchor="_Toc101810664" w:history="1">
            <w:r w:rsidRPr="00F251BA">
              <w:rPr>
                <w:rStyle w:val="Hyperlink"/>
                <w:noProof/>
              </w:rPr>
              <w:t>This SDGs performance Review in Birmingham</w:t>
            </w:r>
            <w:r>
              <w:rPr>
                <w:noProof/>
                <w:webHidden/>
              </w:rPr>
              <w:tab/>
            </w:r>
            <w:r>
              <w:rPr>
                <w:noProof/>
                <w:webHidden/>
              </w:rPr>
              <w:fldChar w:fldCharType="begin"/>
            </w:r>
            <w:r>
              <w:rPr>
                <w:noProof/>
                <w:webHidden/>
              </w:rPr>
              <w:instrText xml:space="preserve"> PAGEREF _Toc101810664 \h </w:instrText>
            </w:r>
            <w:r>
              <w:rPr>
                <w:noProof/>
                <w:webHidden/>
              </w:rPr>
            </w:r>
            <w:r>
              <w:rPr>
                <w:noProof/>
                <w:webHidden/>
              </w:rPr>
              <w:fldChar w:fldCharType="separate"/>
            </w:r>
            <w:r w:rsidR="00623DA9">
              <w:rPr>
                <w:noProof/>
                <w:webHidden/>
              </w:rPr>
              <w:t>9</w:t>
            </w:r>
            <w:r>
              <w:rPr>
                <w:noProof/>
                <w:webHidden/>
              </w:rPr>
              <w:fldChar w:fldCharType="end"/>
            </w:r>
          </w:hyperlink>
        </w:p>
        <w:p w14:paraId="4B1BF69A" w14:textId="1287A676" w:rsidR="00EA4350" w:rsidRDefault="00EA4350">
          <w:pPr>
            <w:pStyle w:val="TOC1"/>
            <w:tabs>
              <w:tab w:val="right" w:leader="dot" w:pos="9016"/>
            </w:tabs>
            <w:rPr>
              <w:rFonts w:eastAsiaTheme="minorEastAsia"/>
              <w:noProof/>
              <w:lang w:eastAsia="en-GB"/>
            </w:rPr>
          </w:pPr>
          <w:hyperlink w:anchor="_Toc101810665" w:history="1">
            <w:r w:rsidRPr="00F251BA">
              <w:rPr>
                <w:rStyle w:val="Hyperlink"/>
                <w:rFonts w:ascii="Arial" w:hAnsi="Arial" w:cs="Arial"/>
                <w:noProof/>
              </w:rPr>
              <w:t xml:space="preserve">  </w:t>
            </w:r>
            <w:r w:rsidRPr="00F251BA">
              <w:rPr>
                <w:rStyle w:val="Hyperlink"/>
                <w:noProof/>
              </w:rPr>
              <w:t>Policy for Each of These SDGs In Birmingham</w:t>
            </w:r>
            <w:r>
              <w:rPr>
                <w:noProof/>
                <w:webHidden/>
              </w:rPr>
              <w:tab/>
            </w:r>
            <w:r>
              <w:rPr>
                <w:noProof/>
                <w:webHidden/>
              </w:rPr>
              <w:fldChar w:fldCharType="begin"/>
            </w:r>
            <w:r>
              <w:rPr>
                <w:noProof/>
                <w:webHidden/>
              </w:rPr>
              <w:instrText xml:space="preserve"> PAGEREF _Toc101810665 \h </w:instrText>
            </w:r>
            <w:r>
              <w:rPr>
                <w:noProof/>
                <w:webHidden/>
              </w:rPr>
            </w:r>
            <w:r>
              <w:rPr>
                <w:noProof/>
                <w:webHidden/>
              </w:rPr>
              <w:fldChar w:fldCharType="separate"/>
            </w:r>
            <w:r w:rsidR="00623DA9">
              <w:rPr>
                <w:noProof/>
                <w:webHidden/>
              </w:rPr>
              <w:t>9</w:t>
            </w:r>
            <w:r>
              <w:rPr>
                <w:noProof/>
                <w:webHidden/>
              </w:rPr>
              <w:fldChar w:fldCharType="end"/>
            </w:r>
          </w:hyperlink>
        </w:p>
        <w:p w14:paraId="0AD05587" w14:textId="06CCCE78" w:rsidR="00EA4350" w:rsidRDefault="00EA4350">
          <w:pPr>
            <w:pStyle w:val="TOC1"/>
            <w:tabs>
              <w:tab w:val="right" w:leader="dot" w:pos="9016"/>
            </w:tabs>
            <w:rPr>
              <w:rFonts w:eastAsiaTheme="minorEastAsia"/>
              <w:noProof/>
              <w:lang w:eastAsia="en-GB"/>
            </w:rPr>
          </w:pPr>
          <w:hyperlink w:anchor="_Toc101810666" w:history="1">
            <w:r w:rsidRPr="00F251BA">
              <w:rPr>
                <w:rStyle w:val="Hyperlink"/>
                <w:noProof/>
              </w:rPr>
              <w:t>Benefits of Birmingham from These SDGs</w:t>
            </w:r>
            <w:r>
              <w:rPr>
                <w:noProof/>
                <w:webHidden/>
              </w:rPr>
              <w:tab/>
            </w:r>
            <w:r>
              <w:rPr>
                <w:noProof/>
                <w:webHidden/>
              </w:rPr>
              <w:fldChar w:fldCharType="begin"/>
            </w:r>
            <w:r>
              <w:rPr>
                <w:noProof/>
                <w:webHidden/>
              </w:rPr>
              <w:instrText xml:space="preserve"> PAGEREF _Toc101810666 \h </w:instrText>
            </w:r>
            <w:r>
              <w:rPr>
                <w:noProof/>
                <w:webHidden/>
              </w:rPr>
            </w:r>
            <w:r>
              <w:rPr>
                <w:noProof/>
                <w:webHidden/>
              </w:rPr>
              <w:fldChar w:fldCharType="separate"/>
            </w:r>
            <w:r w:rsidR="00623DA9">
              <w:rPr>
                <w:noProof/>
                <w:webHidden/>
              </w:rPr>
              <w:t>11</w:t>
            </w:r>
            <w:r>
              <w:rPr>
                <w:noProof/>
                <w:webHidden/>
              </w:rPr>
              <w:fldChar w:fldCharType="end"/>
            </w:r>
          </w:hyperlink>
        </w:p>
        <w:p w14:paraId="756DDEE0" w14:textId="3EC56437" w:rsidR="00EA4350" w:rsidRDefault="00EA4350">
          <w:pPr>
            <w:pStyle w:val="TOC1"/>
            <w:tabs>
              <w:tab w:val="right" w:leader="dot" w:pos="9016"/>
            </w:tabs>
            <w:rPr>
              <w:rFonts w:eastAsiaTheme="minorEastAsia"/>
              <w:noProof/>
              <w:lang w:eastAsia="en-GB"/>
            </w:rPr>
          </w:pPr>
          <w:hyperlink w:anchor="_Toc101810667" w:history="1">
            <w:r w:rsidRPr="00F251BA">
              <w:rPr>
                <w:rStyle w:val="Hyperlink"/>
                <w:noProof/>
              </w:rPr>
              <w:t>Recommendations</w:t>
            </w:r>
            <w:r>
              <w:rPr>
                <w:noProof/>
                <w:webHidden/>
              </w:rPr>
              <w:tab/>
            </w:r>
            <w:r>
              <w:rPr>
                <w:noProof/>
                <w:webHidden/>
              </w:rPr>
              <w:fldChar w:fldCharType="begin"/>
            </w:r>
            <w:r>
              <w:rPr>
                <w:noProof/>
                <w:webHidden/>
              </w:rPr>
              <w:instrText xml:space="preserve"> PAGEREF _Toc101810667 \h </w:instrText>
            </w:r>
            <w:r>
              <w:rPr>
                <w:noProof/>
                <w:webHidden/>
              </w:rPr>
            </w:r>
            <w:r>
              <w:rPr>
                <w:noProof/>
                <w:webHidden/>
              </w:rPr>
              <w:fldChar w:fldCharType="separate"/>
            </w:r>
            <w:r w:rsidR="00623DA9">
              <w:rPr>
                <w:noProof/>
                <w:webHidden/>
              </w:rPr>
              <w:t>13</w:t>
            </w:r>
            <w:r>
              <w:rPr>
                <w:noProof/>
                <w:webHidden/>
              </w:rPr>
              <w:fldChar w:fldCharType="end"/>
            </w:r>
          </w:hyperlink>
        </w:p>
        <w:p w14:paraId="130C387B" w14:textId="2FEA4D2C" w:rsidR="00EA4350" w:rsidRDefault="00EA4350">
          <w:pPr>
            <w:pStyle w:val="TOC1"/>
            <w:tabs>
              <w:tab w:val="right" w:leader="dot" w:pos="9016"/>
            </w:tabs>
            <w:rPr>
              <w:rFonts w:eastAsiaTheme="minorEastAsia"/>
              <w:noProof/>
              <w:lang w:eastAsia="en-GB"/>
            </w:rPr>
          </w:pPr>
          <w:hyperlink w:anchor="_Toc101810668" w:history="1">
            <w:r w:rsidRPr="00F251BA">
              <w:rPr>
                <w:rStyle w:val="Hyperlink"/>
                <w:noProof/>
              </w:rPr>
              <w:t>Conclusion</w:t>
            </w:r>
            <w:r>
              <w:rPr>
                <w:noProof/>
                <w:webHidden/>
              </w:rPr>
              <w:tab/>
            </w:r>
            <w:r>
              <w:rPr>
                <w:noProof/>
                <w:webHidden/>
              </w:rPr>
              <w:fldChar w:fldCharType="begin"/>
            </w:r>
            <w:r>
              <w:rPr>
                <w:noProof/>
                <w:webHidden/>
              </w:rPr>
              <w:instrText xml:space="preserve"> PAGEREF _Toc101810668 \h </w:instrText>
            </w:r>
            <w:r>
              <w:rPr>
                <w:noProof/>
                <w:webHidden/>
              </w:rPr>
            </w:r>
            <w:r>
              <w:rPr>
                <w:noProof/>
                <w:webHidden/>
              </w:rPr>
              <w:fldChar w:fldCharType="separate"/>
            </w:r>
            <w:r w:rsidR="00623DA9">
              <w:rPr>
                <w:noProof/>
                <w:webHidden/>
              </w:rPr>
              <w:t>14</w:t>
            </w:r>
            <w:r>
              <w:rPr>
                <w:noProof/>
                <w:webHidden/>
              </w:rPr>
              <w:fldChar w:fldCharType="end"/>
            </w:r>
          </w:hyperlink>
        </w:p>
        <w:p w14:paraId="56DF78F6" w14:textId="6133ADED" w:rsidR="00EA4350" w:rsidRDefault="00EA4350">
          <w:pPr>
            <w:pStyle w:val="TOC1"/>
            <w:tabs>
              <w:tab w:val="right" w:leader="dot" w:pos="9016"/>
            </w:tabs>
            <w:rPr>
              <w:rFonts w:eastAsiaTheme="minorEastAsia"/>
              <w:noProof/>
              <w:lang w:eastAsia="en-GB"/>
            </w:rPr>
          </w:pPr>
          <w:hyperlink w:anchor="_Toc101810669" w:history="1">
            <w:r w:rsidRPr="00F251BA">
              <w:rPr>
                <w:rStyle w:val="Hyperlink"/>
                <w:noProof/>
              </w:rPr>
              <w:t>Reference</w:t>
            </w:r>
            <w:r>
              <w:rPr>
                <w:noProof/>
                <w:webHidden/>
              </w:rPr>
              <w:tab/>
            </w:r>
            <w:r>
              <w:rPr>
                <w:noProof/>
                <w:webHidden/>
              </w:rPr>
              <w:fldChar w:fldCharType="begin"/>
            </w:r>
            <w:r>
              <w:rPr>
                <w:noProof/>
                <w:webHidden/>
              </w:rPr>
              <w:instrText xml:space="preserve"> PAGEREF _Toc101810669 \h </w:instrText>
            </w:r>
            <w:r>
              <w:rPr>
                <w:noProof/>
                <w:webHidden/>
              </w:rPr>
            </w:r>
            <w:r>
              <w:rPr>
                <w:noProof/>
                <w:webHidden/>
              </w:rPr>
              <w:fldChar w:fldCharType="separate"/>
            </w:r>
            <w:r w:rsidR="00623DA9">
              <w:rPr>
                <w:noProof/>
                <w:webHidden/>
              </w:rPr>
              <w:t>14</w:t>
            </w:r>
            <w:r>
              <w:rPr>
                <w:noProof/>
                <w:webHidden/>
              </w:rPr>
              <w:fldChar w:fldCharType="end"/>
            </w:r>
          </w:hyperlink>
        </w:p>
        <w:p w14:paraId="2F99506E" w14:textId="56304AA2" w:rsidR="003702D9" w:rsidRDefault="003702D9">
          <w:r>
            <w:rPr>
              <w:b/>
              <w:bCs/>
              <w:noProof/>
            </w:rPr>
            <w:fldChar w:fldCharType="end"/>
          </w:r>
        </w:p>
      </w:sdtContent>
    </w:sdt>
    <w:p w14:paraId="0CC1A812" w14:textId="7E0F414F" w:rsidR="00620D90" w:rsidRPr="00340312" w:rsidRDefault="00620D90" w:rsidP="00BC4200">
      <w:pPr>
        <w:pStyle w:val="Heading1"/>
      </w:pPr>
    </w:p>
    <w:p w14:paraId="0C77114B" w14:textId="4EDF2DC2" w:rsidR="00620D90" w:rsidRPr="00340312" w:rsidRDefault="00620D90" w:rsidP="00340312">
      <w:pPr>
        <w:spacing w:line="360" w:lineRule="auto"/>
        <w:rPr>
          <w:rFonts w:ascii="Arial" w:hAnsi="Arial" w:cs="Arial"/>
          <w:sz w:val="24"/>
          <w:szCs w:val="24"/>
        </w:rPr>
      </w:pPr>
    </w:p>
    <w:p w14:paraId="62EB3834" w14:textId="74D7FCBA" w:rsidR="00620D90" w:rsidRPr="00340312" w:rsidRDefault="00620D90" w:rsidP="00340312">
      <w:pPr>
        <w:spacing w:line="360" w:lineRule="auto"/>
        <w:rPr>
          <w:rFonts w:ascii="Arial" w:hAnsi="Arial" w:cs="Arial"/>
          <w:sz w:val="24"/>
          <w:szCs w:val="24"/>
        </w:rPr>
      </w:pPr>
    </w:p>
    <w:p w14:paraId="21AFD513" w14:textId="718DECED" w:rsidR="00620D90" w:rsidRPr="00340312" w:rsidRDefault="00620D90" w:rsidP="00340312">
      <w:pPr>
        <w:spacing w:line="360" w:lineRule="auto"/>
        <w:rPr>
          <w:rFonts w:ascii="Arial" w:hAnsi="Arial" w:cs="Arial"/>
          <w:sz w:val="24"/>
          <w:szCs w:val="24"/>
        </w:rPr>
      </w:pPr>
    </w:p>
    <w:p w14:paraId="6CC734AF" w14:textId="313D0FB1" w:rsidR="00620D90" w:rsidRPr="00340312" w:rsidRDefault="00620D90" w:rsidP="00340312">
      <w:pPr>
        <w:spacing w:line="360" w:lineRule="auto"/>
        <w:rPr>
          <w:rFonts w:ascii="Arial" w:hAnsi="Arial" w:cs="Arial"/>
          <w:sz w:val="24"/>
          <w:szCs w:val="24"/>
        </w:rPr>
      </w:pPr>
    </w:p>
    <w:p w14:paraId="0E8FC55B" w14:textId="77777777" w:rsidR="00620D90" w:rsidRPr="00340312" w:rsidRDefault="00620D90" w:rsidP="00340312">
      <w:pPr>
        <w:spacing w:line="360" w:lineRule="auto"/>
        <w:rPr>
          <w:rFonts w:ascii="Arial" w:hAnsi="Arial" w:cs="Arial"/>
          <w:sz w:val="24"/>
          <w:szCs w:val="24"/>
        </w:rPr>
      </w:pPr>
    </w:p>
    <w:p w14:paraId="0316CF7B" w14:textId="3B8FEEBC" w:rsidR="00620D90" w:rsidRPr="00340312" w:rsidRDefault="00620D90" w:rsidP="00340312">
      <w:pPr>
        <w:spacing w:line="360" w:lineRule="auto"/>
        <w:rPr>
          <w:rFonts w:ascii="Arial" w:hAnsi="Arial" w:cs="Arial"/>
          <w:sz w:val="24"/>
          <w:szCs w:val="24"/>
        </w:rPr>
      </w:pPr>
    </w:p>
    <w:p w14:paraId="1BC67060" w14:textId="26D1D0B1" w:rsidR="00006430" w:rsidRPr="00340312" w:rsidRDefault="00006430" w:rsidP="00340312">
      <w:pPr>
        <w:spacing w:line="360" w:lineRule="auto"/>
        <w:rPr>
          <w:rFonts w:ascii="Arial" w:hAnsi="Arial" w:cs="Arial"/>
          <w:sz w:val="24"/>
          <w:szCs w:val="24"/>
        </w:rPr>
      </w:pPr>
    </w:p>
    <w:p w14:paraId="5A3FEA85" w14:textId="6114D073" w:rsidR="00006430" w:rsidRPr="00340312" w:rsidRDefault="00006430" w:rsidP="00340312">
      <w:pPr>
        <w:spacing w:line="360" w:lineRule="auto"/>
        <w:rPr>
          <w:rFonts w:ascii="Arial" w:hAnsi="Arial" w:cs="Arial"/>
          <w:sz w:val="24"/>
          <w:szCs w:val="24"/>
        </w:rPr>
      </w:pPr>
    </w:p>
    <w:p w14:paraId="768DA756" w14:textId="33598D19" w:rsidR="00006430" w:rsidRPr="00340312" w:rsidRDefault="00006430" w:rsidP="00340312">
      <w:pPr>
        <w:spacing w:line="360" w:lineRule="auto"/>
        <w:rPr>
          <w:rFonts w:ascii="Arial" w:hAnsi="Arial" w:cs="Arial"/>
          <w:sz w:val="24"/>
          <w:szCs w:val="24"/>
        </w:rPr>
      </w:pPr>
    </w:p>
    <w:p w14:paraId="0D86BF7E" w14:textId="056CFC39" w:rsidR="00006430" w:rsidRPr="00340312" w:rsidRDefault="00006430" w:rsidP="00340312">
      <w:pPr>
        <w:spacing w:line="360" w:lineRule="auto"/>
        <w:rPr>
          <w:rFonts w:ascii="Arial" w:hAnsi="Arial" w:cs="Arial"/>
          <w:sz w:val="24"/>
          <w:szCs w:val="24"/>
        </w:rPr>
      </w:pPr>
    </w:p>
    <w:p w14:paraId="0F973BC3" w14:textId="37DC6B34" w:rsidR="00006430" w:rsidRPr="00340312" w:rsidRDefault="00006430" w:rsidP="00340312">
      <w:pPr>
        <w:spacing w:line="360" w:lineRule="auto"/>
        <w:rPr>
          <w:rFonts w:ascii="Arial" w:hAnsi="Arial" w:cs="Arial"/>
          <w:sz w:val="24"/>
          <w:szCs w:val="24"/>
        </w:rPr>
      </w:pPr>
    </w:p>
    <w:p w14:paraId="1E0968AF" w14:textId="6A01BD4A" w:rsidR="00006430" w:rsidRPr="00340312" w:rsidRDefault="00006430" w:rsidP="00340312">
      <w:pPr>
        <w:spacing w:line="360" w:lineRule="auto"/>
        <w:rPr>
          <w:rFonts w:ascii="Arial" w:hAnsi="Arial" w:cs="Arial"/>
          <w:sz w:val="24"/>
          <w:szCs w:val="24"/>
        </w:rPr>
      </w:pPr>
    </w:p>
    <w:p w14:paraId="616065C0" w14:textId="5A233D3E" w:rsidR="00006430" w:rsidRDefault="00006430" w:rsidP="00340312">
      <w:pPr>
        <w:keepNext/>
        <w:keepLines/>
        <w:spacing w:before="240" w:after="0" w:line="360" w:lineRule="auto"/>
        <w:jc w:val="both"/>
        <w:outlineLvl w:val="0"/>
        <w:rPr>
          <w:rFonts w:ascii="Arial" w:eastAsia="Times New Roman" w:hAnsi="Arial" w:cs="Arial"/>
          <w:b/>
          <w:color w:val="000000"/>
          <w:sz w:val="24"/>
          <w:szCs w:val="24"/>
        </w:rPr>
      </w:pPr>
      <w:bookmarkStart w:id="0" w:name="_Toc101809196"/>
      <w:bookmarkStart w:id="1" w:name="_Toc101809993"/>
      <w:bookmarkStart w:id="2" w:name="_Toc101810657"/>
      <w:r w:rsidRPr="00006430">
        <w:rPr>
          <w:rFonts w:ascii="Arial" w:eastAsia="Times New Roman" w:hAnsi="Arial" w:cs="Arial"/>
          <w:b/>
          <w:color w:val="000000"/>
          <w:sz w:val="24"/>
          <w:szCs w:val="24"/>
        </w:rPr>
        <w:lastRenderedPageBreak/>
        <w:t>Introduction</w:t>
      </w:r>
      <w:bookmarkEnd w:id="0"/>
      <w:bookmarkEnd w:id="1"/>
      <w:bookmarkEnd w:id="2"/>
    </w:p>
    <w:p w14:paraId="14F14A71" w14:textId="77777777" w:rsidR="00BC4200" w:rsidRPr="00006430" w:rsidRDefault="00BC4200" w:rsidP="00340312">
      <w:pPr>
        <w:keepNext/>
        <w:keepLines/>
        <w:spacing w:before="240" w:after="0" w:line="360" w:lineRule="auto"/>
        <w:jc w:val="both"/>
        <w:outlineLvl w:val="0"/>
        <w:rPr>
          <w:rFonts w:ascii="Arial" w:eastAsia="Times New Roman" w:hAnsi="Arial" w:cs="Arial"/>
          <w:b/>
          <w:color w:val="000000"/>
          <w:sz w:val="24"/>
          <w:szCs w:val="24"/>
        </w:rPr>
      </w:pPr>
    </w:p>
    <w:p w14:paraId="2540E1CD" w14:textId="75EA22D2" w:rsidR="00BC4200" w:rsidRPr="00340312" w:rsidRDefault="00006430" w:rsidP="00340312">
      <w:pPr>
        <w:spacing w:line="360" w:lineRule="auto"/>
        <w:jc w:val="both"/>
        <w:rPr>
          <w:rFonts w:ascii="Arial" w:eastAsia="Calibri" w:hAnsi="Arial" w:cs="Arial"/>
          <w:color w:val="202123"/>
          <w:sz w:val="24"/>
          <w:szCs w:val="24"/>
        </w:rPr>
      </w:pPr>
      <w:r w:rsidRPr="00006430">
        <w:rPr>
          <w:rFonts w:ascii="Arial" w:eastAsia="Calibri" w:hAnsi="Arial" w:cs="Arial"/>
          <w:color w:val="202123"/>
          <w:sz w:val="24"/>
          <w:szCs w:val="24"/>
        </w:rPr>
        <w:t xml:space="preserve">The UK has a long-standing commitment to health and well-being and sustainable development. The current health and wellbeing landscape is complex, with a variety of stakeholders and agendas (Kelly, 2022). This report will critically examine the current situation of health, wellbeing, and sustainable development within the present health care sectors in the UK. The report will also show you the three SDGs (Goal 3: Good Health &amp; Wellbeing, Goal 4: Quality Education, and Goal 17: Partnerships to achieve the Goals,) from the perspective of Birmingham, a city in the UK. It will consider the role of the health and wellbeing consultant in these </w:t>
      </w:r>
      <w:proofErr w:type="gramStart"/>
      <w:r w:rsidRPr="00006430">
        <w:rPr>
          <w:rFonts w:ascii="Arial" w:eastAsia="Calibri" w:hAnsi="Arial" w:cs="Arial"/>
          <w:color w:val="202123"/>
          <w:sz w:val="24"/>
          <w:szCs w:val="24"/>
        </w:rPr>
        <w:t>issues, and</w:t>
      </w:r>
      <w:proofErr w:type="gramEnd"/>
      <w:r w:rsidRPr="00006430">
        <w:rPr>
          <w:rFonts w:ascii="Arial" w:eastAsia="Calibri" w:hAnsi="Arial" w:cs="Arial"/>
          <w:color w:val="202123"/>
          <w:sz w:val="24"/>
          <w:szCs w:val="24"/>
        </w:rPr>
        <w:t xml:space="preserve"> make recommendations for improvements. The document sets out the government’s plans for reforms to the health and social care system in England over the next five years.</w:t>
      </w:r>
    </w:p>
    <w:p w14:paraId="4B25A6FF" w14:textId="7E844F43" w:rsidR="00006430" w:rsidRPr="00340312" w:rsidRDefault="00006430" w:rsidP="00340312">
      <w:pPr>
        <w:spacing w:line="360" w:lineRule="auto"/>
        <w:jc w:val="both"/>
        <w:rPr>
          <w:rFonts w:ascii="Arial" w:eastAsia="Calibri" w:hAnsi="Arial" w:cs="Arial"/>
          <w:color w:val="202123"/>
          <w:sz w:val="24"/>
          <w:szCs w:val="24"/>
        </w:rPr>
      </w:pPr>
    </w:p>
    <w:p w14:paraId="52B2D4EF" w14:textId="1C701E02" w:rsidR="00006430" w:rsidRDefault="00006430" w:rsidP="00340312">
      <w:pPr>
        <w:pStyle w:val="Heading1"/>
        <w:rPr>
          <w:rFonts w:ascii="Arial" w:hAnsi="Arial" w:cs="Arial"/>
          <w:sz w:val="24"/>
          <w:szCs w:val="24"/>
        </w:rPr>
      </w:pPr>
      <w:bookmarkStart w:id="3" w:name="_Toc101809197"/>
      <w:bookmarkStart w:id="4" w:name="_Toc101809994"/>
      <w:bookmarkStart w:id="5" w:name="_Toc101810658"/>
      <w:r w:rsidRPr="00340312">
        <w:rPr>
          <w:rFonts w:ascii="Arial" w:hAnsi="Arial" w:cs="Arial"/>
          <w:sz w:val="24"/>
          <w:szCs w:val="24"/>
        </w:rPr>
        <w:t>The 17 Sustainable Development Goals (SDGs)</w:t>
      </w:r>
      <w:bookmarkEnd w:id="3"/>
      <w:bookmarkEnd w:id="4"/>
      <w:bookmarkEnd w:id="5"/>
    </w:p>
    <w:p w14:paraId="143BEDEC" w14:textId="77777777" w:rsidR="00BC4200" w:rsidRPr="00BC4200" w:rsidRDefault="00BC4200" w:rsidP="00BC4200"/>
    <w:p w14:paraId="319FAAB1"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Sustainable Development Goals (SDGs), also known as the Global Goals, are a set of 17 "interconnected goals designed to be a blueprint for a better and more sustainable future for all". The SDGs were adopted by all United Nations Member States in </w:t>
      </w:r>
      <w:proofErr w:type="gramStart"/>
      <w:r w:rsidRPr="00340312">
        <w:rPr>
          <w:rFonts w:ascii="Arial" w:hAnsi="Arial" w:cs="Arial"/>
          <w:color w:val="202123"/>
          <w:sz w:val="24"/>
          <w:szCs w:val="24"/>
        </w:rPr>
        <w:t>2015, and</w:t>
      </w:r>
      <w:proofErr w:type="gramEnd"/>
      <w:r w:rsidRPr="00340312">
        <w:rPr>
          <w:rFonts w:ascii="Arial" w:hAnsi="Arial" w:cs="Arial"/>
          <w:color w:val="202123"/>
          <w:sz w:val="24"/>
          <w:szCs w:val="24"/>
        </w:rPr>
        <w:t xml:space="preserve"> are intended to be achieved by the year 2030 (</w:t>
      </w:r>
      <w:proofErr w:type="spellStart"/>
      <w:r w:rsidRPr="00340312">
        <w:rPr>
          <w:rFonts w:ascii="Arial" w:hAnsi="Arial" w:cs="Arial"/>
          <w:color w:val="202123"/>
          <w:sz w:val="24"/>
          <w:szCs w:val="24"/>
        </w:rPr>
        <w:t>Tsalis</w:t>
      </w:r>
      <w:proofErr w:type="spellEnd"/>
      <w:r w:rsidRPr="00340312">
        <w:rPr>
          <w:rFonts w:ascii="Arial" w:hAnsi="Arial" w:cs="Arial"/>
          <w:color w:val="202123"/>
          <w:sz w:val="24"/>
          <w:szCs w:val="24"/>
        </w:rPr>
        <w:t xml:space="preserve">, 2020). The 17 SDGs are: </w:t>
      </w:r>
    </w:p>
    <w:p w14:paraId="55642848"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 End poverty in all its forms everywhere </w:t>
      </w:r>
    </w:p>
    <w:p w14:paraId="7E6A4624"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2. End hunger, achieve food security and improved nutrition, and promote sustainable agriculture </w:t>
      </w:r>
    </w:p>
    <w:p w14:paraId="4E11DA2C"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3. Ensure healthy lives and promote well-being for all at all ages </w:t>
      </w:r>
    </w:p>
    <w:p w14:paraId="1DEBB702"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4. Ensure inclusive and equitable quality education and promote lifelong learning opportunities for all </w:t>
      </w:r>
    </w:p>
    <w:p w14:paraId="76D88637"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5. Achieve gender equality and empower all women and girls </w:t>
      </w:r>
    </w:p>
    <w:p w14:paraId="6BA1D88D"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6. Ensure availability and sustainable management of water and sanitation for all </w:t>
      </w:r>
    </w:p>
    <w:p w14:paraId="3AFD7AB4"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7. Ensure access to affordable, reliable, sustainable, and modern energy for all </w:t>
      </w:r>
    </w:p>
    <w:p w14:paraId="2959315F"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 xml:space="preserve">8. Promote sustained, inclusive, and sustainable economic growth, full and productive employment, and decent work for all </w:t>
      </w:r>
    </w:p>
    <w:p w14:paraId="5DC7C527"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9. Build resilient infrastructure, promote inclusive and sustainable industrialization, and foster innovation </w:t>
      </w:r>
    </w:p>
    <w:p w14:paraId="53E3597C"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10. Reduce inequality within and among countries </w:t>
      </w:r>
    </w:p>
    <w:p w14:paraId="53ECCE9A"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11. Make cities and human settlements inclusive, safe, resilient, and sustainable </w:t>
      </w:r>
    </w:p>
    <w:p w14:paraId="3EBEBAA5"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12. Ensure sustainable consumption and production patterns </w:t>
      </w:r>
    </w:p>
    <w:p w14:paraId="360B1778"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13. Take urgent action to combat climate change and its impacts* </w:t>
      </w:r>
    </w:p>
    <w:p w14:paraId="62903407" w14:textId="77777777"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14. Conserve and sustainably use the oceans, seas, and marine resources for sustainable development </w:t>
      </w:r>
    </w:p>
    <w:p w14:paraId="5128DDCA" w14:textId="2F061B72" w:rsidR="00006430" w:rsidRPr="00340312" w:rsidRDefault="00006430"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15. Protect, restore, and promote sustainable use of terrestrial ecosystems, sustainably manage forests, combat desertification, halt and reverse land degradation, and halt biodiversity loss </w:t>
      </w:r>
    </w:p>
    <w:p w14:paraId="75845F50"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16. Promote peaceful and inclusive societies for sustainable development, provide access to justice for all, and build effective, accountable, and inclusive institutions at all levels </w:t>
      </w:r>
    </w:p>
    <w:p w14:paraId="1857A5E7" w14:textId="2B7E041A"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17. Strengthen the means of implementation and revitalize the Global Partnership for Sustainable Development (Fu, 2019</w:t>
      </w:r>
      <w:r w:rsidR="00BC4200">
        <w:rPr>
          <w:rFonts w:ascii="Arial" w:hAnsi="Arial" w:cs="Arial"/>
          <w:color w:val="202123"/>
          <w:sz w:val="24"/>
          <w:szCs w:val="24"/>
        </w:rPr>
        <w:t>)</w:t>
      </w:r>
    </w:p>
    <w:p w14:paraId="73776FA1" w14:textId="4802683A" w:rsidR="00340312" w:rsidRPr="00340312" w:rsidRDefault="00340312" w:rsidP="00340312">
      <w:pPr>
        <w:spacing w:line="360" w:lineRule="auto"/>
        <w:rPr>
          <w:rFonts w:ascii="Arial" w:hAnsi="Arial" w:cs="Arial"/>
          <w:color w:val="202123"/>
          <w:sz w:val="24"/>
          <w:szCs w:val="24"/>
        </w:rPr>
      </w:pPr>
    </w:p>
    <w:p w14:paraId="193B374A" w14:textId="77777777" w:rsidR="00340312" w:rsidRPr="00E421C0" w:rsidRDefault="00340312" w:rsidP="006D16CE">
      <w:pPr>
        <w:pStyle w:val="Heading1"/>
      </w:pPr>
      <w:bookmarkStart w:id="6" w:name="_Toc101810659"/>
      <w:r w:rsidRPr="00E421C0">
        <w:t>Reasons behind UK’s success in meeting the three SD goals</w:t>
      </w:r>
      <w:bookmarkEnd w:id="6"/>
    </w:p>
    <w:p w14:paraId="0FC4DADE" w14:textId="77777777" w:rsidR="00340312" w:rsidRPr="00E421C0" w:rsidRDefault="00340312" w:rsidP="006D16CE">
      <w:pPr>
        <w:pStyle w:val="Heading1"/>
      </w:pPr>
      <w:bookmarkStart w:id="7" w:name="_Toc101810660"/>
      <w:r w:rsidRPr="00E421C0">
        <w:t>Goal 3: Good Health and Wellbeing</w:t>
      </w:r>
      <w:bookmarkEnd w:id="7"/>
    </w:p>
    <w:p w14:paraId="0E0D26FB"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United Kingdom has been successful in meeting the SDG Good Health and Wellbeing goal for several reasons. One reason is the country’s focus on preventative health care (</w:t>
      </w:r>
      <w:proofErr w:type="spellStart"/>
      <w:r w:rsidRPr="00340312">
        <w:rPr>
          <w:rFonts w:ascii="Arial" w:hAnsi="Arial" w:cs="Arial"/>
          <w:color w:val="202123"/>
          <w:sz w:val="24"/>
          <w:szCs w:val="24"/>
        </w:rPr>
        <w:t>Rockliffe</w:t>
      </w:r>
      <w:proofErr w:type="spellEnd"/>
      <w:r w:rsidRPr="00340312">
        <w:rPr>
          <w:rFonts w:ascii="Arial" w:hAnsi="Arial" w:cs="Arial"/>
          <w:color w:val="202123"/>
          <w:sz w:val="24"/>
          <w:szCs w:val="24"/>
        </w:rPr>
        <w:t>, 2018). The UK has implemented many policies to encourage healthy lifestyles and prevent illness. For example, the government has introduced a sugar tax on sugary drinks and has banned smoking in public places. These measures have helped to reduce the incidence of obesity and other preventable diseases.</w:t>
      </w:r>
    </w:p>
    <w:p w14:paraId="299D24BB"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Another reason for the UK’s success in meeting the Good Health and Wellbeing goal is the country’s world-class health care system. The National Health Service (NHS) provides high-quality care to all citizens, regardless of their ability to pay (</w:t>
      </w:r>
      <w:proofErr w:type="spellStart"/>
      <w:r w:rsidRPr="00340312">
        <w:rPr>
          <w:rFonts w:ascii="Arial" w:hAnsi="Arial" w:cs="Arial"/>
          <w:color w:val="202123"/>
          <w:sz w:val="24"/>
          <w:szCs w:val="24"/>
        </w:rPr>
        <w:t>Friebel</w:t>
      </w:r>
      <w:proofErr w:type="spellEnd"/>
      <w:r w:rsidRPr="00340312">
        <w:rPr>
          <w:rFonts w:ascii="Arial" w:hAnsi="Arial" w:cs="Arial"/>
          <w:color w:val="202123"/>
          <w:sz w:val="24"/>
          <w:szCs w:val="24"/>
        </w:rPr>
        <w:t>, 2018). The NHS is free at the point of use, and this has helped to improve the health of the population. In addition, the UK has a strong network of hospitals and clinics, which provide excellent treatment for a range of conditions.</w:t>
      </w:r>
    </w:p>
    <w:p w14:paraId="0C96E098"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Finally, the UK government has invested heavily in research and development in the health sector (Green, 2020). This has led to some breakthroughs in medical science, which have improved the health of the population. For example, the UK was at the forefront of the development of the HPV vaccine, which has helped to reduce the incidence of cervical cancer.</w:t>
      </w:r>
    </w:p>
    <w:p w14:paraId="1332E5B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UK’s success in meeting the Good Health and Wellbeing goal is due to several factors. The country has a strong focus on preventative health care and has an excellent health care system. In addition, the government has invested heavily in research and development, which has led to several breakthroughs in medical science.</w:t>
      </w:r>
    </w:p>
    <w:p w14:paraId="22A33D54" w14:textId="77777777" w:rsidR="00340312" w:rsidRPr="006D16CE" w:rsidRDefault="00340312" w:rsidP="006D16CE">
      <w:pPr>
        <w:pStyle w:val="Heading1"/>
      </w:pPr>
      <w:bookmarkStart w:id="8" w:name="_Toc101810661"/>
      <w:r w:rsidRPr="006D16CE">
        <w:t>Goal 4: Quality Education</w:t>
      </w:r>
      <w:bookmarkEnd w:id="8"/>
    </w:p>
    <w:p w14:paraId="6B747A8F"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United Kingdom has long been a world leader in education, and it is no different when it comes to the Sustainable Development Goals. The UK has been successful in meeting the SDG quality education goal for several reasons. </w:t>
      </w:r>
    </w:p>
    <w:p w14:paraId="6E8E9EE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First, the UK has a long history of commitment to education. It was one of the first countries to establish a system of public education, and it has consistently invested in education throughout the years (Williamson, 2020). This commitment has paid off in the form of a highly educated population; according to the OECD, the UK has one of the highest percentages of adults with tertiary education in the world. </w:t>
      </w:r>
    </w:p>
    <w:p w14:paraId="70722355"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Second, the UK has a world-renowned higher education system. It is home to some of the top universities in the world, including Oxford, Cambridge, and London. These universities attract the best and brightest students from around the globe, and they produce graduates who are highly sought-after by employers. </w:t>
      </w:r>
    </w:p>
    <w:p w14:paraId="65C26EFC"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Third, the UK has a strong economy, which has helped to fund its education system. The UK has one of the largest economies in the world, and it is a leader in several </w:t>
      </w:r>
      <w:r w:rsidRPr="00340312">
        <w:rPr>
          <w:rFonts w:ascii="Arial" w:hAnsi="Arial" w:cs="Arial"/>
          <w:color w:val="202123"/>
          <w:sz w:val="24"/>
          <w:szCs w:val="24"/>
        </w:rPr>
        <w:lastRenderedPageBreak/>
        <w:t xml:space="preserve">industries, including finance, technology, and manufacturing. This thriving economy has allowed the UK to invest in its education system, resulting in world-class facilities and resources. </w:t>
      </w:r>
    </w:p>
    <w:p w14:paraId="6F28A42B"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Fourth, the UK has a supportive government that values education. The government has also introduced several initiatives to improve the quality of education, such as the introduction of the English Baccalaureate (Neumann, 2020). </w:t>
      </w:r>
    </w:p>
    <w:p w14:paraId="052EF1AC"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These are just a few of the reasons behind the UK’s success in meeting the SDG quality education goal. With a long history of commitment to education, a world-renowned higher education system, a strong economy, and a supportive government, the UK is well on its way to ensuring that all its citizens have access to quality education.</w:t>
      </w:r>
    </w:p>
    <w:p w14:paraId="74FA0443" w14:textId="77777777" w:rsidR="00340312" w:rsidRPr="006D16CE" w:rsidRDefault="00340312" w:rsidP="006D16CE">
      <w:pPr>
        <w:pStyle w:val="Heading1"/>
      </w:pPr>
      <w:bookmarkStart w:id="9" w:name="_Toc101810662"/>
      <w:r w:rsidRPr="006D16CE">
        <w:t>Goal 17: Partnership to Achieve the Goals</w:t>
      </w:r>
      <w:bookmarkEnd w:id="9"/>
    </w:p>
    <w:p w14:paraId="368261B2"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United Kingdom has been a world leader in sustainable development, both in terms of its domestic policies and its international engagement. Its success in meeting the Sustainable Development Goals (SDGs) is due in large part to its partnership approach to achieving the goals. </w:t>
      </w:r>
    </w:p>
    <w:p w14:paraId="42EABE1C"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UK has been a driving force behind the establishment of the SDGs, which were adopted by the United Nations in 2015. The UK was also one of the first countries to produce a national strategy for implementing the SDGs, which was launched in 2016 (</w:t>
      </w:r>
      <w:proofErr w:type="spellStart"/>
      <w:r w:rsidRPr="00340312">
        <w:rPr>
          <w:rFonts w:ascii="Arial" w:hAnsi="Arial" w:cs="Arial"/>
          <w:color w:val="202123"/>
          <w:sz w:val="24"/>
          <w:szCs w:val="24"/>
        </w:rPr>
        <w:t>Gubaidullina</w:t>
      </w:r>
      <w:proofErr w:type="spellEnd"/>
      <w:r w:rsidRPr="00340312">
        <w:rPr>
          <w:rFonts w:ascii="Arial" w:hAnsi="Arial" w:cs="Arial"/>
          <w:color w:val="202123"/>
          <w:sz w:val="24"/>
          <w:szCs w:val="24"/>
        </w:rPr>
        <w:t xml:space="preserve">, 2018). </w:t>
      </w:r>
    </w:p>
    <w:p w14:paraId="428C06D9" w14:textId="77777777" w:rsidR="00340312" w:rsidRPr="006D16CE" w:rsidRDefault="00340312" w:rsidP="00340312">
      <w:pPr>
        <w:spacing w:line="360" w:lineRule="auto"/>
        <w:rPr>
          <w:rFonts w:ascii="Arial" w:hAnsi="Arial" w:cs="Arial"/>
          <w:color w:val="202123"/>
          <w:sz w:val="24"/>
          <w:szCs w:val="24"/>
        </w:rPr>
      </w:pPr>
      <w:r w:rsidRPr="006D16CE">
        <w:rPr>
          <w:rFonts w:ascii="Arial" w:hAnsi="Arial" w:cs="Arial"/>
          <w:color w:val="202123"/>
          <w:sz w:val="24"/>
          <w:szCs w:val="24"/>
        </w:rPr>
        <w:t xml:space="preserve">The UK’s partnership approach to the SDGs is based on three pillars: </w:t>
      </w:r>
    </w:p>
    <w:p w14:paraId="10EF8209" w14:textId="4A8F8E5E"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 Engagement with all stakeholders: The UK recognizes that achieving the SDGs requires the engagement of all stakeholders, including businesses, civil society, academia, and the </w:t>
      </w:r>
      <w:r w:rsidR="004325A9" w:rsidRPr="00340312">
        <w:rPr>
          <w:rFonts w:ascii="Arial" w:hAnsi="Arial" w:cs="Arial"/>
          <w:color w:val="202123"/>
          <w:sz w:val="24"/>
          <w:szCs w:val="24"/>
        </w:rPr>
        <w:t>public</w:t>
      </w:r>
      <w:r w:rsidRPr="00340312">
        <w:rPr>
          <w:rFonts w:ascii="Arial" w:hAnsi="Arial" w:cs="Arial"/>
          <w:color w:val="202123"/>
          <w:sz w:val="24"/>
          <w:szCs w:val="24"/>
        </w:rPr>
        <w:t xml:space="preserve">. The UK government has established several platforms to facilitate this engagement, such as the Sustainable Development Advisory Committee and the Sustainable Development Solutions Network (Jones, 2020). </w:t>
      </w:r>
    </w:p>
    <w:p w14:paraId="4F5C4685"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2. Harnessing the power of technology: The UK is a world leader in the development and use of clean technologies. It has also been at the forefront of the digital revolution, with the launch of the world’s first government-backed digital currency, the Pound Sterling. </w:t>
      </w:r>
    </w:p>
    <w:p w14:paraId="220A3F73"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 xml:space="preserve">3. Investing in sustainable development: The UK is a major investor in sustainable development, both domestically and internationally. It has committed to spending 0.7% of its Gross National Income on official development assistance, and it has also established several private-sector investment funds to support sustainable development projects. </w:t>
      </w:r>
    </w:p>
    <w:p w14:paraId="7E30DE2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UK’s success in meeting the SDGs is due in large part to its partnership approach to achieving the goals. By engaging all stakeholders and harnessing the power of technology, the UK is making a significant contribution to the global effort to achieve sustainable development.</w:t>
      </w:r>
    </w:p>
    <w:p w14:paraId="33C7E4B9"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w:t>
      </w:r>
    </w:p>
    <w:p w14:paraId="169E639A" w14:textId="77777777" w:rsidR="00340312" w:rsidRPr="004325A9" w:rsidRDefault="00340312" w:rsidP="006D16CE">
      <w:pPr>
        <w:pStyle w:val="Heading1"/>
      </w:pPr>
      <w:bookmarkStart w:id="10" w:name="_Toc101810663"/>
      <w:r w:rsidRPr="004325A9">
        <w:t>UK Government’s Policies and Initiatives</w:t>
      </w:r>
      <w:bookmarkEnd w:id="10"/>
    </w:p>
    <w:p w14:paraId="555FCEFB" w14:textId="3F2B8A41"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United Kingdom has been a signatory to the United Nations Sustainable Development Goals since its inception in 2015. The UK government has committed to working towards these goals both domestically and internationally and has adopted various policies and initiatives </w:t>
      </w:r>
      <w:r w:rsidR="006D16CE" w:rsidRPr="00340312">
        <w:rPr>
          <w:rFonts w:ascii="Arial" w:hAnsi="Arial" w:cs="Arial"/>
          <w:color w:val="202123"/>
          <w:sz w:val="24"/>
          <w:szCs w:val="24"/>
        </w:rPr>
        <w:t>to</w:t>
      </w:r>
      <w:r w:rsidRPr="00340312">
        <w:rPr>
          <w:rFonts w:ascii="Arial" w:hAnsi="Arial" w:cs="Arial"/>
          <w:color w:val="202123"/>
          <w:sz w:val="24"/>
          <w:szCs w:val="24"/>
        </w:rPr>
        <w:t xml:space="preserve"> achieve them. This essay will critically </w:t>
      </w:r>
      <w:proofErr w:type="spellStart"/>
      <w:r w:rsidRPr="00340312">
        <w:rPr>
          <w:rFonts w:ascii="Arial" w:hAnsi="Arial" w:cs="Arial"/>
          <w:color w:val="202123"/>
          <w:sz w:val="24"/>
          <w:szCs w:val="24"/>
        </w:rPr>
        <w:t>analyze</w:t>
      </w:r>
      <w:proofErr w:type="spellEnd"/>
      <w:r w:rsidRPr="00340312">
        <w:rPr>
          <w:rFonts w:ascii="Arial" w:hAnsi="Arial" w:cs="Arial"/>
          <w:color w:val="202123"/>
          <w:sz w:val="24"/>
          <w:szCs w:val="24"/>
        </w:rPr>
        <w:t xml:space="preserve"> three of the UK’s SDG-related policies or initiatives: the National Health Service’s Long-Term Plan, the Department for Education’s Education for All strategy, and the UK’s aid and development policy. </w:t>
      </w:r>
    </w:p>
    <w:p w14:paraId="57944A53"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National Health Service’s </w:t>
      </w:r>
      <w:proofErr w:type="gramStart"/>
      <w:r w:rsidRPr="00340312">
        <w:rPr>
          <w:rFonts w:ascii="Arial" w:hAnsi="Arial" w:cs="Arial"/>
          <w:color w:val="202123"/>
          <w:sz w:val="24"/>
          <w:szCs w:val="24"/>
        </w:rPr>
        <w:t>Long Term</w:t>
      </w:r>
      <w:proofErr w:type="gramEnd"/>
      <w:r w:rsidRPr="00340312">
        <w:rPr>
          <w:rFonts w:ascii="Arial" w:hAnsi="Arial" w:cs="Arial"/>
          <w:color w:val="202123"/>
          <w:sz w:val="24"/>
          <w:szCs w:val="24"/>
        </w:rPr>
        <w:t xml:space="preserve"> Plan is the UK government’s flagship policy for achieving SDG 3 (Good Health and Wellbeing). The plan sets out several ambitious targets for improving the health of the British population, including reducing avoidable deaths by 2035, halving the number of suicides, and eliminating health inequalities (Thomas, 2021). The plan has been widely praised for its focus on prevention and early intervention, and its commitment to tackling health inequalities. However, some have criticized the lack of funding allocated to the NHS to achieve these goals and the lack of detail on how some of the targets will be met. The UK has made significant progress in reducing maternal and child mortality rates. According to the latest data from the World Health Organization, the maternal mortality rate in the UK is just 3.8 per 100,000 live births, and the infant mortality rate is 3.9 per 1,000 live births (Lee, 2020). These rates are significantly lower than the global averages of 216 and 38 per 100,000 live births, respectively. The UK </w:t>
      </w:r>
      <w:r w:rsidRPr="00340312">
        <w:rPr>
          <w:rFonts w:ascii="Arial" w:hAnsi="Arial" w:cs="Arial"/>
          <w:color w:val="202123"/>
          <w:sz w:val="24"/>
          <w:szCs w:val="24"/>
        </w:rPr>
        <w:lastRenderedPageBreak/>
        <w:t xml:space="preserve">government has invested heavily in improving maternal and child health care and this investment is paying off.  </w:t>
      </w:r>
    </w:p>
    <w:p w14:paraId="6EF4358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Department for Education’s Education for All strategy is the UK government’s main policy for achieving SDG 4 (Quality Education). The strategy sets out several targets for improving education in the UK, including increasing the proportion of young people achieving good GCSE results, reducing the achievement gap between disadvantaged pupils and their peers, and ensuring that all schools provide a high-quality education. The strategy has been welcomed by education experts, but some have criticized the lack of funding allocated to schools to achieve these goals. </w:t>
      </w:r>
    </w:p>
    <w:p w14:paraId="29B5908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UK government has partnered with several organizations to achieve the SDGs. The UK is a member of the United Nations (UN), and the UK government has played a leading role in the development of the SDGs. The UK is also a signatory of the Paris Agreement on climate change, and the UK government has committed to reducing its greenhouse gas emissions by 80% by 2050 (Salvia, 2021). The UK government has also established several partnerships with businesses and civil society organizations to help achieve the SDGs. For example, the UK government has partnered with the private sector to develop new technologies that can help reduce greenhouse gas emissions. The UK government has also partnered with civil society organizations to raise awareness of the SDGs and to encourage people to take action to achieve them. </w:t>
      </w:r>
    </w:p>
    <w:p w14:paraId="1F6552E9" w14:textId="708E476F"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UK’s aid and development policy </w:t>
      </w:r>
      <w:proofErr w:type="gramStart"/>
      <w:r w:rsidRPr="00340312">
        <w:rPr>
          <w:rFonts w:ascii="Arial" w:hAnsi="Arial" w:cs="Arial"/>
          <w:color w:val="202123"/>
          <w:sz w:val="24"/>
          <w:szCs w:val="24"/>
        </w:rPr>
        <w:t>is</w:t>
      </w:r>
      <w:proofErr w:type="gramEnd"/>
      <w:r w:rsidRPr="00340312">
        <w:rPr>
          <w:rFonts w:ascii="Arial" w:hAnsi="Arial" w:cs="Arial"/>
          <w:color w:val="202123"/>
          <w:sz w:val="24"/>
          <w:szCs w:val="24"/>
        </w:rPr>
        <w:t xml:space="preserve"> the main policy for achieving SDG 17 (Partnership to Achieve the Goals). The UK government has committed to spending 0.7% of GNI on aid and has set out several priorities for its aid budget, including supporting education, health, and </w:t>
      </w:r>
      <w:r w:rsidRPr="00340312">
        <w:rPr>
          <w:rFonts w:ascii="Arial" w:hAnsi="Arial" w:cs="Arial"/>
          <w:color w:val="202123"/>
          <w:sz w:val="24"/>
          <w:szCs w:val="24"/>
        </w:rPr>
        <w:t>livelihoods:</w:t>
      </w:r>
      <w:r w:rsidRPr="00340312">
        <w:rPr>
          <w:rFonts w:ascii="Arial" w:hAnsi="Arial" w:cs="Arial"/>
          <w:color w:val="202123"/>
          <w:sz w:val="24"/>
          <w:szCs w:val="24"/>
        </w:rPr>
        <w:t xml:space="preserve"> tackling climate change, and combating global poverty (Price, 2018). The UK’s aid policy has been praised for its commitment to spending 0.7% of GNI on aid, but some have criticized the lack of transparency around how the aid budget is spent and the lack of focus on poverty alleviation.</w:t>
      </w:r>
    </w:p>
    <w:p w14:paraId="1D5753AE" w14:textId="6D752843" w:rsidR="00340312" w:rsidRPr="00340312" w:rsidRDefault="00340312" w:rsidP="00340312">
      <w:pPr>
        <w:spacing w:line="360" w:lineRule="auto"/>
        <w:rPr>
          <w:rFonts w:ascii="Arial" w:hAnsi="Arial" w:cs="Arial"/>
          <w:color w:val="202123"/>
          <w:sz w:val="24"/>
          <w:szCs w:val="24"/>
        </w:rPr>
      </w:pPr>
    </w:p>
    <w:p w14:paraId="116BCA30" w14:textId="77777777" w:rsidR="00340312" w:rsidRPr="004325A9" w:rsidRDefault="00340312" w:rsidP="00EA4350">
      <w:pPr>
        <w:pStyle w:val="Heading1"/>
      </w:pPr>
      <w:bookmarkStart w:id="11" w:name="_Toc101810664"/>
      <w:r w:rsidRPr="004325A9">
        <w:t>This SDGs performance Review in Birmingham</w:t>
      </w:r>
      <w:bookmarkEnd w:id="11"/>
    </w:p>
    <w:p w14:paraId="6F384B7B" w14:textId="7D1CD79C"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Birmingham city is one of the most populous cities in the United Kingdom and is also one of the most ethnically diverse. The city has a population of over 1.1 million people and is the second-largest city in England (</w:t>
      </w:r>
      <w:proofErr w:type="spellStart"/>
      <w:r w:rsidRPr="00340312">
        <w:rPr>
          <w:rFonts w:ascii="Arial" w:hAnsi="Arial" w:cs="Arial"/>
          <w:color w:val="202123"/>
          <w:sz w:val="24"/>
          <w:szCs w:val="24"/>
        </w:rPr>
        <w:t>Chotvijit</w:t>
      </w:r>
      <w:proofErr w:type="spellEnd"/>
      <w:r w:rsidRPr="00340312">
        <w:rPr>
          <w:rFonts w:ascii="Arial" w:hAnsi="Arial" w:cs="Arial"/>
          <w:color w:val="202123"/>
          <w:sz w:val="24"/>
          <w:szCs w:val="24"/>
        </w:rPr>
        <w:t xml:space="preserve">, 2018). Birmingham is a major commercial and financial </w:t>
      </w:r>
      <w:r w:rsidR="004325A9">
        <w:rPr>
          <w:rFonts w:ascii="Arial" w:hAnsi="Arial" w:cs="Arial"/>
          <w:color w:val="202123"/>
          <w:sz w:val="24"/>
          <w:szCs w:val="24"/>
        </w:rPr>
        <w:t>centre</w:t>
      </w:r>
      <w:r w:rsidRPr="00340312">
        <w:rPr>
          <w:rFonts w:ascii="Arial" w:hAnsi="Arial" w:cs="Arial"/>
          <w:color w:val="202123"/>
          <w:sz w:val="24"/>
          <w:szCs w:val="24"/>
        </w:rPr>
        <w:t xml:space="preserve"> and is home to several large businesses and organizations. The city is also a major transportation hub, with an international airport and </w:t>
      </w:r>
      <w:r w:rsidR="004325A9" w:rsidRPr="00340312">
        <w:rPr>
          <w:rFonts w:ascii="Arial" w:hAnsi="Arial" w:cs="Arial"/>
          <w:color w:val="202123"/>
          <w:sz w:val="24"/>
          <w:szCs w:val="24"/>
        </w:rPr>
        <w:t>many</w:t>
      </w:r>
      <w:r w:rsidRPr="00340312">
        <w:rPr>
          <w:rFonts w:ascii="Arial" w:hAnsi="Arial" w:cs="Arial"/>
          <w:color w:val="202123"/>
          <w:sz w:val="24"/>
          <w:szCs w:val="24"/>
        </w:rPr>
        <w:t xml:space="preserve"> trains and buses connecting Birmingham to other parts of the country.</w:t>
      </w:r>
    </w:p>
    <w:p w14:paraId="5DB4A8C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According to the Sustainable Development Goals (SDGs)Index, Birmingham is the top-performing city in the UK for Goal 3: Good Health &amp; </w:t>
      </w:r>
      <w:proofErr w:type="gramStart"/>
      <w:r w:rsidRPr="00340312">
        <w:rPr>
          <w:rFonts w:ascii="Arial" w:hAnsi="Arial" w:cs="Arial"/>
          <w:color w:val="202123"/>
          <w:sz w:val="24"/>
          <w:szCs w:val="24"/>
        </w:rPr>
        <w:t>Wellbeing, and</w:t>
      </w:r>
      <w:proofErr w:type="gramEnd"/>
      <w:r w:rsidRPr="00340312">
        <w:rPr>
          <w:rFonts w:ascii="Arial" w:hAnsi="Arial" w:cs="Arial"/>
          <w:color w:val="202123"/>
          <w:sz w:val="24"/>
          <w:szCs w:val="24"/>
        </w:rPr>
        <w:t xml:space="preserve"> is also in the top five for Goal 4: Quality Education (Lozano, 2018). However, the city ranks lower down for Goal 17: Partnerships to Achieve the Goals, at number 14. Birmingham’s performance on Goal 3 is largely due to its high levels of life expectancy and low levels of premature mortality. The city also has a high proportion of residents who rate their health as good or very good. Birmingham’s performance on Goal 4 is due to its high levels of educational attainment, with over half of residents having a tertiary education qualification. The city’s lower ranking on Goal 17 is due to several factors, including a lack of partnerships between the public and private sector, and a lack of partnerships between the city and other levels of government. Birmingham also has a relatively low level of social cohesion, as measured by the percentage of residents who say they trust others (Sapsford, 2019). Despite its lower ranking on Goal 17, Birmingham is still performing relatively well overall and is one of the leading cities in the UK for SDG progress.</w:t>
      </w:r>
    </w:p>
    <w:p w14:paraId="7E0FB5E2" w14:textId="36D7ECD7" w:rsidR="00340312" w:rsidRPr="00EA4350" w:rsidRDefault="00340312" w:rsidP="00EA4350">
      <w:pPr>
        <w:pStyle w:val="Heading1"/>
        <w:rPr>
          <w:rStyle w:val="Heading1Char"/>
        </w:rPr>
      </w:pPr>
      <w:bookmarkStart w:id="12" w:name="_Toc101810665"/>
      <w:r w:rsidRPr="00340312">
        <w:rPr>
          <w:rFonts w:ascii="Arial" w:hAnsi="Arial" w:cs="Arial"/>
          <w:color w:val="202123"/>
          <w:sz w:val="24"/>
          <w:szCs w:val="24"/>
        </w:rPr>
        <w:t> </w:t>
      </w:r>
      <w:r w:rsidRPr="00340312">
        <w:rPr>
          <w:rFonts w:ascii="Arial" w:hAnsi="Arial" w:cs="Arial"/>
          <w:sz w:val="24"/>
          <w:szCs w:val="24"/>
        </w:rPr>
        <w:t xml:space="preserve"> </w:t>
      </w:r>
      <w:r w:rsidRPr="00EA4350">
        <w:rPr>
          <w:rStyle w:val="Heading1Char"/>
        </w:rPr>
        <w:t>Policy for Each of These SDGs In Birmingham</w:t>
      </w:r>
      <w:bookmarkEnd w:id="12"/>
    </w:p>
    <w:p w14:paraId="3BC188F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Birmingham City Council is committed to achieving the Sustainable Development Goals (SDGs), also known as the Global Goals. Birmingham City Council was one of the first local authorities in the UK to pledge its support (Simpson, 2021). The Council has since developed several initiatives and partnerships to help achieve the Goals, and this work is ongoing. </w:t>
      </w:r>
    </w:p>
    <w:p w14:paraId="0AB0ABA0"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Goal 3: Good Health and Wellbeing </w:t>
      </w:r>
    </w:p>
    <w:p w14:paraId="36B4D392"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Council is working to improve the health and wellbeing of Birmingham's residents through several initiatives. These include: </w:t>
      </w:r>
    </w:p>
    <w:p w14:paraId="5225559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 The Birmingham Health and Wellbeing Strategy, sets out a vision for making Birmingham a healthier city.</w:t>
      </w:r>
    </w:p>
    <w:p w14:paraId="7D515B9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 </w:t>
      </w:r>
      <w:proofErr w:type="gramStart"/>
      <w:r w:rsidRPr="00340312">
        <w:rPr>
          <w:rFonts w:ascii="Arial" w:hAnsi="Arial" w:cs="Arial"/>
          <w:color w:val="202123"/>
          <w:sz w:val="24"/>
          <w:szCs w:val="24"/>
        </w:rPr>
        <w:t>The Birmingham Obesity Strategy,</w:t>
      </w:r>
      <w:proofErr w:type="gramEnd"/>
      <w:r w:rsidRPr="00340312">
        <w:rPr>
          <w:rFonts w:ascii="Arial" w:hAnsi="Arial" w:cs="Arial"/>
          <w:color w:val="202123"/>
          <w:sz w:val="24"/>
          <w:szCs w:val="24"/>
        </w:rPr>
        <w:t xml:space="preserve"> aims to tackle the growing problem of obesity in the city. The city has also developed a Childhood Obesity Strategy and Action Plan, which sets out several actions to tackle childhood obesity including improving access to healthy food and increasing opportunities for physical activity (Thomas, 2021).</w:t>
      </w:r>
    </w:p>
    <w:p w14:paraId="3534AD7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The Birmingham Diabetes Strategy, sets out a plan to improve the care and support for people with diabetes</w:t>
      </w:r>
    </w:p>
    <w:p w14:paraId="40EF8BD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 </w:t>
      </w:r>
      <w:proofErr w:type="gramStart"/>
      <w:r w:rsidRPr="00340312">
        <w:rPr>
          <w:rFonts w:ascii="Arial" w:hAnsi="Arial" w:cs="Arial"/>
          <w:color w:val="202123"/>
          <w:sz w:val="24"/>
          <w:szCs w:val="24"/>
        </w:rPr>
        <w:t>The Birmingham Mental Health Strategy,</w:t>
      </w:r>
      <w:proofErr w:type="gramEnd"/>
      <w:r w:rsidRPr="00340312">
        <w:rPr>
          <w:rFonts w:ascii="Arial" w:hAnsi="Arial" w:cs="Arial"/>
          <w:color w:val="202123"/>
          <w:sz w:val="24"/>
          <w:szCs w:val="24"/>
        </w:rPr>
        <w:t xml:space="preserve"> sets out a plan to improve mental health services in the city.</w:t>
      </w:r>
    </w:p>
    <w:p w14:paraId="40D3A5BF"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Council is also working to increase the uptake of health screenings and vaccinations and to promote healthy lifestyles. </w:t>
      </w:r>
    </w:p>
    <w:p w14:paraId="128A5B8B" w14:textId="77777777" w:rsidR="00340312" w:rsidRPr="00340312" w:rsidRDefault="00340312" w:rsidP="00340312">
      <w:pPr>
        <w:spacing w:line="360" w:lineRule="auto"/>
        <w:rPr>
          <w:rFonts w:ascii="Arial" w:hAnsi="Arial" w:cs="Arial"/>
          <w:color w:val="202123"/>
          <w:sz w:val="24"/>
          <w:szCs w:val="24"/>
        </w:rPr>
      </w:pPr>
    </w:p>
    <w:p w14:paraId="60E69E1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Goal 4: Quality Education </w:t>
      </w:r>
    </w:p>
    <w:p w14:paraId="0A4BB3D9"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Council is committed to providing quality education for all Birmingham's children and young people. The city has adopted several policies including the Birmingham Education Improvement Plan, which sets out the city’s approach to improving educational outcomes. The Plan has several key priorities including raising achievement, narrowing the achievement gap, improving school attendance, and improving the quality of teaching and learning. The city has also developed a Learning Partnership Strategy, which sets out the city’s approach to working with partners to improve educational outcomes.:</w:t>
      </w:r>
    </w:p>
    <w:p w14:paraId="153F36F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 The Birmingham Education Partnership, brings together all the key partners involved in education in the city </w:t>
      </w:r>
    </w:p>
    <w:p w14:paraId="352D79B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Birmingham Schools Improvement Programme, which is supporting the improvement of schools in the city </w:t>
      </w:r>
    </w:p>
    <w:p w14:paraId="2CA3AB0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Birmingham Curriculum Review, which is reviewing the curriculum taught in Birmingham schools </w:t>
      </w:r>
    </w:p>
    <w:p w14:paraId="1DE569A3"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 xml:space="preserve">The Council is also working to improve early years provision and to increase the number of young people taking up apprenticeships and other vocational training. </w:t>
      </w:r>
    </w:p>
    <w:p w14:paraId="0512653D" w14:textId="77777777" w:rsidR="00340312" w:rsidRPr="00340312" w:rsidRDefault="00340312" w:rsidP="00340312">
      <w:pPr>
        <w:spacing w:line="360" w:lineRule="auto"/>
        <w:rPr>
          <w:rFonts w:ascii="Arial" w:hAnsi="Arial" w:cs="Arial"/>
          <w:color w:val="202123"/>
          <w:sz w:val="24"/>
          <w:szCs w:val="24"/>
        </w:rPr>
      </w:pPr>
    </w:p>
    <w:p w14:paraId="2DC2928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Goal 17: Partnerships to Achieve the Goals</w:t>
      </w:r>
    </w:p>
    <w:p w14:paraId="1C7C15D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Council is working in partnership with a range of organizations to achieve the SDGs. This includes: </w:t>
      </w:r>
    </w:p>
    <w:p w14:paraId="5F5DC56C"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Greater Birmingham Chambers of Commerce, which is working with the Council to promote the SDGs to businesses in the city </w:t>
      </w:r>
    </w:p>
    <w:p w14:paraId="2B6B998D"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Birmingham Voluntary Service Council, which is supporting the Council's work on the SDGs </w:t>
      </w:r>
    </w:p>
    <w:p w14:paraId="59EE7D7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Birmingham Faiths Forum, which is promoting the SDGs to faith communities in the city </w:t>
      </w:r>
    </w:p>
    <w:p w14:paraId="2D50A78F"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 The Birmingham Climate Change Partnership, which is working to tackle climate change in the city </w:t>
      </w:r>
    </w:p>
    <w:p w14:paraId="0A38E48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Council is also working with local communities and organizations to raise awareness of the SDGs and to encourage people to get involved in achieving them.  </w:t>
      </w:r>
    </w:p>
    <w:p w14:paraId="43A4D9A0" w14:textId="77777777" w:rsidR="00340312" w:rsidRPr="004325A9" w:rsidRDefault="00340312" w:rsidP="00EA4350">
      <w:pPr>
        <w:pStyle w:val="Heading1"/>
      </w:pPr>
      <w:bookmarkStart w:id="13" w:name="_Toc101810666"/>
      <w:r w:rsidRPr="004325A9">
        <w:t>Benefits of Birmingham from These SDGs</w:t>
      </w:r>
      <w:bookmarkEnd w:id="13"/>
    </w:p>
    <w:p w14:paraId="263DB840"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city of Birmingham is well-positioned to benefit from the implementation of the Sustainable Development Goals (SDGs). Goal 3 of the SDGs, which calls for Good Health and well-being, is particularly relevant to Birmingham as the city has a large population and a high incidence of health problems. Goal 4, which calls for Quality Education, is also relevant to Birmingham as the city has several universities and colleges. And, finally, Goal 17, which calls for Partnerships to Achieve the Goals, is relevant to Birmingham as the city has several businesses and organizations that could play a role in supporting the implementation of the SDGs.</w:t>
      </w:r>
    </w:p>
    <w:p w14:paraId="28D2430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SDGs provide an opportunity for Birmingham to improve the health and wellbeing of its citizens, provide quality education to its students, and create partnerships with businesses and organizations to support the implementation of the SDGs (Katila, 2019). The health and well-being of the citizens of Birmingham can be </w:t>
      </w:r>
      <w:r w:rsidRPr="00340312">
        <w:rPr>
          <w:rFonts w:ascii="Arial" w:hAnsi="Arial" w:cs="Arial"/>
          <w:color w:val="202123"/>
          <w:sz w:val="24"/>
          <w:szCs w:val="24"/>
        </w:rPr>
        <w:lastRenderedPageBreak/>
        <w:t>improved by implementing Goal 3 of the SDGs. Goal 3 calls for Good Health and Wellbeing and includes targets to reduce the mortality rate from non-communicable diseases, reduce the prevalence of obesity, and increase life expectancy. Birmingham has a large population and a high incidence of health problems, making Goal 3 particularly relevant to the city.</w:t>
      </w:r>
    </w:p>
    <w:p w14:paraId="2561F38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implementation of Goal 3 in Birmingham would have several benefits. First, it would improve the health of the citizens of Birmingham. Second, it would reduce the burden on the NHS and other health services in Birmingham. Third, it would reduce the number of premature deaths in Birmingham. And fourth, it would improve the quality of life of the citizens of Birmingham (Micah, 2020).</w:t>
      </w:r>
    </w:p>
    <w:p w14:paraId="39C769C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Goal 4 calls for Quality Education and includes targets to ensure that all girls and boys complete primary and secondary education, to reduce the gender gap in education, and increase the number of young people and adults who have the skills to succeed in the </w:t>
      </w:r>
      <w:proofErr w:type="spellStart"/>
      <w:r w:rsidRPr="00340312">
        <w:rPr>
          <w:rFonts w:ascii="Arial" w:hAnsi="Arial" w:cs="Arial"/>
          <w:color w:val="202123"/>
          <w:sz w:val="24"/>
          <w:szCs w:val="24"/>
        </w:rPr>
        <w:t>labor</w:t>
      </w:r>
      <w:proofErr w:type="spellEnd"/>
      <w:r w:rsidRPr="00340312">
        <w:rPr>
          <w:rFonts w:ascii="Arial" w:hAnsi="Arial" w:cs="Arial"/>
          <w:color w:val="202123"/>
          <w:sz w:val="24"/>
          <w:szCs w:val="24"/>
        </w:rPr>
        <w:t xml:space="preserve"> market. Birmingham has several universities and colleges, making Goal 4 particularly relevant to the city.</w:t>
      </w:r>
    </w:p>
    <w:p w14:paraId="323240A0"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implementation of Goal 4 in Birmingham would have several benefits. First, it would improve the quality of education in Birmingham. Second, it would increase the number of young people and adults who have the skills to succeed in the </w:t>
      </w:r>
      <w:proofErr w:type="spellStart"/>
      <w:r w:rsidRPr="00340312">
        <w:rPr>
          <w:rFonts w:ascii="Arial" w:hAnsi="Arial" w:cs="Arial"/>
          <w:color w:val="202123"/>
          <w:sz w:val="24"/>
          <w:szCs w:val="24"/>
        </w:rPr>
        <w:t>labor</w:t>
      </w:r>
      <w:proofErr w:type="spellEnd"/>
      <w:r w:rsidRPr="00340312">
        <w:rPr>
          <w:rFonts w:ascii="Arial" w:hAnsi="Arial" w:cs="Arial"/>
          <w:color w:val="202123"/>
          <w:sz w:val="24"/>
          <w:szCs w:val="24"/>
        </w:rPr>
        <w:t xml:space="preserve"> market. Third, it would reduce the number of young people who are not in education, employment, or training. And fourth, it would improve the social and economic opportunities for the citizens of Birmingham.</w:t>
      </w:r>
    </w:p>
    <w:p w14:paraId="4CE6169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implementation of the SDGs in Birmingham would be supported by partnerships between the city and businesses and organizations. Goal 17 of the SDG calls for Partnerships to Achieve the Goals, and includes targets to mobilize financial resources, build capacity, and exchange knowledge (Oliveira, 2021). Birmingham has several businesses and organizations that could play a role in supporting the implementation of the SDGs.</w:t>
      </w:r>
    </w:p>
    <w:p w14:paraId="31FD57E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The implementation of the SDGs in Birmingham would have several benefits for businesses and organizations. First, it would provide a market for products and services that support the implementation of the SDGs. Second, it would create opportunities for businesses and organizations to collaborate on projects to support the implementation of the SDGs. Third, it would increase the visibility of businesses </w:t>
      </w:r>
      <w:r w:rsidRPr="00340312">
        <w:rPr>
          <w:rFonts w:ascii="Arial" w:hAnsi="Arial" w:cs="Arial"/>
          <w:color w:val="202123"/>
          <w:sz w:val="24"/>
          <w:szCs w:val="24"/>
        </w:rPr>
        <w:lastRenderedPageBreak/>
        <w:t>and organizations that support the implementation of the SDGs. And fourth, it would create a platform for businesses and organizations to share knowledge and best practices for the implementation of the SDGs (</w:t>
      </w:r>
      <w:proofErr w:type="spellStart"/>
      <w:r w:rsidRPr="00340312">
        <w:rPr>
          <w:rFonts w:ascii="Arial" w:hAnsi="Arial" w:cs="Arial"/>
          <w:color w:val="202123"/>
          <w:sz w:val="24"/>
          <w:szCs w:val="24"/>
        </w:rPr>
        <w:t>Fleaca</w:t>
      </w:r>
      <w:proofErr w:type="spellEnd"/>
      <w:r w:rsidRPr="00340312">
        <w:rPr>
          <w:rFonts w:ascii="Arial" w:hAnsi="Arial" w:cs="Arial"/>
          <w:color w:val="202123"/>
          <w:sz w:val="24"/>
          <w:szCs w:val="24"/>
        </w:rPr>
        <w:t>, 2018).</w:t>
      </w:r>
    </w:p>
    <w:p w14:paraId="5F210EFB"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w:t>
      </w:r>
    </w:p>
    <w:p w14:paraId="12488E86" w14:textId="77777777" w:rsidR="00340312" w:rsidRPr="004325A9" w:rsidRDefault="00340312" w:rsidP="00EA4350">
      <w:pPr>
        <w:pStyle w:val="Heading1"/>
      </w:pPr>
      <w:bookmarkStart w:id="14" w:name="_Toc101810667"/>
      <w:r w:rsidRPr="004325A9">
        <w:t>Recommendations</w:t>
      </w:r>
      <w:bookmarkEnd w:id="14"/>
      <w:r w:rsidRPr="004325A9">
        <w:t xml:space="preserve"> </w:t>
      </w:r>
    </w:p>
    <w:p w14:paraId="04906E45"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UK has made progress on meeting the SDG of Good Health and Wellbeing, but there is still room for improvement. The government has invested heavily in improving maternal and child health care, combating communicable diseases and expanding access to health care (Wroe, 2020). However, more work is needed to ensure that all people have comprehensive health coverage.</w:t>
      </w:r>
    </w:p>
    <w:p w14:paraId="33E2FA6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1. Healthcare: Birmingham City needs to improve access to healthcare, as well as the quality of healthcare. This can be done by providing more funding for healthcare, training more healthcare professionals, and improving healthcare infrastructure. </w:t>
      </w:r>
    </w:p>
    <w:p w14:paraId="25ACF0C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2. Education: Birmingham City needs to improve its educational system by providing more resources for schools, hiring more qualified teachers, and increasing access to education. </w:t>
      </w:r>
    </w:p>
    <w:p w14:paraId="769DADF9"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3. Partnership: Birmingham City needs to form more partnerships with businesses, NGOs, and other organizations to achieve the SDGs. </w:t>
      </w:r>
    </w:p>
    <w:p w14:paraId="1A2825B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4. Sustainability: Birmingham City needs to become more sustainable by reducing its carbon footprint, investing in renewable energy, and protecting its natural resources.</w:t>
      </w:r>
    </w:p>
    <w:p w14:paraId="298D4CF0" w14:textId="07584645"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The report makes several recommendations for how the health and wellbeing strategy can be improved, including increasing investment in early years services, increasing access to high-quality childcare, improving access to primary care services, increasing investment in mental health services, improving access to physical activity and sports facilities, increasing investment in social care services, and improving access to employment and education opportunities.</w:t>
      </w:r>
    </w:p>
    <w:p w14:paraId="2CCD5A85"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w:t>
      </w:r>
    </w:p>
    <w:p w14:paraId="5D167728" w14:textId="4CA33A76" w:rsidR="00340312" w:rsidRDefault="00340312" w:rsidP="00EA4350">
      <w:pPr>
        <w:pStyle w:val="Heading1"/>
      </w:pPr>
      <w:bookmarkStart w:id="15" w:name="_Toc101810668"/>
      <w:r w:rsidRPr="00340312">
        <w:t>Conclusion</w:t>
      </w:r>
      <w:bookmarkEnd w:id="15"/>
    </w:p>
    <w:p w14:paraId="2D068E0C" w14:textId="77777777" w:rsidR="00340312" w:rsidRPr="00340312" w:rsidRDefault="00340312" w:rsidP="00340312">
      <w:pPr>
        <w:spacing w:line="360" w:lineRule="auto"/>
        <w:rPr>
          <w:rFonts w:ascii="Arial" w:hAnsi="Arial" w:cs="Arial"/>
          <w:b/>
          <w:bCs/>
          <w:color w:val="202123"/>
          <w:sz w:val="24"/>
          <w:szCs w:val="24"/>
        </w:rPr>
      </w:pPr>
    </w:p>
    <w:p w14:paraId="41E62760" w14:textId="7256A67F" w:rsid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The health and well-being of citizens in the UK are of paramount importance. The country has a long-standing tradition of providing high-quality health care and a commitment to sustainable development. However, recent years have seen several challenges to this commitment, including funding cuts and an aging population. Despite these challenges, the health care sector in the UK remains one of the best in the world. The country has a highly skilled workforce and a well-developed infrastructure (Xiao, 2017). In addition, the UK has a strong commitment to research and development, which ensures that new treatments and technologies are constantly being introduced. </w:t>
      </w:r>
    </w:p>
    <w:p w14:paraId="013E4329" w14:textId="77777777" w:rsidR="00340312" w:rsidRPr="00340312" w:rsidRDefault="00340312" w:rsidP="00340312">
      <w:pPr>
        <w:spacing w:line="360" w:lineRule="auto"/>
        <w:rPr>
          <w:rFonts w:ascii="Arial" w:hAnsi="Arial" w:cs="Arial"/>
          <w:color w:val="202123"/>
          <w:sz w:val="24"/>
          <w:szCs w:val="24"/>
        </w:rPr>
      </w:pPr>
    </w:p>
    <w:p w14:paraId="358172A8" w14:textId="77777777" w:rsidR="00340312" w:rsidRPr="00340312" w:rsidRDefault="00340312" w:rsidP="00EA4350">
      <w:pPr>
        <w:pStyle w:val="Heading1"/>
      </w:pPr>
      <w:bookmarkStart w:id="16" w:name="_Toc101810669"/>
      <w:r w:rsidRPr="00340312">
        <w:t>Reference</w:t>
      </w:r>
      <w:bookmarkEnd w:id="16"/>
      <w:r w:rsidRPr="00340312">
        <w:t xml:space="preserve"> </w:t>
      </w:r>
    </w:p>
    <w:p w14:paraId="42185645"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Chotvijit</w:t>
      </w:r>
      <w:proofErr w:type="spellEnd"/>
      <w:r w:rsidRPr="00340312">
        <w:rPr>
          <w:rFonts w:ascii="Arial" w:hAnsi="Arial" w:cs="Arial"/>
          <w:color w:val="202123"/>
          <w:sz w:val="24"/>
          <w:szCs w:val="24"/>
        </w:rPr>
        <w:t xml:space="preserve">, S., </w:t>
      </w:r>
      <w:proofErr w:type="spellStart"/>
      <w:r w:rsidRPr="00340312">
        <w:rPr>
          <w:rFonts w:ascii="Arial" w:hAnsi="Arial" w:cs="Arial"/>
          <w:color w:val="202123"/>
          <w:sz w:val="24"/>
          <w:szCs w:val="24"/>
        </w:rPr>
        <w:t>Thiarai</w:t>
      </w:r>
      <w:proofErr w:type="spellEnd"/>
      <w:r w:rsidRPr="00340312">
        <w:rPr>
          <w:rFonts w:ascii="Arial" w:hAnsi="Arial" w:cs="Arial"/>
          <w:color w:val="202123"/>
          <w:sz w:val="24"/>
          <w:szCs w:val="24"/>
        </w:rPr>
        <w:t>, M. and Jarvis, S., 2018. Maintaining social care provision in the context of financial austerity. International Journal of Population Data Science, 3(1).</w:t>
      </w:r>
    </w:p>
    <w:p w14:paraId="3AB27A98"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Fleacă</w:t>
      </w:r>
      <w:proofErr w:type="spellEnd"/>
      <w:r w:rsidRPr="00340312">
        <w:rPr>
          <w:rFonts w:ascii="Arial" w:hAnsi="Arial" w:cs="Arial"/>
          <w:color w:val="202123"/>
          <w:sz w:val="24"/>
          <w:szCs w:val="24"/>
        </w:rPr>
        <w:t xml:space="preserve">, E., </w:t>
      </w:r>
      <w:proofErr w:type="spellStart"/>
      <w:r w:rsidRPr="00340312">
        <w:rPr>
          <w:rFonts w:ascii="Arial" w:hAnsi="Arial" w:cs="Arial"/>
          <w:color w:val="202123"/>
          <w:sz w:val="24"/>
          <w:szCs w:val="24"/>
        </w:rPr>
        <w:t>Fleacă</w:t>
      </w:r>
      <w:proofErr w:type="spellEnd"/>
      <w:r w:rsidRPr="00340312">
        <w:rPr>
          <w:rFonts w:ascii="Arial" w:hAnsi="Arial" w:cs="Arial"/>
          <w:color w:val="202123"/>
          <w:sz w:val="24"/>
          <w:szCs w:val="24"/>
        </w:rPr>
        <w:t xml:space="preserve">, B. and </w:t>
      </w:r>
      <w:proofErr w:type="spellStart"/>
      <w:r w:rsidRPr="00340312">
        <w:rPr>
          <w:rFonts w:ascii="Arial" w:hAnsi="Arial" w:cs="Arial"/>
          <w:color w:val="202123"/>
          <w:sz w:val="24"/>
          <w:szCs w:val="24"/>
        </w:rPr>
        <w:t>Maiduc</w:t>
      </w:r>
      <w:proofErr w:type="spellEnd"/>
      <w:r w:rsidRPr="00340312">
        <w:rPr>
          <w:rFonts w:ascii="Arial" w:hAnsi="Arial" w:cs="Arial"/>
          <w:color w:val="202123"/>
          <w:sz w:val="24"/>
          <w:szCs w:val="24"/>
        </w:rPr>
        <w:t>, S., 2018. Aligning strategy with sustainable development goals (SDGs): Process scoping diagram for entrepreneurial higher education institutions (HEIs). Sustainability, 10(4), p.1032.</w:t>
      </w:r>
    </w:p>
    <w:p w14:paraId="6C15F7C7"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Friebel</w:t>
      </w:r>
      <w:proofErr w:type="spellEnd"/>
      <w:r w:rsidRPr="00340312">
        <w:rPr>
          <w:rFonts w:ascii="Arial" w:hAnsi="Arial" w:cs="Arial"/>
          <w:color w:val="202123"/>
          <w:sz w:val="24"/>
          <w:szCs w:val="24"/>
        </w:rPr>
        <w:t xml:space="preserve">, R., Molloy, A., Leatherman, S., Dixon, J., </w:t>
      </w:r>
      <w:proofErr w:type="spellStart"/>
      <w:r w:rsidRPr="00340312">
        <w:rPr>
          <w:rFonts w:ascii="Arial" w:hAnsi="Arial" w:cs="Arial"/>
          <w:color w:val="202123"/>
          <w:sz w:val="24"/>
          <w:szCs w:val="24"/>
        </w:rPr>
        <w:t>Bauhoff</w:t>
      </w:r>
      <w:proofErr w:type="spellEnd"/>
      <w:r w:rsidRPr="00340312">
        <w:rPr>
          <w:rFonts w:ascii="Arial" w:hAnsi="Arial" w:cs="Arial"/>
          <w:color w:val="202123"/>
          <w:sz w:val="24"/>
          <w:szCs w:val="24"/>
        </w:rPr>
        <w:t xml:space="preserve">, S. and </w:t>
      </w:r>
      <w:proofErr w:type="spellStart"/>
      <w:r w:rsidRPr="00340312">
        <w:rPr>
          <w:rFonts w:ascii="Arial" w:hAnsi="Arial" w:cs="Arial"/>
          <w:color w:val="202123"/>
          <w:sz w:val="24"/>
          <w:szCs w:val="24"/>
        </w:rPr>
        <w:t>Chalkidou</w:t>
      </w:r>
      <w:proofErr w:type="spellEnd"/>
      <w:r w:rsidRPr="00340312">
        <w:rPr>
          <w:rFonts w:ascii="Arial" w:hAnsi="Arial" w:cs="Arial"/>
          <w:color w:val="202123"/>
          <w:sz w:val="24"/>
          <w:szCs w:val="24"/>
        </w:rPr>
        <w:t>, K., 2018. Achieving high-quality universal health coverage: a perspective from the National Health Service in England. BMJ global health, 3(6), p.e000944.</w:t>
      </w:r>
    </w:p>
    <w:p w14:paraId="21CF6FFA"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Fu, B., Wang, S., Zhang, J., Hou, Z. and Li, J., 2019. Unravelling the complexity in achieving the 17 sustainable-development goals. National Science Review, 6(3), pp.386-388.</w:t>
      </w:r>
    </w:p>
    <w:p w14:paraId="2E0785D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Green, W., Anderson, V., Tait, K. and Tran, L.T., 2020. Precarity, fear and hope: Reflecting and imagining in higher education during a global pandemic. Higher Education Research &amp; Development, 39(7), pp.1309-1312.</w:t>
      </w:r>
    </w:p>
    <w:p w14:paraId="71A64F89"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Gubaidullina</w:t>
      </w:r>
      <w:proofErr w:type="spellEnd"/>
      <w:r w:rsidRPr="00340312">
        <w:rPr>
          <w:rFonts w:ascii="Arial" w:hAnsi="Arial" w:cs="Arial"/>
          <w:color w:val="202123"/>
          <w:sz w:val="24"/>
          <w:szCs w:val="24"/>
        </w:rPr>
        <w:t xml:space="preserve">, T., Ivanova, N., </w:t>
      </w:r>
      <w:proofErr w:type="spellStart"/>
      <w:r w:rsidRPr="00340312">
        <w:rPr>
          <w:rFonts w:ascii="Arial" w:hAnsi="Arial" w:cs="Arial"/>
          <w:color w:val="202123"/>
          <w:sz w:val="24"/>
          <w:szCs w:val="24"/>
        </w:rPr>
        <w:t>Absalyamova</w:t>
      </w:r>
      <w:proofErr w:type="spellEnd"/>
      <w:r w:rsidRPr="00340312">
        <w:rPr>
          <w:rFonts w:ascii="Arial" w:hAnsi="Arial" w:cs="Arial"/>
          <w:color w:val="202123"/>
          <w:sz w:val="24"/>
          <w:szCs w:val="24"/>
        </w:rPr>
        <w:t xml:space="preserve">, S. and </w:t>
      </w:r>
      <w:proofErr w:type="spellStart"/>
      <w:r w:rsidRPr="00340312">
        <w:rPr>
          <w:rFonts w:ascii="Arial" w:hAnsi="Arial" w:cs="Arial"/>
          <w:color w:val="202123"/>
          <w:sz w:val="24"/>
          <w:szCs w:val="24"/>
        </w:rPr>
        <w:t>Yerina</w:t>
      </w:r>
      <w:proofErr w:type="spellEnd"/>
      <w:r w:rsidRPr="00340312">
        <w:rPr>
          <w:rFonts w:ascii="Arial" w:hAnsi="Arial" w:cs="Arial"/>
          <w:color w:val="202123"/>
          <w:sz w:val="24"/>
          <w:szCs w:val="24"/>
        </w:rPr>
        <w:t xml:space="preserve">, T., 2018, December. Analysis of national strategies for sustainable development </w:t>
      </w:r>
      <w:proofErr w:type="gramStart"/>
      <w:r w:rsidRPr="00340312">
        <w:rPr>
          <w:rFonts w:ascii="Arial" w:hAnsi="Arial" w:cs="Arial"/>
          <w:color w:val="202123"/>
          <w:sz w:val="24"/>
          <w:szCs w:val="24"/>
        </w:rPr>
        <w:t>with regard to</w:t>
      </w:r>
      <w:proofErr w:type="gramEnd"/>
      <w:r w:rsidRPr="00340312">
        <w:rPr>
          <w:rFonts w:ascii="Arial" w:hAnsi="Arial" w:cs="Arial"/>
          <w:color w:val="202123"/>
          <w:sz w:val="24"/>
          <w:szCs w:val="24"/>
        </w:rPr>
        <w:t xml:space="preserve"> fundamental conceptual premise. In Journal of Physics: Conference Series (Vol. 1141, No. 1, p. 012018). IOP Publishing.</w:t>
      </w:r>
    </w:p>
    <w:p w14:paraId="1446311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lastRenderedPageBreak/>
        <w:t>Jones, P. and Comfort, D., 2020. A commentary on the localisation of the sustainable development goals. Journal of Public Affairs, 20(1), p.e1943.</w:t>
      </w:r>
    </w:p>
    <w:p w14:paraId="63D5C546"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Kelly, S.J., </w:t>
      </w:r>
      <w:proofErr w:type="spellStart"/>
      <w:r w:rsidRPr="00340312">
        <w:rPr>
          <w:rFonts w:ascii="Arial" w:hAnsi="Arial" w:cs="Arial"/>
          <w:color w:val="202123"/>
          <w:sz w:val="24"/>
          <w:szCs w:val="24"/>
        </w:rPr>
        <w:t>Derrington</w:t>
      </w:r>
      <w:proofErr w:type="spellEnd"/>
      <w:r w:rsidRPr="00340312">
        <w:rPr>
          <w:rFonts w:ascii="Arial" w:hAnsi="Arial" w:cs="Arial"/>
          <w:color w:val="202123"/>
          <w:sz w:val="24"/>
          <w:szCs w:val="24"/>
        </w:rPr>
        <w:t>, S. and Star, S., 2022. Governance challenges in esports: A best practice framework for addressing integrity and wellbeing issues. International Journal of Sport Policy and Politics, 14(1), pp.151-168.</w:t>
      </w:r>
    </w:p>
    <w:p w14:paraId="1AFDF5AF"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Lee, K.J., Sohn, S., Hong, K., Kim, J., Kim, R., Lee, S., </w:t>
      </w:r>
      <w:proofErr w:type="spellStart"/>
      <w:r w:rsidRPr="00340312">
        <w:rPr>
          <w:rFonts w:ascii="Arial" w:hAnsi="Arial" w:cs="Arial"/>
          <w:color w:val="202123"/>
          <w:sz w:val="24"/>
          <w:szCs w:val="24"/>
        </w:rPr>
        <w:t>Youn</w:t>
      </w:r>
      <w:proofErr w:type="spellEnd"/>
      <w:r w:rsidRPr="00340312">
        <w:rPr>
          <w:rFonts w:ascii="Arial" w:hAnsi="Arial" w:cs="Arial"/>
          <w:color w:val="202123"/>
          <w:sz w:val="24"/>
          <w:szCs w:val="24"/>
        </w:rPr>
        <w:t xml:space="preserve">, H. and Kim, Y.J., 2020. Maternal, infant, and perinatal mortality statistics and trends in Korea between 2009 and 2017. Obstetrics &amp; </w:t>
      </w:r>
      <w:proofErr w:type="spellStart"/>
      <w:r w:rsidRPr="00340312">
        <w:rPr>
          <w:rFonts w:ascii="Arial" w:hAnsi="Arial" w:cs="Arial"/>
          <w:color w:val="202123"/>
          <w:sz w:val="24"/>
          <w:szCs w:val="24"/>
        </w:rPr>
        <w:t>gynecology</w:t>
      </w:r>
      <w:proofErr w:type="spellEnd"/>
      <w:r w:rsidRPr="00340312">
        <w:rPr>
          <w:rFonts w:ascii="Arial" w:hAnsi="Arial" w:cs="Arial"/>
          <w:color w:val="202123"/>
          <w:sz w:val="24"/>
          <w:szCs w:val="24"/>
        </w:rPr>
        <w:t xml:space="preserve"> science, 63(5), pp.623-630.</w:t>
      </w:r>
    </w:p>
    <w:p w14:paraId="1BC6F99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Lozano, R., </w:t>
      </w:r>
      <w:proofErr w:type="spellStart"/>
      <w:r w:rsidRPr="00340312">
        <w:rPr>
          <w:rFonts w:ascii="Arial" w:hAnsi="Arial" w:cs="Arial"/>
          <w:color w:val="202123"/>
          <w:sz w:val="24"/>
          <w:szCs w:val="24"/>
        </w:rPr>
        <w:t>Fullman</w:t>
      </w:r>
      <w:proofErr w:type="spellEnd"/>
      <w:r w:rsidRPr="00340312">
        <w:rPr>
          <w:rFonts w:ascii="Arial" w:hAnsi="Arial" w:cs="Arial"/>
          <w:color w:val="202123"/>
          <w:sz w:val="24"/>
          <w:szCs w:val="24"/>
        </w:rPr>
        <w:t xml:space="preserve">, N., Abate, D., </w:t>
      </w:r>
      <w:proofErr w:type="spellStart"/>
      <w:r w:rsidRPr="00340312">
        <w:rPr>
          <w:rFonts w:ascii="Arial" w:hAnsi="Arial" w:cs="Arial"/>
          <w:color w:val="202123"/>
          <w:sz w:val="24"/>
          <w:szCs w:val="24"/>
        </w:rPr>
        <w:t>Abay</w:t>
      </w:r>
      <w:proofErr w:type="spellEnd"/>
      <w:r w:rsidRPr="00340312">
        <w:rPr>
          <w:rFonts w:ascii="Arial" w:hAnsi="Arial" w:cs="Arial"/>
          <w:color w:val="202123"/>
          <w:sz w:val="24"/>
          <w:szCs w:val="24"/>
        </w:rPr>
        <w:t xml:space="preserve">, S.M., </w:t>
      </w:r>
      <w:proofErr w:type="spellStart"/>
      <w:r w:rsidRPr="00340312">
        <w:rPr>
          <w:rFonts w:ascii="Arial" w:hAnsi="Arial" w:cs="Arial"/>
          <w:color w:val="202123"/>
          <w:sz w:val="24"/>
          <w:szCs w:val="24"/>
        </w:rPr>
        <w:t>Abbafati</w:t>
      </w:r>
      <w:proofErr w:type="spellEnd"/>
      <w:r w:rsidRPr="00340312">
        <w:rPr>
          <w:rFonts w:ascii="Arial" w:hAnsi="Arial" w:cs="Arial"/>
          <w:color w:val="202123"/>
          <w:sz w:val="24"/>
          <w:szCs w:val="24"/>
        </w:rPr>
        <w:t xml:space="preserve">, C., Abbasi, N., </w:t>
      </w:r>
      <w:proofErr w:type="spellStart"/>
      <w:r w:rsidRPr="00340312">
        <w:rPr>
          <w:rFonts w:ascii="Arial" w:hAnsi="Arial" w:cs="Arial"/>
          <w:color w:val="202123"/>
          <w:sz w:val="24"/>
          <w:szCs w:val="24"/>
        </w:rPr>
        <w:t>Abbastabar</w:t>
      </w:r>
      <w:proofErr w:type="spellEnd"/>
      <w:r w:rsidRPr="00340312">
        <w:rPr>
          <w:rFonts w:ascii="Arial" w:hAnsi="Arial" w:cs="Arial"/>
          <w:color w:val="202123"/>
          <w:sz w:val="24"/>
          <w:szCs w:val="24"/>
        </w:rPr>
        <w:t xml:space="preserve">, H., Abd-Allah, F., </w:t>
      </w:r>
      <w:proofErr w:type="spellStart"/>
      <w:r w:rsidRPr="00340312">
        <w:rPr>
          <w:rFonts w:ascii="Arial" w:hAnsi="Arial" w:cs="Arial"/>
          <w:color w:val="202123"/>
          <w:sz w:val="24"/>
          <w:szCs w:val="24"/>
        </w:rPr>
        <w:t>Abdela</w:t>
      </w:r>
      <w:proofErr w:type="spellEnd"/>
      <w:r w:rsidRPr="00340312">
        <w:rPr>
          <w:rFonts w:ascii="Arial" w:hAnsi="Arial" w:cs="Arial"/>
          <w:color w:val="202123"/>
          <w:sz w:val="24"/>
          <w:szCs w:val="24"/>
        </w:rPr>
        <w:t xml:space="preserve">, J., </w:t>
      </w:r>
      <w:proofErr w:type="spellStart"/>
      <w:r w:rsidRPr="00340312">
        <w:rPr>
          <w:rFonts w:ascii="Arial" w:hAnsi="Arial" w:cs="Arial"/>
          <w:color w:val="202123"/>
          <w:sz w:val="24"/>
          <w:szCs w:val="24"/>
        </w:rPr>
        <w:t>Abdelalim</w:t>
      </w:r>
      <w:proofErr w:type="spellEnd"/>
      <w:r w:rsidRPr="00340312">
        <w:rPr>
          <w:rFonts w:ascii="Arial" w:hAnsi="Arial" w:cs="Arial"/>
          <w:color w:val="202123"/>
          <w:sz w:val="24"/>
          <w:szCs w:val="24"/>
        </w:rPr>
        <w:t>, A. and Abdel-Rahman, O., 2018. Measuring progress from 1990 to 2017 and projecting attainment to 2030 of the health-related Sustainable Development Goals for 195 countries and territories: a systematic analysis for the Global Burden of Disease Study 2017. The lancet, 392(10159), pp.2091-2138.</w:t>
      </w:r>
    </w:p>
    <w:p w14:paraId="3B61E67B"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Micah, A.E., </w:t>
      </w:r>
      <w:proofErr w:type="spellStart"/>
      <w:r w:rsidRPr="00340312">
        <w:rPr>
          <w:rFonts w:ascii="Arial" w:hAnsi="Arial" w:cs="Arial"/>
          <w:color w:val="202123"/>
          <w:sz w:val="24"/>
          <w:szCs w:val="24"/>
        </w:rPr>
        <w:t>Su</w:t>
      </w:r>
      <w:proofErr w:type="spellEnd"/>
      <w:r w:rsidRPr="00340312">
        <w:rPr>
          <w:rFonts w:ascii="Arial" w:hAnsi="Arial" w:cs="Arial"/>
          <w:color w:val="202123"/>
          <w:sz w:val="24"/>
          <w:szCs w:val="24"/>
        </w:rPr>
        <w:t xml:space="preserve">, Y., </w:t>
      </w:r>
      <w:proofErr w:type="spellStart"/>
      <w:r w:rsidRPr="00340312">
        <w:rPr>
          <w:rFonts w:ascii="Arial" w:hAnsi="Arial" w:cs="Arial"/>
          <w:color w:val="202123"/>
          <w:sz w:val="24"/>
          <w:szCs w:val="24"/>
        </w:rPr>
        <w:t>Bachmeier</w:t>
      </w:r>
      <w:proofErr w:type="spellEnd"/>
      <w:r w:rsidRPr="00340312">
        <w:rPr>
          <w:rFonts w:ascii="Arial" w:hAnsi="Arial" w:cs="Arial"/>
          <w:color w:val="202123"/>
          <w:sz w:val="24"/>
          <w:szCs w:val="24"/>
        </w:rPr>
        <w:t xml:space="preserve">, S.D., Chapin, A., Cogswell, I.E., Crosby, S.W., Cunningham, B., </w:t>
      </w:r>
      <w:proofErr w:type="spellStart"/>
      <w:r w:rsidRPr="00340312">
        <w:rPr>
          <w:rFonts w:ascii="Arial" w:hAnsi="Arial" w:cs="Arial"/>
          <w:color w:val="202123"/>
          <w:sz w:val="24"/>
          <w:szCs w:val="24"/>
        </w:rPr>
        <w:t>Harle</w:t>
      </w:r>
      <w:proofErr w:type="spellEnd"/>
      <w:r w:rsidRPr="00340312">
        <w:rPr>
          <w:rFonts w:ascii="Arial" w:hAnsi="Arial" w:cs="Arial"/>
          <w:color w:val="202123"/>
          <w:sz w:val="24"/>
          <w:szCs w:val="24"/>
        </w:rPr>
        <w:t xml:space="preserve">, A.C., Maddison, E.R., </w:t>
      </w:r>
      <w:proofErr w:type="spellStart"/>
      <w:r w:rsidRPr="00340312">
        <w:rPr>
          <w:rFonts w:ascii="Arial" w:hAnsi="Arial" w:cs="Arial"/>
          <w:color w:val="202123"/>
          <w:sz w:val="24"/>
          <w:szCs w:val="24"/>
        </w:rPr>
        <w:t>Moitra</w:t>
      </w:r>
      <w:proofErr w:type="spellEnd"/>
      <w:r w:rsidRPr="00340312">
        <w:rPr>
          <w:rFonts w:ascii="Arial" w:hAnsi="Arial" w:cs="Arial"/>
          <w:color w:val="202123"/>
          <w:sz w:val="24"/>
          <w:szCs w:val="24"/>
        </w:rPr>
        <w:t xml:space="preserve">, M. and </w:t>
      </w:r>
      <w:proofErr w:type="spellStart"/>
      <w:r w:rsidRPr="00340312">
        <w:rPr>
          <w:rFonts w:ascii="Arial" w:hAnsi="Arial" w:cs="Arial"/>
          <w:color w:val="202123"/>
          <w:sz w:val="24"/>
          <w:szCs w:val="24"/>
        </w:rPr>
        <w:t>Sahu</w:t>
      </w:r>
      <w:proofErr w:type="spellEnd"/>
      <w:r w:rsidRPr="00340312">
        <w:rPr>
          <w:rFonts w:ascii="Arial" w:hAnsi="Arial" w:cs="Arial"/>
          <w:color w:val="202123"/>
          <w:sz w:val="24"/>
          <w:szCs w:val="24"/>
        </w:rPr>
        <w:t>, M., 2020. Health sector spending and spending on HIV/AIDS, tuberculosis, and malaria, and development assistance for health: progress towards Sustainable Development Goal 3. The Lancet, 396(10252), pp.693-724.</w:t>
      </w:r>
    </w:p>
    <w:p w14:paraId="35D3C13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Neumann, E., Gewirtz, S., Maguire, M. and Towers, E., 2020. Neoconservative education policy and the case of the English Baccalaureate. Journal of Curriculum Studies, 52(5), pp.702-719.</w:t>
      </w:r>
    </w:p>
    <w:p w14:paraId="17A94915"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Oliveira</w:t>
      </w:r>
      <w:r w:rsidRPr="00340312">
        <w:rPr>
          <w:rFonts w:ascii="Cambria Math" w:hAnsi="Cambria Math" w:cs="Cambria Math"/>
          <w:color w:val="202123"/>
          <w:sz w:val="24"/>
          <w:szCs w:val="24"/>
        </w:rPr>
        <w:t>‐</w:t>
      </w:r>
      <w:r w:rsidRPr="00340312">
        <w:rPr>
          <w:rFonts w:ascii="Arial" w:hAnsi="Arial" w:cs="Arial"/>
          <w:color w:val="202123"/>
          <w:sz w:val="24"/>
          <w:szCs w:val="24"/>
        </w:rPr>
        <w:t xml:space="preserve">Duarte, L., Reis, D.A., Fleury, A.L., </w:t>
      </w:r>
      <w:proofErr w:type="spellStart"/>
      <w:r w:rsidRPr="00340312">
        <w:rPr>
          <w:rFonts w:ascii="Arial" w:hAnsi="Arial" w:cs="Arial"/>
          <w:color w:val="202123"/>
          <w:sz w:val="24"/>
          <w:szCs w:val="24"/>
        </w:rPr>
        <w:t>Vasques</w:t>
      </w:r>
      <w:proofErr w:type="spellEnd"/>
      <w:r w:rsidRPr="00340312">
        <w:rPr>
          <w:rFonts w:ascii="Arial" w:hAnsi="Arial" w:cs="Arial"/>
          <w:color w:val="202123"/>
          <w:sz w:val="24"/>
          <w:szCs w:val="24"/>
        </w:rPr>
        <w:t xml:space="preserve">, R.A., Fonseca Filho, H., </w:t>
      </w:r>
      <w:proofErr w:type="spellStart"/>
      <w:r w:rsidRPr="00340312">
        <w:rPr>
          <w:rFonts w:ascii="Arial" w:hAnsi="Arial" w:cs="Arial"/>
          <w:color w:val="202123"/>
          <w:sz w:val="24"/>
          <w:szCs w:val="24"/>
        </w:rPr>
        <w:t>Koria</w:t>
      </w:r>
      <w:proofErr w:type="spellEnd"/>
      <w:r w:rsidRPr="00340312">
        <w:rPr>
          <w:rFonts w:ascii="Arial" w:hAnsi="Arial" w:cs="Arial"/>
          <w:color w:val="202123"/>
          <w:sz w:val="24"/>
          <w:szCs w:val="24"/>
        </w:rPr>
        <w:t xml:space="preserve">, M. and </w:t>
      </w:r>
      <w:proofErr w:type="spellStart"/>
      <w:r w:rsidRPr="00340312">
        <w:rPr>
          <w:rFonts w:ascii="Arial" w:hAnsi="Arial" w:cs="Arial"/>
          <w:color w:val="202123"/>
          <w:sz w:val="24"/>
          <w:szCs w:val="24"/>
        </w:rPr>
        <w:t>Baruque</w:t>
      </w:r>
      <w:proofErr w:type="spellEnd"/>
      <w:r w:rsidRPr="00340312">
        <w:rPr>
          <w:rFonts w:ascii="Cambria Math" w:hAnsi="Cambria Math" w:cs="Cambria Math"/>
          <w:color w:val="202123"/>
          <w:sz w:val="24"/>
          <w:szCs w:val="24"/>
        </w:rPr>
        <w:t>‐</w:t>
      </w:r>
      <w:r w:rsidRPr="00340312">
        <w:rPr>
          <w:rFonts w:ascii="Arial" w:hAnsi="Arial" w:cs="Arial"/>
          <w:color w:val="202123"/>
          <w:sz w:val="24"/>
          <w:szCs w:val="24"/>
        </w:rPr>
        <w:t>Ramos, J., 2021. Innovation Ecosystem framework directed to Sustainable Development Goal# 17 partnerships implementation. Sustainable Development, 29(5), pp.1018-1036.</w:t>
      </w:r>
    </w:p>
    <w:p w14:paraId="54657123"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Price, S., 2018. Brexit and the UK</w:t>
      </w:r>
      <w:r w:rsidRPr="00340312">
        <w:rPr>
          <w:rFonts w:ascii="Cambria Math" w:hAnsi="Cambria Math" w:cs="Cambria Math"/>
          <w:color w:val="202123"/>
          <w:sz w:val="24"/>
          <w:szCs w:val="24"/>
        </w:rPr>
        <w:t>‐</w:t>
      </w:r>
      <w:r w:rsidRPr="00340312">
        <w:rPr>
          <w:rFonts w:ascii="Arial" w:hAnsi="Arial" w:cs="Arial"/>
          <w:color w:val="202123"/>
          <w:sz w:val="24"/>
          <w:szCs w:val="24"/>
        </w:rPr>
        <w:t>Africa Caribbean and Pacific Aid Relationship. Global Policy, 9(3), pp.420-428.</w:t>
      </w:r>
    </w:p>
    <w:p w14:paraId="52B222A1"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Rockliffe</w:t>
      </w:r>
      <w:proofErr w:type="spellEnd"/>
      <w:r w:rsidRPr="00340312">
        <w:rPr>
          <w:rFonts w:ascii="Arial" w:hAnsi="Arial" w:cs="Arial"/>
          <w:color w:val="202123"/>
          <w:sz w:val="24"/>
          <w:szCs w:val="24"/>
        </w:rPr>
        <w:t xml:space="preserve">, L., Chorley, A.J., Marlow, L.A. and Forster, A.S., 2018. It’s hard to reach the “hard-to-reach”: the challenges of recruiting people who do not access </w:t>
      </w:r>
      <w:r w:rsidRPr="00340312">
        <w:rPr>
          <w:rFonts w:ascii="Arial" w:hAnsi="Arial" w:cs="Arial"/>
          <w:color w:val="202123"/>
          <w:sz w:val="24"/>
          <w:szCs w:val="24"/>
        </w:rPr>
        <w:lastRenderedPageBreak/>
        <w:t>preventative healthcare services into interview studies. International journal of qualitative studies on health and well-being, 13(1), p.1479582.</w:t>
      </w:r>
    </w:p>
    <w:p w14:paraId="16E76F4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Salvia, M., </w:t>
      </w:r>
      <w:proofErr w:type="spellStart"/>
      <w:r w:rsidRPr="00340312">
        <w:rPr>
          <w:rFonts w:ascii="Arial" w:hAnsi="Arial" w:cs="Arial"/>
          <w:color w:val="202123"/>
          <w:sz w:val="24"/>
          <w:szCs w:val="24"/>
        </w:rPr>
        <w:t>Reckien</w:t>
      </w:r>
      <w:proofErr w:type="spellEnd"/>
      <w:r w:rsidRPr="00340312">
        <w:rPr>
          <w:rFonts w:ascii="Arial" w:hAnsi="Arial" w:cs="Arial"/>
          <w:color w:val="202123"/>
          <w:sz w:val="24"/>
          <w:szCs w:val="24"/>
        </w:rPr>
        <w:t xml:space="preserve">, D., </w:t>
      </w:r>
      <w:proofErr w:type="spellStart"/>
      <w:r w:rsidRPr="00340312">
        <w:rPr>
          <w:rFonts w:ascii="Arial" w:hAnsi="Arial" w:cs="Arial"/>
          <w:color w:val="202123"/>
          <w:sz w:val="24"/>
          <w:szCs w:val="24"/>
        </w:rPr>
        <w:t>Pietrapertosa</w:t>
      </w:r>
      <w:proofErr w:type="spellEnd"/>
      <w:r w:rsidRPr="00340312">
        <w:rPr>
          <w:rFonts w:ascii="Arial" w:hAnsi="Arial" w:cs="Arial"/>
          <w:color w:val="202123"/>
          <w:sz w:val="24"/>
          <w:szCs w:val="24"/>
        </w:rPr>
        <w:t xml:space="preserve">, F., Eckersley, P., </w:t>
      </w:r>
      <w:proofErr w:type="spellStart"/>
      <w:r w:rsidRPr="00340312">
        <w:rPr>
          <w:rFonts w:ascii="Arial" w:hAnsi="Arial" w:cs="Arial"/>
          <w:color w:val="202123"/>
          <w:sz w:val="24"/>
          <w:szCs w:val="24"/>
        </w:rPr>
        <w:t>Spyridaki</w:t>
      </w:r>
      <w:proofErr w:type="spellEnd"/>
      <w:r w:rsidRPr="00340312">
        <w:rPr>
          <w:rFonts w:ascii="Arial" w:hAnsi="Arial" w:cs="Arial"/>
          <w:color w:val="202123"/>
          <w:sz w:val="24"/>
          <w:szCs w:val="24"/>
        </w:rPr>
        <w:t xml:space="preserve">, N.A., </w:t>
      </w:r>
      <w:proofErr w:type="spellStart"/>
      <w:r w:rsidRPr="00340312">
        <w:rPr>
          <w:rFonts w:ascii="Arial" w:hAnsi="Arial" w:cs="Arial"/>
          <w:color w:val="202123"/>
          <w:sz w:val="24"/>
          <w:szCs w:val="24"/>
        </w:rPr>
        <w:t>Krook-Riekkola</w:t>
      </w:r>
      <w:proofErr w:type="spellEnd"/>
      <w:r w:rsidRPr="00340312">
        <w:rPr>
          <w:rFonts w:ascii="Arial" w:hAnsi="Arial" w:cs="Arial"/>
          <w:color w:val="202123"/>
          <w:sz w:val="24"/>
          <w:szCs w:val="24"/>
        </w:rPr>
        <w:t xml:space="preserve">, A., </w:t>
      </w:r>
      <w:proofErr w:type="spellStart"/>
      <w:r w:rsidRPr="00340312">
        <w:rPr>
          <w:rFonts w:ascii="Arial" w:hAnsi="Arial" w:cs="Arial"/>
          <w:color w:val="202123"/>
          <w:sz w:val="24"/>
          <w:szCs w:val="24"/>
        </w:rPr>
        <w:t>Olazabal</w:t>
      </w:r>
      <w:proofErr w:type="spellEnd"/>
      <w:r w:rsidRPr="00340312">
        <w:rPr>
          <w:rFonts w:ascii="Arial" w:hAnsi="Arial" w:cs="Arial"/>
          <w:color w:val="202123"/>
          <w:sz w:val="24"/>
          <w:szCs w:val="24"/>
        </w:rPr>
        <w:t xml:space="preserve">, M., Hurtado, S.D.G., </w:t>
      </w:r>
      <w:proofErr w:type="spellStart"/>
      <w:r w:rsidRPr="00340312">
        <w:rPr>
          <w:rFonts w:ascii="Arial" w:hAnsi="Arial" w:cs="Arial"/>
          <w:color w:val="202123"/>
          <w:sz w:val="24"/>
          <w:szCs w:val="24"/>
        </w:rPr>
        <w:t>Simoes</w:t>
      </w:r>
      <w:proofErr w:type="spellEnd"/>
      <w:r w:rsidRPr="00340312">
        <w:rPr>
          <w:rFonts w:ascii="Arial" w:hAnsi="Arial" w:cs="Arial"/>
          <w:color w:val="202123"/>
          <w:sz w:val="24"/>
          <w:szCs w:val="24"/>
        </w:rPr>
        <w:t xml:space="preserve">, S.G., </w:t>
      </w:r>
      <w:proofErr w:type="spellStart"/>
      <w:r w:rsidRPr="00340312">
        <w:rPr>
          <w:rFonts w:ascii="Arial" w:hAnsi="Arial" w:cs="Arial"/>
          <w:color w:val="202123"/>
          <w:sz w:val="24"/>
          <w:szCs w:val="24"/>
        </w:rPr>
        <w:t>Geneletti</w:t>
      </w:r>
      <w:proofErr w:type="spellEnd"/>
      <w:r w:rsidRPr="00340312">
        <w:rPr>
          <w:rFonts w:ascii="Arial" w:hAnsi="Arial" w:cs="Arial"/>
          <w:color w:val="202123"/>
          <w:sz w:val="24"/>
          <w:szCs w:val="24"/>
        </w:rPr>
        <w:t xml:space="preserve">, D. and </w:t>
      </w:r>
      <w:proofErr w:type="spellStart"/>
      <w:r w:rsidRPr="00340312">
        <w:rPr>
          <w:rFonts w:ascii="Arial" w:hAnsi="Arial" w:cs="Arial"/>
          <w:color w:val="202123"/>
          <w:sz w:val="24"/>
          <w:szCs w:val="24"/>
        </w:rPr>
        <w:t>Viguié</w:t>
      </w:r>
      <w:proofErr w:type="spellEnd"/>
      <w:r w:rsidRPr="00340312">
        <w:rPr>
          <w:rFonts w:ascii="Arial" w:hAnsi="Arial" w:cs="Arial"/>
          <w:color w:val="202123"/>
          <w:sz w:val="24"/>
          <w:szCs w:val="24"/>
        </w:rPr>
        <w:t>, V., 2021. Will climate mitigation ambitions lead to carbon neutrality? An analysis of the local-level plans of 327 cities in the EU. Renewable and Sustainable Energy Reviews, 135, p.110253.</w:t>
      </w:r>
    </w:p>
    <w:p w14:paraId="47A5BDA1"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Sapsford, R., </w:t>
      </w:r>
      <w:proofErr w:type="spellStart"/>
      <w:r w:rsidRPr="00340312">
        <w:rPr>
          <w:rFonts w:ascii="Arial" w:hAnsi="Arial" w:cs="Arial"/>
          <w:color w:val="202123"/>
          <w:sz w:val="24"/>
          <w:szCs w:val="24"/>
        </w:rPr>
        <w:t>Tsourapas</w:t>
      </w:r>
      <w:proofErr w:type="spellEnd"/>
      <w:r w:rsidRPr="00340312">
        <w:rPr>
          <w:rFonts w:ascii="Arial" w:hAnsi="Arial" w:cs="Arial"/>
          <w:color w:val="202123"/>
          <w:sz w:val="24"/>
          <w:szCs w:val="24"/>
        </w:rPr>
        <w:t>, G., Abbott, P. and Teti, A., 2019. Corruption, trust, inclusion and cohesion in North Africa and the Middle East. Applied Research in Quality of Life, 14(1), pp.1-21.</w:t>
      </w:r>
    </w:p>
    <w:p w14:paraId="3C68AF77"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Simpson, F., 2021. Councils assemble vital support for Afghan children and families. Children and Young People Now Select, 2021(10), pp.8-9.</w:t>
      </w:r>
    </w:p>
    <w:p w14:paraId="17204A3D"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Thomas, C., 2021. RECIPE FOR BEATING CHILDHOOD OBESITY. Children and Young People Now Select, 2021(3), pp.24-27.</w:t>
      </w:r>
    </w:p>
    <w:p w14:paraId="4CCCD01D"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Thomas, C., 2021. The disease of disparity.</w:t>
      </w:r>
    </w:p>
    <w:p w14:paraId="6858CD16" w14:textId="77777777" w:rsidR="00340312" w:rsidRPr="00340312" w:rsidRDefault="00340312" w:rsidP="00340312">
      <w:pPr>
        <w:spacing w:line="360" w:lineRule="auto"/>
        <w:rPr>
          <w:rFonts w:ascii="Arial" w:hAnsi="Arial" w:cs="Arial"/>
          <w:color w:val="202123"/>
          <w:sz w:val="24"/>
          <w:szCs w:val="24"/>
        </w:rPr>
      </w:pPr>
      <w:proofErr w:type="spellStart"/>
      <w:r w:rsidRPr="00340312">
        <w:rPr>
          <w:rFonts w:ascii="Arial" w:hAnsi="Arial" w:cs="Arial"/>
          <w:color w:val="202123"/>
          <w:sz w:val="24"/>
          <w:szCs w:val="24"/>
        </w:rPr>
        <w:t>Tsalis</w:t>
      </w:r>
      <w:proofErr w:type="spellEnd"/>
      <w:r w:rsidRPr="00340312">
        <w:rPr>
          <w:rFonts w:ascii="Arial" w:hAnsi="Arial" w:cs="Arial"/>
          <w:color w:val="202123"/>
          <w:sz w:val="24"/>
          <w:szCs w:val="24"/>
        </w:rPr>
        <w:t xml:space="preserve">, T.A., </w:t>
      </w:r>
      <w:proofErr w:type="spellStart"/>
      <w:r w:rsidRPr="00340312">
        <w:rPr>
          <w:rFonts w:ascii="Arial" w:hAnsi="Arial" w:cs="Arial"/>
          <w:color w:val="202123"/>
          <w:sz w:val="24"/>
          <w:szCs w:val="24"/>
        </w:rPr>
        <w:t>Malamateniou</w:t>
      </w:r>
      <w:proofErr w:type="spellEnd"/>
      <w:r w:rsidRPr="00340312">
        <w:rPr>
          <w:rFonts w:ascii="Arial" w:hAnsi="Arial" w:cs="Arial"/>
          <w:color w:val="202123"/>
          <w:sz w:val="24"/>
          <w:szCs w:val="24"/>
        </w:rPr>
        <w:t xml:space="preserve">, K.E., </w:t>
      </w:r>
      <w:proofErr w:type="spellStart"/>
      <w:r w:rsidRPr="00340312">
        <w:rPr>
          <w:rFonts w:ascii="Arial" w:hAnsi="Arial" w:cs="Arial"/>
          <w:color w:val="202123"/>
          <w:sz w:val="24"/>
          <w:szCs w:val="24"/>
        </w:rPr>
        <w:t>Koulouriotis</w:t>
      </w:r>
      <w:proofErr w:type="spellEnd"/>
      <w:r w:rsidRPr="00340312">
        <w:rPr>
          <w:rFonts w:ascii="Arial" w:hAnsi="Arial" w:cs="Arial"/>
          <w:color w:val="202123"/>
          <w:sz w:val="24"/>
          <w:szCs w:val="24"/>
        </w:rPr>
        <w:t>, D. and Nikolaou, I.E., 2020. New challenges for corporate sustainability reporting: United Nations' 2030 Agenda for sustainable development and the sustainable development goals. Corporate Social Responsibility and Environmental Management, 27(4), pp.1617-1629.</w:t>
      </w:r>
    </w:p>
    <w:p w14:paraId="31C0BC0E"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Williamson, B., </w:t>
      </w:r>
      <w:proofErr w:type="spellStart"/>
      <w:r w:rsidRPr="00340312">
        <w:rPr>
          <w:rFonts w:ascii="Arial" w:hAnsi="Arial" w:cs="Arial"/>
          <w:color w:val="202123"/>
          <w:sz w:val="24"/>
          <w:szCs w:val="24"/>
        </w:rPr>
        <w:t>Eynon</w:t>
      </w:r>
      <w:proofErr w:type="spellEnd"/>
      <w:r w:rsidRPr="00340312">
        <w:rPr>
          <w:rFonts w:ascii="Arial" w:hAnsi="Arial" w:cs="Arial"/>
          <w:color w:val="202123"/>
          <w:sz w:val="24"/>
          <w:szCs w:val="24"/>
        </w:rPr>
        <w:t>, R. and Potter, J., 2020. Pandemic politics, pedagogies and practices: digital technologies and distance education during the coronavirus emergency. Learning, Media and Technology, 45(2), pp.107-114.</w:t>
      </w:r>
    </w:p>
    <w:p w14:paraId="49FB309D" w14:textId="77777777"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Wroe, E.B., Kalanga, N., Dunbar, E.L., </w:t>
      </w:r>
      <w:proofErr w:type="spellStart"/>
      <w:r w:rsidRPr="00340312">
        <w:rPr>
          <w:rFonts w:ascii="Arial" w:hAnsi="Arial" w:cs="Arial"/>
          <w:color w:val="202123"/>
          <w:sz w:val="24"/>
          <w:szCs w:val="24"/>
        </w:rPr>
        <w:t>Nazimera</w:t>
      </w:r>
      <w:proofErr w:type="spellEnd"/>
      <w:r w:rsidRPr="00340312">
        <w:rPr>
          <w:rFonts w:ascii="Arial" w:hAnsi="Arial" w:cs="Arial"/>
          <w:color w:val="202123"/>
          <w:sz w:val="24"/>
          <w:szCs w:val="24"/>
        </w:rPr>
        <w:t xml:space="preserve">, L., Price, N.F., Shah, A., </w:t>
      </w:r>
      <w:proofErr w:type="spellStart"/>
      <w:r w:rsidRPr="00340312">
        <w:rPr>
          <w:rFonts w:ascii="Arial" w:hAnsi="Arial" w:cs="Arial"/>
          <w:color w:val="202123"/>
          <w:sz w:val="24"/>
          <w:szCs w:val="24"/>
        </w:rPr>
        <w:t>Dullie</w:t>
      </w:r>
      <w:proofErr w:type="spellEnd"/>
      <w:r w:rsidRPr="00340312">
        <w:rPr>
          <w:rFonts w:ascii="Arial" w:hAnsi="Arial" w:cs="Arial"/>
          <w:color w:val="202123"/>
          <w:sz w:val="24"/>
          <w:szCs w:val="24"/>
        </w:rPr>
        <w:t xml:space="preserve">, L., </w:t>
      </w:r>
      <w:proofErr w:type="spellStart"/>
      <w:r w:rsidRPr="00340312">
        <w:rPr>
          <w:rFonts w:ascii="Arial" w:hAnsi="Arial" w:cs="Arial"/>
          <w:color w:val="202123"/>
          <w:sz w:val="24"/>
          <w:szCs w:val="24"/>
        </w:rPr>
        <w:t>Mailosi</w:t>
      </w:r>
      <w:proofErr w:type="spellEnd"/>
      <w:r w:rsidRPr="00340312">
        <w:rPr>
          <w:rFonts w:ascii="Arial" w:hAnsi="Arial" w:cs="Arial"/>
          <w:color w:val="202123"/>
          <w:sz w:val="24"/>
          <w:szCs w:val="24"/>
        </w:rPr>
        <w:t xml:space="preserve">, B., </w:t>
      </w:r>
      <w:proofErr w:type="spellStart"/>
      <w:r w:rsidRPr="00340312">
        <w:rPr>
          <w:rFonts w:ascii="Arial" w:hAnsi="Arial" w:cs="Arial"/>
          <w:color w:val="202123"/>
          <w:sz w:val="24"/>
          <w:szCs w:val="24"/>
        </w:rPr>
        <w:t>Gonani</w:t>
      </w:r>
      <w:proofErr w:type="spellEnd"/>
      <w:r w:rsidRPr="00340312">
        <w:rPr>
          <w:rFonts w:ascii="Arial" w:hAnsi="Arial" w:cs="Arial"/>
          <w:color w:val="202123"/>
          <w:sz w:val="24"/>
          <w:szCs w:val="24"/>
        </w:rPr>
        <w:t xml:space="preserve">, G., </w:t>
      </w:r>
      <w:proofErr w:type="spellStart"/>
      <w:r w:rsidRPr="00340312">
        <w:rPr>
          <w:rFonts w:ascii="Arial" w:hAnsi="Arial" w:cs="Arial"/>
          <w:color w:val="202123"/>
          <w:sz w:val="24"/>
          <w:szCs w:val="24"/>
        </w:rPr>
        <w:t>Ndarama</w:t>
      </w:r>
      <w:proofErr w:type="spellEnd"/>
      <w:r w:rsidRPr="00340312">
        <w:rPr>
          <w:rFonts w:ascii="Arial" w:hAnsi="Arial" w:cs="Arial"/>
          <w:color w:val="202123"/>
          <w:sz w:val="24"/>
          <w:szCs w:val="24"/>
        </w:rPr>
        <w:t xml:space="preserve">, E.P. and </w:t>
      </w:r>
      <w:proofErr w:type="spellStart"/>
      <w:r w:rsidRPr="00340312">
        <w:rPr>
          <w:rFonts w:ascii="Arial" w:hAnsi="Arial" w:cs="Arial"/>
          <w:color w:val="202123"/>
          <w:sz w:val="24"/>
          <w:szCs w:val="24"/>
        </w:rPr>
        <w:t>Talama</w:t>
      </w:r>
      <w:proofErr w:type="spellEnd"/>
      <w:r w:rsidRPr="00340312">
        <w:rPr>
          <w:rFonts w:ascii="Arial" w:hAnsi="Arial" w:cs="Arial"/>
          <w:color w:val="202123"/>
          <w:sz w:val="24"/>
          <w:szCs w:val="24"/>
        </w:rPr>
        <w:t>, G.C., 2020. Expanding access to non-communicable disease care in rural Malawi: outcomes from a retrospective cohort in an integrated NCD–HIV model. BMJ open, 10(10), p.e036836.</w:t>
      </w:r>
    </w:p>
    <w:p w14:paraId="429681AF" w14:textId="4484D479" w:rsidR="00340312" w:rsidRPr="00340312" w:rsidRDefault="00340312" w:rsidP="00340312">
      <w:pPr>
        <w:spacing w:line="360" w:lineRule="auto"/>
        <w:rPr>
          <w:rFonts w:ascii="Arial" w:hAnsi="Arial" w:cs="Arial"/>
          <w:color w:val="202123"/>
          <w:sz w:val="24"/>
          <w:szCs w:val="24"/>
        </w:rPr>
      </w:pPr>
      <w:r w:rsidRPr="00340312">
        <w:rPr>
          <w:rFonts w:ascii="Arial" w:hAnsi="Arial" w:cs="Arial"/>
          <w:color w:val="202123"/>
          <w:sz w:val="24"/>
          <w:szCs w:val="24"/>
        </w:rPr>
        <w:t xml:space="preserve">Xiao, Y., Norris, C.B., </w:t>
      </w:r>
      <w:proofErr w:type="spellStart"/>
      <w:r w:rsidRPr="00340312">
        <w:rPr>
          <w:rFonts w:ascii="Arial" w:hAnsi="Arial" w:cs="Arial"/>
          <w:color w:val="202123"/>
          <w:sz w:val="24"/>
          <w:szCs w:val="24"/>
        </w:rPr>
        <w:t>Lenzen</w:t>
      </w:r>
      <w:proofErr w:type="spellEnd"/>
      <w:r w:rsidRPr="00340312">
        <w:rPr>
          <w:rFonts w:ascii="Arial" w:hAnsi="Arial" w:cs="Arial"/>
          <w:color w:val="202123"/>
          <w:sz w:val="24"/>
          <w:szCs w:val="24"/>
        </w:rPr>
        <w:t>, M., Norris, G. and Murray, J., 2017. How social footprints of nations can assist in achieving the sustainable development goals. Ecological Economics, 135, pp.55-65.</w:t>
      </w:r>
    </w:p>
    <w:p w14:paraId="29304256" w14:textId="77777777" w:rsidR="00340312" w:rsidRPr="00340312" w:rsidRDefault="00340312" w:rsidP="00340312">
      <w:pPr>
        <w:spacing w:line="360" w:lineRule="auto"/>
        <w:rPr>
          <w:rFonts w:ascii="Arial" w:hAnsi="Arial" w:cs="Arial"/>
          <w:color w:val="202123"/>
          <w:sz w:val="24"/>
          <w:szCs w:val="24"/>
        </w:rPr>
      </w:pPr>
    </w:p>
    <w:p w14:paraId="34E1BA3F" w14:textId="77777777" w:rsidR="00006430" w:rsidRPr="00006430" w:rsidRDefault="00006430" w:rsidP="00340312">
      <w:pPr>
        <w:spacing w:line="360" w:lineRule="auto"/>
        <w:jc w:val="both"/>
        <w:rPr>
          <w:rFonts w:ascii="Arial" w:eastAsia="Calibri" w:hAnsi="Arial" w:cs="Arial"/>
          <w:color w:val="202123"/>
          <w:sz w:val="24"/>
          <w:szCs w:val="24"/>
        </w:rPr>
      </w:pPr>
    </w:p>
    <w:p w14:paraId="7E296328" w14:textId="77777777" w:rsidR="00006430" w:rsidRPr="00340312" w:rsidRDefault="00006430" w:rsidP="00340312">
      <w:pPr>
        <w:spacing w:line="360" w:lineRule="auto"/>
        <w:rPr>
          <w:rFonts w:ascii="Arial" w:hAnsi="Arial" w:cs="Arial"/>
          <w:sz w:val="24"/>
          <w:szCs w:val="24"/>
        </w:rPr>
      </w:pPr>
    </w:p>
    <w:p w14:paraId="4A494AA3" w14:textId="78C12322" w:rsidR="00620D90" w:rsidRPr="00340312" w:rsidRDefault="00620D90" w:rsidP="00340312">
      <w:pPr>
        <w:spacing w:line="360" w:lineRule="auto"/>
        <w:rPr>
          <w:rFonts w:ascii="Arial" w:hAnsi="Arial" w:cs="Arial"/>
          <w:sz w:val="24"/>
          <w:szCs w:val="24"/>
        </w:rPr>
      </w:pPr>
    </w:p>
    <w:p w14:paraId="246DB9FA" w14:textId="20847195" w:rsidR="00620D90" w:rsidRPr="00340312" w:rsidRDefault="00620D90" w:rsidP="00340312">
      <w:pPr>
        <w:spacing w:line="360" w:lineRule="auto"/>
        <w:rPr>
          <w:rFonts w:ascii="Arial" w:hAnsi="Arial" w:cs="Arial"/>
          <w:sz w:val="24"/>
          <w:szCs w:val="24"/>
        </w:rPr>
      </w:pPr>
    </w:p>
    <w:p w14:paraId="140618BB" w14:textId="48EF68DE" w:rsidR="00620D90" w:rsidRPr="00340312" w:rsidRDefault="00620D90" w:rsidP="00340312">
      <w:pPr>
        <w:spacing w:line="360" w:lineRule="auto"/>
        <w:rPr>
          <w:rFonts w:ascii="Arial" w:hAnsi="Arial" w:cs="Arial"/>
          <w:sz w:val="24"/>
          <w:szCs w:val="24"/>
        </w:rPr>
      </w:pPr>
    </w:p>
    <w:p w14:paraId="2396E990" w14:textId="6F8AF5C7" w:rsidR="00620D90" w:rsidRPr="00340312" w:rsidRDefault="00620D90" w:rsidP="00340312">
      <w:pPr>
        <w:spacing w:line="360" w:lineRule="auto"/>
        <w:rPr>
          <w:rFonts w:ascii="Arial" w:hAnsi="Arial" w:cs="Arial"/>
          <w:sz w:val="24"/>
          <w:szCs w:val="24"/>
        </w:rPr>
      </w:pPr>
    </w:p>
    <w:p w14:paraId="4103C389" w14:textId="48713C81" w:rsidR="00620D90" w:rsidRPr="00340312" w:rsidRDefault="00620D90" w:rsidP="00340312">
      <w:pPr>
        <w:spacing w:line="360" w:lineRule="auto"/>
        <w:rPr>
          <w:rFonts w:ascii="Arial" w:hAnsi="Arial" w:cs="Arial"/>
          <w:sz w:val="24"/>
          <w:szCs w:val="24"/>
        </w:rPr>
      </w:pPr>
    </w:p>
    <w:p w14:paraId="3B2B039F" w14:textId="7C36ADAB" w:rsidR="00620D90" w:rsidRPr="00340312" w:rsidRDefault="00620D90" w:rsidP="00340312">
      <w:pPr>
        <w:spacing w:line="360" w:lineRule="auto"/>
        <w:rPr>
          <w:rFonts w:ascii="Arial" w:hAnsi="Arial" w:cs="Arial"/>
          <w:sz w:val="24"/>
          <w:szCs w:val="24"/>
        </w:rPr>
      </w:pPr>
    </w:p>
    <w:p w14:paraId="58B18131" w14:textId="2CB6093F" w:rsidR="00620D90" w:rsidRPr="00340312" w:rsidRDefault="00620D90" w:rsidP="00340312">
      <w:pPr>
        <w:spacing w:line="360" w:lineRule="auto"/>
        <w:rPr>
          <w:rFonts w:ascii="Arial" w:hAnsi="Arial" w:cs="Arial"/>
          <w:sz w:val="24"/>
          <w:szCs w:val="24"/>
        </w:rPr>
      </w:pPr>
    </w:p>
    <w:p w14:paraId="5E8D848F" w14:textId="76235782" w:rsidR="00620D90" w:rsidRPr="00340312" w:rsidRDefault="00620D90" w:rsidP="00340312">
      <w:pPr>
        <w:spacing w:line="360" w:lineRule="auto"/>
        <w:rPr>
          <w:rFonts w:ascii="Arial" w:hAnsi="Arial" w:cs="Arial"/>
          <w:sz w:val="24"/>
          <w:szCs w:val="24"/>
        </w:rPr>
      </w:pPr>
    </w:p>
    <w:p w14:paraId="44E11634" w14:textId="0A1DAC06" w:rsidR="00620D90" w:rsidRPr="00340312" w:rsidRDefault="00620D90" w:rsidP="00340312">
      <w:pPr>
        <w:spacing w:line="360" w:lineRule="auto"/>
        <w:rPr>
          <w:rFonts w:ascii="Arial" w:hAnsi="Arial" w:cs="Arial"/>
          <w:sz w:val="24"/>
          <w:szCs w:val="24"/>
        </w:rPr>
      </w:pPr>
    </w:p>
    <w:p w14:paraId="2F5D2192" w14:textId="22DDAB24" w:rsidR="00620D90" w:rsidRPr="00340312" w:rsidRDefault="00620D90" w:rsidP="00340312">
      <w:pPr>
        <w:spacing w:line="360" w:lineRule="auto"/>
        <w:rPr>
          <w:rFonts w:ascii="Arial" w:hAnsi="Arial" w:cs="Arial"/>
          <w:sz w:val="24"/>
          <w:szCs w:val="24"/>
        </w:rPr>
      </w:pPr>
    </w:p>
    <w:p w14:paraId="2CFB5A66" w14:textId="41C7B81F" w:rsidR="00620D90" w:rsidRPr="00340312" w:rsidRDefault="00620D90" w:rsidP="00340312">
      <w:pPr>
        <w:spacing w:line="360" w:lineRule="auto"/>
        <w:rPr>
          <w:rFonts w:ascii="Arial" w:hAnsi="Arial" w:cs="Arial"/>
          <w:sz w:val="24"/>
          <w:szCs w:val="24"/>
        </w:rPr>
      </w:pPr>
    </w:p>
    <w:p w14:paraId="25EF5887" w14:textId="6A23EFA8" w:rsidR="00620D90" w:rsidRPr="00340312" w:rsidRDefault="00620D90" w:rsidP="00340312">
      <w:pPr>
        <w:spacing w:line="360" w:lineRule="auto"/>
        <w:rPr>
          <w:rFonts w:ascii="Arial" w:hAnsi="Arial" w:cs="Arial"/>
          <w:sz w:val="24"/>
          <w:szCs w:val="24"/>
        </w:rPr>
      </w:pPr>
    </w:p>
    <w:p w14:paraId="7FADFE35" w14:textId="50FE32F6" w:rsidR="00620D90" w:rsidRPr="00340312" w:rsidRDefault="00620D90" w:rsidP="00340312">
      <w:pPr>
        <w:spacing w:line="360" w:lineRule="auto"/>
        <w:rPr>
          <w:rFonts w:ascii="Arial" w:hAnsi="Arial" w:cs="Arial"/>
          <w:sz w:val="24"/>
          <w:szCs w:val="24"/>
        </w:rPr>
      </w:pPr>
    </w:p>
    <w:p w14:paraId="42F5DD03" w14:textId="6D2C872A" w:rsidR="00620D90" w:rsidRPr="00340312" w:rsidRDefault="00620D90" w:rsidP="00340312">
      <w:pPr>
        <w:spacing w:line="360" w:lineRule="auto"/>
        <w:rPr>
          <w:rFonts w:ascii="Arial" w:hAnsi="Arial" w:cs="Arial"/>
          <w:sz w:val="24"/>
          <w:szCs w:val="24"/>
        </w:rPr>
      </w:pPr>
    </w:p>
    <w:p w14:paraId="604A569C" w14:textId="77777777" w:rsidR="00620D90" w:rsidRPr="00340312" w:rsidRDefault="00620D90" w:rsidP="00340312">
      <w:pPr>
        <w:spacing w:line="360" w:lineRule="auto"/>
        <w:rPr>
          <w:rFonts w:ascii="Arial" w:hAnsi="Arial" w:cs="Arial"/>
          <w:sz w:val="24"/>
          <w:szCs w:val="24"/>
        </w:rPr>
      </w:pPr>
    </w:p>
    <w:sectPr w:rsidR="00620D90" w:rsidRPr="00340312" w:rsidSect="002F50A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9F3D6" w14:textId="77777777" w:rsidR="002F50A9" w:rsidRDefault="002F50A9" w:rsidP="002F50A9">
      <w:pPr>
        <w:spacing w:after="0" w:line="240" w:lineRule="auto"/>
      </w:pPr>
      <w:r>
        <w:separator/>
      </w:r>
    </w:p>
  </w:endnote>
  <w:endnote w:type="continuationSeparator" w:id="0">
    <w:p w14:paraId="634212AA" w14:textId="77777777" w:rsidR="002F50A9" w:rsidRDefault="002F50A9" w:rsidP="002F5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705430"/>
      <w:docPartObj>
        <w:docPartGallery w:val="Page Numbers (Bottom of Page)"/>
        <w:docPartUnique/>
      </w:docPartObj>
    </w:sdtPr>
    <w:sdtEndPr>
      <w:rPr>
        <w:noProof/>
      </w:rPr>
    </w:sdtEndPr>
    <w:sdtContent>
      <w:p w14:paraId="1970BBA7" w14:textId="4C5066F4" w:rsidR="002F50A9" w:rsidRDefault="002F50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9D998" w14:textId="77777777" w:rsidR="002F50A9" w:rsidRDefault="002F5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3F363" w14:textId="77777777" w:rsidR="002F50A9" w:rsidRDefault="002F50A9" w:rsidP="002F50A9">
      <w:pPr>
        <w:spacing w:after="0" w:line="240" w:lineRule="auto"/>
      </w:pPr>
      <w:r>
        <w:separator/>
      </w:r>
    </w:p>
  </w:footnote>
  <w:footnote w:type="continuationSeparator" w:id="0">
    <w:p w14:paraId="4F90E7AB" w14:textId="77777777" w:rsidR="002F50A9" w:rsidRDefault="002F50A9" w:rsidP="002F50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0A9"/>
    <w:rsid w:val="00006430"/>
    <w:rsid w:val="002B2272"/>
    <w:rsid w:val="002F50A9"/>
    <w:rsid w:val="00340312"/>
    <w:rsid w:val="003702D9"/>
    <w:rsid w:val="004325A9"/>
    <w:rsid w:val="005769CD"/>
    <w:rsid w:val="00615781"/>
    <w:rsid w:val="00620D90"/>
    <w:rsid w:val="00623DA9"/>
    <w:rsid w:val="006D16CE"/>
    <w:rsid w:val="00BC4200"/>
    <w:rsid w:val="00E421C0"/>
    <w:rsid w:val="00EA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7D02CBDE"/>
  <w15:chartTrackingRefBased/>
  <w15:docId w15:val="{1A7D1842-EA3B-415F-BD0B-E2DB0878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430"/>
    <w:pPr>
      <w:keepNext/>
      <w:keepLines/>
      <w:spacing w:before="240" w:after="0" w:line="360" w:lineRule="auto"/>
      <w:jc w:val="both"/>
      <w:outlineLvl w:val="0"/>
    </w:pPr>
    <w:rPr>
      <w:rFonts w:asciiTheme="majorHAnsi" w:eastAsiaTheme="majorEastAsia" w:hAnsiTheme="majorHAnsi"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0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50A9"/>
    <w:rPr>
      <w:rFonts w:eastAsiaTheme="minorEastAsia"/>
      <w:lang w:val="en-US"/>
    </w:rPr>
  </w:style>
  <w:style w:type="paragraph" w:styleId="Header">
    <w:name w:val="header"/>
    <w:basedOn w:val="Normal"/>
    <w:link w:val="HeaderChar"/>
    <w:uiPriority w:val="99"/>
    <w:unhideWhenUsed/>
    <w:rsid w:val="002F5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0A9"/>
  </w:style>
  <w:style w:type="paragraph" w:styleId="Footer">
    <w:name w:val="footer"/>
    <w:basedOn w:val="Normal"/>
    <w:link w:val="FooterChar"/>
    <w:uiPriority w:val="99"/>
    <w:unhideWhenUsed/>
    <w:rsid w:val="002F5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0A9"/>
  </w:style>
  <w:style w:type="character" w:customStyle="1" w:styleId="Heading1Char">
    <w:name w:val="Heading 1 Char"/>
    <w:basedOn w:val="DefaultParagraphFont"/>
    <w:link w:val="Heading1"/>
    <w:uiPriority w:val="9"/>
    <w:rsid w:val="00006430"/>
    <w:rPr>
      <w:rFonts w:asciiTheme="majorHAnsi" w:eastAsiaTheme="majorEastAsia" w:hAnsiTheme="majorHAnsi" w:cstheme="majorBidi"/>
      <w:b/>
      <w:color w:val="000000" w:themeColor="text1"/>
      <w:sz w:val="32"/>
      <w:szCs w:val="32"/>
    </w:rPr>
  </w:style>
  <w:style w:type="paragraph" w:styleId="TOC1">
    <w:name w:val="toc 1"/>
    <w:basedOn w:val="Normal"/>
    <w:next w:val="Normal"/>
    <w:autoRedefine/>
    <w:uiPriority w:val="39"/>
    <w:unhideWhenUsed/>
    <w:rsid w:val="00BC4200"/>
    <w:pPr>
      <w:spacing w:after="100"/>
    </w:pPr>
  </w:style>
  <w:style w:type="character" w:styleId="Hyperlink">
    <w:name w:val="Hyperlink"/>
    <w:basedOn w:val="DefaultParagraphFont"/>
    <w:uiPriority w:val="99"/>
    <w:unhideWhenUsed/>
    <w:rsid w:val="00BC4200"/>
    <w:rPr>
      <w:color w:val="0563C1" w:themeColor="hyperlink"/>
      <w:u w:val="single"/>
    </w:rPr>
  </w:style>
  <w:style w:type="paragraph" w:styleId="TOCHeading">
    <w:name w:val="TOC Heading"/>
    <w:basedOn w:val="Heading1"/>
    <w:next w:val="Normal"/>
    <w:uiPriority w:val="39"/>
    <w:unhideWhenUsed/>
    <w:qFormat/>
    <w:rsid w:val="003702D9"/>
    <w:pPr>
      <w:spacing w:line="259" w:lineRule="auto"/>
      <w:jc w:val="left"/>
      <w:outlineLvl w:val="9"/>
    </w:pPr>
    <w:rPr>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ACEDF9C0064BF3B79B615D360EA455"/>
        <w:category>
          <w:name w:val="General"/>
          <w:gallery w:val="placeholder"/>
        </w:category>
        <w:types>
          <w:type w:val="bbPlcHdr"/>
        </w:types>
        <w:behaviors>
          <w:behavior w:val="content"/>
        </w:behaviors>
        <w:guid w:val="{7BCEA633-BFA7-4671-8B43-6BF278AC4840}"/>
      </w:docPartPr>
      <w:docPartBody>
        <w:p w:rsidR="00000000" w:rsidRDefault="00001CE7" w:rsidP="00001CE7">
          <w:pPr>
            <w:pStyle w:val="91ACEDF9C0064BF3B79B615D360EA45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E7"/>
    <w:rsid w:val="00001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ACEDF9C0064BF3B79B615D360EA455">
    <w:name w:val="91ACEDF9C0064BF3B79B615D360EA455"/>
    <w:rsid w:val="00001CE7"/>
  </w:style>
  <w:style w:type="paragraph" w:customStyle="1" w:styleId="0C22A6F65F3A4793AFE5FA5A717D4AF9">
    <w:name w:val="0C22A6F65F3A4793AFE5FA5A717D4AF9"/>
    <w:rsid w:val="00001C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ApRILE 26,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8E5BBA-D030-46C0-8440-56CA0F99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4581</Words>
  <Characters>26113</Characters>
  <Application>Microsoft Office Word</Application>
  <DocSecurity>0</DocSecurity>
  <Lines>217</Lines>
  <Paragraphs>61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vt:lpstr>Introduction</vt:lpstr>
      <vt:lpstr/>
      <vt:lpstr>The 17 Sustainable Development Goals (SDGs)</vt:lpstr>
      <vt:lpstr>Reasons behind UK’s success in meeting the three SD goals</vt:lpstr>
      <vt:lpstr>Goal 3: Good Health and Wellbeing</vt:lpstr>
      <vt:lpstr>Goal 4: Quality Education</vt:lpstr>
      <vt:lpstr>Goal 17: Partnership to Achieve the Goals</vt:lpstr>
      <vt:lpstr>UK Government’s Policies and Initiatives</vt:lpstr>
      <vt:lpstr>This SDGs performance Review in Birmingham</vt:lpstr>
      <vt:lpstr>  Policy for Each of These SDGs In Birmingham</vt:lpstr>
      <vt:lpstr>Benefits of Birmingham from These SDGs</vt:lpstr>
      <vt:lpstr>Recommendations </vt:lpstr>
      <vt:lpstr>Conclusion</vt:lpstr>
      <vt:lpstr>Reference </vt:lpstr>
    </vt:vector>
  </TitlesOfParts>
  <Company/>
  <LinksUpToDate>false</LinksUpToDate>
  <CharactersWithSpaces>30633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Health, Wellbeing and Sustainable Development</dc:title>
  <dc:subject/>
  <dc:creator>Florentina Gavril</dc:creator>
  <cp:keywords/>
  <dc:description/>
  <cp:lastModifiedBy>Florentina Gavril</cp:lastModifiedBy>
  <cp:revision>1</cp:revision>
  <dcterms:created xsi:type="dcterms:W3CDTF">2022-04-25T18:21:00Z</dcterms:created>
  <dcterms:modified xsi:type="dcterms:W3CDTF">2022-04-25T19:30:00Z</dcterms:modified>
</cp:coreProperties>
</file>