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069BA" w:rsidRPr="00BB08C8" w:rsidRDefault="002069BA">
      <w:pPr>
        <w:jc w:val="center"/>
        <w:rPr>
          <w:b/>
          <w:bCs/>
          <w:sz w:val="32"/>
          <w:szCs w:val="32"/>
        </w:rPr>
      </w:pPr>
    </w:p>
    <w:p w14:paraId="00000002" w14:textId="77777777" w:rsidR="002069BA" w:rsidRPr="00BB08C8" w:rsidRDefault="002069BA">
      <w:pPr>
        <w:jc w:val="center"/>
        <w:rPr>
          <w:b/>
          <w:bCs/>
          <w:sz w:val="32"/>
          <w:szCs w:val="32"/>
        </w:rPr>
      </w:pPr>
    </w:p>
    <w:p w14:paraId="00000003" w14:textId="77777777" w:rsidR="002069BA" w:rsidRPr="00BB08C8" w:rsidRDefault="002069BA">
      <w:pPr>
        <w:jc w:val="center"/>
        <w:rPr>
          <w:b/>
          <w:bCs/>
          <w:sz w:val="32"/>
          <w:szCs w:val="32"/>
        </w:rPr>
      </w:pPr>
    </w:p>
    <w:p w14:paraId="00000004" w14:textId="77777777" w:rsidR="002069BA" w:rsidRPr="00BB08C8" w:rsidRDefault="002069BA">
      <w:pPr>
        <w:jc w:val="center"/>
        <w:rPr>
          <w:b/>
          <w:bCs/>
          <w:sz w:val="32"/>
          <w:szCs w:val="32"/>
        </w:rPr>
      </w:pPr>
    </w:p>
    <w:p w14:paraId="00000005" w14:textId="77777777" w:rsidR="002069BA" w:rsidRPr="00BB08C8" w:rsidRDefault="002069BA">
      <w:pPr>
        <w:jc w:val="center"/>
        <w:rPr>
          <w:b/>
          <w:bCs/>
          <w:sz w:val="32"/>
          <w:szCs w:val="32"/>
        </w:rPr>
      </w:pPr>
    </w:p>
    <w:p w14:paraId="00000006" w14:textId="77777777" w:rsidR="002069BA" w:rsidRPr="00BB08C8" w:rsidRDefault="00757EF4">
      <w:pPr>
        <w:jc w:val="center"/>
        <w:rPr>
          <w:b/>
          <w:bCs/>
          <w:sz w:val="32"/>
          <w:szCs w:val="32"/>
        </w:rPr>
      </w:pPr>
      <w:r w:rsidRPr="00BB08C8">
        <w:rPr>
          <w:b/>
          <w:bCs/>
          <w:sz w:val="32"/>
          <w:szCs w:val="32"/>
        </w:rPr>
        <w:t>BA (Hons) Leadership and Management Skills for the Workplace</w:t>
      </w:r>
    </w:p>
    <w:p w14:paraId="00000007" w14:textId="77777777" w:rsidR="002069BA" w:rsidRPr="00BB08C8" w:rsidRDefault="00757EF4">
      <w:pPr>
        <w:jc w:val="center"/>
        <w:rPr>
          <w:b/>
          <w:bCs/>
          <w:sz w:val="32"/>
          <w:szCs w:val="32"/>
        </w:rPr>
      </w:pPr>
      <w:r w:rsidRPr="00BB08C8">
        <w:rPr>
          <w:b/>
          <w:bCs/>
          <w:sz w:val="32"/>
          <w:szCs w:val="32"/>
        </w:rPr>
        <w:t>Developing and Managing Individuals and Teams</w:t>
      </w:r>
    </w:p>
    <w:p w14:paraId="00000008" w14:textId="77777777" w:rsidR="002069BA" w:rsidRPr="00BB08C8" w:rsidRDefault="00757EF4">
      <w:pPr>
        <w:jc w:val="center"/>
        <w:rPr>
          <w:b/>
          <w:bCs/>
          <w:sz w:val="32"/>
          <w:szCs w:val="32"/>
        </w:rPr>
      </w:pPr>
      <w:r w:rsidRPr="00BB08C8">
        <w:rPr>
          <w:b/>
          <w:bCs/>
          <w:sz w:val="32"/>
          <w:szCs w:val="32"/>
        </w:rPr>
        <w:t>LCLM5002</w:t>
      </w:r>
    </w:p>
    <w:p w14:paraId="00000009" w14:textId="77777777" w:rsidR="002069BA" w:rsidRDefault="00757EF4">
      <w:pPr>
        <w:jc w:val="center"/>
        <w:rPr>
          <w:b/>
          <w:bCs/>
          <w:sz w:val="32"/>
          <w:szCs w:val="32"/>
        </w:rPr>
      </w:pPr>
      <w:r w:rsidRPr="00BB08C8">
        <w:rPr>
          <w:b/>
          <w:bCs/>
          <w:sz w:val="32"/>
          <w:szCs w:val="32"/>
        </w:rPr>
        <w:t>Component 2- Individual Report</w:t>
      </w:r>
    </w:p>
    <w:p w14:paraId="59AF11DA" w14:textId="77777777" w:rsidR="00581235" w:rsidRDefault="00581235">
      <w:pPr>
        <w:jc w:val="center"/>
        <w:rPr>
          <w:b/>
          <w:bCs/>
          <w:sz w:val="32"/>
          <w:szCs w:val="32"/>
        </w:rPr>
      </w:pPr>
    </w:p>
    <w:p w14:paraId="1764DD47" w14:textId="77777777" w:rsidR="00581235" w:rsidRDefault="00581235">
      <w:pPr>
        <w:jc w:val="center"/>
        <w:rPr>
          <w:b/>
          <w:bCs/>
          <w:sz w:val="32"/>
          <w:szCs w:val="32"/>
        </w:rPr>
      </w:pPr>
    </w:p>
    <w:p w14:paraId="23BC12E2" w14:textId="77777777" w:rsidR="00581235" w:rsidRDefault="00581235">
      <w:pPr>
        <w:jc w:val="center"/>
        <w:rPr>
          <w:b/>
          <w:bCs/>
          <w:sz w:val="32"/>
          <w:szCs w:val="32"/>
        </w:rPr>
      </w:pPr>
    </w:p>
    <w:p w14:paraId="3183E41F" w14:textId="7816F6B7" w:rsidR="007A12D2" w:rsidRPr="00581235" w:rsidRDefault="007A12D2">
      <w:pPr>
        <w:jc w:val="center"/>
        <w:rPr>
          <w:b/>
          <w:bCs/>
          <w:sz w:val="24"/>
          <w:szCs w:val="24"/>
        </w:rPr>
      </w:pPr>
      <w:r w:rsidRPr="00581235">
        <w:rPr>
          <w:b/>
          <w:bCs/>
          <w:sz w:val="24"/>
          <w:szCs w:val="24"/>
        </w:rPr>
        <w:t xml:space="preserve">Lecturer’s Name: </w:t>
      </w:r>
      <w:r w:rsidR="00F7785E">
        <w:rPr>
          <w:b/>
          <w:bCs/>
          <w:sz w:val="24"/>
          <w:szCs w:val="24"/>
        </w:rPr>
        <w:t>Amer K</w:t>
      </w:r>
      <w:r w:rsidR="00D66AAC">
        <w:rPr>
          <w:b/>
          <w:bCs/>
          <w:sz w:val="24"/>
          <w:szCs w:val="24"/>
        </w:rPr>
        <w:t xml:space="preserve">areem </w:t>
      </w:r>
    </w:p>
    <w:p w14:paraId="0000000A" w14:textId="6464DA58" w:rsidR="002069BA" w:rsidRPr="00581235" w:rsidRDefault="00757EF4">
      <w:pPr>
        <w:jc w:val="center"/>
        <w:rPr>
          <w:b/>
          <w:bCs/>
          <w:sz w:val="24"/>
          <w:szCs w:val="24"/>
        </w:rPr>
      </w:pPr>
      <w:r w:rsidRPr="00581235">
        <w:rPr>
          <w:b/>
          <w:bCs/>
          <w:sz w:val="24"/>
          <w:szCs w:val="24"/>
        </w:rPr>
        <w:t>Student Name:</w:t>
      </w:r>
      <w:r w:rsidR="003155E4">
        <w:rPr>
          <w:b/>
          <w:bCs/>
          <w:sz w:val="24"/>
          <w:szCs w:val="24"/>
        </w:rPr>
        <w:t xml:space="preserve"> </w:t>
      </w:r>
      <w:r w:rsidR="00BC436F">
        <w:rPr>
          <w:b/>
          <w:bCs/>
          <w:sz w:val="24"/>
          <w:szCs w:val="24"/>
        </w:rPr>
        <w:t>Daniel Fartczak</w:t>
      </w:r>
    </w:p>
    <w:p w14:paraId="0000000B" w14:textId="33171135" w:rsidR="002069BA" w:rsidRPr="00581235" w:rsidRDefault="00757EF4">
      <w:pPr>
        <w:jc w:val="center"/>
        <w:rPr>
          <w:b/>
          <w:bCs/>
          <w:sz w:val="24"/>
          <w:szCs w:val="24"/>
        </w:rPr>
      </w:pPr>
      <w:r w:rsidRPr="00581235">
        <w:rPr>
          <w:b/>
          <w:bCs/>
          <w:sz w:val="24"/>
          <w:szCs w:val="24"/>
        </w:rPr>
        <w:t>Student ID:</w:t>
      </w:r>
      <w:r w:rsidR="003155E4">
        <w:rPr>
          <w:b/>
          <w:bCs/>
          <w:sz w:val="24"/>
          <w:szCs w:val="24"/>
        </w:rPr>
        <w:t xml:space="preserve"> 2424154</w:t>
      </w:r>
    </w:p>
    <w:p w14:paraId="0000000C" w14:textId="77777777" w:rsidR="002069BA" w:rsidRPr="00BB08C8" w:rsidRDefault="00757EF4">
      <w:r w:rsidRPr="00BB08C8">
        <w:br w:type="page"/>
      </w:r>
    </w:p>
    <w:bookmarkStart w:id="0" w:name="_c08i2cdho7tv" w:colFirst="0" w:colLast="0" w:displacedByCustomXml="next"/>
    <w:bookmarkEnd w:id="0" w:displacedByCustomXml="next"/>
    <w:sdt>
      <w:sdtPr>
        <w:rPr>
          <w:rFonts w:ascii="Arial" w:eastAsia="Arial" w:hAnsi="Arial" w:cs="Arial"/>
          <w:b/>
          <w:color w:val="auto"/>
          <w:sz w:val="24"/>
          <w:szCs w:val="22"/>
          <w:lang w:val="en-GB" w:eastAsia="en-GB"/>
        </w:rPr>
        <w:id w:val="-1292127599"/>
        <w:docPartObj>
          <w:docPartGallery w:val="Table of Contents"/>
          <w:docPartUnique/>
        </w:docPartObj>
      </w:sdtPr>
      <w:sdtEndPr>
        <w:rPr>
          <w:bCs/>
          <w:noProof/>
          <w:sz w:val="22"/>
        </w:rPr>
      </w:sdtEndPr>
      <w:sdtContent>
        <w:p w14:paraId="3690AD72" w14:textId="6FCB389C" w:rsidR="00F00D44" w:rsidRPr="00F00D44" w:rsidRDefault="00F00D44" w:rsidP="00F00D44">
          <w:pPr>
            <w:pStyle w:val="TOCHeading"/>
            <w:jc w:val="center"/>
            <w:rPr>
              <w:rFonts w:ascii="Arial" w:hAnsi="Arial" w:cs="Arial"/>
              <w:b/>
              <w:color w:val="auto"/>
              <w:sz w:val="24"/>
            </w:rPr>
          </w:pPr>
          <w:r w:rsidRPr="00F00D44">
            <w:rPr>
              <w:rFonts w:ascii="Arial" w:hAnsi="Arial" w:cs="Arial"/>
              <w:b/>
              <w:color w:val="auto"/>
              <w:sz w:val="24"/>
            </w:rPr>
            <w:t>Table of Contents</w:t>
          </w:r>
        </w:p>
        <w:p w14:paraId="27664ADD" w14:textId="77777777" w:rsidR="00F00D44" w:rsidRDefault="00F00D44">
          <w:pPr>
            <w:pStyle w:val="TOC1"/>
            <w:tabs>
              <w:tab w:val="right" w:leader="dot" w:pos="9019"/>
            </w:tabs>
            <w:rPr>
              <w:noProof/>
            </w:rPr>
          </w:pPr>
          <w:r>
            <w:rPr>
              <w:b/>
              <w:bCs/>
              <w:noProof/>
            </w:rPr>
            <w:fldChar w:fldCharType="begin"/>
          </w:r>
          <w:r>
            <w:rPr>
              <w:b/>
              <w:bCs/>
              <w:noProof/>
            </w:rPr>
            <w:instrText xml:space="preserve"> TOC \o "1-3" \h \z \u </w:instrText>
          </w:r>
          <w:r>
            <w:rPr>
              <w:b/>
              <w:bCs/>
              <w:noProof/>
            </w:rPr>
            <w:fldChar w:fldCharType="separate"/>
          </w:r>
          <w:hyperlink w:anchor="_Toc223101963" w:history="1">
            <w:r w:rsidRPr="00651C9A">
              <w:rPr>
                <w:rStyle w:val="Hyperlink"/>
                <w:noProof/>
              </w:rPr>
              <w:t>1. Introduction</w:t>
            </w:r>
            <w:r>
              <w:rPr>
                <w:noProof/>
                <w:webHidden/>
              </w:rPr>
              <w:tab/>
            </w:r>
            <w:r>
              <w:rPr>
                <w:noProof/>
                <w:webHidden/>
              </w:rPr>
              <w:fldChar w:fldCharType="begin"/>
            </w:r>
            <w:r>
              <w:rPr>
                <w:noProof/>
                <w:webHidden/>
              </w:rPr>
              <w:instrText xml:space="preserve"> PAGEREF _Toc223101963 \h </w:instrText>
            </w:r>
            <w:r>
              <w:rPr>
                <w:noProof/>
                <w:webHidden/>
              </w:rPr>
            </w:r>
            <w:r>
              <w:rPr>
                <w:noProof/>
                <w:webHidden/>
              </w:rPr>
              <w:fldChar w:fldCharType="separate"/>
            </w:r>
            <w:r>
              <w:rPr>
                <w:noProof/>
                <w:webHidden/>
              </w:rPr>
              <w:t>3</w:t>
            </w:r>
            <w:r>
              <w:rPr>
                <w:noProof/>
                <w:webHidden/>
              </w:rPr>
              <w:fldChar w:fldCharType="end"/>
            </w:r>
          </w:hyperlink>
        </w:p>
        <w:p w14:paraId="1A52CC44" w14:textId="77777777" w:rsidR="00F00D44" w:rsidRDefault="00F00D44">
          <w:pPr>
            <w:pStyle w:val="TOC1"/>
            <w:tabs>
              <w:tab w:val="right" w:leader="dot" w:pos="9019"/>
            </w:tabs>
            <w:rPr>
              <w:noProof/>
            </w:rPr>
          </w:pPr>
          <w:hyperlink w:anchor="_Toc223101964" w:history="1">
            <w:r w:rsidRPr="00651C9A">
              <w:rPr>
                <w:rStyle w:val="Hyperlink"/>
                <w:noProof/>
              </w:rPr>
              <w:t>2. Explanation of specific factors in HR practices</w:t>
            </w:r>
            <w:r>
              <w:rPr>
                <w:noProof/>
                <w:webHidden/>
              </w:rPr>
              <w:tab/>
            </w:r>
            <w:r>
              <w:rPr>
                <w:noProof/>
                <w:webHidden/>
              </w:rPr>
              <w:fldChar w:fldCharType="begin"/>
            </w:r>
            <w:r>
              <w:rPr>
                <w:noProof/>
                <w:webHidden/>
              </w:rPr>
              <w:instrText xml:space="preserve"> PAGEREF _Toc223101964 \h </w:instrText>
            </w:r>
            <w:r>
              <w:rPr>
                <w:noProof/>
                <w:webHidden/>
              </w:rPr>
            </w:r>
            <w:r>
              <w:rPr>
                <w:noProof/>
                <w:webHidden/>
              </w:rPr>
              <w:fldChar w:fldCharType="separate"/>
            </w:r>
            <w:r>
              <w:rPr>
                <w:noProof/>
                <w:webHidden/>
              </w:rPr>
              <w:t>4</w:t>
            </w:r>
            <w:r>
              <w:rPr>
                <w:noProof/>
                <w:webHidden/>
              </w:rPr>
              <w:fldChar w:fldCharType="end"/>
            </w:r>
          </w:hyperlink>
        </w:p>
        <w:p w14:paraId="75730738" w14:textId="77777777" w:rsidR="00F00D44" w:rsidRDefault="00F00D44">
          <w:pPr>
            <w:pStyle w:val="TOC1"/>
            <w:tabs>
              <w:tab w:val="right" w:leader="dot" w:pos="9019"/>
            </w:tabs>
            <w:rPr>
              <w:noProof/>
            </w:rPr>
          </w:pPr>
          <w:hyperlink w:anchor="_Toc223101965" w:history="1">
            <w:r w:rsidRPr="00651C9A">
              <w:rPr>
                <w:rStyle w:val="Hyperlink"/>
                <w:noProof/>
              </w:rPr>
              <w:t>3. Evaluation of different contemporary HR practices addressing the factors of HR practices</w:t>
            </w:r>
            <w:r>
              <w:rPr>
                <w:noProof/>
                <w:webHidden/>
              </w:rPr>
              <w:tab/>
            </w:r>
            <w:r>
              <w:rPr>
                <w:noProof/>
                <w:webHidden/>
              </w:rPr>
              <w:fldChar w:fldCharType="begin"/>
            </w:r>
            <w:r>
              <w:rPr>
                <w:noProof/>
                <w:webHidden/>
              </w:rPr>
              <w:instrText xml:space="preserve"> PAGEREF _Toc223101965 \h </w:instrText>
            </w:r>
            <w:r>
              <w:rPr>
                <w:noProof/>
                <w:webHidden/>
              </w:rPr>
            </w:r>
            <w:r>
              <w:rPr>
                <w:noProof/>
                <w:webHidden/>
              </w:rPr>
              <w:fldChar w:fldCharType="separate"/>
            </w:r>
            <w:r>
              <w:rPr>
                <w:noProof/>
                <w:webHidden/>
              </w:rPr>
              <w:t>6</w:t>
            </w:r>
            <w:r>
              <w:rPr>
                <w:noProof/>
                <w:webHidden/>
              </w:rPr>
              <w:fldChar w:fldCharType="end"/>
            </w:r>
          </w:hyperlink>
        </w:p>
        <w:p w14:paraId="58E8EA3A" w14:textId="77777777" w:rsidR="00F00D44" w:rsidRDefault="00F00D44">
          <w:pPr>
            <w:pStyle w:val="TOC1"/>
            <w:tabs>
              <w:tab w:val="right" w:leader="dot" w:pos="9019"/>
            </w:tabs>
            <w:rPr>
              <w:noProof/>
            </w:rPr>
          </w:pPr>
          <w:hyperlink w:anchor="_Toc223101966" w:history="1">
            <w:r w:rsidRPr="00651C9A">
              <w:rPr>
                <w:rStyle w:val="Hyperlink"/>
                <w:noProof/>
              </w:rPr>
              <w:t>4. Critical evaluation about the role of the departmental managers in ensuring the implementation of contemporary practices in case of urgency</w:t>
            </w:r>
            <w:r>
              <w:rPr>
                <w:noProof/>
                <w:webHidden/>
              </w:rPr>
              <w:tab/>
            </w:r>
            <w:r>
              <w:rPr>
                <w:noProof/>
                <w:webHidden/>
              </w:rPr>
              <w:fldChar w:fldCharType="begin"/>
            </w:r>
            <w:r>
              <w:rPr>
                <w:noProof/>
                <w:webHidden/>
              </w:rPr>
              <w:instrText xml:space="preserve"> PAGEREF _Toc223101966 \h </w:instrText>
            </w:r>
            <w:r>
              <w:rPr>
                <w:noProof/>
                <w:webHidden/>
              </w:rPr>
            </w:r>
            <w:r>
              <w:rPr>
                <w:noProof/>
                <w:webHidden/>
              </w:rPr>
              <w:fldChar w:fldCharType="separate"/>
            </w:r>
            <w:r>
              <w:rPr>
                <w:noProof/>
                <w:webHidden/>
              </w:rPr>
              <w:t>7</w:t>
            </w:r>
            <w:r>
              <w:rPr>
                <w:noProof/>
                <w:webHidden/>
              </w:rPr>
              <w:fldChar w:fldCharType="end"/>
            </w:r>
          </w:hyperlink>
        </w:p>
        <w:p w14:paraId="7A6E88B6" w14:textId="77777777" w:rsidR="00F00D44" w:rsidRDefault="00F00D44">
          <w:pPr>
            <w:pStyle w:val="TOC1"/>
            <w:tabs>
              <w:tab w:val="right" w:leader="dot" w:pos="9019"/>
            </w:tabs>
            <w:rPr>
              <w:noProof/>
            </w:rPr>
          </w:pPr>
          <w:hyperlink w:anchor="_Toc223101967" w:history="1">
            <w:r w:rsidRPr="00651C9A">
              <w:rPr>
                <w:rStyle w:val="Hyperlink"/>
                <w:noProof/>
              </w:rPr>
              <w:t>5. Conclusion and Recommendations</w:t>
            </w:r>
            <w:r>
              <w:rPr>
                <w:noProof/>
                <w:webHidden/>
              </w:rPr>
              <w:tab/>
            </w:r>
            <w:r>
              <w:rPr>
                <w:noProof/>
                <w:webHidden/>
              </w:rPr>
              <w:fldChar w:fldCharType="begin"/>
            </w:r>
            <w:r>
              <w:rPr>
                <w:noProof/>
                <w:webHidden/>
              </w:rPr>
              <w:instrText xml:space="preserve"> PAGEREF _Toc223101967 \h </w:instrText>
            </w:r>
            <w:r>
              <w:rPr>
                <w:noProof/>
                <w:webHidden/>
              </w:rPr>
            </w:r>
            <w:r>
              <w:rPr>
                <w:noProof/>
                <w:webHidden/>
              </w:rPr>
              <w:fldChar w:fldCharType="separate"/>
            </w:r>
            <w:r>
              <w:rPr>
                <w:noProof/>
                <w:webHidden/>
              </w:rPr>
              <w:t>9</w:t>
            </w:r>
            <w:r>
              <w:rPr>
                <w:noProof/>
                <w:webHidden/>
              </w:rPr>
              <w:fldChar w:fldCharType="end"/>
            </w:r>
          </w:hyperlink>
        </w:p>
        <w:p w14:paraId="7D7F9F8E" w14:textId="77777777" w:rsidR="00F00D44" w:rsidRDefault="00F00D44">
          <w:pPr>
            <w:pStyle w:val="TOC1"/>
            <w:tabs>
              <w:tab w:val="right" w:leader="dot" w:pos="9019"/>
            </w:tabs>
            <w:rPr>
              <w:noProof/>
            </w:rPr>
          </w:pPr>
          <w:hyperlink w:anchor="_Toc223101968" w:history="1">
            <w:r w:rsidRPr="00651C9A">
              <w:rPr>
                <w:rStyle w:val="Hyperlink"/>
                <w:noProof/>
              </w:rPr>
              <w:t>Reference List</w:t>
            </w:r>
            <w:r>
              <w:rPr>
                <w:noProof/>
                <w:webHidden/>
              </w:rPr>
              <w:tab/>
            </w:r>
            <w:r>
              <w:rPr>
                <w:noProof/>
                <w:webHidden/>
              </w:rPr>
              <w:fldChar w:fldCharType="begin"/>
            </w:r>
            <w:r>
              <w:rPr>
                <w:noProof/>
                <w:webHidden/>
              </w:rPr>
              <w:instrText xml:space="preserve"> PAGEREF _Toc223101968 \h </w:instrText>
            </w:r>
            <w:r>
              <w:rPr>
                <w:noProof/>
                <w:webHidden/>
              </w:rPr>
            </w:r>
            <w:r>
              <w:rPr>
                <w:noProof/>
                <w:webHidden/>
              </w:rPr>
              <w:fldChar w:fldCharType="separate"/>
            </w:r>
            <w:r>
              <w:rPr>
                <w:noProof/>
                <w:webHidden/>
              </w:rPr>
              <w:t>10</w:t>
            </w:r>
            <w:r>
              <w:rPr>
                <w:noProof/>
                <w:webHidden/>
              </w:rPr>
              <w:fldChar w:fldCharType="end"/>
            </w:r>
          </w:hyperlink>
        </w:p>
        <w:p w14:paraId="675AB37F" w14:textId="24190B17" w:rsidR="00F00D44" w:rsidRDefault="00F00D44">
          <w:r>
            <w:rPr>
              <w:b/>
              <w:bCs/>
              <w:noProof/>
            </w:rPr>
            <w:fldChar w:fldCharType="end"/>
          </w:r>
        </w:p>
      </w:sdtContent>
    </w:sdt>
    <w:p w14:paraId="410544BD" w14:textId="77777777" w:rsidR="00BB08C8" w:rsidRPr="00BB08C8" w:rsidRDefault="00BB08C8">
      <w:pPr>
        <w:rPr>
          <w:b/>
          <w:bCs/>
        </w:rPr>
      </w:pPr>
      <w:r w:rsidRPr="00BB08C8">
        <w:br w:type="page"/>
      </w:r>
    </w:p>
    <w:p w14:paraId="0000000D" w14:textId="48961736" w:rsidR="002069BA" w:rsidRPr="00BB08C8" w:rsidRDefault="00757EF4">
      <w:pPr>
        <w:pStyle w:val="Heading1"/>
      </w:pPr>
      <w:bookmarkStart w:id="1" w:name="_Toc223101963"/>
      <w:r w:rsidRPr="00BB08C8">
        <w:lastRenderedPageBreak/>
        <w:t>1. Introduction</w:t>
      </w:r>
      <w:bookmarkEnd w:id="1"/>
      <w:r w:rsidRPr="00BB08C8">
        <w:t xml:space="preserve"> </w:t>
      </w:r>
    </w:p>
    <w:p w14:paraId="0000000E" w14:textId="29A765D2" w:rsidR="002069BA" w:rsidRPr="00BB08C8" w:rsidRDefault="00757EF4">
      <w:r w:rsidRPr="00BB08C8">
        <w:t xml:space="preserve">Managing individuals in the workplace requires efficient collaboration between leadership and HR practices to ensure the distinguished requirements of the workplace </w:t>
      </w:r>
      <w:r w:rsidR="00F00D44">
        <w:t>meets</w:t>
      </w:r>
      <w:r w:rsidRPr="00BB08C8">
        <w:t xml:space="preserve"> through actions. The purpose of this report is to evaluate and analyse the contemporary HR actions to meet the challenges of human resource management. The report will integrate Hydro International as a chosen organisation for discussion. Hydro International is a UK-based CRH company that specialises in the reduction of flood risks, water </w:t>
      </w:r>
      <w:r w:rsidR="00BB08C8" w:rsidRPr="00BB08C8">
        <w:t>treatment,</w:t>
      </w:r>
      <w:r w:rsidRPr="00BB08C8">
        <w:t xml:space="preserve"> and management of </w:t>
      </w:r>
      <w:r w:rsidR="00BB08C8" w:rsidRPr="00BB08C8">
        <w:t>storm water</w:t>
      </w:r>
      <w:r w:rsidRPr="00BB08C8">
        <w:t xml:space="preserve"> for over 40 years (Hydro International, 2026). This report will evaluate the specific roles and responsibilities of the departmental managers in making the contemporary HR practices viable to reduce the challenges of the organisation. </w:t>
      </w:r>
    </w:p>
    <w:p w14:paraId="75CD73E9" w14:textId="77777777" w:rsidR="00596562" w:rsidRDefault="00596562">
      <w:pPr>
        <w:rPr>
          <w:b/>
          <w:bCs/>
        </w:rPr>
      </w:pPr>
      <w:bookmarkStart w:id="2" w:name="_hp3aodknonpi" w:colFirst="0" w:colLast="0"/>
      <w:bookmarkEnd w:id="2"/>
      <w:r>
        <w:br w:type="page"/>
      </w:r>
    </w:p>
    <w:p w14:paraId="0000000F" w14:textId="644CEA82" w:rsidR="002069BA" w:rsidRPr="00BB08C8" w:rsidRDefault="00757EF4">
      <w:pPr>
        <w:pStyle w:val="Heading1"/>
      </w:pPr>
      <w:bookmarkStart w:id="3" w:name="_Toc223101964"/>
      <w:r w:rsidRPr="00BB08C8">
        <w:lastRenderedPageBreak/>
        <w:t>2. Explanation of specific factors in HR practices</w:t>
      </w:r>
      <w:bookmarkEnd w:id="3"/>
      <w:r w:rsidRPr="00BB08C8">
        <w:t xml:space="preserve"> </w:t>
      </w:r>
    </w:p>
    <w:p w14:paraId="00000010" w14:textId="77777777" w:rsidR="002069BA" w:rsidRPr="00BB08C8" w:rsidRDefault="00757EF4">
      <w:pPr>
        <w:rPr>
          <w:b/>
          <w:bCs/>
          <w:i/>
          <w:iCs/>
        </w:rPr>
      </w:pPr>
      <w:r w:rsidRPr="00BB08C8">
        <w:rPr>
          <w:b/>
          <w:bCs/>
          <w:i/>
          <w:iCs/>
        </w:rPr>
        <w:t>Meeting the technological advancement</w:t>
      </w:r>
    </w:p>
    <w:p w14:paraId="00000011" w14:textId="352DBD91" w:rsidR="002069BA" w:rsidRPr="00BB08C8" w:rsidRDefault="00757EF4">
      <w:r w:rsidRPr="00BB08C8">
        <w:t xml:space="preserve">The technological advancement in HR practices defines the transformation of approaches in conventional human resource routines, with the help of technological integration. The integration of the AI-powered tools, such as AI-based video interviewing, predictive talent sourcing, and job descriptions based on generative AI, prevails the redefinition of roles in HR practices (Farias, 2025). The inclusion of AI-based technologies is shifting the regular duties of HR professionals as those technologies are solving repetitive tasks through automation. The data-driven talent management in modern HR practices </w:t>
      </w:r>
      <w:r w:rsidR="00BB08C8" w:rsidRPr="00BB08C8">
        <w:t>advantages</w:t>
      </w:r>
      <w:r w:rsidRPr="00BB08C8">
        <w:t xml:space="preserve"> advanced technologies such as AI and ML to perform better scrutiny about potential candidates (</w:t>
      </w:r>
      <w:proofErr w:type="spellStart"/>
      <w:r w:rsidRPr="00BB08C8">
        <w:t>Asfahani</w:t>
      </w:r>
      <w:proofErr w:type="spellEnd"/>
      <w:r w:rsidRPr="00BB08C8">
        <w:t xml:space="preserve">, 2024). The technological advancement in choosing individuals for organisational roles provides the chance to assess parameters such as turnover risks, skill </w:t>
      </w:r>
      <w:r w:rsidR="00BB08C8" w:rsidRPr="00BB08C8">
        <w:t>mapping,</w:t>
      </w:r>
      <w:r w:rsidRPr="00BB08C8">
        <w:t xml:space="preserve"> and identification of hidden talent. These parameters were unavailable in the traditional HR practices. The involvement of technologies in training and development shows transformational qualities in the employee experience. For instance, the remote workers of Hydro International get virtual training, which uses advanced training platforms with integrated immersive tools. The special access to such technologies has </w:t>
      </w:r>
      <w:r w:rsidR="00BB08C8" w:rsidRPr="00BB08C8">
        <w:t xml:space="preserve">shown </w:t>
      </w:r>
      <w:r w:rsidR="00BB08C8">
        <w:t xml:space="preserve">a </w:t>
      </w:r>
      <w:r w:rsidRPr="00BB08C8">
        <w:t xml:space="preserve">better engagement </w:t>
      </w:r>
      <w:r w:rsidR="00BB08C8">
        <w:t>that</w:t>
      </w:r>
      <w:r w:rsidRPr="00BB08C8">
        <w:t xml:space="preserve"> facilitates a higher output of training and development discipline. However, ethical practices, </w:t>
      </w:r>
      <w:r w:rsidR="00BB08C8" w:rsidRPr="00BB08C8">
        <w:t>bias,</w:t>
      </w:r>
      <w:r w:rsidRPr="00BB08C8">
        <w:t xml:space="preserve"> and security of the participants in modern HR practices are becoming questionable due to the lack of skill and limited digital literacy among HR professionals. </w:t>
      </w:r>
    </w:p>
    <w:p w14:paraId="00000012" w14:textId="77777777" w:rsidR="002069BA" w:rsidRPr="00BB08C8" w:rsidRDefault="00757EF4">
      <w:pPr>
        <w:rPr>
          <w:b/>
          <w:bCs/>
          <w:i/>
          <w:iCs/>
        </w:rPr>
      </w:pPr>
      <w:r w:rsidRPr="00BB08C8">
        <w:rPr>
          <w:b/>
          <w:bCs/>
          <w:i/>
          <w:iCs/>
        </w:rPr>
        <w:t>Talent Acquisition and Retention</w:t>
      </w:r>
    </w:p>
    <w:p w14:paraId="65E4A70E" w14:textId="77777777" w:rsidR="00596562" w:rsidRDefault="00757EF4">
      <w:r w:rsidRPr="00BB08C8">
        <w:t xml:space="preserve">The modern HRM context signifies talent acquisition and retention as key components of delivering an organisation’s financial expectations through the output of human resources. The present whereabouts of HR practices revolved around the strategic implementation of approaches that fulfil the psychological and societal needs of the employees. </w:t>
      </w:r>
    </w:p>
    <w:p w14:paraId="53CA8988" w14:textId="77777777" w:rsidR="00596562" w:rsidRDefault="00596562">
      <w:r>
        <w:br w:type="page"/>
      </w:r>
    </w:p>
    <w:p w14:paraId="00000013" w14:textId="13FFB4DF" w:rsidR="002069BA" w:rsidRPr="00BB08C8" w:rsidRDefault="0018059D">
      <w:r w:rsidRPr="00BB08C8">
        <w:lastRenderedPageBreak/>
        <w:t>Schneider’s</w:t>
      </w:r>
      <w:r w:rsidR="00757EF4" w:rsidRPr="00BB08C8">
        <w:t xml:space="preserve"> attraction-selection-attrition (ATA) theory states that the establishment of a homogeneous culture is a result of diverse individuals working together who got the similar satisfaction from the organisational discipline (Leong and Said, 2024). For instance, working in a superior position at Hydro International requires a certain level of competence and an intention of improving organizational position in the market. Therefore, workers need to be innovative and must be able to make individual decisions, which are acceptable to the organisational management, which makes Hydro International a progressive workplace with a homogenous culture. Therefore, workers with less enthusiasm and a lack of vision are not suitable for the workforce. On the other hand, the talent acquisition in a high-performance organisation shows transformational characteristics where the HR practices have to adapt and find respective solutions to fulfil the intellectual demands. Maslow’s hierarchy of needs shows that intellectual stimulation is a prerequisite for self-actualisation needs (Maslow, 2023). In addition to that, the growth of social needs is also part of the consideration in retention management. Therefore, HR functions must have a balanced source of motivation where they can challenge the intellectual properties of high-performing individuals and provide them with better work-life balance simultaneously to retain them. </w:t>
      </w:r>
    </w:p>
    <w:p w14:paraId="00000014" w14:textId="77777777" w:rsidR="002069BA" w:rsidRPr="00BB08C8" w:rsidRDefault="00757EF4">
      <w:pPr>
        <w:rPr>
          <w:b/>
          <w:bCs/>
          <w:i/>
          <w:iCs/>
        </w:rPr>
      </w:pPr>
      <w:r w:rsidRPr="00BB08C8">
        <w:rPr>
          <w:b/>
          <w:bCs/>
          <w:i/>
          <w:iCs/>
        </w:rPr>
        <w:t xml:space="preserve">Diversity, Equity and Inclusion </w:t>
      </w:r>
    </w:p>
    <w:p w14:paraId="00000015" w14:textId="336C759C" w:rsidR="002069BA" w:rsidRPr="00BB08C8" w:rsidRDefault="00757EF4">
      <w:r w:rsidRPr="00BB08C8">
        <w:t xml:space="preserve">Diversity, </w:t>
      </w:r>
      <w:r w:rsidR="00BB71A7" w:rsidRPr="00BB08C8">
        <w:t>equality,</w:t>
      </w:r>
      <w:r w:rsidRPr="00BB08C8">
        <w:t xml:space="preserve"> and inclusion (DEI) are part of the key mandates in the Equality Act 2010 to sustain a fair and equitable environment for all in the workplace. The purpose of mandating diversity, </w:t>
      </w:r>
      <w:r w:rsidR="00BB71A7" w:rsidRPr="00BB08C8">
        <w:t>equality,</w:t>
      </w:r>
      <w:r w:rsidRPr="00BB08C8">
        <w:t xml:space="preserve"> and inclusion in the workplace is to find an efficient approach to cater to the innovation and performance parameters of an organisation (Jain </w:t>
      </w:r>
      <w:r w:rsidRPr="00BB08C8">
        <w:rPr>
          <w:i/>
          <w:iCs/>
        </w:rPr>
        <w:t xml:space="preserve">et al., </w:t>
      </w:r>
      <w:r w:rsidRPr="00BB08C8">
        <w:t xml:space="preserve">2021). The association of DEI with the legal structure of the UK makes it a fundamental consideration for HR practices in all kinds of workplaces to ensure that employee safety and security are present. Therefore, HR solutions have to upgrade themselves in the proceedings of recruitment, orientation, </w:t>
      </w:r>
      <w:r w:rsidR="00BB71A7" w:rsidRPr="00BB08C8">
        <w:t>training,</w:t>
      </w:r>
      <w:r w:rsidRPr="00BB08C8">
        <w:t xml:space="preserve"> and performance management so that equal rights are preserved. The key approaches under the DEI framework include inclusive recruitment, unbiased selection, safe </w:t>
      </w:r>
      <w:r w:rsidR="00BB71A7" w:rsidRPr="00BB08C8">
        <w:t>policies,</w:t>
      </w:r>
      <w:r w:rsidRPr="00BB08C8">
        <w:t xml:space="preserve"> and culture. Inclusion refers to the action where individuals with different characteristics get equal opportunities to acquire the benefits of the organisational practices (Greene and Kirton, 2021). For instance, Hydro International ensures that any candidates, irrespective of their previous experience, receive mandatory training and supplementary assistance to overcome the barriers in the initial days. The action by HRM of Hydro International preserves diversity, </w:t>
      </w:r>
      <w:r w:rsidR="00BB71A7" w:rsidRPr="00BB08C8">
        <w:t>equity,</w:t>
      </w:r>
      <w:r w:rsidRPr="00BB08C8">
        <w:t xml:space="preserve"> and inclusion through a single approach. </w:t>
      </w:r>
    </w:p>
    <w:p w14:paraId="6C492BBD" w14:textId="77777777" w:rsidR="00596562" w:rsidRDefault="00596562">
      <w:pPr>
        <w:rPr>
          <w:b/>
          <w:bCs/>
        </w:rPr>
      </w:pPr>
      <w:bookmarkStart w:id="4" w:name="_w6q5m8eyymmz" w:colFirst="0" w:colLast="0"/>
      <w:bookmarkEnd w:id="4"/>
      <w:r>
        <w:br w:type="page"/>
      </w:r>
    </w:p>
    <w:p w14:paraId="00000016" w14:textId="1C0AFAEE" w:rsidR="002069BA" w:rsidRPr="00BB08C8" w:rsidRDefault="00757EF4">
      <w:pPr>
        <w:pStyle w:val="Heading1"/>
      </w:pPr>
      <w:bookmarkStart w:id="5" w:name="_Toc223101965"/>
      <w:r w:rsidRPr="00BB08C8">
        <w:lastRenderedPageBreak/>
        <w:t>3. Evaluation of different contemporary HR practices addressing the factors of HR practices</w:t>
      </w:r>
      <w:bookmarkEnd w:id="5"/>
      <w:r w:rsidRPr="00BB08C8">
        <w:t xml:space="preserve"> </w:t>
      </w:r>
    </w:p>
    <w:p w14:paraId="00000017" w14:textId="77777777" w:rsidR="002069BA" w:rsidRPr="00BB08C8" w:rsidRDefault="00757EF4">
      <w:pPr>
        <w:rPr>
          <w:b/>
          <w:bCs/>
          <w:i/>
          <w:iCs/>
        </w:rPr>
      </w:pPr>
      <w:r w:rsidRPr="00BB08C8">
        <w:rPr>
          <w:b/>
          <w:bCs/>
          <w:i/>
          <w:iCs/>
        </w:rPr>
        <w:t>Artificial Intelligence and Automation to meet technological advancement</w:t>
      </w:r>
    </w:p>
    <w:p w14:paraId="00000018" w14:textId="2DB2A662" w:rsidR="002069BA" w:rsidRPr="00BB08C8" w:rsidRDefault="00757EF4">
      <w:r w:rsidRPr="00BB08C8">
        <w:t xml:space="preserve">Artificial intelligence has become the primary technological asset of modern organisations to meet future needs. The implementation of artificial intelligence has raised the condition of HR practices through finding superior efficiency in fundamental functions (Ali </w:t>
      </w:r>
      <w:r w:rsidRPr="00BB08C8">
        <w:rPr>
          <w:i/>
          <w:iCs/>
        </w:rPr>
        <w:t>et al.</w:t>
      </w:r>
      <w:r w:rsidRPr="00BB08C8">
        <w:t xml:space="preserve">, 2023). According to the HR magazine, 81% of the UK-based chief executives have shown faith on AI based technologies and data to make superior organisational decisions </w:t>
      </w:r>
      <w:r w:rsidRPr="00BB08C8">
        <w:rPr>
          <w:sz w:val="24"/>
          <w:szCs w:val="24"/>
          <w:highlight w:val="white"/>
        </w:rPr>
        <w:t>(Payne, 2026)</w:t>
      </w:r>
      <w:r w:rsidRPr="00BB08C8">
        <w:t xml:space="preserve">. Therefore, the integration of AI in HR practices depicts a necessity to arrange better talent management and skill development. However, the implementation of AI has not shown significant influence on revenue growth, which shows that the organisations may face initial hurdles regarding financial speculations. Hydro International has a specific group of employees working for the company from remote locations. Therefore, physical access to the performance can be challenging for the organisational HR. Integration of the data-driven performance management is the key to producing performance mapping, skill gaps and future performance of the individuals working from remote locations. The present HR practices of Hydro International will show significant potential if the company invests in AI-integration as a technological advancement. </w:t>
      </w:r>
    </w:p>
    <w:p w14:paraId="00000019" w14:textId="77777777" w:rsidR="002069BA" w:rsidRPr="00BB08C8" w:rsidRDefault="00757EF4">
      <w:pPr>
        <w:rPr>
          <w:b/>
          <w:bCs/>
          <w:i/>
          <w:iCs/>
        </w:rPr>
      </w:pPr>
      <w:r w:rsidRPr="00BB08C8">
        <w:rPr>
          <w:b/>
          <w:bCs/>
          <w:i/>
          <w:iCs/>
        </w:rPr>
        <w:t>Internal mobility and personalised career development to meet talent acquisition and retention needs</w:t>
      </w:r>
    </w:p>
    <w:p w14:paraId="4E1FE31A" w14:textId="77777777" w:rsidR="00596562" w:rsidRDefault="00757EF4">
      <w:r w:rsidRPr="00BB08C8">
        <w:t>Organisational positions have a limited source of potential in terms of addressing the growth of individual workers. A high percentage of performing workers seek different opportunities once they feel that their present position is at a point of saturation. Internal mobility is one such HR solution that provides significant advantages for HR professionals to retain high-performing workers. Internal mobilisation refers to the approach of providing a new role or department as a challenge to stimulate the intellectual and professional growth of workers (</w:t>
      </w:r>
      <w:proofErr w:type="spellStart"/>
      <w:r w:rsidRPr="00BB08C8">
        <w:t>Inceoglu</w:t>
      </w:r>
      <w:proofErr w:type="spellEnd"/>
      <w:r w:rsidRPr="00BB08C8">
        <w:t xml:space="preserve"> </w:t>
      </w:r>
      <w:r w:rsidRPr="00BB08C8">
        <w:rPr>
          <w:i/>
          <w:iCs/>
        </w:rPr>
        <w:t xml:space="preserve">et al., </w:t>
      </w:r>
      <w:r w:rsidRPr="00BB08C8">
        <w:t xml:space="preserve">2024). The practice of internal mobilisation is significant in the Hydro International work culture, which reflects on the majority of the job offers given by the organisation. The Hydro International management leverages the association with the CRH group as a potential destination for the talented employees to reach better destinations and meet their individual career goals. </w:t>
      </w:r>
    </w:p>
    <w:p w14:paraId="59BBB8C0" w14:textId="77777777" w:rsidR="00596562" w:rsidRDefault="00596562">
      <w:r>
        <w:br w:type="page"/>
      </w:r>
    </w:p>
    <w:p w14:paraId="0000001A" w14:textId="2B32DFAD" w:rsidR="002069BA" w:rsidRPr="00BB08C8" w:rsidRDefault="00757EF4">
      <w:r w:rsidRPr="00BB08C8">
        <w:lastRenderedPageBreak/>
        <w:t xml:space="preserve">The internal mobility also provides Hydro International with the chance of managing skill differences and ensuring that each department has sufficient </w:t>
      </w:r>
      <w:r w:rsidR="00596562" w:rsidRPr="00BB08C8">
        <w:t>resources</w:t>
      </w:r>
      <w:r w:rsidRPr="00BB08C8">
        <w:t xml:space="preserve"> in case there is a high demand from the market. Personalised career development opportunities preserve the individual interests of the employees by providing them with the benefits of achieving academic excellence to gain professional growth (Huang </w:t>
      </w:r>
      <w:r w:rsidRPr="00BB08C8">
        <w:rPr>
          <w:i/>
          <w:iCs/>
        </w:rPr>
        <w:t xml:space="preserve">et al., </w:t>
      </w:r>
      <w:r w:rsidRPr="00BB08C8">
        <w:t xml:space="preserve">2023). Personalised career development is also a specific source of motivation for the employees who intend to carry out their journey while being part of a single organisation. Therefore, investments in collaborations and developing training infrastructure are a significant need for Hydro International to avoid lower retention rates and achieve better efficiency with the existing workforce. </w:t>
      </w:r>
    </w:p>
    <w:p w14:paraId="0000001C" w14:textId="77777777" w:rsidR="002069BA" w:rsidRPr="00BB08C8" w:rsidRDefault="00757EF4">
      <w:pPr>
        <w:rPr>
          <w:b/>
          <w:bCs/>
          <w:i/>
          <w:iCs/>
        </w:rPr>
      </w:pPr>
      <w:r w:rsidRPr="00BB08C8">
        <w:rPr>
          <w:b/>
          <w:bCs/>
          <w:i/>
          <w:iCs/>
        </w:rPr>
        <w:t>Integration of the culture of belonging and inclusion to suffice DEI needs</w:t>
      </w:r>
    </w:p>
    <w:p w14:paraId="0000001D" w14:textId="5AED7FCE" w:rsidR="002069BA" w:rsidRPr="00BB08C8" w:rsidRDefault="00757EF4">
      <w:r w:rsidRPr="00BB08C8">
        <w:t xml:space="preserve">Organisational culture is the personification of the internal nature of the workers in terms of interpersonal relationships. Development of an inclusive culture must be a priority for modern organisations to avoid loss of talent and enhance the chances of acquiring better talent from the market. The inclusive culture in the HR practices starts right from the onboarding stage, where flexibility in decision making about the </w:t>
      </w:r>
      <w:r w:rsidR="00596562" w:rsidRPr="00BB08C8">
        <w:t>benefits</w:t>
      </w:r>
      <w:r w:rsidRPr="00BB08C8">
        <w:t xml:space="preserve"> of the job has become a great resource to show organisational culture in front of new recruits (Yang, 2024). The implementation process goes linearly through the different stages according to the journey maps of the employees. The fundamental objective has to be to secure the psychological and social needs of each employee in the workplace. </w:t>
      </w:r>
    </w:p>
    <w:p w14:paraId="0000001E" w14:textId="77777777" w:rsidR="002069BA" w:rsidRPr="00BB08C8" w:rsidRDefault="002069BA">
      <w:pPr>
        <w:rPr>
          <w:i/>
          <w:iCs/>
        </w:rPr>
      </w:pPr>
    </w:p>
    <w:p w14:paraId="0000001F" w14:textId="77777777" w:rsidR="002069BA" w:rsidRPr="00BB08C8" w:rsidRDefault="00757EF4">
      <w:pPr>
        <w:pStyle w:val="Heading1"/>
      </w:pPr>
      <w:bookmarkStart w:id="6" w:name="_ksyv2h4bptwv" w:colFirst="0" w:colLast="0"/>
      <w:bookmarkStart w:id="7" w:name="_Toc223101966"/>
      <w:bookmarkEnd w:id="6"/>
      <w:r w:rsidRPr="00BB08C8">
        <w:t>4. Critical evaluation about the role of the departmental managers in ensuring the implementation of contemporary practices in case of urgency</w:t>
      </w:r>
      <w:bookmarkEnd w:id="7"/>
      <w:r w:rsidRPr="00BB08C8">
        <w:t xml:space="preserve"> </w:t>
      </w:r>
    </w:p>
    <w:p w14:paraId="00000020" w14:textId="77777777" w:rsidR="002069BA" w:rsidRPr="00BB08C8" w:rsidRDefault="00757EF4">
      <w:r w:rsidRPr="00BB08C8">
        <w:t xml:space="preserve">Contemporary arrangements in HR policies are substitutional arrangements that can preserve immediate needs of the workplace. The departmental managers of Hydro International play the mediating role between the strategic intent and operational reality. The fundamental role of the department managers is to clarify the possible viewpoints and expectations stated in the strategic decisions taken by the HR management (Kulik and Perry, 2023). The scenario of AI integration in performance management and training facilities needs the key intervention of the departmental managers in terms of making final decisions. For instance, it is the HR manager of Hydro International’s UK division to assess the capacity of the department to adapt to the transformations. On the other hand, the managerial role also needs to demonstrate the potential opportunities to achieve high efficiency through technological integration. </w:t>
      </w:r>
    </w:p>
    <w:p w14:paraId="5F1ADE36" w14:textId="77777777" w:rsidR="00596562" w:rsidRDefault="00596562">
      <w:r>
        <w:br w:type="page"/>
      </w:r>
    </w:p>
    <w:p w14:paraId="00000021" w14:textId="7E535CC5" w:rsidR="002069BA" w:rsidRPr="00BB08C8" w:rsidRDefault="00757EF4">
      <w:r w:rsidRPr="00BB08C8">
        <w:lastRenderedPageBreak/>
        <w:t xml:space="preserve">The departmental managers can play a significant role in information exchange with respective HR professionals regarding the performance of individual workers (Armstrong and Taylor, 2023). However, there is always concern about the ethical viewpoint in case the manager has a difference in terms of interpersonal relationships with the particular employee. On the other hand, interest in the well-being of the individuals in the new role in case of an internal promotion is also a major concern. A study revealed that 96% of the UK-based marketing professionals have restricted their promotion by themselves in order to achieve better well-being (Michael Page, 2025). The figure highlights a significant lack in promoting work-life balance in the marketing department of most organisations, which depicts the lack of inclusiveness and meeting the social needs of the workers. Hydro International's operations significantly depend on its sales departments, which makes the role of the managers in different sales departments critical in applying those contemporary HR practices.  </w:t>
      </w:r>
    </w:p>
    <w:p w14:paraId="00000022" w14:textId="77777777" w:rsidR="002069BA" w:rsidRPr="00BB08C8" w:rsidRDefault="00757EF4">
      <w:r w:rsidRPr="00BB08C8">
        <w:t>The primary derivative of making an inclusive workplace culture is to ensure that the departmental managers personify the exact values depicted by the organisational management. Building an inclusive culture is one of the primary considerations of Hydro International, as one of its values is to work collaboratively. Therefore, the HR managers of Hydro International can take assistance from the departmental managers to decipher the specific cultural needs and create co-curricular according to the distinct needs of the specific departments.</w:t>
      </w:r>
    </w:p>
    <w:p w14:paraId="00000024" w14:textId="280F1931" w:rsidR="002069BA" w:rsidRPr="00BB08C8" w:rsidRDefault="00757EF4">
      <w:pPr>
        <w:pStyle w:val="Heading1"/>
      </w:pPr>
      <w:bookmarkStart w:id="8" w:name="_159b9cxmqya2" w:colFirst="0" w:colLast="0"/>
      <w:bookmarkEnd w:id="8"/>
      <w:r w:rsidRPr="00BB08C8">
        <w:br w:type="page"/>
      </w:r>
      <w:bookmarkStart w:id="9" w:name="_texvgpsc8cy" w:colFirst="0" w:colLast="0"/>
      <w:bookmarkStart w:id="10" w:name="_Toc223101967"/>
      <w:bookmarkEnd w:id="9"/>
      <w:r w:rsidRPr="00BB08C8">
        <w:lastRenderedPageBreak/>
        <w:t>5. Conclusion and Recommendations</w:t>
      </w:r>
      <w:bookmarkEnd w:id="10"/>
      <w:r w:rsidRPr="00BB08C8">
        <w:t xml:space="preserve"> </w:t>
      </w:r>
    </w:p>
    <w:p w14:paraId="00000025" w14:textId="77777777" w:rsidR="002069BA" w:rsidRPr="00BB08C8" w:rsidRDefault="00757EF4">
      <w:r w:rsidRPr="00BB08C8">
        <w:t xml:space="preserve">The modern HR management approaches are undergoing significant changes with the inclusion of technological upgradation, shift of cultural needs and diverse requirements of individual employees. The findings in this report highlight the specific contemporary arrangements currently visible in the HR practices of the Hydro International workforce that need to be mainstreamed. The findings of this report represent the fact that HR managers have to integrate the information shared by the departmental managers to ensure that their decisions are positively influencing the entire workforce. The report highlights major chances of upgrading the HR practices at Hydro International, which are visible in the recommended tactics. </w:t>
      </w:r>
    </w:p>
    <w:p w14:paraId="00000026" w14:textId="77777777" w:rsidR="002069BA" w:rsidRPr="00BB08C8" w:rsidRDefault="00757EF4">
      <w:pPr>
        <w:rPr>
          <w:b/>
          <w:bCs/>
        </w:rPr>
      </w:pPr>
      <w:r w:rsidRPr="00BB08C8">
        <w:rPr>
          <w:b/>
          <w:bCs/>
        </w:rPr>
        <w:t>Recommendations</w:t>
      </w:r>
    </w:p>
    <w:p w14:paraId="00000027" w14:textId="77777777" w:rsidR="002069BA" w:rsidRPr="00BB08C8" w:rsidRDefault="00757EF4">
      <w:r w:rsidRPr="00BB08C8">
        <w:t xml:space="preserve">Hydro International must work through its process of integrating AI in moderating the HR practices. They should invest more in reskilling and upskilling the existing workforce to make them flexible and adaptable to the contemporary environment, to be produced by the new technology. Hydro International needs to invest in developing an association with training providers and skilled trainers to provide a better source of knowledge development and personalised care progression for the workforce. This collaboration also aligns with the organisational values and the needs of the individual employees to motivate and cater to the retention needs of the organisation. The role of departmental managers has to be more direct in terms of making decisions about the progression of the workforce towards higher efficiency. </w:t>
      </w:r>
    </w:p>
    <w:p w14:paraId="00000028" w14:textId="77777777" w:rsidR="002069BA" w:rsidRPr="00BB08C8" w:rsidRDefault="00757EF4">
      <w:r w:rsidRPr="00BB08C8">
        <w:br w:type="page"/>
      </w:r>
    </w:p>
    <w:p w14:paraId="00000029" w14:textId="77777777" w:rsidR="002069BA" w:rsidRPr="00BB08C8" w:rsidRDefault="00757EF4">
      <w:pPr>
        <w:pStyle w:val="Heading1"/>
      </w:pPr>
      <w:bookmarkStart w:id="11" w:name="_h3la18x8gry9" w:colFirst="0" w:colLast="0"/>
      <w:bookmarkStart w:id="12" w:name="_Toc223101968"/>
      <w:bookmarkEnd w:id="11"/>
      <w:r w:rsidRPr="00BB08C8">
        <w:lastRenderedPageBreak/>
        <w:t>Reference List</w:t>
      </w:r>
      <w:bookmarkEnd w:id="12"/>
    </w:p>
    <w:p w14:paraId="0000002A" w14:textId="77777777" w:rsidR="002069BA" w:rsidRPr="00BB08C8" w:rsidRDefault="00757EF4">
      <w:pPr>
        <w:spacing w:after="240"/>
      </w:pPr>
      <w:r w:rsidRPr="00BB08C8">
        <w:t xml:space="preserve">Armstrong, M. and Taylor, S., 2023. </w:t>
      </w:r>
      <w:r w:rsidRPr="00BB08C8">
        <w:rPr>
          <w:i/>
          <w:iCs/>
        </w:rPr>
        <w:t>Armstrong's handbook of human resource management practice: A guide to the theory and practice of people management</w:t>
      </w:r>
      <w:r w:rsidRPr="00BB08C8">
        <w:t>. Kogan Page Publishers.</w:t>
      </w:r>
    </w:p>
    <w:p w14:paraId="0000002B" w14:textId="77777777" w:rsidR="002069BA" w:rsidRPr="00BB08C8" w:rsidRDefault="00757EF4">
      <w:pPr>
        <w:spacing w:after="240"/>
        <w:rPr>
          <w:color w:val="1155CC"/>
          <w:u w:val="single"/>
        </w:rPr>
      </w:pPr>
      <w:proofErr w:type="spellStart"/>
      <w:r w:rsidRPr="00BB08C8">
        <w:t>Asfahani</w:t>
      </w:r>
      <w:proofErr w:type="spellEnd"/>
      <w:r w:rsidRPr="00BB08C8">
        <w:t xml:space="preserve">, A.M., 2024. Fusing talent horizons: the transformative role of data integration in modern talent management. </w:t>
      </w:r>
      <w:r w:rsidRPr="00BB08C8">
        <w:rPr>
          <w:i/>
          <w:iCs/>
        </w:rPr>
        <w:t>Discover Sustainability</w:t>
      </w:r>
      <w:r w:rsidRPr="00BB08C8">
        <w:t xml:space="preserve">, </w:t>
      </w:r>
      <w:r w:rsidRPr="00BB08C8">
        <w:rPr>
          <w:i/>
          <w:iCs/>
        </w:rPr>
        <w:t>5</w:t>
      </w:r>
      <w:r w:rsidRPr="00BB08C8">
        <w:t>(1), p.25.</w:t>
      </w:r>
      <w:hyperlink r:id="rId7">
        <w:r w:rsidRPr="00BB08C8">
          <w:t xml:space="preserve"> </w:t>
        </w:r>
      </w:hyperlink>
      <w:hyperlink r:id="rId8">
        <w:r w:rsidRPr="00BB08C8">
          <w:rPr>
            <w:color w:val="1155CC"/>
            <w:u w:val="single"/>
          </w:rPr>
          <w:t>https://link.springer.com/article/10.1007/s43621-024-00212-7</w:t>
        </w:r>
      </w:hyperlink>
    </w:p>
    <w:p w14:paraId="0000002C" w14:textId="77777777" w:rsidR="002069BA" w:rsidRPr="00BB08C8" w:rsidRDefault="00757EF4">
      <w:pPr>
        <w:spacing w:after="240"/>
        <w:rPr>
          <w:color w:val="1155CC"/>
          <w:u w:val="single"/>
        </w:rPr>
      </w:pPr>
      <w:r w:rsidRPr="00BB08C8">
        <w:t xml:space="preserve">Farias, I.C., 2025. Facial Expression Analysis with Artificial Intelligence in Talent Acquisition: A Scoping Review. </w:t>
      </w:r>
      <w:r w:rsidRPr="00BB08C8">
        <w:rPr>
          <w:i/>
          <w:iCs/>
        </w:rPr>
        <w:t>PQDT-Global</w:t>
      </w:r>
      <w:r w:rsidRPr="00BB08C8">
        <w:t>.</w:t>
      </w:r>
      <w:hyperlink r:id="rId9">
        <w:r w:rsidRPr="00BB08C8">
          <w:t xml:space="preserve"> </w:t>
        </w:r>
      </w:hyperlink>
      <w:hyperlink r:id="rId10">
        <w:r w:rsidRPr="00BB08C8">
          <w:rPr>
            <w:color w:val="1155CC"/>
            <w:u w:val="single"/>
          </w:rPr>
          <w:t>https://search.proquest.com/openview/8408b20293aa81c4688cf4a73d96ff29/1?pq-origsite=gscholar&amp;cbl=2026366&amp;diss=y</w:t>
        </w:r>
      </w:hyperlink>
    </w:p>
    <w:p w14:paraId="0000002D" w14:textId="77777777" w:rsidR="002069BA" w:rsidRPr="00BB08C8" w:rsidRDefault="00757EF4">
      <w:pPr>
        <w:spacing w:after="240"/>
      </w:pPr>
      <w:r w:rsidRPr="00BB08C8">
        <w:t xml:space="preserve">Greene, A.M. and Kirton, G., 2021. </w:t>
      </w:r>
      <w:r w:rsidRPr="00BB08C8">
        <w:rPr>
          <w:i/>
          <w:iCs/>
        </w:rPr>
        <w:t>The dynamics of managing diversity and inclusion: A critical approach</w:t>
      </w:r>
      <w:r w:rsidRPr="00BB08C8">
        <w:t>. Routledge.</w:t>
      </w:r>
    </w:p>
    <w:p w14:paraId="0000002E" w14:textId="77777777" w:rsidR="002069BA" w:rsidRPr="00BB08C8" w:rsidRDefault="00757EF4">
      <w:pPr>
        <w:spacing w:after="240"/>
        <w:rPr>
          <w:color w:val="1155CC"/>
          <w:u w:val="single"/>
        </w:rPr>
      </w:pPr>
      <w:r w:rsidRPr="00BB08C8">
        <w:t xml:space="preserve">Huang, X., Yang, F., Zheng, J., Feng, C. and Zhang, L., 2023. Personalized human resource management via HR analytics and artificial intelligence: Theory and implications. </w:t>
      </w:r>
      <w:r w:rsidRPr="00BB08C8">
        <w:rPr>
          <w:i/>
          <w:iCs/>
        </w:rPr>
        <w:t>Asia Pacific Management Review</w:t>
      </w:r>
      <w:r w:rsidRPr="00BB08C8">
        <w:t xml:space="preserve">, </w:t>
      </w:r>
      <w:r w:rsidRPr="00BB08C8">
        <w:rPr>
          <w:i/>
          <w:iCs/>
        </w:rPr>
        <w:t>28</w:t>
      </w:r>
      <w:r w:rsidRPr="00BB08C8">
        <w:t>(4), pp.598-610.</w:t>
      </w:r>
      <w:hyperlink r:id="rId11">
        <w:r w:rsidRPr="00BB08C8">
          <w:t xml:space="preserve"> </w:t>
        </w:r>
      </w:hyperlink>
      <w:hyperlink r:id="rId12">
        <w:r w:rsidRPr="00BB08C8">
          <w:rPr>
            <w:color w:val="1155CC"/>
            <w:u w:val="single"/>
          </w:rPr>
          <w:t>https://www.sciencedirect.com/science/article/pii/S1029313223000295</w:t>
        </w:r>
      </w:hyperlink>
    </w:p>
    <w:p w14:paraId="0000002F" w14:textId="77777777" w:rsidR="002069BA" w:rsidRPr="00BB08C8" w:rsidRDefault="00757EF4">
      <w:pPr>
        <w:spacing w:after="240"/>
      </w:pPr>
      <w:r w:rsidRPr="00BB08C8">
        <w:t>Hydro International. 2026. About Hydro International. [online] Available at: https://hydro-int.com/en/about-hydro-international?language_content_entity=en [Accessed 27 Feb. 2026].</w:t>
      </w:r>
    </w:p>
    <w:p w14:paraId="00000030" w14:textId="77777777" w:rsidR="002069BA" w:rsidRPr="00BB08C8" w:rsidRDefault="00757EF4">
      <w:pPr>
        <w:spacing w:after="240"/>
        <w:rPr>
          <w:color w:val="1155CC"/>
          <w:u w:val="single"/>
        </w:rPr>
      </w:pPr>
      <w:proofErr w:type="spellStart"/>
      <w:r w:rsidRPr="00BB08C8">
        <w:t>Inceoglu</w:t>
      </w:r>
      <w:proofErr w:type="spellEnd"/>
      <w:r w:rsidRPr="00BB08C8">
        <w:t xml:space="preserve">, I., Vanacker, T. and Vismara, S., 2024. Digitalization and resource mobilization. </w:t>
      </w:r>
      <w:r w:rsidRPr="00BB08C8">
        <w:rPr>
          <w:i/>
          <w:iCs/>
        </w:rPr>
        <w:t>British Journal of Management</w:t>
      </w:r>
      <w:r w:rsidRPr="00BB08C8">
        <w:t xml:space="preserve">, </w:t>
      </w:r>
      <w:r w:rsidRPr="00BB08C8">
        <w:rPr>
          <w:i/>
          <w:iCs/>
        </w:rPr>
        <w:t>35</w:t>
      </w:r>
      <w:r w:rsidRPr="00BB08C8">
        <w:t>(2), pp.576-593.</w:t>
      </w:r>
      <w:hyperlink r:id="rId13">
        <w:r w:rsidRPr="00BB08C8">
          <w:t xml:space="preserve"> </w:t>
        </w:r>
      </w:hyperlink>
      <w:hyperlink r:id="rId14">
        <w:r w:rsidRPr="00BB08C8">
          <w:rPr>
            <w:color w:val="1155CC"/>
            <w:u w:val="single"/>
          </w:rPr>
          <w:t>https://onlinelibrary.wiley.com/doi/abs/10.1111/1467-8551.12817</w:t>
        </w:r>
      </w:hyperlink>
    </w:p>
    <w:p w14:paraId="00000031" w14:textId="77777777" w:rsidR="002069BA" w:rsidRPr="00BB08C8" w:rsidRDefault="00757EF4">
      <w:pPr>
        <w:spacing w:after="240"/>
        <w:rPr>
          <w:color w:val="1155CC"/>
          <w:u w:val="single"/>
        </w:rPr>
      </w:pPr>
      <w:r w:rsidRPr="00BB08C8">
        <w:t xml:space="preserve">Jain, A., Hassard, J., Leka, S., Di Tecco, C. and </w:t>
      </w:r>
      <w:proofErr w:type="spellStart"/>
      <w:r w:rsidRPr="00BB08C8">
        <w:t>Iavicoli</w:t>
      </w:r>
      <w:proofErr w:type="spellEnd"/>
      <w:r w:rsidRPr="00BB08C8">
        <w:t xml:space="preserve">, S., 2021. The role of occupational health services in psychosocial risk management and the promotion of mental health and well-being at work. </w:t>
      </w:r>
      <w:r w:rsidRPr="00BB08C8">
        <w:rPr>
          <w:i/>
          <w:iCs/>
        </w:rPr>
        <w:t>International journal of environmental research and public health</w:t>
      </w:r>
      <w:r w:rsidRPr="00BB08C8">
        <w:t xml:space="preserve">, </w:t>
      </w:r>
      <w:r w:rsidRPr="00BB08C8">
        <w:rPr>
          <w:i/>
          <w:iCs/>
        </w:rPr>
        <w:t>18</w:t>
      </w:r>
      <w:r w:rsidRPr="00BB08C8">
        <w:t>(7), p.3632.</w:t>
      </w:r>
      <w:hyperlink r:id="rId15">
        <w:r w:rsidRPr="00BB08C8">
          <w:t xml:space="preserve"> </w:t>
        </w:r>
      </w:hyperlink>
      <w:hyperlink r:id="rId16">
        <w:r w:rsidRPr="00BB08C8">
          <w:rPr>
            <w:color w:val="1155CC"/>
            <w:u w:val="single"/>
          </w:rPr>
          <w:t>https://www.mdpi.com/1660-4601/18/7/3632</w:t>
        </w:r>
      </w:hyperlink>
    </w:p>
    <w:p w14:paraId="00000032" w14:textId="77777777" w:rsidR="002069BA" w:rsidRPr="00BB08C8" w:rsidRDefault="00757EF4">
      <w:pPr>
        <w:spacing w:after="240"/>
      </w:pPr>
      <w:r w:rsidRPr="00BB08C8">
        <w:t xml:space="preserve">Kulik, C.T. and Perry, E.L., 2023. </w:t>
      </w:r>
      <w:r w:rsidRPr="00BB08C8">
        <w:rPr>
          <w:i/>
          <w:iCs/>
        </w:rPr>
        <w:t>Human resources for the non-HR manager</w:t>
      </w:r>
      <w:r w:rsidRPr="00BB08C8">
        <w:t>. Routledge.</w:t>
      </w:r>
    </w:p>
    <w:p w14:paraId="00000033" w14:textId="77777777" w:rsidR="002069BA" w:rsidRPr="00BB08C8" w:rsidRDefault="00757EF4">
      <w:pPr>
        <w:spacing w:after="240"/>
        <w:rPr>
          <w:color w:val="1155CC"/>
          <w:u w:val="single"/>
        </w:rPr>
      </w:pPr>
      <w:r w:rsidRPr="00BB08C8">
        <w:t xml:space="preserve">Leong, S.Y. and Said, H., 2024. Revisit Attraction–Selection–Attrition Model for Teacher Retention in International Schools. </w:t>
      </w:r>
      <w:r w:rsidRPr="00BB08C8">
        <w:rPr>
          <w:i/>
          <w:iCs/>
        </w:rPr>
        <w:t>European Journal of Educational Research</w:t>
      </w:r>
      <w:r w:rsidRPr="00BB08C8">
        <w:t xml:space="preserve">, </w:t>
      </w:r>
      <w:r w:rsidRPr="00BB08C8">
        <w:rPr>
          <w:i/>
          <w:iCs/>
        </w:rPr>
        <w:t>13</w:t>
      </w:r>
      <w:r w:rsidRPr="00BB08C8">
        <w:t>(2), pp.865-876.</w:t>
      </w:r>
      <w:hyperlink r:id="rId17">
        <w:r w:rsidRPr="00BB08C8">
          <w:t xml:space="preserve"> </w:t>
        </w:r>
      </w:hyperlink>
      <w:hyperlink r:id="rId18">
        <w:r w:rsidRPr="00BB08C8">
          <w:rPr>
            <w:color w:val="1155CC"/>
            <w:u w:val="single"/>
          </w:rPr>
          <w:t>https://www.eu-jer.com/revisit-attraction-selection-attrition-model-for-teacher-retention-in-international-schools</w:t>
        </w:r>
      </w:hyperlink>
    </w:p>
    <w:p w14:paraId="00000034" w14:textId="77777777" w:rsidR="002069BA" w:rsidRPr="00BB08C8" w:rsidRDefault="00757EF4">
      <w:pPr>
        <w:spacing w:after="240"/>
      </w:pPr>
      <w:r w:rsidRPr="00BB08C8">
        <w:lastRenderedPageBreak/>
        <w:t xml:space="preserve">Maslow, A.H., 2023. </w:t>
      </w:r>
      <w:r w:rsidRPr="00BB08C8">
        <w:rPr>
          <w:i/>
          <w:iCs/>
        </w:rPr>
        <w:t xml:space="preserve">Motivation and personality: motivation and personality: unlocking your inner drive and understanding human </w:t>
      </w:r>
      <w:proofErr w:type="spellStart"/>
      <w:r w:rsidRPr="00BB08C8">
        <w:rPr>
          <w:i/>
          <w:iCs/>
        </w:rPr>
        <w:t>behavior</w:t>
      </w:r>
      <w:proofErr w:type="spellEnd"/>
      <w:r w:rsidRPr="00BB08C8">
        <w:rPr>
          <w:i/>
          <w:iCs/>
        </w:rPr>
        <w:t xml:space="preserve"> by AH Maslow</w:t>
      </w:r>
      <w:r w:rsidRPr="00BB08C8">
        <w:t>. Prabhat Prakashan.</w:t>
      </w:r>
    </w:p>
    <w:p w14:paraId="00000035" w14:textId="77777777" w:rsidR="002069BA" w:rsidRPr="00BB08C8" w:rsidRDefault="00757EF4">
      <w:pPr>
        <w:spacing w:after="240"/>
      </w:pPr>
      <w:r w:rsidRPr="00BB08C8">
        <w:t>Michael Page. 2025. New study reveals over half of UK marketers would turn down a promotion to protect their wellbeing | Michael Page. [online] Available at: https://www.michaelpage.co.uk/news/media-releases/study-reveals-half-UK-marketers-turn-down-promotion-protect-wellbeing [Accessed 27 Feb. 2026].</w:t>
      </w:r>
    </w:p>
    <w:p w14:paraId="00000036" w14:textId="77777777" w:rsidR="002069BA" w:rsidRPr="00BB08C8" w:rsidRDefault="00757EF4">
      <w:pPr>
        <w:spacing w:after="240"/>
      </w:pPr>
      <w:r w:rsidRPr="00BB08C8">
        <w:t>Omar Ali, Kristina Krsteska, Dina Said and Mujtaba Momin,. 2023. Advanced technologies enabled human resources functions: Benefits, challenges, and functionalities: A systematic review, Cogent Business &amp; Management, 10(2).</w:t>
      </w:r>
      <w:hyperlink r:id="rId19">
        <w:r w:rsidRPr="00BB08C8">
          <w:t xml:space="preserve"> </w:t>
        </w:r>
      </w:hyperlink>
      <w:hyperlink r:id="rId20">
        <w:r w:rsidRPr="00BB08C8">
          <w:rPr>
            <w:color w:val="1155CC"/>
            <w:u w:val="single"/>
          </w:rPr>
          <w:t>https://doi.org/10.1080/23311975.2023.2216430</w:t>
        </w:r>
      </w:hyperlink>
      <w:r w:rsidRPr="00BB08C8">
        <w:t>.</w:t>
      </w:r>
    </w:p>
    <w:p w14:paraId="00000037" w14:textId="77777777" w:rsidR="002069BA" w:rsidRPr="00BB08C8" w:rsidRDefault="00757EF4">
      <w:pPr>
        <w:spacing w:after="240"/>
      </w:pPr>
      <w:r w:rsidRPr="00BB08C8">
        <w:t>Payne, E.-R. 2026. AI tops UK CEOs’ investment priorities despite limited returns - HR Magazine. [online] HR Magazine. Available at: https://www.hrmagazine.co.uk/content/news/ai-tops-uk-ceos-investment-priorities-despite-limited-returns [Accessed 27 Feb. 2026].</w:t>
      </w:r>
    </w:p>
    <w:p w14:paraId="00000038" w14:textId="77777777" w:rsidR="002069BA" w:rsidRPr="00BB08C8" w:rsidRDefault="00757EF4">
      <w:pPr>
        <w:spacing w:after="240"/>
        <w:rPr>
          <w:color w:val="1155CC"/>
          <w:u w:val="single"/>
        </w:rPr>
      </w:pPr>
      <w:r w:rsidRPr="00BB08C8">
        <w:t xml:space="preserve">Yang, M., 2024. Research and Practice on the Importance of Diversity and Inclusive Culture in Human Resource Management. In </w:t>
      </w:r>
      <w:r w:rsidRPr="00BB08C8">
        <w:rPr>
          <w:i/>
          <w:iCs/>
        </w:rPr>
        <w:t>SHS Web of Conferences</w:t>
      </w:r>
      <w:r w:rsidRPr="00BB08C8">
        <w:t xml:space="preserve"> (Vol. 200, p. 02030). EDP Sciences.</w:t>
      </w:r>
      <w:hyperlink r:id="rId21">
        <w:r w:rsidRPr="00BB08C8">
          <w:t xml:space="preserve"> </w:t>
        </w:r>
      </w:hyperlink>
      <w:hyperlink r:id="rId22">
        <w:r w:rsidRPr="00BB08C8">
          <w:rPr>
            <w:color w:val="1155CC"/>
            <w:u w:val="single"/>
          </w:rPr>
          <w:t>https://www.shs-conferences.org/articles/shsconf/abs/2024/20/shsconf_sess2024_02030/shsconf_sess2024_02030.html</w:t>
        </w:r>
      </w:hyperlink>
    </w:p>
    <w:p w14:paraId="00000039" w14:textId="77777777" w:rsidR="002069BA" w:rsidRPr="00BB08C8" w:rsidRDefault="002069BA"/>
    <w:p w14:paraId="0000003A" w14:textId="77777777" w:rsidR="002069BA" w:rsidRPr="00BB08C8" w:rsidRDefault="002069BA"/>
    <w:sectPr w:rsidR="002069BA" w:rsidRPr="00BB08C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E176D" w14:textId="77777777" w:rsidR="00A64D02" w:rsidRDefault="00A64D02">
      <w:pPr>
        <w:spacing w:line="240" w:lineRule="auto"/>
      </w:pPr>
      <w:r>
        <w:separator/>
      </w:r>
    </w:p>
  </w:endnote>
  <w:endnote w:type="continuationSeparator" w:id="0">
    <w:p w14:paraId="3BA0ABB2" w14:textId="77777777" w:rsidR="00A64D02" w:rsidRDefault="00A64D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78939B1-1E2C-4149-91B7-964855041DBB}"/>
  </w:font>
  <w:font w:name="Cambria">
    <w:panose1 w:val="02040503050406030204"/>
    <w:charset w:val="00"/>
    <w:family w:val="roman"/>
    <w:pitch w:val="variable"/>
    <w:sig w:usb0="E00006FF" w:usb1="420024FF" w:usb2="02000000" w:usb3="00000000" w:csb0="0000019F" w:csb1="00000000"/>
    <w:embedRegular r:id="rId2" w:fontKey="{7DCE3837-89E0-4B2C-8750-8CE1A0EF77D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A26CE" w14:textId="77777777" w:rsidR="00A64D02" w:rsidRDefault="00A64D02">
      <w:pPr>
        <w:spacing w:line="240" w:lineRule="auto"/>
      </w:pPr>
      <w:r>
        <w:separator/>
      </w:r>
    </w:p>
  </w:footnote>
  <w:footnote w:type="continuationSeparator" w:id="0">
    <w:p w14:paraId="66CD52BA" w14:textId="77777777" w:rsidR="00A64D02" w:rsidRDefault="00A64D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9BA"/>
    <w:rsid w:val="00030518"/>
    <w:rsid w:val="0018059D"/>
    <w:rsid w:val="001A5E08"/>
    <w:rsid w:val="002069BA"/>
    <w:rsid w:val="003155E4"/>
    <w:rsid w:val="00581235"/>
    <w:rsid w:val="00596562"/>
    <w:rsid w:val="00757EF4"/>
    <w:rsid w:val="007902E4"/>
    <w:rsid w:val="007A12D2"/>
    <w:rsid w:val="00A64D02"/>
    <w:rsid w:val="00B952AE"/>
    <w:rsid w:val="00BB08C8"/>
    <w:rsid w:val="00BB71A7"/>
    <w:rsid w:val="00BC436F"/>
    <w:rsid w:val="00C23AFA"/>
    <w:rsid w:val="00C93DC6"/>
    <w:rsid w:val="00CB40F1"/>
    <w:rsid w:val="00D66AAC"/>
    <w:rsid w:val="00F00D44"/>
    <w:rsid w:val="00F7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C09C7"/>
  <w15:docId w15:val="{432B6618-3FF5-4B1D-921A-A7ABECE7D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B71A7"/>
    <w:pPr>
      <w:tabs>
        <w:tab w:val="center" w:pos="4513"/>
        <w:tab w:val="right" w:pos="9026"/>
      </w:tabs>
      <w:spacing w:line="240" w:lineRule="auto"/>
    </w:pPr>
  </w:style>
  <w:style w:type="character" w:customStyle="1" w:styleId="HeaderChar">
    <w:name w:val="Header Char"/>
    <w:basedOn w:val="DefaultParagraphFont"/>
    <w:link w:val="Header"/>
    <w:uiPriority w:val="99"/>
    <w:rsid w:val="00BB71A7"/>
  </w:style>
  <w:style w:type="paragraph" w:styleId="Footer">
    <w:name w:val="footer"/>
    <w:basedOn w:val="Normal"/>
    <w:link w:val="FooterChar"/>
    <w:uiPriority w:val="99"/>
    <w:unhideWhenUsed/>
    <w:rsid w:val="00BB71A7"/>
    <w:pPr>
      <w:tabs>
        <w:tab w:val="center" w:pos="4513"/>
        <w:tab w:val="right" w:pos="9026"/>
      </w:tabs>
      <w:spacing w:line="240" w:lineRule="auto"/>
    </w:pPr>
  </w:style>
  <w:style w:type="character" w:customStyle="1" w:styleId="FooterChar">
    <w:name w:val="Footer Char"/>
    <w:basedOn w:val="DefaultParagraphFont"/>
    <w:link w:val="Footer"/>
    <w:uiPriority w:val="99"/>
    <w:rsid w:val="00BB71A7"/>
  </w:style>
  <w:style w:type="paragraph" w:styleId="TOCHeading">
    <w:name w:val="TOC Heading"/>
    <w:basedOn w:val="Heading1"/>
    <w:next w:val="Normal"/>
    <w:uiPriority w:val="39"/>
    <w:unhideWhenUsed/>
    <w:qFormat/>
    <w:rsid w:val="00F00D4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00D44"/>
    <w:pPr>
      <w:spacing w:after="100"/>
    </w:pPr>
  </w:style>
  <w:style w:type="character" w:styleId="Hyperlink">
    <w:name w:val="Hyperlink"/>
    <w:basedOn w:val="DefaultParagraphFont"/>
    <w:uiPriority w:val="99"/>
    <w:unhideWhenUsed/>
    <w:rsid w:val="00F00D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43621-024-00212-7" TargetMode="External"/><Relationship Id="rId13" Type="http://schemas.openxmlformats.org/officeDocument/2006/relationships/hyperlink" Target="https://onlinelibrary.wiley.com/doi/abs/10.1111/1467-8551.12817" TargetMode="External"/><Relationship Id="rId18" Type="http://schemas.openxmlformats.org/officeDocument/2006/relationships/hyperlink" Target="https://www.eu-jer.com/revisit-attraction-selection-attrition-model-for-teacher-retention-in-international-schools" TargetMode="External"/><Relationship Id="rId3" Type="http://schemas.openxmlformats.org/officeDocument/2006/relationships/settings" Target="settings.xml"/><Relationship Id="rId21" Type="http://schemas.openxmlformats.org/officeDocument/2006/relationships/hyperlink" Target="https://www.shs-conferences.org/articles/shsconf/abs/2024/20/shsconf_sess2024_02030/shsconf_sess2024_02030.html" TargetMode="External"/><Relationship Id="rId7" Type="http://schemas.openxmlformats.org/officeDocument/2006/relationships/hyperlink" Target="https://link.springer.com/article/10.1007/s43621-024-00212-7" TargetMode="External"/><Relationship Id="rId12" Type="http://schemas.openxmlformats.org/officeDocument/2006/relationships/hyperlink" Target="https://www.sciencedirect.com/science/article/pii/S1029313223000295" TargetMode="External"/><Relationship Id="rId17" Type="http://schemas.openxmlformats.org/officeDocument/2006/relationships/hyperlink" Target="https://www.eu-jer.com/revisit-attraction-selection-attrition-model-for-teacher-retention-in-international-schools" TargetMode="External"/><Relationship Id="rId2" Type="http://schemas.openxmlformats.org/officeDocument/2006/relationships/styles" Target="styles.xml"/><Relationship Id="rId16" Type="http://schemas.openxmlformats.org/officeDocument/2006/relationships/hyperlink" Target="https://www.mdpi.com/1660-4601/18/7/3632" TargetMode="External"/><Relationship Id="rId20" Type="http://schemas.openxmlformats.org/officeDocument/2006/relationships/hyperlink" Target="https://doi.org/10.1080/23311975.2023.221643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102931322300029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dpi.com/1660-4601/18/7/3632" TargetMode="External"/><Relationship Id="rId23" Type="http://schemas.openxmlformats.org/officeDocument/2006/relationships/fontTable" Target="fontTable.xml"/><Relationship Id="rId10" Type="http://schemas.openxmlformats.org/officeDocument/2006/relationships/hyperlink" Target="https://search.proquest.com/openview/8408b20293aa81c4688cf4a73d96ff29/1?pq-origsite=gscholar&amp;cbl=2026366&amp;diss=y" TargetMode="External"/><Relationship Id="rId19" Type="http://schemas.openxmlformats.org/officeDocument/2006/relationships/hyperlink" Target="https://doi.org/10.1080/23311975.2023.2216430" TargetMode="External"/><Relationship Id="rId4" Type="http://schemas.openxmlformats.org/officeDocument/2006/relationships/webSettings" Target="webSettings.xml"/><Relationship Id="rId9" Type="http://schemas.openxmlformats.org/officeDocument/2006/relationships/hyperlink" Target="https://search.proquest.com/openview/8408b20293aa81c4688cf4a73d96ff29/1?pq-origsite=gscholar&amp;cbl=2026366&amp;diss=y" TargetMode="External"/><Relationship Id="rId14" Type="http://schemas.openxmlformats.org/officeDocument/2006/relationships/hyperlink" Target="https://onlinelibrary.wiley.com/doi/abs/10.1111/1467-8551.12817" TargetMode="External"/><Relationship Id="rId22" Type="http://schemas.openxmlformats.org/officeDocument/2006/relationships/hyperlink" Target="https://www.shs-conferences.org/articles/shsconf/abs/2024/20/shsconf_sess2024_02030/shsconf_sess2024_02030.html"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88F2F1-809C-4055-96D3-161F82F5A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2653</TotalTime>
  <Pages>11</Pages>
  <Words>3015</Words>
  <Characters>17186</Characters>
  <Application>Microsoft Office Word</Application>
  <DocSecurity>0</DocSecurity>
  <Lines>143</Lines>
  <Paragraphs>40</Paragraphs>
  <ScaleCrop>false</ScaleCrop>
  <Company/>
  <LinksUpToDate>false</LinksUpToDate>
  <CharactersWithSpaces>20161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Mariusz Fratczak (2424154)</cp:lastModifiedBy>
  <cp:revision>13</cp:revision>
  <dcterms:created xsi:type="dcterms:W3CDTF">2026-02-27T10:46:00Z</dcterms:created>
  <dcterms:modified xsi:type="dcterms:W3CDTF">2026-04-25T08:19:00Z</dcterms:modified>
</cp:coreProperties>
</file>