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imes New Roman" w:hAnsi="Times New Roman" w:cs="Times New Roman"/>
          <w:sz w:val="21"/>
          <w:szCs w:val="21"/>
        </w:rPr>
        <w:id w:val="930390944"/>
      </w:sdtPr>
      <w:sdtEndPr>
        <w:rPr>
          <w:rFonts w:ascii="Times New Roman" w:hAnsi="Times New Roman" w:cs="Times New Roman"/>
          <w:sz w:val="21"/>
          <w:szCs w:val="21"/>
        </w:rPr>
      </w:sdtEndPr>
      <w:sdtContent>
        <w:p w14:paraId="109F357C">
          <w:pPr>
            <w:spacing w:line="240" w:lineRule="auto"/>
            <w:ind w:firstLine="420" w:firstLineChars="200"/>
            <w:jc w:val="both"/>
            <w:rPr>
              <w:rFonts w:ascii="Times New Roman" w:hAnsi="Times New Roman" w:cs="Times New Roman"/>
              <w:sz w:val="21"/>
              <w:szCs w:val="21"/>
            </w:rPr>
          </w:pPr>
          <w:r>
            <w:rPr>
              <w:rFonts w:ascii="Times New Roman" w:hAnsi="Times New Roman" w:cs="Times New Roman"/>
              <w:sz w:val="21"/>
              <w:szCs w:val="2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595" cy="3840480"/>
                    <wp:effectExtent l="0" t="0" r="1905" b="762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11"/>
                                  <w:tblW w:w="5000" w:type="pct"/>
                                  <w:jc w:val="center"/>
                                  <w:tblBorders>
                                    <w:top w:val="none" w:color="auto" w:sz="0" w:space="0"/>
                                    <w:left w:val="none" w:color="auto" w:sz="0" w:space="0"/>
                                    <w:bottom w:val="none" w:color="auto" w:sz="0" w:space="0"/>
                                    <w:right w:val="none" w:color="auto" w:sz="0" w:space="0"/>
                                    <w:insideH w:val="none" w:color="auto" w:sz="0" w:space="0"/>
                                    <w:insideV w:val="single" w:color="EE822F" w:themeColor="accent2" w:sz="12" w:space="0"/>
                                  </w:tblBorders>
                                  <w:tblLayout w:type="autofit"/>
                                  <w:tblCellMar>
                                    <w:top w:w="1296" w:type="dxa"/>
                                    <w:left w:w="360" w:type="dxa"/>
                                    <w:bottom w:w="1296" w:type="dxa"/>
                                    <w:right w:w="360" w:type="dxa"/>
                                  </w:tblCellMar>
                                </w:tblPr>
                                <w:tblGrid>
                                  <w:gridCol w:w="6117"/>
                                  <w:gridCol w:w="5793"/>
                                </w:tblGrid>
                                <w:tr w14:paraId="51BD6B06">
                                  <w:tblPrEx>
                                    <w:tblBorders>
                                      <w:top w:val="none" w:color="auto" w:sz="0" w:space="0"/>
                                      <w:left w:val="none" w:color="auto" w:sz="0" w:space="0"/>
                                      <w:bottom w:val="none" w:color="auto" w:sz="0" w:space="0"/>
                                      <w:right w:val="none" w:color="auto" w:sz="0" w:space="0"/>
                                      <w:insideH w:val="none" w:color="auto" w:sz="0" w:space="0"/>
                                      <w:insideV w:val="single" w:color="EE822F" w:themeColor="accent2" w:sz="12" w:space="0"/>
                                    </w:tblBorders>
                                    <w:tblCellMar>
                                      <w:top w:w="1296" w:type="dxa"/>
                                      <w:left w:w="360" w:type="dxa"/>
                                      <w:bottom w:w="1296" w:type="dxa"/>
                                      <w:right w:w="360" w:type="dxa"/>
                                    </w:tblCellMar>
                                  </w:tblPrEx>
                                  <w:trPr>
                                    <w:jc w:val="center"/>
                                  </w:trPr>
                                  <w:tc>
                                    <w:tcPr>
                                      <w:tcW w:w="2568" w:type="pct"/>
                                      <w:vAlign w:val="center"/>
                                    </w:tcPr>
                                    <w:p w14:paraId="6293384D">
                                      <w:pPr>
                                        <w:jc w:val="right"/>
                                      </w:pPr>
                                      <w:r>
                                        <w:drawing>
                                          <wp:inline distT="0" distB="0" distL="0" distR="0">
                                            <wp:extent cx="3064510" cy="3830955"/>
                                            <wp:effectExtent l="0" t="0" r="2540" b="17145"/>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A1A1A" w:themeColor="text1" w:themeTint="E6"/>
                                          <w:sz w:val="72"/>
                                          <w:szCs w:val="72"/>
                                          <w14:textFill>
                                            <w14:solidFill>
                                              <w14:schemeClr w14:val="tx1">
                                                <w14:lumMod w14:val="90000"/>
                                                <w14:lumOff w14:val="10000"/>
                                              </w14:schemeClr>
                                            </w14:solidFill>
                                          </w14:textFill>
                                        </w:rPr>
                                        <w:alias w:val="Title"/>
                                        <w:id w:val="-438379639"/>
                                        <w:dataBinding w:prefixMappings="xmlns:ns0='http://purl.org/dc/elements/1.1/' xmlns:ns1='http://schemas.openxmlformats.org/package/2006/metadata/core-properties' " w:xpath="/ns1:coreProperties[1]/ns0:title[1]" w:storeItemID="{6C3C8BC8-F283-45AE-878A-BAB7291924A1}"/>
                                        <w:text/>
                                      </w:sdtPr>
                                      <w:sdtEndPr>
                                        <w:rPr>
                                          <w:caps/>
                                          <w:color w:val="1A1A1A" w:themeColor="text1" w:themeTint="E6"/>
                                          <w:sz w:val="72"/>
                                          <w:szCs w:val="72"/>
                                          <w14:textFill>
                                            <w14:solidFill>
                                              <w14:schemeClr w14:val="tx1">
                                                <w14:lumMod w14:val="90000"/>
                                                <w14:lumOff w14:val="10000"/>
                                              </w14:schemeClr>
                                            </w14:solidFill>
                                          </w14:textFill>
                                        </w:rPr>
                                      </w:sdtEndPr>
                                      <w:sdtContent>
                                        <w:p w14:paraId="44E3D104">
                                          <w:pPr>
                                            <w:pStyle w:val="15"/>
                                            <w:spacing w:line="312" w:lineRule="auto"/>
                                            <w:jc w:val="right"/>
                                            <w:rPr>
                                              <w:caps/>
                                              <w:color w:val="1A1A1A" w:themeColor="text1" w:themeTint="E6"/>
                                              <w:sz w:val="72"/>
                                              <w:szCs w:val="72"/>
                                              <w14:textFill>
                                                <w14:solidFill>
                                                  <w14:schemeClr w14:val="tx1">
                                                    <w14:lumMod w14:val="90000"/>
                                                    <w14:lumOff w14:val="10000"/>
                                                  </w14:schemeClr>
                                                </w14:solidFill>
                                              </w14:textFill>
                                            </w:rPr>
                                          </w:pPr>
                                          <w:r>
                                            <w:rPr>
                                              <w:rFonts w:hint="eastAsia" w:ascii="Arial" w:hAnsi="Arial" w:cs="Arial"/>
                                              <w:b/>
                                              <w:bCs/>
                                              <w:sz w:val="28"/>
                                              <w:szCs w:val="28"/>
                                              <w:lang w:eastAsia="zh-CN"/>
                                            </w:rPr>
                                            <w:t xml:space="preserve">Assessment Title: IBC Strategies </w:t>
                                          </w:r>
                                        </w:p>
                                      </w:sdtContent>
                                    </w:sdt>
                                    <w:p w14:paraId="72D667A2">
                                      <w:pPr>
                                        <w:spacing w:line="480" w:lineRule="auto"/>
                                        <w:jc w:val="center"/>
                                        <w:rPr>
                                          <w:color w:val="000000" w:themeColor="text1"/>
                                          <w:sz w:val="24"/>
                                          <w:szCs w:val="24"/>
                                          <w:lang w:val="en-US"/>
                                          <w14:textFill>
                                            <w14:solidFill>
                                              <w14:schemeClr w14:val="tx1"/>
                                            </w14:solidFill>
                                          </w14:textFill>
                                        </w:rPr>
                                      </w:pPr>
                                    </w:p>
                                  </w:tc>
                                  <w:tc>
                                    <w:tcPr>
                                      <w:tcW w:w="2432" w:type="pct"/>
                                      <w:vAlign w:val="center"/>
                                    </w:tcPr>
                                    <w:p w14:paraId="2652A23F">
                                      <w:pPr>
                                        <w:spacing w:line="480" w:lineRule="auto"/>
                                        <w:jc w:val="center"/>
                                        <w:rPr>
                                          <w:rFonts w:ascii="Arial" w:hAnsi="Arial" w:cs="Arial"/>
                                          <w:color w:val="000000" w:themeColor="text1"/>
                                          <w:sz w:val="24"/>
                                          <w:szCs w:val="24"/>
                                          <w14:textFill>
                                            <w14:solidFill>
                                              <w14:schemeClr w14:val="tx1"/>
                                            </w14:solidFill>
                                          </w14:textFill>
                                        </w:rPr>
                                      </w:pPr>
                                      <w:sdt>
                                        <w:sdtPr>
                                          <w:rPr>
                                            <w:color w:val="000000" w:themeColor="text1"/>
                                            <w:sz w:val="24"/>
                                            <w:szCs w:val="24"/>
                                            <w14:textFill>
                                              <w14:solidFill>
                                                <w14:schemeClr w14:val="tx1"/>
                                              </w14:solidFill>
                                            </w14:textFill>
                                          </w:rPr>
                                          <w:alias w:val="Subtitle"/>
                                          <w:id w:val="147465637"/>
                                          <w:dataBinding w:prefixMappings="xmlns:ns0='http://purl.org/dc/elements/1.1/' xmlns:ns1='http://schemas.openxmlformats.org/package/2006/metadata/core-properties' " w:xpath="/ns1:coreProperties[1]/ns0:subject[1]" w:storeItemID="{6C3C8BC8-F283-45AE-878A-BAB7291924A1}"/>
                                          <w:text/>
                                        </w:sdtPr>
                                        <w:sdtEndPr>
                                          <w:rPr>
                                            <w:rFonts w:ascii="Arial" w:hAnsi="Arial" w:cs="Arial"/>
                                            <w:color w:val="000000" w:themeColor="text1"/>
                                            <w:sz w:val="24"/>
                                            <w:szCs w:val="24"/>
                                            <w14:textFill>
                                              <w14:solidFill>
                                                <w14:schemeClr w14:val="tx1"/>
                                              </w14:solidFill>
                                            </w14:textFill>
                                          </w:rPr>
                                        </w:sdtEndPr>
                                        <w:sdtContent>
                                          <w:r>
                                            <w:rPr>
                                              <w:rFonts w:ascii="Arial" w:hAnsi="Arial" w:cs="Arial"/>
                                              <w:color w:val="000000" w:themeColor="text1"/>
                                              <w:sz w:val="24"/>
                                              <w:szCs w:val="24"/>
                                              <w:lang w:val="en-US"/>
                                              <w14:textFill>
                                                <w14:solidFill>
                                                  <w14:schemeClr w14:val="tx1"/>
                                                </w14:solidFill>
                                              </w14:textFill>
                                            </w:rPr>
                                            <w:t>Module code: BMBM6021</w:t>
                                          </w:r>
                                        </w:sdtContent>
                                      </w:sdt>
                                    </w:p>
                                    <w:p w14:paraId="4B27100C">
                                      <w:pPr>
                                        <w:spacing w:line="480" w:lineRule="auto"/>
                                        <w:jc w:val="center"/>
                                        <w:rPr>
                                          <w:rFonts w:ascii="Arial" w:hAnsi="Arial" w:cs="Arial"/>
                                          <w:color w:val="000000" w:themeColor="text1"/>
                                          <w:sz w:val="24"/>
                                          <w:szCs w:val="24"/>
                                          <w:lang w:val="en-US"/>
                                          <w14:textFill>
                                            <w14:solidFill>
                                              <w14:schemeClr w14:val="tx1"/>
                                            </w14:solidFill>
                                          </w14:textFill>
                                        </w:rPr>
                                      </w:pPr>
                                      <w:r>
                                        <w:rPr>
                                          <w:rFonts w:ascii="Arial" w:hAnsi="Arial" w:cs="Arial"/>
                                          <w:color w:val="000000" w:themeColor="text1"/>
                                          <w:sz w:val="24"/>
                                          <w:szCs w:val="24"/>
                                          <w:lang w:val="en-US"/>
                                          <w14:textFill>
                                            <w14:solidFill>
                                              <w14:schemeClr w14:val="tx1"/>
                                            </w14:solidFill>
                                          </w14:textFill>
                                        </w:rPr>
                                        <w:t>Module name: International Business Communications</w:t>
                                      </w:r>
                                    </w:p>
                                    <w:p w14:paraId="349F68F0">
                                      <w:pPr>
                                        <w:spacing w:line="480" w:lineRule="auto"/>
                                        <w:jc w:val="center"/>
                                        <w:rPr>
                                          <w:rFonts w:ascii="Arial" w:hAnsi="Arial" w:cs="Arial"/>
                                          <w:color w:val="000000" w:themeColor="text1"/>
                                          <w:sz w:val="24"/>
                                          <w:szCs w:val="24"/>
                                          <w:lang w:val="en-US"/>
                                          <w14:textFill>
                                            <w14:solidFill>
                                              <w14:schemeClr w14:val="tx1"/>
                                            </w14:solidFill>
                                          </w14:textFill>
                                        </w:rPr>
                                      </w:pPr>
                                      <w:r>
                                        <w:rPr>
                                          <w:rFonts w:ascii="Arial" w:hAnsi="Arial" w:cs="Arial"/>
                                          <w:color w:val="000000" w:themeColor="text1"/>
                                          <w:sz w:val="24"/>
                                          <w:szCs w:val="24"/>
                                          <w:lang w:val="en-US"/>
                                          <w14:textFill>
                                            <w14:solidFill>
                                              <w14:schemeClr w14:val="tx1"/>
                                            </w14:solidFill>
                                          </w14:textFill>
                                        </w:rPr>
                                        <w:t>Student name: Shuqi Xin</w:t>
                                      </w:r>
                                    </w:p>
                                    <w:p w14:paraId="62898B17">
                                      <w:pPr>
                                        <w:spacing w:line="480" w:lineRule="auto"/>
                                        <w:jc w:val="center"/>
                                        <w:rPr>
                                          <w:rFonts w:ascii="Arial" w:hAnsi="Arial" w:cs="Arial"/>
                                          <w:color w:val="000000" w:themeColor="text1"/>
                                          <w:sz w:val="24"/>
                                          <w:szCs w:val="24"/>
                                          <w:lang w:val="en-US"/>
                                          <w14:textFill>
                                            <w14:solidFill>
                                              <w14:schemeClr w14:val="tx1"/>
                                            </w14:solidFill>
                                          </w14:textFill>
                                        </w:rPr>
                                      </w:pPr>
                                      <w:r>
                                        <w:rPr>
                                          <w:rFonts w:ascii="Arial" w:hAnsi="Arial" w:cs="Arial"/>
                                          <w:color w:val="000000" w:themeColor="text1"/>
                                          <w:sz w:val="24"/>
                                          <w:szCs w:val="24"/>
                                          <w:lang w:val="en-US"/>
                                          <w14:textFill>
                                            <w14:solidFill>
                                              <w14:schemeClr w14:val="tx1"/>
                                            </w14:solidFill>
                                          </w14:textFill>
                                        </w:rPr>
                                        <w:t>Student id: 2317430</w:t>
                                      </w:r>
                                    </w:p>
                                    <w:p w14:paraId="51A9CB45">
                                      <w:pPr>
                                        <w:pStyle w:val="15"/>
                                        <w:jc w:val="center"/>
                                        <w:rPr>
                                          <w:rFonts w:hint="default"/>
                                          <w:color w:val="EE822F" w:themeColor="accent2"/>
                                          <w:sz w:val="26"/>
                                          <w:szCs w:val="26"/>
                                          <w:lang w:val="en-US"/>
                                          <w14:textFill>
                                            <w14:solidFill>
                                              <w14:schemeClr w14:val="accent2"/>
                                            </w14:solidFill>
                                          </w14:textFill>
                                        </w:rPr>
                                      </w:pPr>
                                      <w:r>
                                        <w:rPr>
                                          <w:rFonts w:ascii="Arial" w:hAnsi="Arial" w:cs="Arial"/>
                                          <w:color w:val="000000" w:themeColor="text1"/>
                                          <w:sz w:val="24"/>
                                          <w:szCs w:val="24"/>
                                          <w:lang w:eastAsia="zh-CN"/>
                                          <w14:textFill>
                                            <w14:solidFill>
                                              <w14:schemeClr w14:val="tx1"/>
                                            </w14:solidFill>
                                          </w14:textFill>
                                        </w:rPr>
                                        <w:t>Words count:</w:t>
                                      </w:r>
                                      <w:r>
                                        <w:rPr>
                                          <w:rFonts w:hint="eastAsia" w:ascii="Arial" w:hAnsi="Arial" w:cs="Arial"/>
                                          <w:color w:val="000000" w:themeColor="text1"/>
                                          <w:sz w:val="24"/>
                                          <w:szCs w:val="24"/>
                                          <w:lang w:val="en-US" w:eastAsia="zh-CN"/>
                                          <w14:textFill>
                                            <w14:solidFill>
                                              <w14:schemeClr w14:val="tx1"/>
                                            </w14:solidFill>
                                          </w14:textFill>
                                        </w:rPr>
                                        <w:t>2437(excluding tables)</w:t>
                                      </w:r>
                                    </w:p>
                                    <w:p w14:paraId="79E7EEB4">
                                      <w:pPr>
                                        <w:pStyle w:val="15"/>
                                      </w:pPr>
                                    </w:p>
                                  </w:tc>
                                </w:tr>
                              </w:tbl>
                              <w:p w14:paraId="6ABF93ED"/>
                            </w:txbxContent>
                          </wps:txbx>
                          <wps:bodyPr rot="0" spcFirstLastPara="0" vertOverflow="overflow" horzOverflow="overflow" vert="horz" wrap="square" lIns="0" tIns="0" rIns="0" bIns="0" numCol="1" spcCol="0" rtlCol="0" fromWordArt="0" anchor="ctr" anchorCtr="0" forceAA="0" compatLnSpc="1">
                            <a:noAutofit/>
                          </wps:bodyPr>
                        </wps:wsp>
                      </a:graphicData>
                    </a:graphic>
                    <wp14:sizeRelH relativeFrom="page">
                      <wp14:pctWidth>94100</wp14:pctWidth>
                    </wp14:sizeRelH>
                    <wp14:sizeRelV relativeFrom="page">
                      <wp14:pctHeight>77300</wp14:pctHeight>
                    </wp14:sizeRelV>
                  </wp:anchor>
                </w:drawing>
              </mc:Choice>
              <mc:Fallback>
                <w:pict>
                  <v:shape id="Text Box 138" o:spid="_x0000_s1026" o:spt="202" type="#_x0000_t202" style="position:absolute;left:0pt;height:302.4pt;width:134.85pt;mso-position-horizontal:center;mso-position-horizontal-relative:page;mso-position-vertical:center;mso-position-vertical-relative:page;z-index:251659264;v-text-anchor:middle;mso-width-relative:page;mso-height-relative:page;mso-width-percent:941;mso-height-percent:773;" fillcolor="#FFFFFF [3201]" filled="t" stroked="f" coordsize="21600,21600" o:gfxdata="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">
                    <v:fill on="t" focussize="0,0"/>
                    <v:stroke on="f" weight="0.5pt"/>
                    <v:imagedata o:title=""/>
                    <o:lock v:ext="edit" aspectratio="f"/>
                    <v:textbox inset="0mm,0mm,0mm,0mm">
                      <w:txbxContent>
                        <w:tbl>
                          <w:tblPr>
                            <w:tblStyle w:val="11"/>
                            <w:tblW w:w="5000" w:type="pct"/>
                            <w:jc w:val="center"/>
                            <w:tblBorders>
                              <w:top w:val="none" w:color="auto" w:sz="0" w:space="0"/>
                              <w:left w:val="none" w:color="auto" w:sz="0" w:space="0"/>
                              <w:bottom w:val="none" w:color="auto" w:sz="0" w:space="0"/>
                              <w:right w:val="none" w:color="auto" w:sz="0" w:space="0"/>
                              <w:insideH w:val="none" w:color="auto" w:sz="0" w:space="0"/>
                              <w:insideV w:val="single" w:color="EE822F" w:themeColor="accent2" w:sz="12" w:space="0"/>
                            </w:tblBorders>
                            <w:tblLayout w:type="autofit"/>
                            <w:tblCellMar>
                              <w:top w:w="1296" w:type="dxa"/>
                              <w:left w:w="360" w:type="dxa"/>
                              <w:bottom w:w="1296" w:type="dxa"/>
                              <w:right w:w="360" w:type="dxa"/>
                            </w:tblCellMar>
                          </w:tblPr>
                          <w:tblGrid>
                            <w:gridCol w:w="6117"/>
                            <w:gridCol w:w="5793"/>
                          </w:tblGrid>
                          <w:tr w14:paraId="51BD6B06">
                            <w:tblPrEx>
                              <w:tblBorders>
                                <w:top w:val="none" w:color="auto" w:sz="0" w:space="0"/>
                                <w:left w:val="none" w:color="auto" w:sz="0" w:space="0"/>
                                <w:bottom w:val="none" w:color="auto" w:sz="0" w:space="0"/>
                                <w:right w:val="none" w:color="auto" w:sz="0" w:space="0"/>
                                <w:insideH w:val="none" w:color="auto" w:sz="0" w:space="0"/>
                                <w:insideV w:val="single" w:color="EE822F" w:themeColor="accent2" w:sz="12" w:space="0"/>
                              </w:tblBorders>
                              <w:tblCellMar>
                                <w:top w:w="1296" w:type="dxa"/>
                                <w:left w:w="360" w:type="dxa"/>
                                <w:bottom w:w="1296" w:type="dxa"/>
                                <w:right w:w="360" w:type="dxa"/>
                              </w:tblCellMar>
                            </w:tblPrEx>
                            <w:trPr>
                              <w:jc w:val="center"/>
                            </w:trPr>
                            <w:tc>
                              <w:tcPr>
                                <w:tcW w:w="2568" w:type="pct"/>
                                <w:vAlign w:val="center"/>
                              </w:tcPr>
                              <w:p w14:paraId="6293384D">
                                <w:pPr>
                                  <w:jc w:val="right"/>
                                </w:pPr>
                                <w:r>
                                  <w:drawing>
                                    <wp:inline distT="0" distB="0" distL="0" distR="0">
                                      <wp:extent cx="3064510" cy="3830955"/>
                                      <wp:effectExtent l="0" t="0" r="2540" b="17145"/>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A1A1A" w:themeColor="text1" w:themeTint="E6"/>
                                    <w:sz w:val="72"/>
                                    <w:szCs w:val="72"/>
                                    <w14:textFill>
                                      <w14:solidFill>
                                        <w14:schemeClr w14:val="tx1">
                                          <w14:lumMod w14:val="90000"/>
                                          <w14:lumOff w14:val="10000"/>
                                        </w14:schemeClr>
                                      </w14:solidFill>
                                    </w14:textFill>
                                  </w:rPr>
                                  <w:alias w:val="Title"/>
                                  <w:id w:val="-438379639"/>
                                  <w:dataBinding w:prefixMappings="xmlns:ns0='http://purl.org/dc/elements/1.1/' xmlns:ns1='http://schemas.openxmlformats.org/package/2006/metadata/core-properties' " w:xpath="/ns1:coreProperties[1]/ns0:title[1]" w:storeItemID="{6C3C8BC8-F283-45AE-878A-BAB7291924A1}"/>
                                  <w:text/>
                                </w:sdtPr>
                                <w:sdtEndPr>
                                  <w:rPr>
                                    <w:caps/>
                                    <w:color w:val="1A1A1A" w:themeColor="text1" w:themeTint="E6"/>
                                    <w:sz w:val="72"/>
                                    <w:szCs w:val="72"/>
                                    <w14:textFill>
                                      <w14:solidFill>
                                        <w14:schemeClr w14:val="tx1">
                                          <w14:lumMod w14:val="90000"/>
                                          <w14:lumOff w14:val="10000"/>
                                        </w14:schemeClr>
                                      </w14:solidFill>
                                    </w14:textFill>
                                  </w:rPr>
                                </w:sdtEndPr>
                                <w:sdtContent>
                                  <w:p w14:paraId="44E3D104">
                                    <w:pPr>
                                      <w:pStyle w:val="15"/>
                                      <w:spacing w:line="312" w:lineRule="auto"/>
                                      <w:jc w:val="right"/>
                                      <w:rPr>
                                        <w:caps/>
                                        <w:color w:val="1A1A1A" w:themeColor="text1" w:themeTint="E6"/>
                                        <w:sz w:val="72"/>
                                        <w:szCs w:val="72"/>
                                        <w14:textFill>
                                          <w14:solidFill>
                                            <w14:schemeClr w14:val="tx1">
                                              <w14:lumMod w14:val="90000"/>
                                              <w14:lumOff w14:val="10000"/>
                                            </w14:schemeClr>
                                          </w14:solidFill>
                                        </w14:textFill>
                                      </w:rPr>
                                    </w:pPr>
                                    <w:r>
                                      <w:rPr>
                                        <w:rFonts w:hint="eastAsia" w:ascii="Arial" w:hAnsi="Arial" w:cs="Arial"/>
                                        <w:b/>
                                        <w:bCs/>
                                        <w:sz w:val="28"/>
                                        <w:szCs w:val="28"/>
                                        <w:lang w:eastAsia="zh-CN"/>
                                      </w:rPr>
                                      <w:t xml:space="preserve">Assessment Title: IBC Strategies </w:t>
                                    </w:r>
                                  </w:p>
                                </w:sdtContent>
                              </w:sdt>
                              <w:p w14:paraId="72D667A2">
                                <w:pPr>
                                  <w:spacing w:line="480" w:lineRule="auto"/>
                                  <w:jc w:val="center"/>
                                  <w:rPr>
                                    <w:color w:val="000000" w:themeColor="text1"/>
                                    <w:sz w:val="24"/>
                                    <w:szCs w:val="24"/>
                                    <w:lang w:val="en-US"/>
                                    <w14:textFill>
                                      <w14:solidFill>
                                        <w14:schemeClr w14:val="tx1"/>
                                      </w14:solidFill>
                                    </w14:textFill>
                                  </w:rPr>
                                </w:pPr>
                              </w:p>
                            </w:tc>
                            <w:tc>
                              <w:tcPr>
                                <w:tcW w:w="2432" w:type="pct"/>
                                <w:vAlign w:val="center"/>
                              </w:tcPr>
                              <w:p w14:paraId="2652A23F">
                                <w:pPr>
                                  <w:spacing w:line="480" w:lineRule="auto"/>
                                  <w:jc w:val="center"/>
                                  <w:rPr>
                                    <w:rFonts w:ascii="Arial" w:hAnsi="Arial" w:cs="Arial"/>
                                    <w:color w:val="000000" w:themeColor="text1"/>
                                    <w:sz w:val="24"/>
                                    <w:szCs w:val="24"/>
                                    <w14:textFill>
                                      <w14:solidFill>
                                        <w14:schemeClr w14:val="tx1"/>
                                      </w14:solidFill>
                                    </w14:textFill>
                                  </w:rPr>
                                </w:pPr>
                                <w:sdt>
                                  <w:sdtPr>
                                    <w:rPr>
                                      <w:color w:val="000000" w:themeColor="text1"/>
                                      <w:sz w:val="24"/>
                                      <w:szCs w:val="24"/>
                                      <w14:textFill>
                                        <w14:solidFill>
                                          <w14:schemeClr w14:val="tx1"/>
                                        </w14:solidFill>
                                      </w14:textFill>
                                    </w:rPr>
                                    <w:alias w:val="Subtitle"/>
                                    <w:id w:val="147465637"/>
                                    <w:dataBinding w:prefixMappings="xmlns:ns0='http://purl.org/dc/elements/1.1/' xmlns:ns1='http://schemas.openxmlformats.org/package/2006/metadata/core-properties' " w:xpath="/ns1:coreProperties[1]/ns0:subject[1]" w:storeItemID="{6C3C8BC8-F283-45AE-878A-BAB7291924A1}"/>
                                    <w:text/>
                                  </w:sdtPr>
                                  <w:sdtEndPr>
                                    <w:rPr>
                                      <w:rFonts w:ascii="Arial" w:hAnsi="Arial" w:cs="Arial"/>
                                      <w:color w:val="000000" w:themeColor="text1"/>
                                      <w:sz w:val="24"/>
                                      <w:szCs w:val="24"/>
                                      <w14:textFill>
                                        <w14:solidFill>
                                          <w14:schemeClr w14:val="tx1"/>
                                        </w14:solidFill>
                                      </w14:textFill>
                                    </w:rPr>
                                  </w:sdtEndPr>
                                  <w:sdtContent>
                                    <w:r>
                                      <w:rPr>
                                        <w:rFonts w:ascii="Arial" w:hAnsi="Arial" w:cs="Arial"/>
                                        <w:color w:val="000000" w:themeColor="text1"/>
                                        <w:sz w:val="24"/>
                                        <w:szCs w:val="24"/>
                                        <w:lang w:val="en-US"/>
                                        <w14:textFill>
                                          <w14:solidFill>
                                            <w14:schemeClr w14:val="tx1"/>
                                          </w14:solidFill>
                                        </w14:textFill>
                                      </w:rPr>
                                      <w:t>Module code: BMBM6021</w:t>
                                    </w:r>
                                  </w:sdtContent>
                                </w:sdt>
                              </w:p>
                              <w:p w14:paraId="4B27100C">
                                <w:pPr>
                                  <w:spacing w:line="480" w:lineRule="auto"/>
                                  <w:jc w:val="center"/>
                                  <w:rPr>
                                    <w:rFonts w:ascii="Arial" w:hAnsi="Arial" w:cs="Arial"/>
                                    <w:color w:val="000000" w:themeColor="text1"/>
                                    <w:sz w:val="24"/>
                                    <w:szCs w:val="24"/>
                                    <w:lang w:val="en-US"/>
                                    <w14:textFill>
                                      <w14:solidFill>
                                        <w14:schemeClr w14:val="tx1"/>
                                      </w14:solidFill>
                                    </w14:textFill>
                                  </w:rPr>
                                </w:pPr>
                                <w:r>
                                  <w:rPr>
                                    <w:rFonts w:ascii="Arial" w:hAnsi="Arial" w:cs="Arial"/>
                                    <w:color w:val="000000" w:themeColor="text1"/>
                                    <w:sz w:val="24"/>
                                    <w:szCs w:val="24"/>
                                    <w:lang w:val="en-US"/>
                                    <w14:textFill>
                                      <w14:solidFill>
                                        <w14:schemeClr w14:val="tx1"/>
                                      </w14:solidFill>
                                    </w14:textFill>
                                  </w:rPr>
                                  <w:t>Module name: International Business Communications</w:t>
                                </w:r>
                              </w:p>
                              <w:p w14:paraId="349F68F0">
                                <w:pPr>
                                  <w:spacing w:line="480" w:lineRule="auto"/>
                                  <w:jc w:val="center"/>
                                  <w:rPr>
                                    <w:rFonts w:ascii="Arial" w:hAnsi="Arial" w:cs="Arial"/>
                                    <w:color w:val="000000" w:themeColor="text1"/>
                                    <w:sz w:val="24"/>
                                    <w:szCs w:val="24"/>
                                    <w:lang w:val="en-US"/>
                                    <w14:textFill>
                                      <w14:solidFill>
                                        <w14:schemeClr w14:val="tx1"/>
                                      </w14:solidFill>
                                    </w14:textFill>
                                  </w:rPr>
                                </w:pPr>
                                <w:r>
                                  <w:rPr>
                                    <w:rFonts w:ascii="Arial" w:hAnsi="Arial" w:cs="Arial"/>
                                    <w:color w:val="000000" w:themeColor="text1"/>
                                    <w:sz w:val="24"/>
                                    <w:szCs w:val="24"/>
                                    <w:lang w:val="en-US"/>
                                    <w14:textFill>
                                      <w14:solidFill>
                                        <w14:schemeClr w14:val="tx1"/>
                                      </w14:solidFill>
                                    </w14:textFill>
                                  </w:rPr>
                                  <w:t>Student name: Shuqi Xin</w:t>
                                </w:r>
                              </w:p>
                              <w:p w14:paraId="62898B17">
                                <w:pPr>
                                  <w:spacing w:line="480" w:lineRule="auto"/>
                                  <w:jc w:val="center"/>
                                  <w:rPr>
                                    <w:rFonts w:ascii="Arial" w:hAnsi="Arial" w:cs="Arial"/>
                                    <w:color w:val="000000" w:themeColor="text1"/>
                                    <w:sz w:val="24"/>
                                    <w:szCs w:val="24"/>
                                    <w:lang w:val="en-US"/>
                                    <w14:textFill>
                                      <w14:solidFill>
                                        <w14:schemeClr w14:val="tx1"/>
                                      </w14:solidFill>
                                    </w14:textFill>
                                  </w:rPr>
                                </w:pPr>
                                <w:r>
                                  <w:rPr>
                                    <w:rFonts w:ascii="Arial" w:hAnsi="Arial" w:cs="Arial"/>
                                    <w:color w:val="000000" w:themeColor="text1"/>
                                    <w:sz w:val="24"/>
                                    <w:szCs w:val="24"/>
                                    <w:lang w:val="en-US"/>
                                    <w14:textFill>
                                      <w14:solidFill>
                                        <w14:schemeClr w14:val="tx1"/>
                                      </w14:solidFill>
                                    </w14:textFill>
                                  </w:rPr>
                                  <w:t>Student id: 2317430</w:t>
                                </w:r>
                              </w:p>
                              <w:p w14:paraId="51A9CB45">
                                <w:pPr>
                                  <w:pStyle w:val="15"/>
                                  <w:jc w:val="center"/>
                                  <w:rPr>
                                    <w:rFonts w:hint="default"/>
                                    <w:color w:val="EE822F" w:themeColor="accent2"/>
                                    <w:sz w:val="26"/>
                                    <w:szCs w:val="26"/>
                                    <w:lang w:val="en-US"/>
                                    <w14:textFill>
                                      <w14:solidFill>
                                        <w14:schemeClr w14:val="accent2"/>
                                      </w14:solidFill>
                                    </w14:textFill>
                                  </w:rPr>
                                </w:pPr>
                                <w:r>
                                  <w:rPr>
                                    <w:rFonts w:ascii="Arial" w:hAnsi="Arial" w:cs="Arial"/>
                                    <w:color w:val="000000" w:themeColor="text1"/>
                                    <w:sz w:val="24"/>
                                    <w:szCs w:val="24"/>
                                    <w:lang w:eastAsia="zh-CN"/>
                                    <w14:textFill>
                                      <w14:solidFill>
                                        <w14:schemeClr w14:val="tx1"/>
                                      </w14:solidFill>
                                    </w14:textFill>
                                  </w:rPr>
                                  <w:t>Words count:</w:t>
                                </w:r>
                                <w:r>
                                  <w:rPr>
                                    <w:rFonts w:hint="eastAsia" w:ascii="Arial" w:hAnsi="Arial" w:cs="Arial"/>
                                    <w:color w:val="000000" w:themeColor="text1"/>
                                    <w:sz w:val="24"/>
                                    <w:szCs w:val="24"/>
                                    <w:lang w:val="en-US" w:eastAsia="zh-CN"/>
                                    <w14:textFill>
                                      <w14:solidFill>
                                        <w14:schemeClr w14:val="tx1"/>
                                      </w14:solidFill>
                                    </w14:textFill>
                                  </w:rPr>
                                  <w:t>2437(excluding tables)</w:t>
                                </w:r>
                              </w:p>
                              <w:p w14:paraId="79E7EEB4">
                                <w:pPr>
                                  <w:pStyle w:val="15"/>
                                </w:pPr>
                              </w:p>
                            </w:tc>
                          </w:tr>
                        </w:tbl>
                        <w:p w14:paraId="6ABF93ED"/>
                      </w:txbxContent>
                    </v:textbox>
                  </v:shape>
                </w:pict>
              </mc:Fallback>
            </mc:AlternateContent>
          </w:r>
          <w:r>
            <w:rPr>
              <w:rFonts w:ascii="Times New Roman" w:hAnsi="Times New Roman" w:cs="Times New Roman"/>
              <w:sz w:val="21"/>
              <w:szCs w:val="21"/>
            </w:rPr>
            <w:br w:type="page"/>
          </w:r>
          <w:bookmarkStart w:id="6" w:name="_GoBack"/>
          <w:bookmarkEnd w:id="6"/>
        </w:p>
      </w:sdtContent>
    </w:sdt>
    <w:p w14:paraId="46D38F71">
      <w:pPr>
        <w:pBdr>
          <w:bottom w:val="single" w:color="auto" w:sz="4" w:space="1"/>
        </w:pBdr>
        <w:spacing w:line="480" w:lineRule="auto"/>
        <w:jc w:val="both"/>
        <w:outlineLvl w:val="0"/>
        <w:rPr>
          <w:rFonts w:ascii="Arial" w:hAnsi="Arial" w:cs="Arial"/>
          <w:b/>
          <w:bCs/>
          <w:color w:val="4874CB" w:themeColor="accent1"/>
          <w:sz w:val="28"/>
          <w:szCs w:val="28"/>
          <w14:textFill>
            <w14:solidFill>
              <w14:schemeClr w14:val="accent1"/>
            </w14:solidFill>
          </w14:textFill>
        </w:rPr>
      </w:pPr>
      <w:bookmarkStart w:id="0" w:name="_Toc24787"/>
      <w:r>
        <w:rPr>
          <w:rFonts w:ascii="Arial" w:hAnsi="Arial" w:cs="Arial"/>
          <w:b/>
          <w:bCs/>
          <w:color w:val="4874CB" w:themeColor="accent1"/>
          <w:sz w:val="28"/>
          <w:szCs w:val="28"/>
          <w14:textFill>
            <w14:solidFill>
              <w14:schemeClr w14:val="accent1"/>
            </w14:solidFill>
          </w14:textFill>
        </w:rPr>
        <w:t>Executive Summary</w:t>
      </w:r>
      <w:bookmarkEnd w:id="0"/>
    </w:p>
    <w:p w14:paraId="51C0A0AA">
      <w:pPr>
        <w:pBdr>
          <w:bottom w:val="single" w:color="auto" w:sz="4" w:space="1"/>
        </w:pBdr>
        <w:spacing w:line="480" w:lineRule="auto"/>
        <w:jc w:val="both"/>
        <w:rPr>
          <w:rFonts w:hint="eastAsia" w:ascii="Arial" w:hAnsi="Arial" w:cs="Arial"/>
          <w:sz w:val="24"/>
          <w:szCs w:val="24"/>
        </w:rPr>
      </w:pPr>
      <w:r>
        <w:rPr>
          <w:rFonts w:hint="eastAsia" w:ascii="Arial" w:hAnsi="Arial" w:cs="Arial"/>
          <w:sz w:val="24"/>
          <w:szCs w:val="24"/>
        </w:rPr>
        <w:t>The report explores the communication problems faced by British clothing retailers in the Chinese market. The report uses Hall's high-context and low-context cultures, Hofstede's cultural dimensions and Trompenaar's seven dimensions to explain these problems. The findings suggest that UK companies often fail to adjust their communication styles to China's high-context culture. This leads to misunderstandings and reduces trust. Relationship building is important in high context cultures and companies need to emphasise informal meetings and non-verbal communication. UK companies also rely too much on strict contracts and personal goals, while Chinese culture places more emphasis on relationships and teamwork. This difference creates problems. The report suggests that companies need to be more flexible by adapting contracts and incorporating local traditions in their marketing. Training staff to understand cultural differences, organising informal events and adopting the right management style can help companies succeed in international markets.</w:t>
      </w:r>
    </w:p>
    <w:p w14:paraId="28FA3300">
      <w:pPr>
        <w:pBdr>
          <w:bottom w:val="single" w:color="auto" w:sz="4" w:space="1"/>
        </w:pBdr>
        <w:spacing w:line="480" w:lineRule="auto"/>
        <w:ind w:firstLine="480" w:firstLineChars="200"/>
        <w:jc w:val="both"/>
        <w:rPr>
          <w:rFonts w:hint="eastAsia" w:ascii="Arial" w:hAnsi="Arial" w:cs="Arial"/>
          <w:sz w:val="24"/>
          <w:szCs w:val="24"/>
        </w:rPr>
      </w:pPr>
    </w:p>
    <w:p w14:paraId="1ED353AC">
      <w:pPr>
        <w:pBdr>
          <w:bottom w:val="single" w:color="auto" w:sz="4" w:space="1"/>
        </w:pBdr>
        <w:spacing w:line="480" w:lineRule="auto"/>
        <w:jc w:val="both"/>
        <w:rPr>
          <w:rFonts w:ascii="Arial" w:hAnsi="Arial" w:cs="Arial"/>
          <w:b/>
          <w:bCs/>
          <w:sz w:val="24"/>
          <w:szCs w:val="24"/>
        </w:rPr>
      </w:pPr>
    </w:p>
    <w:p w14:paraId="2C3DA289">
      <w:pPr>
        <w:pBdr>
          <w:bottom w:val="single" w:color="auto" w:sz="4" w:space="1"/>
        </w:pBdr>
        <w:spacing w:line="480" w:lineRule="auto"/>
        <w:ind w:firstLine="482" w:firstLineChars="200"/>
        <w:jc w:val="both"/>
        <w:rPr>
          <w:rFonts w:ascii="Arial" w:hAnsi="Arial" w:cs="Arial"/>
          <w:b/>
          <w:bCs/>
          <w:sz w:val="24"/>
          <w:szCs w:val="24"/>
        </w:rPr>
      </w:pPr>
    </w:p>
    <w:p w14:paraId="53912C53">
      <w:pPr>
        <w:pBdr>
          <w:bottom w:val="single" w:color="auto" w:sz="4" w:space="1"/>
        </w:pBdr>
        <w:spacing w:line="480" w:lineRule="auto"/>
        <w:ind w:firstLine="482" w:firstLineChars="200"/>
        <w:jc w:val="both"/>
        <w:rPr>
          <w:rFonts w:ascii="Arial" w:hAnsi="Arial" w:cs="Arial"/>
          <w:b/>
          <w:bCs/>
          <w:sz w:val="24"/>
          <w:szCs w:val="24"/>
        </w:rPr>
      </w:pPr>
    </w:p>
    <w:p w14:paraId="035E3BBB">
      <w:pPr>
        <w:pBdr>
          <w:bottom w:val="single" w:color="auto" w:sz="4" w:space="1"/>
        </w:pBdr>
        <w:spacing w:line="480" w:lineRule="auto"/>
        <w:ind w:firstLine="482" w:firstLineChars="200"/>
        <w:jc w:val="both"/>
        <w:rPr>
          <w:rFonts w:ascii="Arial" w:hAnsi="Arial" w:cs="Arial"/>
          <w:b/>
          <w:bCs/>
          <w:sz w:val="24"/>
          <w:szCs w:val="24"/>
        </w:rPr>
      </w:pPr>
    </w:p>
    <w:p w14:paraId="512624AA">
      <w:pPr>
        <w:pBdr>
          <w:bottom w:val="single" w:color="auto" w:sz="4" w:space="1"/>
        </w:pBdr>
        <w:spacing w:line="480" w:lineRule="auto"/>
        <w:ind w:firstLine="482" w:firstLineChars="200"/>
        <w:jc w:val="both"/>
        <w:rPr>
          <w:rFonts w:ascii="Arial" w:hAnsi="Arial" w:cs="Arial"/>
          <w:b/>
          <w:bCs/>
          <w:sz w:val="24"/>
          <w:szCs w:val="24"/>
        </w:rPr>
      </w:pPr>
    </w:p>
    <w:p w14:paraId="4F59E211">
      <w:pPr>
        <w:pBdr>
          <w:bottom w:val="single" w:color="auto" w:sz="4" w:space="1"/>
        </w:pBdr>
        <w:spacing w:line="480" w:lineRule="auto"/>
        <w:jc w:val="both"/>
        <w:rPr>
          <w:rFonts w:ascii="Arial" w:hAnsi="Arial" w:cs="Arial"/>
          <w:b/>
          <w:bCs/>
          <w:sz w:val="24"/>
          <w:szCs w:val="24"/>
        </w:rPr>
      </w:pPr>
    </w:p>
    <w:p w14:paraId="70D7150F">
      <w:pPr>
        <w:pBdr>
          <w:bottom w:val="single" w:color="auto" w:sz="4" w:space="1"/>
        </w:pBdr>
        <w:spacing w:line="480" w:lineRule="auto"/>
        <w:jc w:val="both"/>
        <w:rPr>
          <w:rFonts w:ascii="Arial" w:hAnsi="Arial" w:cs="Arial"/>
          <w:b/>
          <w:bCs/>
          <w:sz w:val="24"/>
          <w:szCs w:val="24"/>
        </w:rPr>
      </w:pPr>
    </w:p>
    <w:p w14:paraId="464276CC">
      <w:pPr>
        <w:spacing w:after="0" w:line="480" w:lineRule="auto"/>
        <w:jc w:val="center"/>
        <w:rPr>
          <w:rFonts w:ascii="Arial" w:hAnsi="Arial" w:cs="Arial"/>
          <w:color w:val="2E54A1" w:themeColor="accent1" w:themeShade="BF"/>
          <w:sz w:val="28"/>
          <w:szCs w:val="28"/>
        </w:rPr>
      </w:pPr>
      <w:r>
        <w:rPr>
          <w:rFonts w:ascii="Arial" w:hAnsi="Arial" w:cs="Arial"/>
          <w:b/>
          <w:bCs/>
          <w:color w:val="2E54A1" w:themeColor="accent1" w:themeShade="BF"/>
          <w:sz w:val="28"/>
          <w:szCs w:val="28"/>
        </w:rPr>
        <w:t>Content Page</w:t>
      </w:r>
    </w:p>
    <w:sdt>
      <w:sdtPr>
        <w:rPr>
          <w:rFonts w:ascii="Arial" w:hAnsi="Arial" w:eastAsia="宋体" w:cs="Arial"/>
          <w:sz w:val="24"/>
          <w:szCs w:val="24"/>
        </w:rPr>
        <w:id w:val="147465297"/>
        <w15:color w:val="DBDBDB"/>
        <w:docPartObj>
          <w:docPartGallery w:val="Table of Contents"/>
          <w:docPartUnique/>
        </w:docPartObj>
      </w:sdtPr>
      <w:sdtEndPr>
        <w:rPr>
          <w:rFonts w:ascii="Arial" w:hAnsi="Arial" w:cs="Arial" w:eastAsiaTheme="minorEastAsia"/>
          <w:bCs/>
          <w:sz w:val="22"/>
          <w:szCs w:val="24"/>
        </w:rPr>
      </w:sdtEndPr>
      <w:sdtContent>
        <w:p w14:paraId="7ED45B07">
          <w:pPr>
            <w:spacing w:after="0" w:line="480" w:lineRule="auto"/>
            <w:jc w:val="center"/>
            <w:rPr>
              <w:rFonts w:ascii="Arial" w:hAnsi="Arial" w:cs="Arial"/>
              <w:sz w:val="24"/>
              <w:szCs w:val="24"/>
            </w:rPr>
          </w:pPr>
        </w:p>
        <w:p w14:paraId="33B52377">
          <w:pPr>
            <w:pStyle w:val="16"/>
            <w:tabs>
              <w:tab w:val="right" w:leader="dot" w:pos="9026"/>
            </w:tabs>
            <w:spacing w:line="480" w:lineRule="auto"/>
            <w:rPr>
              <w:rFonts w:ascii="Arial" w:hAnsi="Arial" w:cs="Arial"/>
              <w:sz w:val="24"/>
              <w:szCs w:val="24"/>
            </w:rPr>
          </w:pPr>
          <w:r>
            <w:rPr>
              <w:rFonts w:ascii="Arial" w:hAnsi="Arial" w:cs="Arial"/>
              <w:bCs/>
              <w:sz w:val="24"/>
              <w:szCs w:val="24"/>
              <w:lang w:val="en-GB"/>
            </w:rPr>
            <w:fldChar w:fldCharType="begin"/>
          </w:r>
          <w:r>
            <w:rPr>
              <w:rFonts w:ascii="Arial" w:hAnsi="Arial" w:cs="Arial"/>
              <w:bCs/>
              <w:sz w:val="24"/>
              <w:szCs w:val="24"/>
              <w:lang w:val="en-GB"/>
            </w:rPr>
            <w:instrText xml:space="preserve">TOC \o "1-1" \h \u </w:instrText>
          </w:r>
          <w:r>
            <w:rPr>
              <w:rFonts w:ascii="Arial" w:hAnsi="Arial" w:cs="Arial"/>
              <w:bCs/>
              <w:sz w:val="24"/>
              <w:szCs w:val="24"/>
              <w:lang w:val="en-GB"/>
            </w:rPr>
            <w:fldChar w:fldCharType="separate"/>
          </w:r>
          <w:r>
            <w:fldChar w:fldCharType="begin"/>
          </w:r>
          <w:r>
            <w:instrText xml:space="preserve"> HYPERLINK \l "_Toc24787" </w:instrText>
          </w:r>
          <w:r>
            <w:fldChar w:fldCharType="separate"/>
          </w:r>
          <w:r>
            <w:rPr>
              <w:rFonts w:ascii="Arial" w:hAnsi="Arial" w:cs="Arial"/>
              <w:bCs/>
              <w:sz w:val="24"/>
              <w:szCs w:val="24"/>
            </w:rPr>
            <w:t>Executive Summary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_Toc24787 \h </w:instrText>
          </w:r>
          <w:r>
            <w:rPr>
              <w:rFonts w:ascii="Arial" w:hAnsi="Arial" w:cs="Arial"/>
              <w:sz w:val="24"/>
              <w:szCs w:val="24"/>
            </w:rPr>
            <w:fldChar w:fldCharType="separate"/>
          </w:r>
          <w:r>
            <w:rPr>
              <w:rFonts w:ascii="Arial" w:hAnsi="Arial" w:cs="Arial"/>
              <w:sz w:val="24"/>
              <w:szCs w:val="24"/>
            </w:rPr>
            <w:t>1</w:t>
          </w:r>
          <w:r>
            <w:rPr>
              <w:rFonts w:ascii="Arial" w:hAnsi="Arial" w:cs="Arial"/>
              <w:sz w:val="24"/>
              <w:szCs w:val="24"/>
            </w:rPr>
            <w:fldChar w:fldCharType="end"/>
          </w:r>
          <w:r>
            <w:rPr>
              <w:rFonts w:ascii="Arial" w:hAnsi="Arial" w:cs="Arial"/>
              <w:sz w:val="24"/>
              <w:szCs w:val="24"/>
            </w:rPr>
            <w:fldChar w:fldCharType="end"/>
          </w:r>
        </w:p>
        <w:p w14:paraId="471E52E3">
          <w:pPr>
            <w:pStyle w:val="16"/>
            <w:tabs>
              <w:tab w:val="right" w:leader="dot" w:pos="9026"/>
            </w:tabs>
            <w:spacing w:line="480" w:lineRule="auto"/>
            <w:rPr>
              <w:rFonts w:ascii="Arial" w:hAnsi="Arial" w:cs="Arial"/>
              <w:sz w:val="24"/>
              <w:szCs w:val="24"/>
            </w:rPr>
          </w:pPr>
          <w:r>
            <w:fldChar w:fldCharType="begin"/>
          </w:r>
          <w:r>
            <w:instrText xml:space="preserve"> HYPERLINK \l "_Toc22152" </w:instrText>
          </w:r>
          <w:r>
            <w:fldChar w:fldCharType="separate"/>
          </w:r>
          <w:r>
            <w:rPr>
              <w:rFonts w:ascii="Arial" w:hAnsi="Arial" w:cs="Arial"/>
              <w:sz w:val="24"/>
              <w:szCs w:val="24"/>
            </w:rPr>
            <w:t>1.Introduction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_Toc22152 \h </w:instrText>
          </w:r>
          <w:r>
            <w:rPr>
              <w:rFonts w:ascii="Arial" w:hAnsi="Arial" w:cs="Arial"/>
              <w:sz w:val="24"/>
              <w:szCs w:val="24"/>
            </w:rPr>
            <w:fldChar w:fldCharType="separate"/>
          </w:r>
          <w:r>
            <w:rPr>
              <w:rFonts w:ascii="Arial" w:hAnsi="Arial" w:cs="Arial"/>
              <w:sz w:val="24"/>
              <w:szCs w:val="24"/>
            </w:rPr>
            <w:t>2</w:t>
          </w:r>
          <w:r>
            <w:rPr>
              <w:rFonts w:ascii="Arial" w:hAnsi="Arial" w:cs="Arial"/>
              <w:sz w:val="24"/>
              <w:szCs w:val="24"/>
            </w:rPr>
            <w:fldChar w:fldCharType="end"/>
          </w:r>
          <w:r>
            <w:rPr>
              <w:rFonts w:ascii="Arial" w:hAnsi="Arial" w:cs="Arial"/>
              <w:sz w:val="24"/>
              <w:szCs w:val="24"/>
            </w:rPr>
            <w:fldChar w:fldCharType="end"/>
          </w:r>
        </w:p>
        <w:p w14:paraId="715EB351">
          <w:pPr>
            <w:pStyle w:val="16"/>
            <w:tabs>
              <w:tab w:val="right" w:leader="dot" w:pos="9026"/>
            </w:tabs>
            <w:spacing w:line="480" w:lineRule="auto"/>
            <w:rPr>
              <w:rFonts w:ascii="Arial" w:hAnsi="Arial" w:cs="Arial"/>
              <w:sz w:val="24"/>
              <w:szCs w:val="24"/>
            </w:rPr>
          </w:pPr>
          <w:r>
            <w:fldChar w:fldCharType="begin"/>
          </w:r>
          <w:r>
            <w:instrText xml:space="preserve"> HYPERLINK \l "_Toc10329" </w:instrText>
          </w:r>
          <w:r>
            <w:fldChar w:fldCharType="separate"/>
          </w:r>
          <w:r>
            <w:rPr>
              <w:rFonts w:ascii="Arial" w:hAnsi="Arial" w:cs="Arial"/>
              <w:sz w:val="24"/>
              <w:szCs w:val="24"/>
            </w:rPr>
            <w:t>2.0 – Main Findings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_Toc10329 \h </w:instrText>
          </w:r>
          <w:r>
            <w:rPr>
              <w:rFonts w:ascii="Arial" w:hAnsi="Arial" w:cs="Arial"/>
              <w:sz w:val="24"/>
              <w:szCs w:val="24"/>
            </w:rPr>
            <w:fldChar w:fldCharType="separate"/>
          </w:r>
          <w:r>
            <w:rPr>
              <w:rFonts w:ascii="Arial" w:hAnsi="Arial" w:cs="Arial"/>
              <w:sz w:val="24"/>
              <w:szCs w:val="24"/>
            </w:rPr>
            <w:t>3</w:t>
          </w:r>
          <w:r>
            <w:rPr>
              <w:rFonts w:ascii="Arial" w:hAnsi="Arial" w:cs="Arial"/>
              <w:sz w:val="24"/>
              <w:szCs w:val="24"/>
            </w:rPr>
            <w:fldChar w:fldCharType="end"/>
          </w:r>
          <w:r>
            <w:rPr>
              <w:rFonts w:ascii="Arial" w:hAnsi="Arial" w:cs="Arial"/>
              <w:sz w:val="24"/>
              <w:szCs w:val="24"/>
            </w:rPr>
            <w:fldChar w:fldCharType="end"/>
          </w:r>
        </w:p>
        <w:p w14:paraId="591216FF">
          <w:pPr>
            <w:pStyle w:val="16"/>
            <w:tabs>
              <w:tab w:val="right" w:leader="dot" w:pos="9026"/>
            </w:tabs>
            <w:spacing w:line="480" w:lineRule="auto"/>
            <w:rPr>
              <w:rFonts w:ascii="Arial" w:hAnsi="Arial" w:cs="Arial"/>
              <w:sz w:val="24"/>
              <w:szCs w:val="24"/>
            </w:rPr>
          </w:pPr>
          <w:r>
            <w:fldChar w:fldCharType="begin"/>
          </w:r>
          <w:r>
            <w:instrText xml:space="preserve"> HYPERLINK \l "_Toc25734" </w:instrText>
          </w:r>
          <w:r>
            <w:fldChar w:fldCharType="separate"/>
          </w:r>
          <w:r>
            <w:rPr>
              <w:rFonts w:ascii="Arial" w:hAnsi="Arial" w:cs="Arial"/>
              <w:sz w:val="24"/>
              <w:szCs w:val="24"/>
            </w:rPr>
            <w:t>3.0 – Conclusions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_Toc25734 \h </w:instrText>
          </w:r>
          <w:r>
            <w:rPr>
              <w:rFonts w:ascii="Arial" w:hAnsi="Arial" w:cs="Arial"/>
              <w:sz w:val="24"/>
              <w:szCs w:val="24"/>
            </w:rPr>
            <w:fldChar w:fldCharType="separate"/>
          </w:r>
          <w:r>
            <w:rPr>
              <w:rFonts w:ascii="Arial" w:hAnsi="Arial" w:cs="Arial"/>
              <w:sz w:val="24"/>
              <w:szCs w:val="24"/>
            </w:rPr>
            <w:t>11</w:t>
          </w:r>
          <w:r>
            <w:rPr>
              <w:rFonts w:ascii="Arial" w:hAnsi="Arial" w:cs="Arial"/>
              <w:sz w:val="24"/>
              <w:szCs w:val="24"/>
            </w:rPr>
            <w:fldChar w:fldCharType="end"/>
          </w:r>
          <w:r>
            <w:rPr>
              <w:rFonts w:ascii="Arial" w:hAnsi="Arial" w:cs="Arial"/>
              <w:sz w:val="24"/>
              <w:szCs w:val="24"/>
            </w:rPr>
            <w:fldChar w:fldCharType="end"/>
          </w:r>
        </w:p>
        <w:p w14:paraId="2609161F">
          <w:pPr>
            <w:pStyle w:val="16"/>
            <w:tabs>
              <w:tab w:val="right" w:leader="dot" w:pos="9026"/>
            </w:tabs>
            <w:spacing w:line="480" w:lineRule="auto"/>
            <w:rPr>
              <w:rFonts w:ascii="Arial" w:hAnsi="Arial" w:cs="Arial"/>
              <w:sz w:val="24"/>
              <w:szCs w:val="24"/>
            </w:rPr>
          </w:pPr>
          <w:r>
            <w:fldChar w:fldCharType="begin"/>
          </w:r>
          <w:r>
            <w:instrText xml:space="preserve"> HYPERLINK \l "_Toc31694" </w:instrText>
          </w:r>
          <w:r>
            <w:fldChar w:fldCharType="separate"/>
          </w:r>
          <w:r>
            <w:rPr>
              <w:rFonts w:ascii="Arial" w:hAnsi="Arial" w:cs="Arial"/>
              <w:sz w:val="24"/>
              <w:szCs w:val="24"/>
            </w:rPr>
            <w:t>4.0 – Recommendations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_Toc31694 \h </w:instrText>
          </w:r>
          <w:r>
            <w:rPr>
              <w:rFonts w:ascii="Arial" w:hAnsi="Arial" w:cs="Arial"/>
              <w:sz w:val="24"/>
              <w:szCs w:val="24"/>
            </w:rPr>
            <w:fldChar w:fldCharType="separate"/>
          </w:r>
          <w:r>
            <w:rPr>
              <w:rFonts w:ascii="Arial" w:hAnsi="Arial" w:cs="Arial"/>
              <w:sz w:val="24"/>
              <w:szCs w:val="24"/>
            </w:rPr>
            <w:t>14</w:t>
          </w:r>
          <w:r>
            <w:rPr>
              <w:rFonts w:ascii="Arial" w:hAnsi="Arial" w:cs="Arial"/>
              <w:sz w:val="24"/>
              <w:szCs w:val="24"/>
            </w:rPr>
            <w:fldChar w:fldCharType="end"/>
          </w:r>
          <w:r>
            <w:rPr>
              <w:rFonts w:ascii="Arial" w:hAnsi="Arial" w:cs="Arial"/>
              <w:sz w:val="24"/>
              <w:szCs w:val="24"/>
            </w:rPr>
            <w:fldChar w:fldCharType="end"/>
          </w:r>
        </w:p>
        <w:p w14:paraId="45A262CD">
          <w:pPr>
            <w:pStyle w:val="16"/>
            <w:tabs>
              <w:tab w:val="right" w:leader="dot" w:pos="9026"/>
            </w:tabs>
            <w:spacing w:line="480" w:lineRule="auto"/>
            <w:rPr>
              <w:rFonts w:ascii="Arial" w:hAnsi="Arial" w:cs="Arial"/>
              <w:sz w:val="24"/>
              <w:szCs w:val="24"/>
            </w:rPr>
          </w:pPr>
          <w:r>
            <w:fldChar w:fldCharType="begin"/>
          </w:r>
          <w:r>
            <w:instrText xml:space="preserve"> HYPERLINK \l "_Toc28793" </w:instrText>
          </w:r>
          <w:r>
            <w:fldChar w:fldCharType="separate"/>
          </w:r>
          <w:r>
            <w:rPr>
              <w:rFonts w:ascii="Arial" w:hAnsi="Arial" w:cs="Arial"/>
              <w:bCs/>
              <w:sz w:val="24"/>
              <w:szCs w:val="24"/>
            </w:rPr>
            <w:t>References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_Toc28793 \h </w:instrText>
          </w:r>
          <w:r>
            <w:rPr>
              <w:rFonts w:ascii="Arial" w:hAnsi="Arial" w:cs="Arial"/>
              <w:sz w:val="24"/>
              <w:szCs w:val="24"/>
            </w:rPr>
            <w:fldChar w:fldCharType="separate"/>
          </w:r>
          <w:r>
            <w:rPr>
              <w:rFonts w:ascii="Arial" w:hAnsi="Arial" w:cs="Arial"/>
              <w:sz w:val="24"/>
              <w:szCs w:val="24"/>
            </w:rPr>
            <w:t>17</w:t>
          </w:r>
          <w:r>
            <w:rPr>
              <w:rFonts w:ascii="Arial" w:hAnsi="Arial" w:cs="Arial"/>
              <w:sz w:val="24"/>
              <w:szCs w:val="24"/>
            </w:rPr>
            <w:fldChar w:fldCharType="end"/>
          </w:r>
          <w:r>
            <w:rPr>
              <w:rFonts w:ascii="Arial" w:hAnsi="Arial" w:cs="Arial"/>
              <w:sz w:val="24"/>
              <w:szCs w:val="24"/>
            </w:rPr>
            <w:fldChar w:fldCharType="end"/>
          </w:r>
        </w:p>
        <w:p w14:paraId="01B52D84">
          <w:pPr>
            <w:pBdr>
              <w:bottom w:val="single" w:color="auto" w:sz="4" w:space="1"/>
            </w:pBdr>
            <w:spacing w:line="480" w:lineRule="auto"/>
            <w:ind w:firstLine="480" w:firstLineChars="200"/>
            <w:jc w:val="both"/>
            <w:rPr>
              <w:rFonts w:ascii="Arial" w:hAnsi="Arial" w:cs="Arial"/>
              <w:bCs/>
              <w:szCs w:val="24"/>
            </w:rPr>
          </w:pPr>
          <w:r>
            <w:rPr>
              <w:rFonts w:ascii="Arial" w:hAnsi="Arial" w:cs="Arial"/>
              <w:bCs/>
              <w:sz w:val="24"/>
              <w:szCs w:val="24"/>
            </w:rPr>
            <w:fldChar w:fldCharType="end"/>
          </w:r>
        </w:p>
      </w:sdtContent>
    </w:sdt>
    <w:p w14:paraId="1E9FC8AB">
      <w:pPr>
        <w:pBdr>
          <w:bottom w:val="single" w:color="auto" w:sz="4" w:space="1"/>
        </w:pBdr>
        <w:spacing w:line="480" w:lineRule="auto"/>
        <w:ind w:firstLine="440" w:firstLineChars="200"/>
        <w:jc w:val="both"/>
        <w:rPr>
          <w:rFonts w:ascii="Arial" w:hAnsi="Arial" w:cs="Arial"/>
          <w:bCs/>
          <w:szCs w:val="24"/>
        </w:rPr>
      </w:pPr>
    </w:p>
    <w:p w14:paraId="72E205F0">
      <w:pPr>
        <w:pStyle w:val="2"/>
        <w:numPr>
          <w:ilvl w:val="0"/>
          <w:numId w:val="1"/>
        </w:numPr>
        <w:rPr>
          <w:rFonts w:hint="default" w:ascii="Arial" w:hAnsi="Arial" w:cs="Arial"/>
          <w:b/>
          <w:bCs/>
          <w:sz w:val="28"/>
          <w:szCs w:val="28"/>
        </w:rPr>
      </w:pPr>
      <w:bookmarkStart w:id="1" w:name="_Toc22152"/>
      <w:r>
        <w:rPr>
          <w:rFonts w:hint="default" w:ascii="Arial" w:hAnsi="Arial" w:cs="Arial"/>
          <w:b/>
          <w:bCs/>
          <w:sz w:val="28"/>
          <w:szCs w:val="28"/>
        </w:rPr>
        <w:t>Introduction</w:t>
      </w:r>
      <w:bookmarkEnd w:id="1"/>
    </w:p>
    <w:p w14:paraId="3DB207E0"/>
    <w:p w14:paraId="640AB368">
      <w:pPr>
        <w:spacing w:line="480" w:lineRule="auto"/>
        <w:jc w:val="both"/>
        <w:rPr>
          <w:rFonts w:ascii="Arial" w:hAnsi="Arial" w:cs="Arial"/>
          <w:sz w:val="24"/>
          <w:szCs w:val="24"/>
        </w:rPr>
      </w:pPr>
      <w:r>
        <w:rPr>
          <w:rFonts w:ascii="Arial" w:hAnsi="Arial" w:cs="Arial"/>
          <w:sz w:val="24"/>
          <w:szCs w:val="24"/>
        </w:rPr>
        <w:t xml:space="preserve">The objective of this report is to explore in depth the potential reasons for communication failures among British clothing retail companies in a cross-cultural context, and to propose feasible solutions based on an understanding of the impact of cultural differences on relationship building and business decision-making. These suggestions are based on Hall's theory of high and low context, Hofstede's cultural dimension model, and Trompenaars’ </w:t>
      </w:r>
      <w:r>
        <w:rPr>
          <w:rFonts w:ascii="Arial" w:hAnsi="Arial" w:cs="Arial"/>
          <w:sz w:val="24"/>
          <w:szCs w:val="24"/>
          <w:lang w:val="en-US"/>
        </w:rPr>
        <w:t>seven</w:t>
      </w:r>
      <w:r>
        <w:rPr>
          <w:rFonts w:ascii="Arial" w:hAnsi="Arial" w:cs="Arial"/>
          <w:sz w:val="24"/>
          <w:szCs w:val="24"/>
        </w:rPr>
        <w:t xml:space="preserve"> dimensions to culture.</w:t>
      </w:r>
    </w:p>
    <w:p w14:paraId="09919A4A">
      <w:pPr>
        <w:spacing w:line="480" w:lineRule="auto"/>
        <w:jc w:val="both"/>
        <w:rPr>
          <w:rFonts w:ascii="Arial" w:hAnsi="Arial" w:cs="Arial"/>
          <w:sz w:val="24"/>
          <w:szCs w:val="24"/>
        </w:rPr>
      </w:pPr>
      <w:r>
        <w:rPr>
          <w:rFonts w:ascii="Arial" w:hAnsi="Arial" w:cs="Arial"/>
          <w:sz w:val="24"/>
          <w:szCs w:val="24"/>
        </w:rPr>
        <w:t>This report is divided into the following sections</w:t>
      </w:r>
    </w:p>
    <w:p w14:paraId="31D8C5E0">
      <w:pPr>
        <w:numPr>
          <w:ilvl w:val="0"/>
          <w:numId w:val="2"/>
        </w:numPr>
        <w:spacing w:line="480" w:lineRule="auto"/>
        <w:jc w:val="both"/>
        <w:rPr>
          <w:rFonts w:ascii="Arial" w:hAnsi="Arial" w:cs="Arial"/>
          <w:sz w:val="24"/>
          <w:szCs w:val="24"/>
        </w:rPr>
      </w:pPr>
      <w:r>
        <w:rPr>
          <w:rFonts w:ascii="Arial" w:hAnsi="Arial" w:cs="Arial"/>
          <w:sz w:val="24"/>
          <w:szCs w:val="24"/>
        </w:rPr>
        <w:t>Analy</w:t>
      </w:r>
      <w:r>
        <w:rPr>
          <w:rFonts w:hint="eastAsia" w:ascii="Arial" w:hAnsi="Arial" w:cs="Arial"/>
          <w:sz w:val="24"/>
          <w:szCs w:val="24"/>
          <w:lang w:val="en-US"/>
        </w:rPr>
        <w:t>s</w:t>
      </w:r>
      <w:r>
        <w:rPr>
          <w:rFonts w:ascii="Arial" w:hAnsi="Arial" w:cs="Arial"/>
          <w:sz w:val="24"/>
          <w:szCs w:val="24"/>
        </w:rPr>
        <w:t>e the demand for key skills in cross-cultural business communication;</w:t>
      </w:r>
    </w:p>
    <w:p w14:paraId="642BF6AB">
      <w:pPr>
        <w:numPr>
          <w:ilvl w:val="0"/>
          <w:numId w:val="2"/>
        </w:numPr>
        <w:spacing w:line="480" w:lineRule="auto"/>
        <w:jc w:val="both"/>
        <w:rPr>
          <w:rFonts w:ascii="Arial" w:hAnsi="Arial" w:cs="Arial"/>
          <w:sz w:val="24"/>
          <w:szCs w:val="24"/>
        </w:rPr>
      </w:pPr>
      <w:r>
        <w:rPr>
          <w:rFonts w:ascii="Arial" w:hAnsi="Arial" w:cs="Arial"/>
          <w:sz w:val="24"/>
          <w:szCs w:val="24"/>
        </w:rPr>
        <w:t>Combining theoretical frameworks (Hall, Hofstede, Trenpner), explore the cultural differences between high and low contexts and their impact on relationship building;</w:t>
      </w:r>
    </w:p>
    <w:p w14:paraId="05A2E53A">
      <w:pPr>
        <w:numPr>
          <w:ilvl w:val="0"/>
          <w:numId w:val="2"/>
        </w:numPr>
        <w:spacing w:line="480" w:lineRule="auto"/>
        <w:jc w:val="both"/>
        <w:rPr>
          <w:rFonts w:ascii="Arial" w:hAnsi="Arial" w:cs="Arial"/>
          <w:sz w:val="24"/>
          <w:szCs w:val="24"/>
        </w:rPr>
      </w:pPr>
      <w:r>
        <w:rPr>
          <w:rFonts w:ascii="Arial" w:hAnsi="Arial" w:cs="Arial"/>
          <w:sz w:val="24"/>
          <w:szCs w:val="24"/>
        </w:rPr>
        <w:t>Propose theoretical based practical strategies to solve practical problems and promote business success.</w:t>
      </w:r>
    </w:p>
    <w:p w14:paraId="55409326">
      <w:pPr>
        <w:pStyle w:val="2"/>
        <w:rPr>
          <w:rFonts w:hint="default" w:ascii="Arial" w:hAnsi="Arial" w:cs="Arial"/>
          <w:b/>
          <w:bCs/>
          <w:sz w:val="28"/>
          <w:szCs w:val="28"/>
        </w:rPr>
      </w:pPr>
      <w:bookmarkStart w:id="2" w:name="_Toc10329"/>
      <w:r>
        <w:rPr>
          <w:rFonts w:hint="default" w:ascii="Arial" w:hAnsi="Arial" w:cs="Arial"/>
          <w:b/>
          <w:bCs/>
          <w:sz w:val="28"/>
          <w:szCs w:val="28"/>
        </w:rPr>
        <w:t>2.0 – Main Findings</w:t>
      </w:r>
      <w:bookmarkEnd w:id="2"/>
    </w:p>
    <w:p w14:paraId="2959F1AC"/>
    <w:p w14:paraId="7A99174B">
      <w:pPr>
        <w:spacing w:line="480" w:lineRule="auto"/>
        <w:jc w:val="both"/>
        <w:rPr>
          <w:rFonts w:ascii="Arial" w:hAnsi="Arial" w:cs="Arial"/>
          <w:sz w:val="24"/>
          <w:szCs w:val="24"/>
          <w:lang w:val="en-US"/>
        </w:rPr>
      </w:pPr>
      <w:r>
        <w:rPr>
          <w:rFonts w:ascii="Arial" w:hAnsi="Arial" w:cs="Arial"/>
          <w:sz w:val="24"/>
          <w:szCs w:val="24"/>
          <w:lang w:val="en-US"/>
        </w:rPr>
        <w:t xml:space="preserve">This section analyzes the key elements of international business communication, with a focus on skill requirements, communication methods, cultural differences, and their impact on business relationship building. </w:t>
      </w:r>
    </w:p>
    <w:p w14:paraId="5E1F80D8">
      <w:pPr>
        <w:pStyle w:val="3"/>
        <w:spacing w:line="480" w:lineRule="auto"/>
        <w:jc w:val="both"/>
        <w:rPr>
          <w:rFonts w:cs="Arial"/>
          <w:sz w:val="24"/>
          <w:szCs w:val="24"/>
        </w:rPr>
      </w:pPr>
      <w:r>
        <w:rPr>
          <w:rFonts w:cs="Arial"/>
          <w:sz w:val="24"/>
          <w:szCs w:val="24"/>
        </w:rPr>
        <w:t>2.1 – International Business Communication</w:t>
      </w:r>
    </w:p>
    <w:p w14:paraId="799ECE2F">
      <w:pPr>
        <w:spacing w:line="480" w:lineRule="auto"/>
        <w:jc w:val="both"/>
        <w:rPr>
          <w:rFonts w:ascii="Arial" w:hAnsi="Arial" w:cs="Arial"/>
          <w:sz w:val="24"/>
          <w:szCs w:val="24"/>
          <w:lang w:val="en-US"/>
        </w:rPr>
      </w:pPr>
      <w:r>
        <w:rPr>
          <w:rFonts w:ascii="Arial" w:hAnsi="Arial" w:cs="Arial"/>
          <w:sz w:val="24"/>
          <w:szCs w:val="24"/>
          <w:lang w:val="en-US"/>
        </w:rPr>
        <w:t>International business communication involves not only language exchange but also understanding and adapting to the culture of the target country. International business communication, as a comprehensive ability that includes language transmission, cultural understanding, and relationship management, is crucial for enterprises to conduct international business</w:t>
      </w:r>
      <w:r>
        <w:rPr>
          <w:rFonts w:hint="eastAsia" w:ascii="Arial" w:hAnsi="Arial" w:cs="Arial"/>
          <w:sz w:val="24"/>
          <w:szCs w:val="24"/>
          <w:lang w:val="en-US" w:eastAsia="zh-CN"/>
        </w:rPr>
        <w:t xml:space="preserve"> </w:t>
      </w:r>
      <w:r>
        <w:rPr>
          <w:rFonts w:ascii="Arial" w:hAnsi="Arial" w:cs="Arial"/>
          <w:sz w:val="24"/>
          <w:szCs w:val="24"/>
          <w:lang w:val="en-US"/>
        </w:rPr>
        <w:t>(</w:t>
      </w:r>
      <w:r>
        <w:rPr>
          <w:rFonts w:ascii="Arial" w:hAnsi="Arial" w:eastAsia="宋体" w:cs="Arial"/>
          <w:color w:val="222222"/>
          <w:sz w:val="24"/>
          <w:szCs w:val="24"/>
          <w:shd w:val="clear" w:color="auto" w:fill="FFFFFF"/>
        </w:rPr>
        <w:t>Szkudlarek</w:t>
      </w:r>
      <w:r>
        <w:rPr>
          <w:rFonts w:hint="eastAsia" w:ascii="Arial" w:hAnsi="Arial" w:eastAsia="宋体" w:cs="Arial"/>
          <w:color w:val="222222"/>
          <w:sz w:val="24"/>
          <w:szCs w:val="24"/>
          <w:shd w:val="clear" w:color="auto" w:fill="FFFFFF"/>
          <w:lang w:val="en-US" w:eastAsia="zh-CN"/>
        </w:rPr>
        <w:t xml:space="preserve">, </w:t>
      </w:r>
      <w:r>
        <w:rPr>
          <w:rFonts w:ascii="Arial" w:hAnsi="Arial" w:eastAsia="宋体" w:cs="Arial"/>
          <w:color w:val="222222"/>
          <w:sz w:val="24"/>
          <w:szCs w:val="24"/>
          <w:shd w:val="clear" w:color="auto" w:fill="FFFFFF"/>
          <w:lang w:val="en-US"/>
        </w:rPr>
        <w:t xml:space="preserve">et al., </w:t>
      </w:r>
      <w:r>
        <w:rPr>
          <w:rFonts w:ascii="Arial" w:hAnsi="Arial" w:eastAsia="宋体" w:cs="Arial"/>
          <w:color w:val="222222"/>
          <w:sz w:val="24"/>
          <w:szCs w:val="24"/>
          <w:shd w:val="clear" w:color="auto" w:fill="FFFFFF"/>
        </w:rPr>
        <w:t>2020).</w:t>
      </w:r>
      <w:r>
        <w:rPr>
          <w:rFonts w:ascii="Arial" w:hAnsi="Arial" w:cs="Arial"/>
          <w:sz w:val="24"/>
          <w:szCs w:val="24"/>
          <w:lang w:val="en-US"/>
        </w:rPr>
        <w:t>At the level of cultural values, there are objective cultural differences in the cultural values of different countries and regions, which may lead to various misunderstandings among parties in cross-cultural communication, causing various cross-cultural communication problems and affecting the quality and efficiency of cross-cultural communication among employees</w:t>
      </w:r>
      <w:r>
        <w:rPr>
          <w:rFonts w:hint="eastAsia" w:ascii="Arial" w:hAnsi="Arial" w:cs="Arial"/>
          <w:sz w:val="24"/>
          <w:szCs w:val="24"/>
          <w:lang w:val="en-US" w:eastAsia="zh-CN"/>
        </w:rPr>
        <w:t xml:space="preserve"> </w:t>
      </w:r>
      <w:r>
        <w:rPr>
          <w:rFonts w:ascii="Arial" w:hAnsi="Arial" w:cs="Arial"/>
          <w:sz w:val="24"/>
          <w:szCs w:val="24"/>
          <w:lang w:val="en-US"/>
        </w:rPr>
        <w:t>(</w:t>
      </w:r>
      <w:r>
        <w:rPr>
          <w:rFonts w:ascii="Arial" w:hAnsi="Arial" w:eastAsia="宋体" w:cs="Arial"/>
          <w:color w:val="222222"/>
          <w:sz w:val="24"/>
          <w:szCs w:val="24"/>
          <w:shd w:val="clear" w:color="auto" w:fill="FFFFFF"/>
        </w:rPr>
        <w:t>Yang,</w:t>
      </w:r>
      <w:r>
        <w:rPr>
          <w:rFonts w:hint="eastAsia" w:ascii="Arial" w:hAnsi="Arial" w:eastAsia="宋体" w:cs="Arial"/>
          <w:color w:val="222222"/>
          <w:sz w:val="24"/>
          <w:szCs w:val="24"/>
          <w:shd w:val="clear" w:color="auto" w:fill="FFFFFF"/>
        </w:rPr>
        <w:t xml:space="preserve"> </w:t>
      </w:r>
      <w:r>
        <w:rPr>
          <w:rFonts w:ascii="Arial" w:hAnsi="Arial" w:eastAsia="宋体" w:cs="Arial"/>
          <w:color w:val="222222"/>
          <w:sz w:val="24"/>
          <w:szCs w:val="24"/>
          <w:shd w:val="clear" w:color="auto" w:fill="FFFFFF"/>
        </w:rPr>
        <w:t>Zhao</w:t>
      </w:r>
      <w:r>
        <w:rPr>
          <w:rFonts w:ascii="Arial" w:hAnsi="Arial" w:eastAsia="宋体" w:cs="Arial"/>
          <w:color w:val="222222"/>
          <w:sz w:val="24"/>
          <w:szCs w:val="24"/>
          <w:shd w:val="clear" w:color="auto" w:fill="FFFFFF"/>
          <w:lang w:val="en-US"/>
        </w:rPr>
        <w:t xml:space="preserve"> </w:t>
      </w:r>
      <w:r>
        <w:rPr>
          <w:rFonts w:ascii="Arial" w:hAnsi="Arial" w:eastAsia="宋体" w:cs="Arial"/>
          <w:color w:val="222222"/>
          <w:sz w:val="24"/>
          <w:szCs w:val="24"/>
          <w:shd w:val="clear" w:color="auto" w:fill="FFFFFF"/>
        </w:rPr>
        <w:t>&amp; Liu, 2021)</w:t>
      </w:r>
      <w:r>
        <w:rPr>
          <w:rFonts w:ascii="Arial" w:hAnsi="Arial" w:cs="Arial"/>
          <w:sz w:val="24"/>
          <w:szCs w:val="24"/>
          <w:lang w:val="en-US"/>
        </w:rPr>
        <w:t>. Therefore, for British clothing retailers, international business communication requires the ability to clearly convey information and the ability to identify and adapt to target cultures.</w:t>
      </w:r>
    </w:p>
    <w:p w14:paraId="5C58DA9B">
      <w:pPr>
        <w:spacing w:line="480" w:lineRule="auto"/>
        <w:jc w:val="both"/>
        <w:rPr>
          <w:rFonts w:ascii="Arial" w:hAnsi="Arial" w:cs="Arial"/>
          <w:sz w:val="24"/>
          <w:szCs w:val="24"/>
        </w:rPr>
      </w:pPr>
    </w:p>
    <w:p w14:paraId="57C75E20">
      <w:pPr>
        <w:pStyle w:val="3"/>
        <w:spacing w:line="480" w:lineRule="auto"/>
        <w:jc w:val="both"/>
        <w:rPr>
          <w:rFonts w:cs="Arial"/>
          <w:sz w:val="24"/>
          <w:szCs w:val="24"/>
        </w:rPr>
      </w:pPr>
      <w:r>
        <w:rPr>
          <w:rFonts w:cs="Arial"/>
          <w:sz w:val="24"/>
          <w:szCs w:val="24"/>
        </w:rPr>
        <w:t>2.2 – Skills Requirements</w:t>
      </w:r>
    </w:p>
    <w:p w14:paraId="1672C818">
      <w:pPr>
        <w:pStyle w:val="10"/>
        <w:numPr>
          <w:ilvl w:val="0"/>
          <w:numId w:val="3"/>
        </w:numPr>
        <w:spacing w:beforeAutospacing="0" w:line="480" w:lineRule="auto"/>
        <w:jc w:val="both"/>
        <w:rPr>
          <w:rFonts w:ascii="Arial" w:hAnsi="Arial" w:cs="Arial"/>
          <w:szCs w:val="24"/>
        </w:rPr>
      </w:pPr>
      <w:r>
        <w:rPr>
          <w:rFonts w:ascii="Arial" w:hAnsi="Arial" w:cs="Arial"/>
          <w:b/>
          <w:bCs/>
          <w:szCs w:val="24"/>
        </w:rPr>
        <w:t xml:space="preserve">Cultural sensitivity </w:t>
      </w:r>
      <w:r>
        <w:rPr>
          <w:rFonts w:ascii="Arial" w:hAnsi="Arial" w:cs="Arial"/>
          <w:szCs w:val="24"/>
        </w:rPr>
        <w:t>refers to the ability of cultural sensitivity to serve as the core values and behavioral norms of the target market. In high context cultures, relationships and nonverbal signals can determine whether communication is effective (Reis, et al., 2022).</w:t>
      </w:r>
      <w:r>
        <w:rPr>
          <w:rFonts w:hint="eastAsia" w:ascii="Arial" w:hAnsi="Arial" w:cs="Arial"/>
          <w:szCs w:val="24"/>
        </w:rPr>
        <w:t xml:space="preserve"> </w:t>
      </w:r>
      <w:r>
        <w:rPr>
          <w:rFonts w:ascii="Arial" w:hAnsi="Arial" w:cs="Arial"/>
          <w:szCs w:val="24"/>
        </w:rPr>
        <w:t>There are significant cultural differences between China and the UK, and a lack of cultural sensitivity can lead to misunderstandings or conflicts in key communication areas for clothing retail companies, weakening cooperation relationships.</w:t>
      </w:r>
    </w:p>
    <w:p w14:paraId="4C730BB9">
      <w:pPr>
        <w:pStyle w:val="10"/>
        <w:numPr>
          <w:ilvl w:val="0"/>
          <w:numId w:val="3"/>
        </w:numPr>
        <w:spacing w:beforeAutospacing="0" w:line="480" w:lineRule="auto"/>
        <w:jc w:val="both"/>
        <w:rPr>
          <w:rFonts w:ascii="Arial" w:hAnsi="Arial" w:cs="Arial"/>
          <w:szCs w:val="24"/>
        </w:rPr>
      </w:pPr>
      <w:r>
        <w:rPr>
          <w:rFonts w:ascii="Arial" w:hAnsi="Arial" w:cs="Arial"/>
          <w:szCs w:val="24"/>
        </w:rPr>
        <w:t xml:space="preserve">In high context cultures, </w:t>
      </w:r>
      <w:r>
        <w:rPr>
          <w:rFonts w:ascii="Arial" w:hAnsi="Arial" w:cs="Arial"/>
          <w:b/>
          <w:bCs/>
          <w:szCs w:val="24"/>
        </w:rPr>
        <w:t>nonverbal communication skills</w:t>
      </w:r>
      <w:r>
        <w:rPr>
          <w:rFonts w:ascii="Arial" w:hAnsi="Arial" w:cs="Arial"/>
          <w:szCs w:val="24"/>
        </w:rPr>
        <w:t xml:space="preserve"> play an important role in the transmission of nonverbal signals, including body language, intonation, and background information</w:t>
      </w:r>
      <w:r>
        <w:rPr>
          <w:rFonts w:hint="eastAsia" w:ascii="Arial" w:hAnsi="Arial" w:cs="Arial"/>
          <w:szCs w:val="24"/>
        </w:rPr>
        <w:t xml:space="preserve"> </w:t>
      </w:r>
      <w:r>
        <w:rPr>
          <w:rFonts w:ascii="Arial" w:hAnsi="Arial" w:cs="Arial"/>
          <w:szCs w:val="24"/>
        </w:rPr>
        <w:t>(Barros &amp;</w:t>
      </w:r>
      <w:r>
        <w:rPr>
          <w:rFonts w:hint="eastAsia" w:ascii="Arial" w:hAnsi="Arial" w:cs="Arial"/>
          <w:szCs w:val="24"/>
        </w:rPr>
        <w:t xml:space="preserve"> </w:t>
      </w:r>
      <w:r>
        <w:rPr>
          <w:rFonts w:ascii="Arial" w:hAnsi="Arial" w:cs="Arial"/>
          <w:szCs w:val="24"/>
        </w:rPr>
        <w:t>Idrizi,2020).</w:t>
      </w:r>
      <w:r>
        <w:rPr>
          <w:rFonts w:hint="eastAsia" w:ascii="Arial" w:hAnsi="Arial" w:cs="Arial"/>
          <w:szCs w:val="24"/>
          <w:lang w:val="en-US" w:eastAsia="zh-CN"/>
        </w:rPr>
        <w:t xml:space="preserve"> </w:t>
      </w:r>
      <w:r>
        <w:rPr>
          <w:rFonts w:ascii="Arial" w:hAnsi="Arial" w:cs="Arial"/>
          <w:szCs w:val="24"/>
        </w:rPr>
        <w:t>Effective nonverbal communication skills can promote the establishment of trust and understanding.</w:t>
      </w:r>
    </w:p>
    <w:p w14:paraId="74958B3A">
      <w:pPr>
        <w:pStyle w:val="10"/>
        <w:numPr>
          <w:ilvl w:val="0"/>
          <w:numId w:val="3"/>
        </w:numPr>
        <w:spacing w:beforeAutospacing="0" w:line="480" w:lineRule="auto"/>
        <w:jc w:val="both"/>
        <w:rPr>
          <w:rFonts w:ascii="Arial" w:hAnsi="Arial" w:cs="Arial"/>
          <w:szCs w:val="24"/>
        </w:rPr>
      </w:pPr>
      <w:r>
        <w:rPr>
          <w:rFonts w:ascii="Arial" w:hAnsi="Arial" w:cs="Arial"/>
          <w:szCs w:val="24"/>
        </w:rPr>
        <w:t>The ability to</w:t>
      </w:r>
      <w:r>
        <w:rPr>
          <w:rFonts w:ascii="Arial" w:hAnsi="Arial" w:cs="Arial"/>
          <w:b/>
          <w:bCs/>
          <w:szCs w:val="24"/>
        </w:rPr>
        <w:t xml:space="preserve"> build relationships</w:t>
      </w:r>
      <w:r>
        <w:rPr>
          <w:rFonts w:ascii="Arial" w:hAnsi="Arial" w:cs="Arial"/>
          <w:szCs w:val="24"/>
        </w:rPr>
        <w:t xml:space="preserve"> is more important than contracts in high context cultures. Informal interactions such as business banquets and social events serve as long-term ways to establish trust (Dinçer,</w:t>
      </w:r>
      <w:r>
        <w:rPr>
          <w:rFonts w:hint="eastAsia" w:ascii="Arial" w:hAnsi="Arial" w:cs="Arial"/>
          <w:szCs w:val="24"/>
        </w:rPr>
        <w:t xml:space="preserve"> </w:t>
      </w:r>
      <w:r>
        <w:rPr>
          <w:rFonts w:ascii="Arial" w:hAnsi="Arial" w:cs="Arial"/>
          <w:szCs w:val="24"/>
        </w:rPr>
        <w:t>Yıldırım &amp; Dil, 2024). Companies need to adopt relationship management strategies to consolidate the foundation of cooperation and ensure sustainable business development.</w:t>
      </w:r>
    </w:p>
    <w:p w14:paraId="280B13CD">
      <w:pPr>
        <w:pStyle w:val="3"/>
        <w:spacing w:line="480" w:lineRule="auto"/>
        <w:jc w:val="both"/>
        <w:rPr>
          <w:rFonts w:cs="Arial"/>
          <w:sz w:val="24"/>
          <w:szCs w:val="24"/>
        </w:rPr>
      </w:pPr>
      <w:r>
        <w:rPr>
          <w:rFonts w:cs="Arial"/>
          <w:sz w:val="24"/>
          <w:szCs w:val="24"/>
        </w:rPr>
        <w:t>2.3 – Methods of Communication</w:t>
      </w:r>
    </w:p>
    <w:p w14:paraId="4C037052">
      <w:pPr>
        <w:pStyle w:val="4"/>
        <w:spacing w:line="480" w:lineRule="auto"/>
        <w:jc w:val="both"/>
        <w:rPr>
          <w:rFonts w:hint="default" w:ascii="Arial" w:hAnsi="Arial" w:cs="Arial"/>
          <w:sz w:val="24"/>
          <w:szCs w:val="24"/>
        </w:rPr>
      </w:pPr>
      <w:r>
        <w:rPr>
          <w:rFonts w:hint="default" w:ascii="Arial" w:hAnsi="Arial" w:cs="Arial"/>
          <w:sz w:val="24"/>
          <w:szCs w:val="24"/>
        </w:rPr>
        <w:t>2.3.1 - Halls High Low Context</w:t>
      </w:r>
    </w:p>
    <w:tbl>
      <w:tblPr>
        <w:tblStyle w:val="11"/>
        <w:tblpPr w:leftFromText="180" w:rightFromText="180" w:vertAnchor="text" w:horzAnchor="page" w:tblpXSpec="center" w:tblpY="517"/>
        <w:tblOverlap w:val="never"/>
        <w:tblW w:w="5000"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563"/>
        <w:gridCol w:w="2930"/>
        <w:gridCol w:w="3749"/>
      </w:tblGrid>
      <w:tr w14:paraId="4B9494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jc w:val="center"/>
        </w:trPr>
        <w:tc>
          <w:tcPr>
            <w:tcW w:w="1212" w:type="pct"/>
            <w:shd w:val="clear" w:color="auto" w:fill="auto"/>
            <w:vAlign w:val="center"/>
          </w:tcPr>
          <w:p w14:paraId="3AF8D341">
            <w:pPr>
              <w:spacing w:line="480" w:lineRule="auto"/>
              <w:ind w:firstLine="482" w:firstLineChars="200"/>
              <w:jc w:val="both"/>
              <w:textAlignment w:val="center"/>
              <w:rPr>
                <w:rFonts w:ascii="Arial" w:hAnsi="Arial" w:eastAsia="宋体" w:cs="Arial"/>
                <w:b/>
                <w:bCs/>
                <w:sz w:val="24"/>
                <w:szCs w:val="24"/>
              </w:rPr>
            </w:pPr>
            <w:r>
              <w:rPr>
                <w:rFonts w:ascii="Arial" w:hAnsi="Arial" w:eastAsia="宋体" w:cs="Arial"/>
                <w:b/>
                <w:bCs/>
                <w:sz w:val="24"/>
                <w:szCs w:val="24"/>
                <w:lang w:val="en-US" w:bidi="ar"/>
              </w:rPr>
              <w:t>Feature</w:t>
            </w:r>
          </w:p>
        </w:tc>
        <w:tc>
          <w:tcPr>
            <w:tcW w:w="1672" w:type="pct"/>
            <w:shd w:val="clear" w:color="auto" w:fill="auto"/>
            <w:vAlign w:val="center"/>
          </w:tcPr>
          <w:p w14:paraId="76CD39CE">
            <w:pPr>
              <w:spacing w:line="480" w:lineRule="auto"/>
              <w:ind w:firstLine="482" w:firstLineChars="200"/>
              <w:jc w:val="both"/>
              <w:textAlignment w:val="center"/>
              <w:rPr>
                <w:rFonts w:ascii="Arial" w:hAnsi="Arial" w:eastAsia="宋体" w:cs="Arial"/>
                <w:b/>
                <w:bCs/>
                <w:sz w:val="24"/>
                <w:szCs w:val="24"/>
              </w:rPr>
            </w:pPr>
            <w:r>
              <w:rPr>
                <w:rFonts w:ascii="Arial" w:hAnsi="Arial" w:eastAsia="宋体" w:cs="Arial"/>
                <w:b/>
                <w:bCs/>
                <w:sz w:val="24"/>
                <w:szCs w:val="24"/>
                <w:lang w:val="en-US" w:bidi="ar"/>
              </w:rPr>
              <w:t>Low-Context Culture (UK)</w:t>
            </w:r>
          </w:p>
        </w:tc>
        <w:tc>
          <w:tcPr>
            <w:tcW w:w="2115" w:type="pct"/>
            <w:shd w:val="clear" w:color="auto" w:fill="auto"/>
            <w:vAlign w:val="center"/>
          </w:tcPr>
          <w:p w14:paraId="3A2F81D5">
            <w:pPr>
              <w:spacing w:line="480" w:lineRule="auto"/>
              <w:ind w:firstLine="482" w:firstLineChars="200"/>
              <w:jc w:val="both"/>
              <w:textAlignment w:val="center"/>
              <w:rPr>
                <w:rFonts w:ascii="Arial" w:hAnsi="Arial" w:eastAsia="宋体" w:cs="Arial"/>
                <w:b/>
                <w:bCs/>
                <w:sz w:val="24"/>
                <w:szCs w:val="24"/>
              </w:rPr>
            </w:pPr>
            <w:r>
              <w:rPr>
                <w:rFonts w:ascii="Arial" w:hAnsi="Arial" w:eastAsia="宋体" w:cs="Arial"/>
                <w:b/>
                <w:bCs/>
                <w:sz w:val="24"/>
                <w:szCs w:val="24"/>
                <w:lang w:val="en-US" w:bidi="ar"/>
              </w:rPr>
              <w:t>High-Context Culture (China)</w:t>
            </w:r>
          </w:p>
        </w:tc>
      </w:tr>
      <w:tr w14:paraId="1BD9D8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jc w:val="center"/>
        </w:trPr>
        <w:tc>
          <w:tcPr>
            <w:tcW w:w="1212" w:type="pct"/>
            <w:shd w:val="clear" w:color="auto" w:fill="auto"/>
            <w:vAlign w:val="center"/>
          </w:tcPr>
          <w:p w14:paraId="1E1AA74C">
            <w:pPr>
              <w:spacing w:line="480" w:lineRule="auto"/>
              <w:ind w:firstLine="482" w:firstLineChars="200"/>
              <w:jc w:val="both"/>
              <w:textAlignment w:val="center"/>
              <w:rPr>
                <w:rFonts w:ascii="Arial" w:hAnsi="Arial" w:eastAsia="宋体" w:cs="Arial"/>
                <w:b/>
                <w:bCs/>
                <w:sz w:val="24"/>
                <w:szCs w:val="24"/>
              </w:rPr>
            </w:pPr>
            <w:r>
              <w:rPr>
                <w:rFonts w:ascii="Arial" w:hAnsi="Arial" w:eastAsia="宋体" w:cs="Arial"/>
                <w:b/>
                <w:bCs/>
                <w:sz w:val="24"/>
                <w:szCs w:val="24"/>
                <w:lang w:val="en-US" w:bidi="ar"/>
              </w:rPr>
              <w:t>Communication Style</w:t>
            </w:r>
          </w:p>
        </w:tc>
        <w:tc>
          <w:tcPr>
            <w:tcW w:w="1672" w:type="pct"/>
            <w:shd w:val="clear" w:color="auto" w:fill="auto"/>
            <w:vAlign w:val="center"/>
          </w:tcPr>
          <w:p w14:paraId="7F90CE85">
            <w:pPr>
              <w:spacing w:line="480" w:lineRule="auto"/>
              <w:ind w:firstLine="480" w:firstLineChars="200"/>
              <w:jc w:val="both"/>
              <w:textAlignment w:val="center"/>
              <w:rPr>
                <w:rFonts w:ascii="Arial" w:hAnsi="Arial" w:eastAsia="宋体" w:cs="Arial"/>
                <w:sz w:val="24"/>
                <w:szCs w:val="24"/>
              </w:rPr>
            </w:pPr>
            <w:r>
              <w:rPr>
                <w:rFonts w:ascii="Arial" w:hAnsi="Arial" w:eastAsia="宋体" w:cs="Arial"/>
                <w:sz w:val="24"/>
                <w:szCs w:val="24"/>
                <w:lang w:val="en-US" w:bidi="ar"/>
              </w:rPr>
              <w:t>Direct and explicit communication that heavily relies on spoken and written language (Chen, 2023).</w:t>
            </w:r>
          </w:p>
        </w:tc>
        <w:tc>
          <w:tcPr>
            <w:tcW w:w="2115" w:type="pct"/>
            <w:shd w:val="clear" w:color="auto" w:fill="auto"/>
            <w:vAlign w:val="center"/>
          </w:tcPr>
          <w:p w14:paraId="714FC231">
            <w:pPr>
              <w:spacing w:line="480" w:lineRule="auto"/>
              <w:ind w:firstLine="480" w:firstLineChars="200"/>
              <w:jc w:val="both"/>
              <w:textAlignment w:val="center"/>
              <w:rPr>
                <w:rFonts w:ascii="Arial" w:hAnsi="Arial" w:eastAsia="宋体" w:cs="Arial"/>
                <w:sz w:val="24"/>
                <w:szCs w:val="24"/>
              </w:rPr>
            </w:pPr>
            <w:r>
              <w:rPr>
                <w:rFonts w:ascii="Arial" w:hAnsi="Arial" w:eastAsia="宋体" w:cs="Arial"/>
                <w:sz w:val="24"/>
                <w:szCs w:val="24"/>
                <w:lang w:val="en-US" w:bidi="ar"/>
              </w:rPr>
              <w:t>Indirect and implicit communication, with a strong emphasis on non-verbal cues and context (Fu, 202</w:t>
            </w:r>
            <w:r>
              <w:rPr>
                <w:rFonts w:hint="eastAsia" w:ascii="Arial" w:hAnsi="Arial" w:eastAsia="宋体" w:cs="Arial"/>
                <w:sz w:val="24"/>
                <w:szCs w:val="24"/>
                <w:lang w:val="en-US" w:eastAsia="zh-CN" w:bidi="ar"/>
              </w:rPr>
              <w:t>1</w:t>
            </w:r>
            <w:r>
              <w:rPr>
                <w:rFonts w:ascii="Arial" w:hAnsi="Arial" w:eastAsia="宋体" w:cs="Arial"/>
                <w:sz w:val="24"/>
                <w:szCs w:val="24"/>
                <w:lang w:val="en-US" w:bidi="ar"/>
              </w:rPr>
              <w:t>).</w:t>
            </w:r>
          </w:p>
        </w:tc>
      </w:tr>
      <w:tr w14:paraId="6ED6C6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jc w:val="center"/>
        </w:trPr>
        <w:tc>
          <w:tcPr>
            <w:tcW w:w="1212" w:type="pct"/>
            <w:shd w:val="clear" w:color="auto" w:fill="auto"/>
            <w:vAlign w:val="center"/>
          </w:tcPr>
          <w:p w14:paraId="0F4037C4">
            <w:pPr>
              <w:spacing w:line="480" w:lineRule="auto"/>
              <w:ind w:firstLine="482" w:firstLineChars="200"/>
              <w:jc w:val="both"/>
              <w:textAlignment w:val="center"/>
              <w:rPr>
                <w:rFonts w:ascii="Arial" w:hAnsi="Arial" w:eastAsia="宋体" w:cs="Arial"/>
                <w:b/>
                <w:bCs/>
                <w:sz w:val="24"/>
                <w:szCs w:val="24"/>
              </w:rPr>
            </w:pPr>
            <w:r>
              <w:rPr>
                <w:rFonts w:ascii="Arial" w:hAnsi="Arial" w:eastAsia="宋体" w:cs="Arial"/>
                <w:b/>
                <w:bCs/>
                <w:sz w:val="24"/>
                <w:szCs w:val="24"/>
                <w:lang w:val="en-US" w:bidi="ar"/>
              </w:rPr>
              <w:t>Role of Contracts</w:t>
            </w:r>
          </w:p>
        </w:tc>
        <w:tc>
          <w:tcPr>
            <w:tcW w:w="1672" w:type="pct"/>
            <w:shd w:val="clear" w:color="auto" w:fill="auto"/>
            <w:vAlign w:val="center"/>
          </w:tcPr>
          <w:p w14:paraId="2DA823C9">
            <w:pPr>
              <w:spacing w:line="480" w:lineRule="auto"/>
              <w:ind w:firstLine="480" w:firstLineChars="200"/>
              <w:jc w:val="both"/>
              <w:textAlignment w:val="center"/>
              <w:rPr>
                <w:rFonts w:ascii="Arial" w:hAnsi="Arial" w:eastAsia="宋体" w:cs="Arial"/>
                <w:sz w:val="24"/>
                <w:szCs w:val="24"/>
              </w:rPr>
            </w:pPr>
            <w:r>
              <w:rPr>
                <w:rFonts w:ascii="Arial" w:hAnsi="Arial" w:eastAsia="宋体" w:cs="Arial"/>
                <w:sz w:val="24"/>
                <w:szCs w:val="24"/>
                <w:lang w:val="en-US" w:bidi="ar"/>
              </w:rPr>
              <w:t>Contracts are viewed as binding, detailed agreements that define every aspect of cooperation Gao, 2024).</w:t>
            </w:r>
          </w:p>
        </w:tc>
        <w:tc>
          <w:tcPr>
            <w:tcW w:w="2115" w:type="pct"/>
            <w:shd w:val="clear" w:color="auto" w:fill="auto"/>
            <w:vAlign w:val="center"/>
          </w:tcPr>
          <w:p w14:paraId="267197BC">
            <w:pPr>
              <w:spacing w:line="480" w:lineRule="auto"/>
              <w:ind w:firstLine="480" w:firstLineChars="200"/>
              <w:jc w:val="both"/>
              <w:textAlignment w:val="center"/>
              <w:rPr>
                <w:rFonts w:ascii="Arial" w:hAnsi="Arial" w:eastAsia="宋体" w:cs="Arial"/>
                <w:sz w:val="24"/>
                <w:szCs w:val="24"/>
              </w:rPr>
            </w:pPr>
            <w:r>
              <w:rPr>
                <w:rFonts w:ascii="Arial" w:hAnsi="Arial" w:eastAsia="宋体" w:cs="Arial"/>
                <w:sz w:val="24"/>
                <w:szCs w:val="24"/>
                <w:lang w:val="en-US" w:bidi="ar"/>
              </w:rPr>
              <w:t>Contracts serve as a starting point for relationships, often subject to flexibility and adjustments based on trust and relationships (Meyer, 2014).</w:t>
            </w:r>
          </w:p>
        </w:tc>
      </w:tr>
      <w:tr w14:paraId="32EF95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jc w:val="center"/>
        </w:trPr>
        <w:tc>
          <w:tcPr>
            <w:tcW w:w="1212" w:type="pct"/>
            <w:shd w:val="clear" w:color="auto" w:fill="auto"/>
            <w:vAlign w:val="center"/>
          </w:tcPr>
          <w:p w14:paraId="407FDBD1">
            <w:pPr>
              <w:spacing w:line="480" w:lineRule="auto"/>
              <w:ind w:firstLine="482" w:firstLineChars="200"/>
              <w:jc w:val="both"/>
              <w:textAlignment w:val="center"/>
              <w:rPr>
                <w:rFonts w:ascii="Arial" w:hAnsi="Arial" w:eastAsia="宋体" w:cs="Arial"/>
                <w:b/>
                <w:bCs/>
                <w:sz w:val="24"/>
                <w:szCs w:val="24"/>
              </w:rPr>
            </w:pPr>
            <w:r>
              <w:rPr>
                <w:rFonts w:ascii="Arial" w:hAnsi="Arial" w:eastAsia="宋体" w:cs="Arial"/>
                <w:b/>
                <w:bCs/>
                <w:sz w:val="24"/>
                <w:szCs w:val="24"/>
                <w:lang w:val="en-US" w:bidi="ar"/>
              </w:rPr>
              <w:t>Focus of Relationships</w:t>
            </w:r>
          </w:p>
        </w:tc>
        <w:tc>
          <w:tcPr>
            <w:tcW w:w="1672" w:type="pct"/>
            <w:shd w:val="clear" w:color="auto" w:fill="auto"/>
            <w:vAlign w:val="center"/>
          </w:tcPr>
          <w:p w14:paraId="0420A9AF">
            <w:pPr>
              <w:spacing w:line="480" w:lineRule="auto"/>
              <w:ind w:firstLine="480" w:firstLineChars="200"/>
              <w:jc w:val="both"/>
              <w:textAlignment w:val="center"/>
              <w:rPr>
                <w:rFonts w:ascii="Arial" w:hAnsi="Arial" w:eastAsia="宋体" w:cs="Arial"/>
                <w:sz w:val="24"/>
                <w:szCs w:val="24"/>
              </w:rPr>
            </w:pPr>
            <w:r>
              <w:rPr>
                <w:rFonts w:ascii="Arial" w:hAnsi="Arial" w:eastAsia="宋体" w:cs="Arial"/>
                <w:sz w:val="24"/>
                <w:szCs w:val="24"/>
                <w:lang w:val="en-US" w:bidi="ar"/>
              </w:rPr>
              <w:t>Task-oriented, where achieving objectives is prioritized over building relationships (Gao, 2024).</w:t>
            </w:r>
          </w:p>
        </w:tc>
        <w:tc>
          <w:tcPr>
            <w:tcW w:w="2115" w:type="pct"/>
            <w:shd w:val="clear" w:color="auto" w:fill="auto"/>
            <w:vAlign w:val="center"/>
          </w:tcPr>
          <w:p w14:paraId="741A605C">
            <w:pPr>
              <w:spacing w:line="480" w:lineRule="auto"/>
              <w:ind w:firstLine="480" w:firstLineChars="200"/>
              <w:jc w:val="both"/>
              <w:textAlignment w:val="center"/>
              <w:rPr>
                <w:rFonts w:ascii="Arial" w:hAnsi="Arial" w:eastAsia="宋体" w:cs="Arial"/>
                <w:sz w:val="24"/>
                <w:szCs w:val="24"/>
              </w:rPr>
            </w:pPr>
            <w:r>
              <w:rPr>
                <w:rFonts w:ascii="Arial" w:hAnsi="Arial" w:eastAsia="宋体" w:cs="Arial"/>
                <w:sz w:val="24"/>
                <w:szCs w:val="24"/>
                <w:lang w:val="en-US" w:bidi="ar"/>
              </w:rPr>
              <w:t>Relationship-oriented, where building trust and maintaining long-term relationships take precedence over immediate tasks (Gao, 2024).</w:t>
            </w:r>
          </w:p>
        </w:tc>
      </w:tr>
      <w:tr w14:paraId="4769B2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jc w:val="center"/>
        </w:trPr>
        <w:tc>
          <w:tcPr>
            <w:tcW w:w="1212" w:type="pct"/>
            <w:shd w:val="clear" w:color="auto" w:fill="auto"/>
            <w:vAlign w:val="center"/>
          </w:tcPr>
          <w:p w14:paraId="2C4E9346">
            <w:pPr>
              <w:spacing w:line="480" w:lineRule="auto"/>
              <w:ind w:firstLine="482" w:firstLineChars="200"/>
              <w:jc w:val="both"/>
              <w:textAlignment w:val="center"/>
              <w:rPr>
                <w:rFonts w:ascii="Arial" w:hAnsi="Arial" w:eastAsia="宋体" w:cs="Arial"/>
                <w:b/>
                <w:bCs/>
                <w:sz w:val="24"/>
                <w:szCs w:val="24"/>
              </w:rPr>
            </w:pPr>
            <w:r>
              <w:rPr>
                <w:rFonts w:ascii="Arial" w:hAnsi="Arial" w:eastAsia="宋体" w:cs="Arial"/>
                <w:b/>
                <w:bCs/>
                <w:sz w:val="24"/>
                <w:szCs w:val="24"/>
                <w:lang w:val="en-US" w:bidi="ar"/>
              </w:rPr>
              <w:t>Information Sharing</w:t>
            </w:r>
          </w:p>
        </w:tc>
        <w:tc>
          <w:tcPr>
            <w:tcW w:w="1672" w:type="pct"/>
            <w:shd w:val="clear" w:color="auto" w:fill="auto"/>
            <w:vAlign w:val="center"/>
          </w:tcPr>
          <w:p w14:paraId="5D74B474">
            <w:pPr>
              <w:spacing w:line="480" w:lineRule="auto"/>
              <w:ind w:firstLine="480" w:firstLineChars="200"/>
              <w:jc w:val="both"/>
              <w:textAlignment w:val="center"/>
              <w:rPr>
                <w:rFonts w:ascii="Arial" w:hAnsi="Arial" w:eastAsia="宋体" w:cs="Arial"/>
                <w:sz w:val="24"/>
                <w:szCs w:val="24"/>
              </w:rPr>
            </w:pPr>
            <w:r>
              <w:rPr>
                <w:rFonts w:ascii="Arial" w:hAnsi="Arial" w:eastAsia="宋体" w:cs="Arial"/>
                <w:sz w:val="24"/>
                <w:szCs w:val="24"/>
                <w:lang w:val="en-US" w:bidi="ar"/>
              </w:rPr>
              <w:t xml:space="preserve">Transparency and clarity in information sharing are critical; misunderstandings are minimized through explicit communication (Levitt, 2022). </w:t>
            </w:r>
          </w:p>
        </w:tc>
        <w:tc>
          <w:tcPr>
            <w:tcW w:w="2115" w:type="pct"/>
            <w:shd w:val="clear" w:color="auto" w:fill="auto"/>
            <w:vAlign w:val="center"/>
          </w:tcPr>
          <w:p w14:paraId="613B9FAE">
            <w:pPr>
              <w:spacing w:line="480" w:lineRule="auto"/>
              <w:ind w:firstLine="480" w:firstLineChars="200"/>
              <w:jc w:val="both"/>
              <w:textAlignment w:val="center"/>
              <w:rPr>
                <w:rFonts w:ascii="Arial" w:hAnsi="Arial" w:eastAsia="宋体" w:cs="Arial"/>
                <w:sz w:val="24"/>
                <w:szCs w:val="24"/>
              </w:rPr>
            </w:pPr>
            <w:r>
              <w:rPr>
                <w:rFonts w:ascii="Arial" w:hAnsi="Arial" w:eastAsia="宋体" w:cs="Arial"/>
                <w:sz w:val="24"/>
                <w:szCs w:val="24"/>
                <w:lang w:val="en-US" w:bidi="ar"/>
              </w:rPr>
              <w:t>Information is often implied and must be inferred from the context; non-verbal signals carry significant weight (Levitt, 2022).</w:t>
            </w:r>
          </w:p>
        </w:tc>
      </w:tr>
      <w:tr w14:paraId="010C58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jc w:val="center"/>
        </w:trPr>
        <w:tc>
          <w:tcPr>
            <w:tcW w:w="1212" w:type="pct"/>
            <w:shd w:val="clear" w:color="auto" w:fill="auto"/>
            <w:vAlign w:val="center"/>
          </w:tcPr>
          <w:p w14:paraId="3CECD063">
            <w:pPr>
              <w:spacing w:line="480" w:lineRule="auto"/>
              <w:ind w:firstLine="482" w:firstLineChars="200"/>
              <w:jc w:val="both"/>
              <w:textAlignment w:val="center"/>
              <w:rPr>
                <w:rFonts w:ascii="Arial" w:hAnsi="Arial" w:eastAsia="宋体" w:cs="Arial"/>
                <w:b/>
                <w:bCs/>
                <w:sz w:val="24"/>
                <w:szCs w:val="24"/>
              </w:rPr>
            </w:pPr>
            <w:r>
              <w:rPr>
                <w:rFonts w:ascii="Arial" w:hAnsi="Arial" w:eastAsia="宋体" w:cs="Arial"/>
                <w:b/>
                <w:bCs/>
                <w:sz w:val="24"/>
                <w:szCs w:val="24"/>
                <w:lang w:val="en-US" w:bidi="ar"/>
              </w:rPr>
              <w:t>Decision-Making</w:t>
            </w:r>
          </w:p>
        </w:tc>
        <w:tc>
          <w:tcPr>
            <w:tcW w:w="1672" w:type="pct"/>
            <w:shd w:val="clear" w:color="auto" w:fill="auto"/>
            <w:vAlign w:val="center"/>
          </w:tcPr>
          <w:p w14:paraId="640332B1">
            <w:pPr>
              <w:spacing w:line="480" w:lineRule="auto"/>
              <w:ind w:firstLine="480" w:firstLineChars="200"/>
              <w:jc w:val="both"/>
              <w:textAlignment w:val="center"/>
              <w:rPr>
                <w:rFonts w:ascii="Arial" w:hAnsi="Arial" w:eastAsia="宋体" w:cs="Arial"/>
                <w:sz w:val="24"/>
                <w:szCs w:val="24"/>
              </w:rPr>
            </w:pPr>
            <w:r>
              <w:rPr>
                <w:rFonts w:ascii="Arial" w:hAnsi="Arial" w:eastAsia="宋体" w:cs="Arial"/>
                <w:sz w:val="24"/>
                <w:szCs w:val="24"/>
                <w:lang w:val="en-US" w:bidi="ar"/>
              </w:rPr>
              <w:t>Decisions are made based on clear facts and logical arguments presented explicitly (Levitt,</w:t>
            </w:r>
            <w:r>
              <w:rPr>
                <w:rFonts w:hint="eastAsia" w:ascii="Arial" w:hAnsi="Arial" w:eastAsia="宋体" w:cs="Arial"/>
                <w:sz w:val="24"/>
                <w:szCs w:val="24"/>
                <w:lang w:val="en-US" w:bidi="ar"/>
              </w:rPr>
              <w:t xml:space="preserve"> </w:t>
            </w:r>
            <w:r>
              <w:rPr>
                <w:rFonts w:ascii="Arial" w:hAnsi="Arial" w:eastAsia="宋体" w:cs="Arial"/>
                <w:sz w:val="24"/>
                <w:szCs w:val="24"/>
                <w:lang w:val="en-US" w:bidi="ar"/>
              </w:rPr>
              <w:t>2022).</w:t>
            </w:r>
          </w:p>
        </w:tc>
        <w:tc>
          <w:tcPr>
            <w:tcW w:w="2115" w:type="pct"/>
            <w:shd w:val="clear" w:color="auto" w:fill="auto"/>
            <w:vAlign w:val="center"/>
          </w:tcPr>
          <w:p w14:paraId="69BC8A23">
            <w:pPr>
              <w:spacing w:line="480" w:lineRule="auto"/>
              <w:ind w:firstLine="480" w:firstLineChars="200"/>
              <w:jc w:val="both"/>
              <w:textAlignment w:val="center"/>
              <w:rPr>
                <w:rFonts w:ascii="Arial" w:hAnsi="Arial" w:eastAsia="宋体" w:cs="Arial"/>
                <w:sz w:val="24"/>
                <w:szCs w:val="24"/>
              </w:rPr>
            </w:pPr>
            <w:r>
              <w:rPr>
                <w:rFonts w:ascii="Arial" w:hAnsi="Arial" w:eastAsia="宋体" w:cs="Arial"/>
                <w:sz w:val="24"/>
                <w:szCs w:val="24"/>
                <w:lang w:val="en-US" w:bidi="ar"/>
              </w:rPr>
              <w:t>Decisions are influenced by relationships, mutual understanding, and subtle negotiations (Levitt,</w:t>
            </w:r>
            <w:r>
              <w:rPr>
                <w:rFonts w:hint="eastAsia" w:ascii="Arial" w:hAnsi="Arial" w:eastAsia="宋体" w:cs="Arial"/>
                <w:sz w:val="24"/>
                <w:szCs w:val="24"/>
                <w:lang w:val="en-US" w:bidi="ar"/>
              </w:rPr>
              <w:t xml:space="preserve"> </w:t>
            </w:r>
            <w:r>
              <w:rPr>
                <w:rFonts w:ascii="Arial" w:hAnsi="Arial" w:eastAsia="宋体" w:cs="Arial"/>
                <w:sz w:val="24"/>
                <w:szCs w:val="24"/>
                <w:lang w:val="en-US" w:bidi="ar"/>
              </w:rPr>
              <w:t>2022).</w:t>
            </w:r>
          </w:p>
        </w:tc>
      </w:tr>
      <w:tr w14:paraId="408A14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jc w:val="center"/>
        </w:trPr>
        <w:tc>
          <w:tcPr>
            <w:tcW w:w="1212" w:type="pct"/>
            <w:shd w:val="clear" w:color="auto" w:fill="auto"/>
            <w:vAlign w:val="center"/>
          </w:tcPr>
          <w:p w14:paraId="51B59724">
            <w:pPr>
              <w:spacing w:line="480" w:lineRule="auto"/>
              <w:ind w:firstLine="482" w:firstLineChars="200"/>
              <w:jc w:val="both"/>
              <w:textAlignment w:val="center"/>
              <w:rPr>
                <w:rFonts w:ascii="Arial" w:hAnsi="Arial" w:eastAsia="宋体" w:cs="Arial"/>
                <w:b/>
                <w:bCs/>
                <w:sz w:val="24"/>
                <w:szCs w:val="24"/>
              </w:rPr>
            </w:pPr>
            <w:r>
              <w:rPr>
                <w:rFonts w:ascii="Arial" w:hAnsi="Arial" w:eastAsia="宋体" w:cs="Arial"/>
                <w:b/>
                <w:bCs/>
                <w:sz w:val="24"/>
                <w:szCs w:val="24"/>
                <w:lang w:val="en-US" w:bidi="ar"/>
              </w:rPr>
              <w:t>Cultural Flexibility</w:t>
            </w:r>
          </w:p>
        </w:tc>
        <w:tc>
          <w:tcPr>
            <w:tcW w:w="1672" w:type="pct"/>
            <w:shd w:val="clear" w:color="auto" w:fill="auto"/>
            <w:vAlign w:val="center"/>
          </w:tcPr>
          <w:p w14:paraId="3E740E4E">
            <w:pPr>
              <w:spacing w:line="480" w:lineRule="auto"/>
              <w:ind w:firstLine="480" w:firstLineChars="200"/>
              <w:jc w:val="both"/>
              <w:textAlignment w:val="center"/>
              <w:rPr>
                <w:rFonts w:ascii="Arial" w:hAnsi="Arial" w:eastAsia="宋体" w:cs="Arial"/>
                <w:sz w:val="24"/>
                <w:szCs w:val="24"/>
              </w:rPr>
            </w:pPr>
            <w:r>
              <w:rPr>
                <w:rFonts w:ascii="Arial" w:hAnsi="Arial" w:eastAsia="宋体" w:cs="Arial"/>
                <w:sz w:val="24"/>
                <w:szCs w:val="24"/>
                <w:lang w:val="en-US" w:bidi="ar"/>
              </w:rPr>
              <w:t>Rigid adherence to rules and standardized practices ensures predictability and uniformity (Levitt, 2022).</w:t>
            </w:r>
          </w:p>
        </w:tc>
        <w:tc>
          <w:tcPr>
            <w:tcW w:w="2115" w:type="pct"/>
            <w:shd w:val="clear" w:color="auto" w:fill="auto"/>
            <w:vAlign w:val="center"/>
          </w:tcPr>
          <w:p w14:paraId="05559D8E">
            <w:pPr>
              <w:spacing w:line="480" w:lineRule="auto"/>
              <w:ind w:firstLine="480" w:firstLineChars="200"/>
              <w:jc w:val="both"/>
              <w:textAlignment w:val="center"/>
              <w:rPr>
                <w:rFonts w:ascii="Arial" w:hAnsi="Arial" w:eastAsia="宋体" w:cs="Arial"/>
                <w:sz w:val="24"/>
                <w:szCs w:val="24"/>
              </w:rPr>
            </w:pPr>
            <w:r>
              <w:rPr>
                <w:rFonts w:ascii="Arial" w:hAnsi="Arial" w:eastAsia="宋体" w:cs="Arial"/>
                <w:sz w:val="24"/>
                <w:szCs w:val="24"/>
                <w:lang w:val="en-US" w:bidi="ar"/>
              </w:rPr>
              <w:t>Flexible and adaptive to the situation, emphasizing harmony and relational dynamics over strict procedures (Levitt, 2022).</w:t>
            </w:r>
          </w:p>
        </w:tc>
      </w:tr>
    </w:tbl>
    <w:p w14:paraId="0C430F09">
      <w:pPr>
        <w:pStyle w:val="10"/>
        <w:spacing w:beforeAutospacing="0" w:line="480" w:lineRule="auto"/>
        <w:ind w:firstLine="480" w:firstLineChars="200"/>
        <w:jc w:val="center"/>
        <w:rPr>
          <w:rFonts w:hint="default" w:ascii="Arial" w:hAnsi="Arial" w:cs="Arial" w:eastAsiaTheme="minorEastAsia"/>
          <w:sz w:val="24"/>
          <w:szCs w:val="24"/>
          <w:lang w:val="en-US" w:eastAsia="zh-CN"/>
        </w:rPr>
      </w:pPr>
      <w:r>
        <w:rPr>
          <w:rFonts w:hint="eastAsia" w:ascii="Arial" w:hAnsi="Arial" w:cs="Arial"/>
          <w:szCs w:val="24"/>
          <w:lang w:val="en-US" w:eastAsia="zh-CN"/>
        </w:rPr>
        <w:t>(Creative by myself</w:t>
      </w:r>
      <w:r>
        <w:rPr>
          <w:rFonts w:hint="eastAsia" w:ascii="Arial" w:hAnsi="Arial" w:cs="Arial"/>
          <w:sz w:val="24"/>
          <w:szCs w:val="24"/>
          <w:lang w:val="en-US" w:eastAsia="zh-CN"/>
        </w:rPr>
        <w:t>)</w:t>
      </w:r>
    </w:p>
    <w:p w14:paraId="33DA6507">
      <w:pPr>
        <w:pStyle w:val="10"/>
        <w:spacing w:beforeAutospacing="0" w:line="480" w:lineRule="auto"/>
        <w:jc w:val="both"/>
        <w:rPr>
          <w:rFonts w:hint="default" w:ascii="Arial" w:hAnsi="Arial" w:cs="Arial"/>
          <w:szCs w:val="24"/>
          <w:lang w:val="en-US" w:eastAsia="zh-CN"/>
        </w:rPr>
      </w:pPr>
      <w:r>
        <w:rPr>
          <w:rFonts w:ascii="Arial" w:hAnsi="Arial" w:cs="Arial"/>
          <w:szCs w:val="24"/>
        </w:rPr>
        <w:t>The difference between high context culture and low context culture is important for enterprises to enter new markets. If British clothing retail companies do not adapt to the communication characteristics of Chinese culture, there will be problems such as lack of trust and relationship breakdown, and in severe cases, risks such as decreased operational efficiency and market reputation of the company. It should be noted that not all cultures can be simply classified as high context or low context cultures, and there may also be changes and transformations between different cultures (</w:t>
      </w:r>
      <w:r>
        <w:rPr>
          <w:rFonts w:ascii="Arial" w:hAnsi="Arial" w:eastAsia="宋体" w:cs="Arial"/>
          <w:color w:val="222222"/>
          <w:szCs w:val="24"/>
          <w:shd w:val="clear" w:color="auto" w:fill="FFFFFF"/>
        </w:rPr>
        <w:t>Guan, 2024)</w:t>
      </w:r>
      <w:r>
        <w:rPr>
          <w:rFonts w:ascii="Arial" w:hAnsi="Arial" w:cs="Arial"/>
          <w:szCs w:val="24"/>
        </w:rPr>
        <w:t>. In cross-cultural communication, it is necessary to make judgments and adjustments based on specific situations to avoid misunderstandings and conflicts caused by cultural differences. It is worth noting that high context and low context are not absolute, but rather a tendency that exists in cultural and social environments. Therefore, in cross-cultural communication, understanding and respecting the other person's cultural background and communication style, as well as paying attention to personal expression and attitude, are all very important</w:t>
      </w:r>
      <w:r>
        <w:rPr>
          <w:rFonts w:hint="eastAsia" w:ascii="Arial" w:hAnsi="Arial" w:cs="Arial"/>
          <w:szCs w:val="24"/>
          <w:lang w:val="en-US" w:eastAsia="zh-CN"/>
        </w:rPr>
        <w:t xml:space="preserve"> (Wu, Yama and Zakaria, 2023).</w:t>
      </w:r>
    </w:p>
    <w:p w14:paraId="7E5BEF0C">
      <w:pPr>
        <w:pStyle w:val="10"/>
        <w:spacing w:beforeAutospacing="0" w:line="480" w:lineRule="auto"/>
        <w:jc w:val="both"/>
        <w:rPr>
          <w:rFonts w:hint="eastAsia" w:ascii="Arial" w:hAnsi="Arial" w:cs="Arial" w:eastAsiaTheme="minorEastAsia"/>
          <w:szCs w:val="24"/>
          <w:lang w:val="en-US" w:eastAsia="zh-CN"/>
        </w:rPr>
      </w:pPr>
    </w:p>
    <w:p w14:paraId="5AD0BC85">
      <w:pPr>
        <w:pStyle w:val="3"/>
        <w:spacing w:line="480" w:lineRule="auto"/>
        <w:jc w:val="both"/>
        <w:rPr>
          <w:rFonts w:cs="Arial"/>
          <w:sz w:val="24"/>
          <w:szCs w:val="24"/>
        </w:rPr>
      </w:pPr>
      <w:r>
        <w:rPr>
          <w:rFonts w:cs="Arial"/>
          <w:sz w:val="24"/>
          <w:szCs w:val="24"/>
        </w:rPr>
        <w:t>2.4 – Effective Communication</w:t>
      </w:r>
    </w:p>
    <w:p w14:paraId="14DD24F1">
      <w:pPr>
        <w:spacing w:line="480" w:lineRule="auto"/>
        <w:jc w:val="both"/>
        <w:textAlignment w:val="center"/>
        <w:rPr>
          <w:rFonts w:ascii="Arial" w:hAnsi="Arial" w:eastAsia="宋体" w:cs="Arial"/>
          <w:sz w:val="24"/>
          <w:szCs w:val="24"/>
          <w:lang w:val="fr-FR" w:bidi="ar"/>
        </w:rPr>
      </w:pPr>
      <w:r>
        <w:rPr>
          <w:rFonts w:ascii="Arial" w:hAnsi="Arial" w:eastAsia="宋体" w:cs="Arial"/>
          <w:sz w:val="24"/>
          <w:szCs w:val="24"/>
          <w:lang w:val="fr-FR" w:bidi="ar"/>
        </w:rPr>
        <w:t>Effective communication depends on whether the company can strike a balance between cultural adaptation and communication strategies. British clothing companies entering the Chinese market first need to pay attention to the communication of context and cultural clues. In Chinese high context culture, information transmission and communication are carried out through body language, contextual connections, scenes, and so on. Effective communication means that businesses need to combine verbal and nonverbal signals. For example, in formal business negotiations, British companies can use language such as intonation and body language to express respect and concern, while ensuring that contract terms are clear (Walter</w:t>
      </w:r>
      <w:r>
        <w:rPr>
          <w:rFonts w:hint="eastAsia" w:ascii="Arial" w:hAnsi="Arial" w:eastAsia="宋体" w:cs="Arial"/>
          <w:sz w:val="24"/>
          <w:szCs w:val="24"/>
          <w:lang w:val="fr-FR" w:bidi="ar"/>
        </w:rPr>
        <w:t xml:space="preserve"> </w:t>
      </w:r>
      <w:r>
        <w:rPr>
          <w:rFonts w:ascii="Arial" w:hAnsi="Arial" w:eastAsia="宋体" w:cs="Arial"/>
          <w:sz w:val="24"/>
          <w:szCs w:val="24"/>
          <w:lang w:val="fr-FR" w:bidi="ar"/>
        </w:rPr>
        <w:t>&amp; Matar,</w:t>
      </w:r>
      <w:r>
        <w:rPr>
          <w:rFonts w:hint="eastAsia" w:ascii="Arial" w:hAnsi="Arial" w:eastAsia="宋体" w:cs="Arial"/>
          <w:sz w:val="24"/>
          <w:szCs w:val="24"/>
          <w:lang w:val="fr-FR" w:bidi="ar"/>
        </w:rPr>
        <w:t xml:space="preserve"> </w:t>
      </w:r>
      <w:r>
        <w:rPr>
          <w:rFonts w:ascii="Arial" w:hAnsi="Arial" w:eastAsia="宋体" w:cs="Arial"/>
          <w:sz w:val="24"/>
          <w:szCs w:val="24"/>
          <w:lang w:val="fr-FR" w:bidi="ar"/>
        </w:rPr>
        <w:t>2024). In addition, the company also needs to cultivate empathy by integrating localized elements and collaborating with local teams. At the same time, British clothing companies can design communication methods that conform to cultural habits, such as adding holiday greetings in emails or face-to-face interactions, to enhance trust (Trompenaars</w:t>
      </w:r>
      <w:r>
        <w:rPr>
          <w:rFonts w:hint="eastAsia" w:ascii="Arial" w:hAnsi="Arial" w:eastAsia="宋体" w:cs="Arial"/>
          <w:sz w:val="24"/>
          <w:szCs w:val="24"/>
          <w:lang w:val="fr-FR" w:bidi="ar"/>
        </w:rPr>
        <w:t xml:space="preserve"> </w:t>
      </w:r>
      <w:r>
        <w:rPr>
          <w:rFonts w:ascii="Arial" w:hAnsi="Arial" w:eastAsia="宋体" w:cs="Arial"/>
          <w:sz w:val="24"/>
          <w:szCs w:val="24"/>
          <w:lang w:val="fr-FR" w:bidi="ar"/>
        </w:rPr>
        <w:t>&amp;</w:t>
      </w:r>
      <w:r>
        <w:rPr>
          <w:rFonts w:hint="eastAsia" w:ascii="Arial" w:hAnsi="Arial" w:eastAsia="宋体" w:cs="Arial"/>
          <w:sz w:val="24"/>
          <w:szCs w:val="24"/>
          <w:lang w:val="fr-FR" w:bidi="ar"/>
        </w:rPr>
        <w:t xml:space="preserve"> </w:t>
      </w:r>
      <w:r>
        <w:rPr>
          <w:rFonts w:ascii="Arial" w:hAnsi="Arial" w:eastAsia="宋体" w:cs="Arial"/>
          <w:sz w:val="24"/>
          <w:szCs w:val="24"/>
          <w:lang w:val="fr-FR" w:bidi="ar"/>
        </w:rPr>
        <w:t>Hampden Turner, 1998). Effective communication can help businesses efficiently and flexibly respond to relationship maintenance and information transmission in different cultural environment.</w:t>
      </w:r>
    </w:p>
    <w:p w14:paraId="02DEF73D">
      <w:pPr>
        <w:pStyle w:val="3"/>
        <w:spacing w:line="480" w:lineRule="auto"/>
        <w:jc w:val="both"/>
        <w:rPr>
          <w:rFonts w:cs="Arial"/>
          <w:sz w:val="24"/>
          <w:szCs w:val="24"/>
          <w:lang w:val="fr-FR"/>
        </w:rPr>
      </w:pPr>
      <w:r>
        <w:rPr>
          <w:rFonts w:cs="Arial"/>
          <w:sz w:val="24"/>
          <w:szCs w:val="24"/>
          <w:lang w:val="fr-FR"/>
        </w:rPr>
        <w:t>2.5 – International Culture</w:t>
      </w:r>
    </w:p>
    <w:p w14:paraId="3EBF8FCA">
      <w:pPr>
        <w:pStyle w:val="4"/>
        <w:spacing w:line="480" w:lineRule="auto"/>
        <w:jc w:val="both"/>
        <w:rPr>
          <w:rFonts w:hint="default" w:ascii="Arial" w:hAnsi="Arial" w:cs="Arial"/>
          <w:sz w:val="24"/>
          <w:szCs w:val="24"/>
          <w:lang w:val="fr-FR"/>
        </w:rPr>
      </w:pPr>
      <w:r>
        <w:rPr>
          <w:rFonts w:hint="default" w:ascii="Arial" w:hAnsi="Arial" w:cs="Arial"/>
          <w:sz w:val="24"/>
          <w:szCs w:val="24"/>
          <w:lang w:val="fr-FR"/>
        </w:rPr>
        <w:t>2.5.1 - Trompenaar’s 7 dimensions to culture</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76"/>
        <w:gridCol w:w="2558"/>
        <w:gridCol w:w="2755"/>
        <w:gridCol w:w="2053"/>
      </w:tblGrid>
      <w:tr w14:paraId="6786A9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trPr>
        <w:tc>
          <w:tcPr>
            <w:tcW w:w="0" w:type="auto"/>
            <w:shd w:val="clear" w:color="auto" w:fill="auto"/>
            <w:vAlign w:val="center"/>
          </w:tcPr>
          <w:p w14:paraId="55FC0DCD">
            <w:pPr>
              <w:spacing w:line="480" w:lineRule="auto"/>
              <w:jc w:val="both"/>
              <w:textAlignment w:val="center"/>
              <w:rPr>
                <w:rFonts w:ascii="Arial" w:hAnsi="Arial" w:eastAsia="宋体" w:cs="Arial"/>
                <w:b/>
                <w:bCs/>
                <w:sz w:val="24"/>
                <w:szCs w:val="24"/>
              </w:rPr>
            </w:pPr>
            <w:r>
              <w:rPr>
                <w:rFonts w:ascii="Arial" w:hAnsi="Arial" w:eastAsia="宋体" w:cs="Arial"/>
                <w:b/>
                <w:bCs/>
                <w:sz w:val="24"/>
                <w:szCs w:val="24"/>
                <w:lang w:val="en-US" w:bidi="ar"/>
              </w:rPr>
              <w:t>Dimension</w:t>
            </w:r>
          </w:p>
        </w:tc>
        <w:tc>
          <w:tcPr>
            <w:tcW w:w="2558" w:type="dxa"/>
            <w:shd w:val="clear" w:color="auto" w:fill="auto"/>
            <w:vAlign w:val="center"/>
          </w:tcPr>
          <w:p w14:paraId="41AA6503">
            <w:pPr>
              <w:spacing w:line="480" w:lineRule="auto"/>
              <w:jc w:val="both"/>
              <w:textAlignment w:val="center"/>
              <w:rPr>
                <w:rFonts w:ascii="Arial" w:hAnsi="Arial" w:eastAsia="宋体" w:cs="Arial"/>
                <w:b/>
                <w:bCs/>
                <w:sz w:val="24"/>
                <w:szCs w:val="24"/>
              </w:rPr>
            </w:pPr>
            <w:r>
              <w:rPr>
                <w:rFonts w:ascii="Arial" w:hAnsi="Arial" w:eastAsia="宋体" w:cs="Arial"/>
                <w:b/>
                <w:bCs/>
                <w:sz w:val="24"/>
                <w:szCs w:val="24"/>
                <w:lang w:val="en-US" w:bidi="ar"/>
              </w:rPr>
              <w:t>Description</w:t>
            </w:r>
          </w:p>
        </w:tc>
        <w:tc>
          <w:tcPr>
            <w:tcW w:w="2755" w:type="dxa"/>
            <w:shd w:val="clear" w:color="auto" w:fill="auto"/>
            <w:vAlign w:val="center"/>
          </w:tcPr>
          <w:p w14:paraId="40F20160">
            <w:pPr>
              <w:spacing w:line="480" w:lineRule="auto"/>
              <w:jc w:val="both"/>
              <w:textAlignment w:val="center"/>
              <w:rPr>
                <w:rFonts w:ascii="Arial" w:hAnsi="Arial" w:eastAsia="宋体" w:cs="Arial"/>
                <w:b/>
                <w:bCs/>
                <w:sz w:val="24"/>
                <w:szCs w:val="24"/>
              </w:rPr>
            </w:pPr>
            <w:r>
              <w:rPr>
                <w:rFonts w:ascii="Arial" w:hAnsi="Arial" w:eastAsia="宋体" w:cs="Arial"/>
                <w:b/>
                <w:bCs/>
                <w:sz w:val="24"/>
                <w:szCs w:val="24"/>
                <w:lang w:val="en-US" w:bidi="ar"/>
              </w:rPr>
              <w:t xml:space="preserve">UK </w:t>
            </w:r>
          </w:p>
        </w:tc>
        <w:tc>
          <w:tcPr>
            <w:tcW w:w="0" w:type="auto"/>
            <w:shd w:val="clear" w:color="auto" w:fill="auto"/>
            <w:vAlign w:val="center"/>
          </w:tcPr>
          <w:p w14:paraId="1F2B9F30">
            <w:pPr>
              <w:spacing w:line="480" w:lineRule="auto"/>
              <w:jc w:val="both"/>
              <w:textAlignment w:val="center"/>
              <w:rPr>
                <w:rFonts w:ascii="Arial" w:hAnsi="Arial" w:eastAsia="宋体" w:cs="Arial"/>
                <w:b/>
                <w:bCs/>
                <w:sz w:val="24"/>
                <w:szCs w:val="24"/>
              </w:rPr>
            </w:pPr>
            <w:r>
              <w:rPr>
                <w:rFonts w:ascii="Arial" w:hAnsi="Arial" w:eastAsia="宋体" w:cs="Arial"/>
                <w:b/>
                <w:bCs/>
                <w:sz w:val="24"/>
                <w:szCs w:val="24"/>
                <w:lang w:val="en-US" w:bidi="ar"/>
              </w:rPr>
              <w:t xml:space="preserve">China </w:t>
            </w:r>
          </w:p>
        </w:tc>
      </w:tr>
      <w:tr w14:paraId="6CF786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trPr>
        <w:tc>
          <w:tcPr>
            <w:tcW w:w="0" w:type="auto"/>
            <w:shd w:val="clear" w:color="auto" w:fill="auto"/>
            <w:vAlign w:val="center"/>
          </w:tcPr>
          <w:p w14:paraId="34298A94">
            <w:pPr>
              <w:spacing w:line="480" w:lineRule="auto"/>
              <w:jc w:val="both"/>
              <w:textAlignment w:val="center"/>
              <w:rPr>
                <w:rFonts w:ascii="Arial" w:hAnsi="Arial" w:eastAsia="宋体" w:cs="Arial"/>
                <w:b/>
                <w:bCs/>
                <w:sz w:val="24"/>
                <w:szCs w:val="24"/>
              </w:rPr>
            </w:pPr>
            <w:r>
              <w:rPr>
                <w:rFonts w:ascii="Arial" w:hAnsi="Arial" w:eastAsia="宋体" w:cs="Arial"/>
                <w:b/>
                <w:bCs/>
                <w:sz w:val="24"/>
                <w:szCs w:val="24"/>
                <w:lang w:val="en-US" w:bidi="ar"/>
              </w:rPr>
              <w:t>Universalism vs. Particularism</w:t>
            </w:r>
          </w:p>
        </w:tc>
        <w:tc>
          <w:tcPr>
            <w:tcW w:w="2558" w:type="dxa"/>
            <w:shd w:val="clear" w:color="auto" w:fill="auto"/>
            <w:vAlign w:val="center"/>
          </w:tcPr>
          <w:p w14:paraId="38B612FA">
            <w:pPr>
              <w:spacing w:line="480" w:lineRule="auto"/>
              <w:jc w:val="both"/>
              <w:textAlignment w:val="center"/>
              <w:rPr>
                <w:rFonts w:ascii="Arial" w:hAnsi="Arial" w:eastAsia="宋体" w:cs="Arial"/>
                <w:sz w:val="24"/>
                <w:szCs w:val="24"/>
              </w:rPr>
            </w:pPr>
            <w:r>
              <w:rPr>
                <w:rFonts w:ascii="Arial" w:hAnsi="Arial" w:eastAsia="宋体" w:cs="Arial"/>
                <w:sz w:val="24"/>
                <w:szCs w:val="24"/>
                <w:lang w:val="en-US" w:bidi="ar"/>
              </w:rPr>
              <w:t>Focus on rules and contracts versus relationship-based flexibility.</w:t>
            </w:r>
          </w:p>
        </w:tc>
        <w:tc>
          <w:tcPr>
            <w:tcW w:w="2755" w:type="dxa"/>
            <w:shd w:val="clear" w:color="auto" w:fill="auto"/>
            <w:vAlign w:val="center"/>
          </w:tcPr>
          <w:p w14:paraId="3C02D80A">
            <w:pPr>
              <w:spacing w:line="480" w:lineRule="auto"/>
              <w:jc w:val="both"/>
              <w:textAlignment w:val="center"/>
              <w:rPr>
                <w:rFonts w:ascii="Arial" w:hAnsi="Arial" w:eastAsia="宋体" w:cs="Arial"/>
                <w:sz w:val="24"/>
                <w:szCs w:val="24"/>
              </w:rPr>
            </w:pPr>
            <w:r>
              <w:rPr>
                <w:rFonts w:ascii="Arial" w:hAnsi="Arial" w:eastAsia="宋体" w:cs="Arial"/>
                <w:sz w:val="24"/>
                <w:szCs w:val="24"/>
                <w:lang w:val="en-US" w:bidi="ar"/>
              </w:rPr>
              <w:t>Emphasizes strict adherence to rules and contracts (Qi &amp; Ling,</w:t>
            </w:r>
            <w:r>
              <w:rPr>
                <w:rFonts w:hint="eastAsia" w:ascii="Arial" w:hAnsi="Arial" w:eastAsia="宋体" w:cs="Arial"/>
                <w:sz w:val="24"/>
                <w:szCs w:val="24"/>
                <w:lang w:val="en-US" w:bidi="ar"/>
              </w:rPr>
              <w:t xml:space="preserve"> </w:t>
            </w:r>
            <w:r>
              <w:rPr>
                <w:rFonts w:ascii="Arial" w:hAnsi="Arial" w:eastAsia="宋体" w:cs="Arial"/>
                <w:sz w:val="24"/>
                <w:szCs w:val="24"/>
                <w:lang w:val="en-US" w:bidi="ar"/>
              </w:rPr>
              <w:t>2020).</w:t>
            </w:r>
          </w:p>
        </w:tc>
        <w:tc>
          <w:tcPr>
            <w:tcW w:w="0" w:type="auto"/>
            <w:shd w:val="clear" w:color="auto" w:fill="auto"/>
            <w:vAlign w:val="center"/>
          </w:tcPr>
          <w:p w14:paraId="5426BB98">
            <w:pPr>
              <w:spacing w:line="480" w:lineRule="auto"/>
              <w:jc w:val="both"/>
              <w:textAlignment w:val="center"/>
              <w:rPr>
                <w:rFonts w:ascii="Arial" w:hAnsi="Arial" w:eastAsia="宋体" w:cs="Arial"/>
                <w:sz w:val="24"/>
                <w:szCs w:val="24"/>
              </w:rPr>
            </w:pPr>
            <w:r>
              <w:rPr>
                <w:rFonts w:ascii="Arial" w:hAnsi="Arial" w:eastAsia="宋体" w:cs="Arial"/>
                <w:sz w:val="24"/>
                <w:szCs w:val="24"/>
                <w:lang w:val="en-US" w:bidi="ar"/>
              </w:rPr>
              <w:t>Adjusts rules based on relationships and context (Qi &amp; Ling,</w:t>
            </w:r>
            <w:r>
              <w:rPr>
                <w:rFonts w:hint="eastAsia" w:ascii="Arial" w:hAnsi="Arial" w:eastAsia="宋体" w:cs="Arial"/>
                <w:sz w:val="24"/>
                <w:szCs w:val="24"/>
                <w:lang w:val="en-US" w:bidi="ar"/>
              </w:rPr>
              <w:t xml:space="preserve"> </w:t>
            </w:r>
            <w:r>
              <w:rPr>
                <w:rFonts w:ascii="Arial" w:hAnsi="Arial" w:eastAsia="宋体" w:cs="Arial"/>
                <w:sz w:val="24"/>
                <w:szCs w:val="24"/>
                <w:lang w:val="en-US" w:bidi="ar"/>
              </w:rPr>
              <w:t>2020).</w:t>
            </w:r>
          </w:p>
        </w:tc>
      </w:tr>
      <w:tr w14:paraId="3B945A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trPr>
        <w:tc>
          <w:tcPr>
            <w:tcW w:w="0" w:type="auto"/>
            <w:shd w:val="clear" w:color="auto" w:fill="auto"/>
            <w:vAlign w:val="center"/>
          </w:tcPr>
          <w:p w14:paraId="6EEB91CD">
            <w:pPr>
              <w:spacing w:line="480" w:lineRule="auto"/>
              <w:jc w:val="both"/>
              <w:textAlignment w:val="center"/>
              <w:rPr>
                <w:rFonts w:ascii="Arial" w:hAnsi="Arial" w:eastAsia="宋体" w:cs="Arial"/>
                <w:b/>
                <w:bCs/>
                <w:sz w:val="24"/>
                <w:szCs w:val="24"/>
              </w:rPr>
            </w:pPr>
            <w:r>
              <w:rPr>
                <w:rFonts w:ascii="Arial" w:hAnsi="Arial" w:eastAsia="宋体" w:cs="Arial"/>
                <w:b/>
                <w:bCs/>
                <w:sz w:val="24"/>
                <w:szCs w:val="24"/>
                <w:lang w:val="en-US" w:bidi="ar"/>
              </w:rPr>
              <w:t>Individualism vs. Collectivism</w:t>
            </w:r>
          </w:p>
        </w:tc>
        <w:tc>
          <w:tcPr>
            <w:tcW w:w="2558" w:type="dxa"/>
            <w:shd w:val="clear" w:color="auto" w:fill="auto"/>
            <w:vAlign w:val="center"/>
          </w:tcPr>
          <w:p w14:paraId="5E455FD4">
            <w:pPr>
              <w:spacing w:line="480" w:lineRule="auto"/>
              <w:jc w:val="both"/>
              <w:textAlignment w:val="center"/>
              <w:rPr>
                <w:rFonts w:ascii="Arial" w:hAnsi="Arial" w:eastAsia="宋体" w:cs="Arial"/>
                <w:sz w:val="24"/>
                <w:szCs w:val="24"/>
              </w:rPr>
            </w:pPr>
            <w:r>
              <w:rPr>
                <w:rFonts w:ascii="Arial" w:hAnsi="Arial" w:eastAsia="宋体" w:cs="Arial"/>
                <w:sz w:val="24"/>
                <w:szCs w:val="24"/>
                <w:lang w:val="en-US" w:bidi="ar"/>
              </w:rPr>
              <w:t>Prioritization of individual achievements or group benefits.</w:t>
            </w:r>
          </w:p>
        </w:tc>
        <w:tc>
          <w:tcPr>
            <w:tcW w:w="2755" w:type="dxa"/>
            <w:shd w:val="clear" w:color="auto" w:fill="auto"/>
            <w:vAlign w:val="center"/>
          </w:tcPr>
          <w:p w14:paraId="267A39AF">
            <w:pPr>
              <w:spacing w:line="480" w:lineRule="auto"/>
              <w:jc w:val="both"/>
              <w:textAlignment w:val="center"/>
              <w:rPr>
                <w:rFonts w:ascii="Arial" w:hAnsi="Arial" w:eastAsia="宋体" w:cs="Arial"/>
                <w:sz w:val="24"/>
                <w:szCs w:val="24"/>
              </w:rPr>
            </w:pPr>
            <w:r>
              <w:rPr>
                <w:rFonts w:ascii="Arial" w:hAnsi="Arial" w:eastAsia="宋体" w:cs="Arial"/>
                <w:sz w:val="24"/>
                <w:szCs w:val="24"/>
                <w:lang w:val="en-US" w:bidi="ar"/>
              </w:rPr>
              <w:t>Values individual autonomy and personal achievements (Piskulova,</w:t>
            </w:r>
            <w:r>
              <w:rPr>
                <w:rFonts w:hint="eastAsia" w:ascii="Arial" w:hAnsi="Arial" w:eastAsia="宋体" w:cs="Arial"/>
                <w:sz w:val="24"/>
                <w:szCs w:val="24"/>
                <w:lang w:val="en-US" w:bidi="ar"/>
              </w:rPr>
              <w:t xml:space="preserve"> </w:t>
            </w:r>
            <w:r>
              <w:rPr>
                <w:rFonts w:ascii="Arial" w:hAnsi="Arial" w:eastAsia="宋体" w:cs="Arial"/>
                <w:sz w:val="24"/>
                <w:szCs w:val="24"/>
                <w:lang w:val="en-US" w:bidi="ar"/>
              </w:rPr>
              <w:t>2023).</w:t>
            </w:r>
          </w:p>
        </w:tc>
        <w:tc>
          <w:tcPr>
            <w:tcW w:w="0" w:type="auto"/>
            <w:shd w:val="clear" w:color="auto" w:fill="auto"/>
            <w:vAlign w:val="center"/>
          </w:tcPr>
          <w:p w14:paraId="3A03B71B">
            <w:pPr>
              <w:spacing w:line="480" w:lineRule="auto"/>
              <w:jc w:val="both"/>
              <w:textAlignment w:val="center"/>
              <w:rPr>
                <w:rFonts w:ascii="Arial" w:hAnsi="Arial" w:eastAsia="宋体" w:cs="Arial"/>
                <w:sz w:val="24"/>
                <w:szCs w:val="24"/>
              </w:rPr>
            </w:pPr>
            <w:r>
              <w:rPr>
                <w:rFonts w:ascii="Arial" w:hAnsi="Arial" w:eastAsia="宋体" w:cs="Arial"/>
                <w:sz w:val="24"/>
                <w:szCs w:val="24"/>
                <w:lang w:val="en-US" w:bidi="ar"/>
              </w:rPr>
              <w:t>Emphasizes group harmony and collective goals (Piskulova,</w:t>
            </w:r>
            <w:r>
              <w:rPr>
                <w:rFonts w:hint="eastAsia" w:ascii="Arial" w:hAnsi="Arial" w:eastAsia="宋体" w:cs="Arial"/>
                <w:sz w:val="24"/>
                <w:szCs w:val="24"/>
                <w:lang w:val="en-US" w:bidi="ar"/>
              </w:rPr>
              <w:t xml:space="preserve"> </w:t>
            </w:r>
            <w:r>
              <w:rPr>
                <w:rFonts w:ascii="Arial" w:hAnsi="Arial" w:eastAsia="宋体" w:cs="Arial"/>
                <w:sz w:val="24"/>
                <w:szCs w:val="24"/>
                <w:lang w:val="en-US" w:bidi="ar"/>
              </w:rPr>
              <w:t>2023).</w:t>
            </w:r>
          </w:p>
        </w:tc>
      </w:tr>
      <w:tr w14:paraId="706056E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trPr>
        <w:tc>
          <w:tcPr>
            <w:tcW w:w="0" w:type="auto"/>
            <w:shd w:val="clear" w:color="auto" w:fill="auto"/>
            <w:vAlign w:val="center"/>
          </w:tcPr>
          <w:p w14:paraId="454F9D5B">
            <w:pPr>
              <w:spacing w:line="480" w:lineRule="auto"/>
              <w:jc w:val="both"/>
              <w:textAlignment w:val="center"/>
              <w:rPr>
                <w:rFonts w:ascii="Arial" w:hAnsi="Arial" w:eastAsia="宋体" w:cs="Arial"/>
                <w:b/>
                <w:bCs/>
                <w:sz w:val="24"/>
                <w:szCs w:val="24"/>
              </w:rPr>
            </w:pPr>
            <w:r>
              <w:rPr>
                <w:rFonts w:ascii="Arial" w:hAnsi="Arial" w:eastAsia="宋体" w:cs="Arial"/>
                <w:b/>
                <w:bCs/>
                <w:sz w:val="24"/>
                <w:szCs w:val="24"/>
                <w:lang w:val="en-US" w:bidi="ar"/>
              </w:rPr>
              <w:t>Affective vs. Neutral</w:t>
            </w:r>
          </w:p>
        </w:tc>
        <w:tc>
          <w:tcPr>
            <w:tcW w:w="2558" w:type="dxa"/>
            <w:shd w:val="clear" w:color="auto" w:fill="auto"/>
            <w:vAlign w:val="center"/>
          </w:tcPr>
          <w:p w14:paraId="1A5496D6">
            <w:pPr>
              <w:spacing w:line="480" w:lineRule="auto"/>
              <w:jc w:val="both"/>
              <w:textAlignment w:val="center"/>
              <w:rPr>
                <w:rFonts w:ascii="Arial" w:hAnsi="Arial" w:eastAsia="宋体" w:cs="Arial"/>
                <w:sz w:val="24"/>
                <w:szCs w:val="24"/>
              </w:rPr>
            </w:pPr>
            <w:r>
              <w:rPr>
                <w:rFonts w:ascii="Arial" w:hAnsi="Arial" w:eastAsia="宋体" w:cs="Arial"/>
                <w:sz w:val="24"/>
                <w:szCs w:val="24"/>
                <w:lang w:val="en-US" w:bidi="ar"/>
              </w:rPr>
              <w:t>Expression of emotions in cultural interactions.</w:t>
            </w:r>
          </w:p>
        </w:tc>
        <w:tc>
          <w:tcPr>
            <w:tcW w:w="2755" w:type="dxa"/>
            <w:shd w:val="clear" w:color="auto" w:fill="auto"/>
            <w:vAlign w:val="center"/>
          </w:tcPr>
          <w:p w14:paraId="3A2B3D00">
            <w:pPr>
              <w:spacing w:line="480" w:lineRule="auto"/>
              <w:jc w:val="both"/>
              <w:textAlignment w:val="center"/>
              <w:rPr>
                <w:rFonts w:ascii="Arial" w:hAnsi="Arial" w:eastAsia="宋体" w:cs="Arial"/>
                <w:sz w:val="24"/>
                <w:szCs w:val="24"/>
              </w:rPr>
            </w:pPr>
            <w:r>
              <w:rPr>
                <w:rFonts w:ascii="Arial" w:hAnsi="Arial" w:eastAsia="宋体" w:cs="Arial"/>
                <w:sz w:val="24"/>
                <w:szCs w:val="24"/>
                <w:lang w:val="en-US" w:bidi="ar"/>
              </w:rPr>
              <w:t>Maintains emotional neutrality and professionalism (Piskulova,</w:t>
            </w:r>
            <w:r>
              <w:rPr>
                <w:rFonts w:hint="eastAsia" w:ascii="Arial" w:hAnsi="Arial" w:eastAsia="宋体" w:cs="Arial"/>
                <w:sz w:val="24"/>
                <w:szCs w:val="24"/>
                <w:lang w:val="en-US" w:bidi="ar"/>
              </w:rPr>
              <w:t xml:space="preserve"> </w:t>
            </w:r>
            <w:r>
              <w:rPr>
                <w:rFonts w:ascii="Arial" w:hAnsi="Arial" w:eastAsia="宋体" w:cs="Arial"/>
                <w:sz w:val="24"/>
                <w:szCs w:val="24"/>
                <w:lang w:val="en-US" w:bidi="ar"/>
              </w:rPr>
              <w:t>2023).</w:t>
            </w:r>
          </w:p>
        </w:tc>
        <w:tc>
          <w:tcPr>
            <w:tcW w:w="0" w:type="auto"/>
            <w:shd w:val="clear" w:color="auto" w:fill="auto"/>
            <w:vAlign w:val="center"/>
          </w:tcPr>
          <w:p w14:paraId="27CFF7C0">
            <w:pPr>
              <w:spacing w:line="480" w:lineRule="auto"/>
              <w:jc w:val="both"/>
              <w:textAlignment w:val="center"/>
              <w:rPr>
                <w:rFonts w:ascii="Arial" w:hAnsi="Arial" w:eastAsia="宋体" w:cs="Arial"/>
                <w:sz w:val="24"/>
                <w:szCs w:val="24"/>
              </w:rPr>
            </w:pPr>
            <w:r>
              <w:rPr>
                <w:rFonts w:ascii="Arial" w:hAnsi="Arial" w:eastAsia="宋体" w:cs="Arial"/>
                <w:sz w:val="24"/>
                <w:szCs w:val="24"/>
                <w:lang w:val="en-US" w:bidi="ar"/>
              </w:rPr>
              <w:t>Expresses emotions openly, especially in informal settings (Piskulova,</w:t>
            </w:r>
            <w:r>
              <w:rPr>
                <w:rFonts w:hint="eastAsia" w:ascii="Arial" w:hAnsi="Arial" w:eastAsia="宋体" w:cs="Arial"/>
                <w:sz w:val="24"/>
                <w:szCs w:val="24"/>
                <w:lang w:val="en-US" w:bidi="ar"/>
              </w:rPr>
              <w:t xml:space="preserve"> </w:t>
            </w:r>
            <w:r>
              <w:rPr>
                <w:rFonts w:ascii="Arial" w:hAnsi="Arial" w:eastAsia="宋体" w:cs="Arial"/>
                <w:sz w:val="24"/>
                <w:szCs w:val="24"/>
                <w:lang w:val="en-US" w:bidi="ar"/>
              </w:rPr>
              <w:t>2023).</w:t>
            </w:r>
          </w:p>
        </w:tc>
      </w:tr>
      <w:tr w14:paraId="3A7238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trPr>
        <w:tc>
          <w:tcPr>
            <w:tcW w:w="0" w:type="auto"/>
            <w:shd w:val="clear" w:color="auto" w:fill="auto"/>
            <w:vAlign w:val="center"/>
          </w:tcPr>
          <w:p w14:paraId="3AF34ADD">
            <w:pPr>
              <w:spacing w:line="480" w:lineRule="auto"/>
              <w:jc w:val="both"/>
              <w:textAlignment w:val="center"/>
              <w:rPr>
                <w:rFonts w:ascii="Arial" w:hAnsi="Arial" w:eastAsia="宋体" w:cs="Arial"/>
                <w:b/>
                <w:bCs/>
                <w:sz w:val="24"/>
                <w:szCs w:val="24"/>
              </w:rPr>
            </w:pPr>
            <w:r>
              <w:rPr>
                <w:rFonts w:ascii="Arial" w:hAnsi="Arial" w:eastAsia="宋体" w:cs="Arial"/>
                <w:b/>
                <w:bCs/>
                <w:sz w:val="24"/>
                <w:szCs w:val="24"/>
                <w:lang w:val="en-US" w:bidi="ar"/>
              </w:rPr>
              <w:t>Specific vs. Diffuse</w:t>
            </w:r>
          </w:p>
        </w:tc>
        <w:tc>
          <w:tcPr>
            <w:tcW w:w="2558" w:type="dxa"/>
            <w:shd w:val="clear" w:color="auto" w:fill="auto"/>
            <w:vAlign w:val="center"/>
          </w:tcPr>
          <w:p w14:paraId="228BE3DE">
            <w:pPr>
              <w:spacing w:line="480" w:lineRule="auto"/>
              <w:jc w:val="both"/>
              <w:textAlignment w:val="center"/>
              <w:rPr>
                <w:rFonts w:ascii="Arial" w:hAnsi="Arial" w:eastAsia="宋体" w:cs="Arial"/>
                <w:sz w:val="24"/>
                <w:szCs w:val="24"/>
              </w:rPr>
            </w:pPr>
            <w:r>
              <w:rPr>
                <w:rFonts w:ascii="Arial" w:hAnsi="Arial" w:eastAsia="宋体" w:cs="Arial"/>
                <w:sz w:val="24"/>
                <w:szCs w:val="24"/>
                <w:lang w:val="en-US" w:bidi="ar"/>
              </w:rPr>
              <w:t>Whether interactions are task-focused or relationship-oriented.</w:t>
            </w:r>
          </w:p>
        </w:tc>
        <w:tc>
          <w:tcPr>
            <w:tcW w:w="2755" w:type="dxa"/>
            <w:shd w:val="clear" w:color="auto" w:fill="auto"/>
            <w:vAlign w:val="center"/>
          </w:tcPr>
          <w:p w14:paraId="6BB17E7B">
            <w:pPr>
              <w:spacing w:line="480" w:lineRule="auto"/>
              <w:jc w:val="both"/>
              <w:textAlignment w:val="center"/>
              <w:rPr>
                <w:rFonts w:hint="eastAsia" w:ascii="Arial" w:hAnsi="Arial" w:eastAsia="宋体" w:cs="Arial"/>
                <w:sz w:val="24"/>
                <w:szCs w:val="24"/>
                <w:lang w:val="en-US" w:eastAsia="zh-CN"/>
              </w:rPr>
            </w:pPr>
            <w:r>
              <w:rPr>
                <w:rFonts w:ascii="Arial" w:hAnsi="Arial" w:eastAsia="宋体" w:cs="Arial"/>
                <w:sz w:val="24"/>
                <w:szCs w:val="24"/>
                <w:lang w:val="en-US" w:bidi="ar"/>
              </w:rPr>
              <w:t>Focuses on specific tasks and short-term goals (Kosse</w:t>
            </w:r>
            <w:r>
              <w:rPr>
                <w:rFonts w:hint="eastAsia" w:ascii="Arial" w:hAnsi="Arial" w:eastAsia="宋体" w:cs="Arial"/>
                <w:sz w:val="24"/>
                <w:szCs w:val="24"/>
                <w:lang w:val="en-US" w:bidi="ar"/>
              </w:rPr>
              <w:t xml:space="preserve">, </w:t>
            </w:r>
            <w:r>
              <w:rPr>
                <w:rFonts w:ascii="Arial" w:hAnsi="Arial" w:eastAsia="宋体" w:cs="Arial"/>
                <w:sz w:val="24"/>
                <w:szCs w:val="24"/>
                <w:lang w:val="en-US" w:bidi="ar"/>
              </w:rPr>
              <w:t>2022)</w:t>
            </w:r>
            <w:r>
              <w:rPr>
                <w:rFonts w:hint="eastAsia" w:ascii="Arial" w:hAnsi="Arial" w:eastAsia="宋体" w:cs="Arial"/>
                <w:sz w:val="24"/>
                <w:szCs w:val="24"/>
                <w:lang w:val="en-US" w:eastAsia="zh-CN" w:bidi="ar"/>
              </w:rPr>
              <w:t>.</w:t>
            </w:r>
          </w:p>
        </w:tc>
        <w:tc>
          <w:tcPr>
            <w:tcW w:w="0" w:type="auto"/>
            <w:shd w:val="clear" w:color="auto" w:fill="auto"/>
            <w:vAlign w:val="center"/>
          </w:tcPr>
          <w:p w14:paraId="134E35CA">
            <w:pPr>
              <w:spacing w:line="480" w:lineRule="auto"/>
              <w:jc w:val="both"/>
              <w:textAlignment w:val="center"/>
              <w:rPr>
                <w:rFonts w:ascii="Arial" w:hAnsi="Arial" w:eastAsia="宋体" w:cs="Arial"/>
                <w:sz w:val="24"/>
                <w:szCs w:val="24"/>
              </w:rPr>
            </w:pPr>
            <w:r>
              <w:rPr>
                <w:rFonts w:ascii="Arial" w:hAnsi="Arial" w:eastAsia="宋体" w:cs="Arial"/>
                <w:sz w:val="24"/>
                <w:szCs w:val="24"/>
                <w:lang w:val="en-US" w:bidi="ar"/>
              </w:rPr>
              <w:t>Prioritizes holistic relationships and long-term cooperation (Tao, &amp; Li,2020).</w:t>
            </w:r>
          </w:p>
        </w:tc>
      </w:tr>
      <w:tr w14:paraId="04BCE7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trPr>
        <w:tc>
          <w:tcPr>
            <w:tcW w:w="0" w:type="auto"/>
            <w:shd w:val="clear" w:color="auto" w:fill="auto"/>
            <w:vAlign w:val="center"/>
          </w:tcPr>
          <w:p w14:paraId="4AF480AA">
            <w:pPr>
              <w:spacing w:line="480" w:lineRule="auto"/>
              <w:jc w:val="both"/>
              <w:textAlignment w:val="center"/>
              <w:rPr>
                <w:rFonts w:ascii="Arial" w:hAnsi="Arial" w:eastAsia="宋体" w:cs="Arial"/>
                <w:b/>
                <w:bCs/>
                <w:sz w:val="24"/>
                <w:szCs w:val="24"/>
              </w:rPr>
            </w:pPr>
            <w:r>
              <w:rPr>
                <w:rFonts w:ascii="Arial" w:hAnsi="Arial" w:eastAsia="宋体" w:cs="Arial"/>
                <w:b/>
                <w:bCs/>
                <w:sz w:val="24"/>
                <w:szCs w:val="24"/>
                <w:lang w:val="en-US" w:bidi="ar"/>
              </w:rPr>
              <w:t>Achievement vs. Ascription</w:t>
            </w:r>
          </w:p>
        </w:tc>
        <w:tc>
          <w:tcPr>
            <w:tcW w:w="2558" w:type="dxa"/>
            <w:shd w:val="clear" w:color="auto" w:fill="auto"/>
            <w:vAlign w:val="center"/>
          </w:tcPr>
          <w:p w14:paraId="20F8C85C">
            <w:pPr>
              <w:spacing w:line="480" w:lineRule="auto"/>
              <w:jc w:val="both"/>
              <w:textAlignment w:val="center"/>
              <w:rPr>
                <w:rFonts w:ascii="Arial" w:hAnsi="Arial" w:eastAsia="宋体" w:cs="Arial"/>
                <w:sz w:val="24"/>
                <w:szCs w:val="24"/>
              </w:rPr>
            </w:pPr>
            <w:r>
              <w:rPr>
                <w:rFonts w:ascii="Arial" w:hAnsi="Arial" w:eastAsia="宋体" w:cs="Arial"/>
                <w:sz w:val="24"/>
                <w:szCs w:val="24"/>
                <w:lang w:val="en-US" w:bidi="ar"/>
              </w:rPr>
              <w:t>Basis of success: personal achievements or attributed status.</w:t>
            </w:r>
          </w:p>
        </w:tc>
        <w:tc>
          <w:tcPr>
            <w:tcW w:w="2755" w:type="dxa"/>
            <w:shd w:val="clear" w:color="auto" w:fill="auto"/>
            <w:vAlign w:val="center"/>
          </w:tcPr>
          <w:p w14:paraId="032B39A8">
            <w:pPr>
              <w:spacing w:line="480" w:lineRule="auto"/>
              <w:jc w:val="both"/>
              <w:textAlignment w:val="center"/>
              <w:rPr>
                <w:rFonts w:hint="eastAsia" w:ascii="Arial" w:hAnsi="Arial" w:eastAsia="宋体" w:cs="Arial"/>
                <w:sz w:val="24"/>
                <w:szCs w:val="24"/>
                <w:lang w:val="en-US" w:eastAsia="zh-CN"/>
              </w:rPr>
            </w:pPr>
            <w:r>
              <w:rPr>
                <w:rFonts w:ascii="Arial" w:hAnsi="Arial" w:eastAsia="宋体" w:cs="Arial"/>
                <w:sz w:val="24"/>
                <w:szCs w:val="24"/>
                <w:lang w:val="en-US" w:bidi="ar"/>
              </w:rPr>
              <w:t>Success is based on merit and achievements (Kosse</w:t>
            </w:r>
            <w:r>
              <w:rPr>
                <w:rFonts w:hint="eastAsia" w:ascii="Arial" w:hAnsi="Arial" w:eastAsia="宋体" w:cs="Arial"/>
                <w:sz w:val="24"/>
                <w:szCs w:val="24"/>
                <w:lang w:val="en-US" w:bidi="ar"/>
              </w:rPr>
              <w:t xml:space="preserve">, </w:t>
            </w:r>
            <w:r>
              <w:rPr>
                <w:rFonts w:ascii="Arial" w:hAnsi="Arial" w:eastAsia="宋体" w:cs="Arial"/>
                <w:sz w:val="24"/>
                <w:szCs w:val="24"/>
                <w:lang w:val="en-US" w:bidi="ar"/>
              </w:rPr>
              <w:t>2022)</w:t>
            </w:r>
            <w:r>
              <w:rPr>
                <w:rFonts w:hint="eastAsia" w:ascii="Arial" w:hAnsi="Arial" w:eastAsia="宋体" w:cs="Arial"/>
                <w:sz w:val="24"/>
                <w:szCs w:val="24"/>
                <w:lang w:val="en-US" w:eastAsia="zh-CN" w:bidi="ar"/>
              </w:rPr>
              <w:t>.</w:t>
            </w:r>
          </w:p>
        </w:tc>
        <w:tc>
          <w:tcPr>
            <w:tcW w:w="0" w:type="auto"/>
            <w:shd w:val="clear" w:color="auto" w:fill="auto"/>
            <w:vAlign w:val="center"/>
          </w:tcPr>
          <w:p w14:paraId="2C4F9968">
            <w:pPr>
              <w:spacing w:line="480" w:lineRule="auto"/>
              <w:jc w:val="both"/>
              <w:textAlignment w:val="center"/>
              <w:rPr>
                <w:rFonts w:ascii="Arial" w:hAnsi="Arial" w:eastAsia="宋体" w:cs="Arial"/>
                <w:sz w:val="24"/>
                <w:szCs w:val="24"/>
              </w:rPr>
            </w:pPr>
            <w:r>
              <w:rPr>
                <w:rFonts w:ascii="Arial" w:hAnsi="Arial" w:eastAsia="宋体" w:cs="Arial"/>
                <w:sz w:val="24"/>
                <w:szCs w:val="24"/>
                <w:lang w:val="en-US" w:bidi="ar"/>
              </w:rPr>
              <w:t>Status often derives from relationships and seniority (Tao, &amp; Li,2020).</w:t>
            </w:r>
          </w:p>
        </w:tc>
      </w:tr>
      <w:tr w14:paraId="60B590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trPr>
        <w:tc>
          <w:tcPr>
            <w:tcW w:w="0" w:type="auto"/>
            <w:shd w:val="clear" w:color="auto" w:fill="auto"/>
            <w:vAlign w:val="center"/>
          </w:tcPr>
          <w:p w14:paraId="5DFD8343">
            <w:pPr>
              <w:spacing w:line="480" w:lineRule="auto"/>
              <w:jc w:val="both"/>
              <w:textAlignment w:val="center"/>
              <w:rPr>
                <w:rFonts w:ascii="Arial" w:hAnsi="Arial" w:eastAsia="宋体" w:cs="Arial"/>
                <w:b/>
                <w:bCs/>
                <w:sz w:val="24"/>
                <w:szCs w:val="24"/>
              </w:rPr>
            </w:pPr>
            <w:r>
              <w:rPr>
                <w:rFonts w:ascii="Arial" w:hAnsi="Arial" w:eastAsia="宋体" w:cs="Arial"/>
                <w:b/>
                <w:bCs/>
                <w:sz w:val="24"/>
                <w:szCs w:val="24"/>
                <w:lang w:val="en-US" w:bidi="ar"/>
              </w:rPr>
              <w:t>Sequential vs. Synchronous</w:t>
            </w:r>
          </w:p>
        </w:tc>
        <w:tc>
          <w:tcPr>
            <w:tcW w:w="2558" w:type="dxa"/>
            <w:shd w:val="clear" w:color="auto" w:fill="auto"/>
            <w:vAlign w:val="center"/>
          </w:tcPr>
          <w:p w14:paraId="61A179FA">
            <w:pPr>
              <w:spacing w:line="480" w:lineRule="auto"/>
              <w:jc w:val="both"/>
              <w:textAlignment w:val="center"/>
              <w:rPr>
                <w:rFonts w:ascii="Arial" w:hAnsi="Arial" w:eastAsia="宋体" w:cs="Arial"/>
                <w:sz w:val="24"/>
                <w:szCs w:val="24"/>
              </w:rPr>
            </w:pPr>
            <w:r>
              <w:rPr>
                <w:rFonts w:ascii="Arial" w:hAnsi="Arial" w:eastAsia="宋体" w:cs="Arial"/>
                <w:sz w:val="24"/>
                <w:szCs w:val="24"/>
                <w:lang w:val="en-US" w:bidi="ar"/>
              </w:rPr>
              <w:t>Approach to time: linear versus flexible and simultaneous.</w:t>
            </w:r>
          </w:p>
        </w:tc>
        <w:tc>
          <w:tcPr>
            <w:tcW w:w="2755" w:type="dxa"/>
            <w:shd w:val="clear" w:color="auto" w:fill="auto"/>
            <w:vAlign w:val="center"/>
          </w:tcPr>
          <w:p w14:paraId="0AD16775">
            <w:pPr>
              <w:spacing w:line="480" w:lineRule="auto"/>
              <w:jc w:val="both"/>
              <w:textAlignment w:val="center"/>
              <w:rPr>
                <w:rFonts w:ascii="Arial" w:hAnsi="Arial" w:eastAsia="宋体" w:cs="Arial"/>
                <w:sz w:val="24"/>
                <w:szCs w:val="24"/>
              </w:rPr>
            </w:pPr>
            <w:r>
              <w:rPr>
                <w:rFonts w:ascii="Arial" w:hAnsi="Arial" w:eastAsia="宋体" w:cs="Arial"/>
                <w:sz w:val="24"/>
                <w:szCs w:val="24"/>
                <w:lang w:val="en-US" w:bidi="ar"/>
              </w:rPr>
              <w:t>Time is linear, with projects planned in phases (</w:t>
            </w:r>
            <w:r>
              <w:rPr>
                <w:rFonts w:ascii="Arial" w:hAnsi="Arial" w:eastAsia="宋体" w:cs="Arial"/>
                <w:color w:val="222222"/>
                <w:sz w:val="24"/>
                <w:szCs w:val="24"/>
                <w:shd w:val="clear" w:color="auto" w:fill="FFFFFF"/>
              </w:rPr>
              <w:t>Sachdeva, 2020).</w:t>
            </w:r>
          </w:p>
        </w:tc>
        <w:tc>
          <w:tcPr>
            <w:tcW w:w="0" w:type="auto"/>
            <w:shd w:val="clear" w:color="auto" w:fill="auto"/>
            <w:vAlign w:val="center"/>
          </w:tcPr>
          <w:p w14:paraId="1E7A9BBE">
            <w:pPr>
              <w:spacing w:line="480" w:lineRule="auto"/>
              <w:jc w:val="both"/>
              <w:textAlignment w:val="center"/>
              <w:rPr>
                <w:rFonts w:ascii="Arial" w:hAnsi="Arial" w:eastAsia="宋体" w:cs="Arial"/>
                <w:sz w:val="24"/>
                <w:szCs w:val="24"/>
              </w:rPr>
            </w:pPr>
            <w:r>
              <w:rPr>
                <w:rFonts w:ascii="Arial" w:hAnsi="Arial" w:eastAsia="宋体" w:cs="Arial"/>
                <w:sz w:val="24"/>
                <w:szCs w:val="24"/>
                <w:lang w:val="en-US" w:bidi="ar"/>
              </w:rPr>
              <w:t>Time is flexible, with priorities adjusted dynamically (Tao, &amp; Li,2020).</w:t>
            </w:r>
          </w:p>
        </w:tc>
      </w:tr>
      <w:tr w14:paraId="73B7AF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trPr>
        <w:tc>
          <w:tcPr>
            <w:tcW w:w="0" w:type="auto"/>
            <w:shd w:val="clear" w:color="auto" w:fill="auto"/>
            <w:vAlign w:val="center"/>
          </w:tcPr>
          <w:p w14:paraId="306BEB5A">
            <w:pPr>
              <w:spacing w:line="480" w:lineRule="auto"/>
              <w:jc w:val="both"/>
              <w:textAlignment w:val="center"/>
              <w:rPr>
                <w:rFonts w:ascii="Arial" w:hAnsi="Arial" w:eastAsia="宋体" w:cs="Arial"/>
                <w:b/>
                <w:bCs/>
                <w:sz w:val="24"/>
                <w:szCs w:val="24"/>
              </w:rPr>
            </w:pPr>
            <w:r>
              <w:rPr>
                <w:rFonts w:ascii="Arial" w:hAnsi="Arial" w:eastAsia="宋体" w:cs="Arial"/>
                <w:b/>
                <w:bCs/>
                <w:sz w:val="24"/>
                <w:szCs w:val="24"/>
                <w:lang w:val="en-US" w:bidi="ar"/>
              </w:rPr>
              <w:t>Internal vs. External Control</w:t>
            </w:r>
          </w:p>
        </w:tc>
        <w:tc>
          <w:tcPr>
            <w:tcW w:w="2558" w:type="dxa"/>
            <w:shd w:val="clear" w:color="auto" w:fill="auto"/>
            <w:vAlign w:val="center"/>
          </w:tcPr>
          <w:p w14:paraId="37309817">
            <w:pPr>
              <w:spacing w:line="480" w:lineRule="auto"/>
              <w:jc w:val="both"/>
              <w:textAlignment w:val="center"/>
              <w:rPr>
                <w:rFonts w:ascii="Arial" w:hAnsi="Arial" w:eastAsia="宋体" w:cs="Arial"/>
                <w:sz w:val="24"/>
                <w:szCs w:val="24"/>
              </w:rPr>
            </w:pPr>
            <w:r>
              <w:rPr>
                <w:rFonts w:ascii="Arial" w:hAnsi="Arial" w:eastAsia="宋体" w:cs="Arial"/>
                <w:sz w:val="24"/>
                <w:szCs w:val="24"/>
                <w:lang w:val="en-US" w:bidi="ar"/>
              </w:rPr>
              <w:t>Relationship with the environment: controlling it versus adapting to it.</w:t>
            </w:r>
          </w:p>
        </w:tc>
        <w:tc>
          <w:tcPr>
            <w:tcW w:w="2755" w:type="dxa"/>
            <w:shd w:val="clear" w:color="auto" w:fill="auto"/>
            <w:vAlign w:val="center"/>
          </w:tcPr>
          <w:p w14:paraId="5E476D44">
            <w:pPr>
              <w:spacing w:line="480" w:lineRule="auto"/>
              <w:jc w:val="both"/>
              <w:textAlignment w:val="center"/>
              <w:rPr>
                <w:rFonts w:ascii="Arial" w:hAnsi="Arial" w:eastAsia="宋体" w:cs="Arial"/>
                <w:sz w:val="24"/>
                <w:szCs w:val="24"/>
              </w:rPr>
            </w:pPr>
            <w:r>
              <w:rPr>
                <w:rFonts w:ascii="Arial" w:hAnsi="Arial" w:eastAsia="宋体" w:cs="Arial"/>
                <w:sz w:val="24"/>
                <w:szCs w:val="24"/>
                <w:lang w:val="en-US" w:bidi="ar"/>
              </w:rPr>
              <w:t>Aims to control and predict the environment (</w:t>
            </w:r>
            <w:r>
              <w:rPr>
                <w:rFonts w:ascii="Arial" w:hAnsi="Arial" w:eastAsia="宋体" w:cs="Arial"/>
                <w:color w:val="222222"/>
                <w:sz w:val="24"/>
                <w:szCs w:val="24"/>
                <w:shd w:val="clear" w:color="auto" w:fill="FFFFFF"/>
              </w:rPr>
              <w:t>Sachdeva, 2020).</w:t>
            </w:r>
          </w:p>
        </w:tc>
        <w:tc>
          <w:tcPr>
            <w:tcW w:w="0" w:type="auto"/>
            <w:shd w:val="clear" w:color="auto" w:fill="auto"/>
            <w:vAlign w:val="center"/>
          </w:tcPr>
          <w:p w14:paraId="7537AB68">
            <w:pPr>
              <w:spacing w:line="480" w:lineRule="auto"/>
              <w:jc w:val="both"/>
              <w:textAlignment w:val="center"/>
              <w:rPr>
                <w:rFonts w:ascii="Arial" w:hAnsi="Arial" w:eastAsia="宋体" w:cs="Arial"/>
                <w:sz w:val="24"/>
                <w:szCs w:val="24"/>
              </w:rPr>
            </w:pPr>
            <w:r>
              <w:rPr>
                <w:rFonts w:ascii="Arial" w:hAnsi="Arial" w:eastAsia="宋体" w:cs="Arial"/>
                <w:sz w:val="24"/>
                <w:szCs w:val="24"/>
                <w:lang w:val="en-US" w:bidi="ar"/>
              </w:rPr>
              <w:t>Focuses on harmony with the environment and adapts to changes (Tao, &amp; Li,2020).</w:t>
            </w:r>
          </w:p>
        </w:tc>
      </w:tr>
    </w:tbl>
    <w:p w14:paraId="68D8029A">
      <w:pPr>
        <w:spacing w:line="480" w:lineRule="auto"/>
        <w:ind w:firstLine="480" w:firstLineChars="200"/>
        <w:jc w:val="center"/>
        <w:rPr>
          <w:rFonts w:ascii="Arial" w:hAnsi="Arial" w:cs="Arial"/>
          <w:sz w:val="24"/>
          <w:szCs w:val="24"/>
          <w:lang w:val="en-US" w:bidi="ar"/>
        </w:rPr>
      </w:pPr>
      <w:r>
        <w:rPr>
          <w:rFonts w:ascii="Arial" w:hAnsi="Arial" w:cs="Arial"/>
          <w:sz w:val="24"/>
          <w:szCs w:val="24"/>
          <w:lang w:val="en-US" w:bidi="ar"/>
        </w:rPr>
        <w:t>Table2 Trompenaars’ 7 Dimensions of Culture</w:t>
      </w:r>
    </w:p>
    <w:p w14:paraId="0840DAF7">
      <w:pPr>
        <w:pStyle w:val="10"/>
        <w:spacing w:beforeAutospacing="0" w:line="480" w:lineRule="auto"/>
        <w:ind w:firstLine="480" w:firstLineChars="200"/>
        <w:jc w:val="center"/>
        <w:rPr>
          <w:rFonts w:hint="default" w:ascii="Arial" w:hAnsi="Arial" w:cs="Arial"/>
          <w:sz w:val="24"/>
          <w:szCs w:val="24"/>
          <w:lang w:val="en-US" w:bidi="ar"/>
        </w:rPr>
      </w:pPr>
      <w:r>
        <w:rPr>
          <w:rFonts w:hint="eastAsia" w:ascii="Arial" w:hAnsi="Arial" w:cs="Arial"/>
          <w:szCs w:val="24"/>
          <w:lang w:val="en-US" w:eastAsia="zh-CN"/>
        </w:rPr>
        <w:t>(Creative by myself)</w:t>
      </w:r>
    </w:p>
    <w:p w14:paraId="41E8CA8D">
      <w:pPr>
        <w:pStyle w:val="3"/>
        <w:spacing w:line="480" w:lineRule="auto"/>
        <w:jc w:val="both"/>
        <w:rPr>
          <w:rFonts w:cs="Arial"/>
          <w:b w:val="0"/>
          <w:bCs/>
          <w:sz w:val="24"/>
          <w:szCs w:val="24"/>
          <w:lang w:val="en-US"/>
        </w:rPr>
      </w:pPr>
      <w:r>
        <w:rPr>
          <w:rFonts w:cs="Arial"/>
          <w:b w:val="0"/>
          <w:bCs/>
          <w:sz w:val="24"/>
          <w:szCs w:val="24"/>
          <w:lang w:val="en-US"/>
        </w:rPr>
        <w:t>British clothing retail companies can address cultural differences analyzed in Trompenaars' 7 Dimensions of Culture by incorporating flexibility into contracts and utilizing informal interactions to promote emotional engagement, thereby better expanding in the Chinese market.</w:t>
      </w:r>
    </w:p>
    <w:p w14:paraId="1AAF5FB0">
      <w:pPr>
        <w:pStyle w:val="3"/>
        <w:spacing w:line="480" w:lineRule="auto"/>
        <w:jc w:val="both"/>
        <w:rPr>
          <w:rFonts w:cs="Arial"/>
          <w:sz w:val="24"/>
          <w:szCs w:val="24"/>
          <w:lang w:val="en-US"/>
        </w:rPr>
      </w:pPr>
      <w:r>
        <w:rPr>
          <w:rFonts w:cs="Arial"/>
          <w:sz w:val="24"/>
          <w:szCs w:val="24"/>
          <w:lang w:val="en-US"/>
        </w:rPr>
        <w:t>2.6 – Importance of Building Relationships</w:t>
      </w:r>
    </w:p>
    <w:p w14:paraId="54F69BF5">
      <w:pPr>
        <w:spacing w:line="480" w:lineRule="auto"/>
        <w:jc w:val="both"/>
        <w:rPr>
          <w:rFonts w:ascii="Arial" w:hAnsi="Arial" w:cs="Arial"/>
          <w:sz w:val="24"/>
          <w:szCs w:val="24"/>
          <w:lang w:val="en-US" w:bidi="ar"/>
        </w:rPr>
      </w:pPr>
      <w:r>
        <w:rPr>
          <w:rFonts w:ascii="Arial" w:hAnsi="Arial" w:cs="Arial"/>
          <w:sz w:val="24"/>
          <w:szCs w:val="24"/>
          <w:lang w:val="en-US" w:bidi="ar"/>
        </w:rPr>
        <w:t>The relationship in international business cooperation is the foundation of trust and long-term cooperation (Dobracal, 2020). As a high context culture in China, British clothing retail companies need to establish relationships with customers or partners through holiday celebrations, organizing business banquets, or supporting community projects to reduce the uncertainty caused by cultural differences. The investment in relationships requires a lot of time and resources, and the events held need to promote the company's emotional closeness to Chinese partners while expressing respect for local culture (Meyer, 2014). Chinese culture attaches great importance to relationships, and if British clothing retail companies do not value relationships, they will lose their market competitive advantage (Wang et al., 2024).</w:t>
      </w:r>
    </w:p>
    <w:p w14:paraId="13C9E89D">
      <w:pPr>
        <w:pStyle w:val="3"/>
        <w:spacing w:line="480" w:lineRule="auto"/>
        <w:jc w:val="both"/>
        <w:rPr>
          <w:rFonts w:cs="Arial"/>
          <w:sz w:val="24"/>
          <w:szCs w:val="24"/>
          <w:lang w:val="en-US"/>
        </w:rPr>
      </w:pPr>
      <w:r>
        <w:rPr>
          <w:rFonts w:cs="Arial"/>
          <w:sz w:val="24"/>
          <w:szCs w:val="24"/>
          <w:lang w:val="en-US"/>
        </w:rPr>
        <w:t>2.7 – How to build Trust</w:t>
      </w:r>
    </w:p>
    <w:p w14:paraId="43ED8402">
      <w:pPr>
        <w:spacing w:line="480" w:lineRule="auto"/>
        <w:jc w:val="both"/>
        <w:rPr>
          <w:rFonts w:ascii="Arial" w:hAnsi="Arial" w:cs="Arial"/>
          <w:sz w:val="24"/>
          <w:szCs w:val="24"/>
          <w:lang w:val="en-US" w:bidi="ar"/>
        </w:rPr>
      </w:pPr>
      <w:r>
        <w:rPr>
          <w:rFonts w:ascii="Arial" w:hAnsi="Arial" w:cs="Arial"/>
          <w:sz w:val="24"/>
          <w:szCs w:val="24"/>
          <w:lang w:val="en-US" w:bidi="ar"/>
        </w:rPr>
        <w:t>Ways for British clothing retail companies to establish trust in the Chinese market</w:t>
      </w:r>
    </w:p>
    <w:p w14:paraId="09EE2AAE">
      <w:pPr>
        <w:numPr>
          <w:ilvl w:val="0"/>
          <w:numId w:val="4"/>
        </w:numPr>
        <w:spacing w:line="480" w:lineRule="auto"/>
        <w:jc w:val="both"/>
        <w:rPr>
          <w:rFonts w:ascii="Arial" w:hAnsi="Arial" w:cs="Arial"/>
          <w:sz w:val="24"/>
          <w:szCs w:val="24"/>
          <w:lang w:val="en-US" w:bidi="ar"/>
        </w:rPr>
      </w:pPr>
      <w:r>
        <w:rPr>
          <w:rFonts w:ascii="Arial" w:hAnsi="Arial" w:cs="Arial"/>
          <w:b/>
          <w:bCs/>
          <w:sz w:val="24"/>
          <w:szCs w:val="24"/>
          <w:lang w:val="en-US" w:bidi="ar"/>
        </w:rPr>
        <w:t xml:space="preserve">Participate in informal interactions. </w:t>
      </w:r>
      <w:r>
        <w:rPr>
          <w:rFonts w:ascii="Arial" w:hAnsi="Arial" w:cs="Arial"/>
          <w:sz w:val="24"/>
          <w:szCs w:val="24"/>
          <w:lang w:val="en-US" w:bidi="ar"/>
        </w:rPr>
        <w:t>Informal interactions such as business banquets and holiday greetings can demonstrate the sincerity of the enterprise and its emphasis on cooperative relationships. For example, giving culturally significant gifts to British clothing during the Spring Festival can enhance emotional connections among partners (Trompenaars</w:t>
      </w:r>
      <w:r>
        <w:rPr>
          <w:rFonts w:hint="eastAsia" w:ascii="Arial" w:hAnsi="Arial" w:cs="Arial"/>
          <w:sz w:val="24"/>
          <w:szCs w:val="24"/>
          <w:lang w:val="en-US" w:bidi="ar"/>
        </w:rPr>
        <w:t xml:space="preserve"> </w:t>
      </w:r>
      <w:r>
        <w:rPr>
          <w:rFonts w:ascii="Arial" w:hAnsi="Arial" w:cs="Arial"/>
          <w:sz w:val="24"/>
          <w:szCs w:val="24"/>
          <w:lang w:val="en-US" w:bidi="ar"/>
        </w:rPr>
        <w:t>&amp;</w:t>
      </w:r>
      <w:r>
        <w:rPr>
          <w:rFonts w:hint="eastAsia" w:ascii="Arial" w:hAnsi="Arial" w:cs="Arial"/>
          <w:sz w:val="24"/>
          <w:szCs w:val="24"/>
          <w:lang w:val="en-US" w:bidi="ar"/>
        </w:rPr>
        <w:t xml:space="preserve"> </w:t>
      </w:r>
      <w:r>
        <w:rPr>
          <w:rFonts w:ascii="Arial" w:hAnsi="Arial" w:cs="Arial"/>
          <w:sz w:val="24"/>
          <w:szCs w:val="24"/>
          <w:lang w:val="en-US" w:bidi="ar"/>
        </w:rPr>
        <w:t>Hampden Turner, 1998).</w:t>
      </w:r>
    </w:p>
    <w:p w14:paraId="10E8028C">
      <w:pPr>
        <w:numPr>
          <w:ilvl w:val="0"/>
          <w:numId w:val="4"/>
        </w:numPr>
        <w:spacing w:line="480" w:lineRule="auto"/>
        <w:jc w:val="both"/>
        <w:rPr>
          <w:rFonts w:ascii="Arial" w:hAnsi="Arial" w:cs="Arial"/>
          <w:sz w:val="24"/>
          <w:szCs w:val="24"/>
          <w:lang w:val="en-US" w:bidi="ar"/>
        </w:rPr>
      </w:pPr>
      <w:r>
        <w:rPr>
          <w:rFonts w:ascii="Arial" w:hAnsi="Arial" w:cs="Arial"/>
          <w:b/>
          <w:bCs/>
          <w:sz w:val="24"/>
          <w:szCs w:val="24"/>
          <w:lang w:val="en-US" w:bidi="ar"/>
        </w:rPr>
        <w:t xml:space="preserve">Flexible adjustment of contracts. </w:t>
      </w:r>
      <w:r>
        <w:rPr>
          <w:rFonts w:ascii="Arial" w:hAnsi="Arial" w:cs="Arial"/>
          <w:sz w:val="24"/>
          <w:szCs w:val="24"/>
          <w:lang w:val="en-US" w:bidi="ar"/>
        </w:rPr>
        <w:t>Collaboration in high context cultures relies on relationships and trust, so British clothing retail companies need to ensure a certain degree of flexibility in the execution of contract terms to cope with unexpected situations (Hofstede, 2010).</w:t>
      </w:r>
    </w:p>
    <w:p w14:paraId="2FB66437">
      <w:pPr>
        <w:numPr>
          <w:ilvl w:val="0"/>
          <w:numId w:val="4"/>
        </w:numPr>
        <w:spacing w:line="480" w:lineRule="auto"/>
        <w:jc w:val="both"/>
        <w:rPr>
          <w:rFonts w:ascii="Arial" w:hAnsi="Arial" w:cs="Arial"/>
          <w:sz w:val="24"/>
          <w:szCs w:val="24"/>
          <w:lang w:val="en-US" w:bidi="ar"/>
        </w:rPr>
      </w:pPr>
      <w:r>
        <w:rPr>
          <w:rFonts w:ascii="Arial" w:hAnsi="Arial" w:cs="Arial"/>
          <w:b/>
          <w:bCs/>
          <w:sz w:val="24"/>
          <w:szCs w:val="24"/>
          <w:lang w:val="en-US" w:bidi="ar"/>
        </w:rPr>
        <w:t>Demonstrate cultural adaptability</w:t>
      </w:r>
      <w:r>
        <w:rPr>
          <w:rFonts w:ascii="Arial" w:hAnsi="Arial" w:cs="Arial"/>
          <w:sz w:val="24"/>
          <w:szCs w:val="24"/>
          <w:lang w:val="en-US" w:bidi="ar"/>
        </w:rPr>
        <w:t>. British clothing retail companies can demonstrate their adaptability to local culture by hiring employees or consultants who are familiar with the local culture to help coordinate cross-cultural communication (Meyer, 2014).</w:t>
      </w:r>
    </w:p>
    <w:p w14:paraId="032F6408">
      <w:pPr>
        <w:pStyle w:val="3"/>
        <w:spacing w:line="480" w:lineRule="auto"/>
        <w:jc w:val="both"/>
        <w:rPr>
          <w:rFonts w:cs="Arial"/>
          <w:sz w:val="24"/>
          <w:szCs w:val="24"/>
          <w:lang w:val="en-US"/>
        </w:rPr>
      </w:pPr>
      <w:r>
        <w:rPr>
          <w:rFonts w:cs="Arial"/>
          <w:sz w:val="24"/>
          <w:szCs w:val="24"/>
          <w:lang w:val="en-US"/>
        </w:rPr>
        <w:t xml:space="preserve">2.8 – Failed Relationships </w:t>
      </w:r>
    </w:p>
    <w:p w14:paraId="4C1D3669">
      <w:pPr>
        <w:spacing w:line="480" w:lineRule="auto"/>
        <w:jc w:val="both"/>
        <w:rPr>
          <w:rFonts w:ascii="Arial" w:hAnsi="Arial" w:cs="Arial"/>
          <w:sz w:val="24"/>
          <w:szCs w:val="24"/>
          <w:lang w:val="en-US" w:bidi="ar"/>
        </w:rPr>
      </w:pPr>
      <w:r>
        <w:rPr>
          <w:rFonts w:ascii="Arial" w:hAnsi="Arial" w:cs="Arial"/>
          <w:sz w:val="24"/>
          <w:szCs w:val="24"/>
          <w:lang w:val="en-US" w:bidi="ar"/>
        </w:rPr>
        <w:t>The failure in cross-cultural cooperation is related to the neglect of cultural differences and improper communication methods.</w:t>
      </w:r>
    </w:p>
    <w:p w14:paraId="17BD3A22">
      <w:pPr>
        <w:numPr>
          <w:ilvl w:val="0"/>
          <w:numId w:val="5"/>
        </w:numPr>
        <w:spacing w:line="480" w:lineRule="auto"/>
        <w:jc w:val="both"/>
        <w:rPr>
          <w:rFonts w:ascii="Arial" w:hAnsi="Arial" w:cs="Arial"/>
          <w:sz w:val="24"/>
          <w:szCs w:val="24"/>
          <w:lang w:val="en-US" w:bidi="ar"/>
        </w:rPr>
      </w:pPr>
      <w:r>
        <w:rPr>
          <w:rFonts w:ascii="Arial" w:hAnsi="Arial" w:cs="Arial"/>
          <w:b/>
          <w:bCs/>
          <w:sz w:val="24"/>
          <w:szCs w:val="24"/>
          <w:lang w:val="en-US" w:bidi="ar"/>
        </w:rPr>
        <w:t>Cultural misunderstanding</w:t>
      </w:r>
      <w:r>
        <w:rPr>
          <w:rFonts w:ascii="Arial" w:hAnsi="Arial" w:cs="Arial"/>
          <w:sz w:val="24"/>
          <w:szCs w:val="24"/>
          <w:lang w:val="en-US" w:bidi="ar"/>
        </w:rPr>
        <w:t>. The differences in communication styles between high and low context cultures can easily lead to misunderstandings. For example, the direct communication methods adopted by British companies in the Chinese market may be considered inflexible (</w:t>
      </w:r>
      <w:r>
        <w:rPr>
          <w:rFonts w:ascii="Arial" w:hAnsi="Arial" w:eastAsia="宋体" w:cs="Arial"/>
          <w:color w:val="222222"/>
          <w:sz w:val="24"/>
          <w:szCs w:val="24"/>
          <w:shd w:val="clear" w:color="auto" w:fill="FFFFFF"/>
        </w:rPr>
        <w:t>Adanlawo, Reddy&amp; Rugbeer, 2021)</w:t>
      </w:r>
      <w:r>
        <w:rPr>
          <w:rFonts w:ascii="Arial" w:hAnsi="Arial" w:cs="Arial"/>
          <w:sz w:val="24"/>
          <w:szCs w:val="24"/>
          <w:lang w:val="en-US" w:bidi="ar"/>
        </w:rPr>
        <w:t>.</w:t>
      </w:r>
    </w:p>
    <w:p w14:paraId="516BE89E">
      <w:pPr>
        <w:numPr>
          <w:ilvl w:val="0"/>
          <w:numId w:val="5"/>
        </w:numPr>
        <w:spacing w:line="480" w:lineRule="auto"/>
        <w:jc w:val="both"/>
        <w:rPr>
          <w:rFonts w:ascii="Arial" w:hAnsi="Arial" w:cs="Arial"/>
          <w:sz w:val="24"/>
          <w:szCs w:val="24"/>
          <w:lang w:val="en-US" w:bidi="ar"/>
        </w:rPr>
      </w:pPr>
      <w:bookmarkStart w:id="3" w:name="_Toc25734"/>
      <w:r>
        <w:rPr>
          <w:rFonts w:ascii="Arial" w:hAnsi="Arial" w:cs="Arial"/>
          <w:b/>
          <w:bCs/>
          <w:sz w:val="24"/>
          <w:szCs w:val="24"/>
          <w:lang w:val="en-US" w:bidi="ar"/>
        </w:rPr>
        <w:t xml:space="preserve">Neglecting relationship building. </w:t>
      </w:r>
      <w:r>
        <w:rPr>
          <w:rFonts w:ascii="Arial" w:hAnsi="Arial" w:cs="Arial"/>
          <w:sz w:val="24"/>
          <w:szCs w:val="24"/>
          <w:lang w:val="en-US" w:bidi="ar"/>
        </w:rPr>
        <w:t xml:space="preserve">In high context cultures, companies that rely on contracts and neglect the establishment of informal relationships may be seen as indifferent and disrespectful to the culture (Su, et al., 2023). </w:t>
      </w:r>
    </w:p>
    <w:p w14:paraId="45103C43">
      <w:pPr>
        <w:numPr>
          <w:ilvl w:val="0"/>
          <w:numId w:val="5"/>
        </w:numPr>
        <w:spacing w:line="480" w:lineRule="auto"/>
        <w:jc w:val="both"/>
        <w:rPr>
          <w:rFonts w:ascii="Arial" w:hAnsi="Arial" w:cs="Arial"/>
          <w:sz w:val="24"/>
          <w:szCs w:val="24"/>
          <w:lang w:val="en-US" w:bidi="ar"/>
        </w:rPr>
      </w:pPr>
      <w:r>
        <w:rPr>
          <w:rFonts w:ascii="Arial" w:hAnsi="Arial" w:cs="Arial"/>
          <w:b/>
          <w:bCs/>
          <w:sz w:val="24"/>
          <w:szCs w:val="24"/>
          <w:lang w:val="en-US" w:bidi="ar"/>
        </w:rPr>
        <w:t>The conflict between short-term orientation and long-term orientation.</w:t>
      </w:r>
      <w:r>
        <w:rPr>
          <w:rFonts w:ascii="Arial" w:hAnsi="Arial" w:cs="Arial"/>
          <w:sz w:val="24"/>
          <w:szCs w:val="24"/>
          <w:lang w:val="en-US" w:bidi="ar"/>
        </w:rPr>
        <w:t xml:space="preserve"> British companies focus on short-term goals, while Chinese culture values the maintenance of long-term relationships. If a company is eager to pursue short-term profits, it will be difficult to meet the expectations of local partners for long-term cooperation (Li, et al., 2020). Specifically, UK companies are more focused on short-term quarterly profit targets, and they will control costs and delivery times through strict contract terms. Chinese partners place greater emphasis on establishing long-term trust relationships. They do not place too much emphasis on short-term profits, but rather hope to accumulate profits through long-term cooperation, even if the single profit is small. The short-term orientation of British companies may lead Chinese partners to believe that the British company lacks sincerity, ultimately reducing trust in the long-term cooperation between the two parties and having a negative impact on the sustainable development of the business (Li, et al., 2020).</w:t>
      </w:r>
    </w:p>
    <w:p w14:paraId="1312CC96">
      <w:pPr>
        <w:pStyle w:val="2"/>
        <w:rPr>
          <w:rFonts w:hint="default" w:ascii="Arial" w:hAnsi="Arial" w:cs="Arial"/>
          <w:b/>
          <w:bCs/>
          <w:sz w:val="28"/>
          <w:szCs w:val="28"/>
        </w:rPr>
      </w:pPr>
      <w:r>
        <w:rPr>
          <w:rFonts w:hint="default" w:ascii="Arial" w:hAnsi="Arial" w:cs="Arial"/>
          <w:b/>
          <w:bCs/>
          <w:sz w:val="28"/>
          <w:szCs w:val="28"/>
        </w:rPr>
        <w:t>3.0 – Conclusions</w:t>
      </w:r>
      <w:bookmarkEnd w:id="3"/>
    </w:p>
    <w:p w14:paraId="533F4DF0"/>
    <w:p w14:paraId="3E9DD9E9">
      <w:pPr>
        <w:pStyle w:val="3"/>
        <w:spacing w:line="480" w:lineRule="auto"/>
        <w:jc w:val="both"/>
        <w:rPr>
          <w:rFonts w:cs="Arial"/>
          <w:sz w:val="24"/>
          <w:szCs w:val="24"/>
        </w:rPr>
      </w:pPr>
      <w:r>
        <w:rPr>
          <w:rFonts w:cs="Arial"/>
          <w:sz w:val="24"/>
          <w:szCs w:val="24"/>
        </w:rPr>
        <w:t>3.1 Differences in Communication Methods</w:t>
      </w:r>
    </w:p>
    <w:p w14:paraId="48BDA4CC">
      <w:pPr>
        <w:spacing w:line="480" w:lineRule="auto"/>
        <w:jc w:val="both"/>
        <w:rPr>
          <w:rFonts w:ascii="Arial" w:hAnsi="Arial" w:cs="Arial"/>
          <w:sz w:val="24"/>
          <w:szCs w:val="24"/>
        </w:rPr>
      </w:pPr>
      <w:r>
        <w:rPr>
          <w:rFonts w:ascii="Arial" w:hAnsi="Arial" w:cs="Arial"/>
          <w:sz w:val="24"/>
          <w:szCs w:val="24"/>
        </w:rPr>
        <w:t>British culture is a typical low context culture, while Chinese culture represents high context culture (Meyer, 2014). The differences in communication methods can lead to issues such as a lack of empathy among British companies when dealing with problems. For example, when supply chain partners need to adjust delivery dates due to uncontrollable factors, British companies may only emphasize strict adherence to contract terms while neglecting flexible handling of issues in high context cultures. It will be perceived by Chinese partners as lacking sincerity and cultural sensitivity, ultimately weakening the trust between both parties. Therefore, in order to effectively work with people from different cultural backgrounds, British clothing retail companies need to make correct cultural attributions about the environment they face, put themselves in their shoes, and attribute from the other party's perspective. At the same time, companies need to cultivate employees' cultural sensitivity, learn nonverbal signals and flexible communication methods to establish deep and intimate relationships with partners.</w:t>
      </w:r>
    </w:p>
    <w:p w14:paraId="2E680831">
      <w:pPr>
        <w:pStyle w:val="3"/>
        <w:spacing w:line="480" w:lineRule="auto"/>
        <w:jc w:val="both"/>
        <w:rPr>
          <w:rFonts w:cs="Arial"/>
          <w:sz w:val="24"/>
          <w:szCs w:val="24"/>
        </w:rPr>
      </w:pPr>
      <w:r>
        <w:rPr>
          <w:rFonts w:cs="Arial"/>
          <w:sz w:val="24"/>
          <w:szCs w:val="24"/>
        </w:rPr>
        <w:t>3.2 The Importance of Relationship Building</w:t>
      </w:r>
    </w:p>
    <w:p w14:paraId="680F10B9">
      <w:pPr>
        <w:spacing w:line="480" w:lineRule="auto"/>
        <w:jc w:val="both"/>
        <w:rPr>
          <w:rFonts w:ascii="Arial" w:hAnsi="Arial" w:cs="Arial"/>
          <w:sz w:val="24"/>
          <w:szCs w:val="24"/>
        </w:rPr>
      </w:pPr>
      <w:r>
        <w:rPr>
          <w:rFonts w:ascii="Arial" w:hAnsi="Arial" w:cs="Arial"/>
          <w:sz w:val="24"/>
          <w:szCs w:val="24"/>
        </w:rPr>
        <w:t>Business cooperation in low context cultures is goal and task oriented, with a strong emphasis on efficiency and results (Trompenaars</w:t>
      </w:r>
      <w:r>
        <w:rPr>
          <w:rFonts w:hint="eastAsia" w:ascii="Arial" w:hAnsi="Arial" w:cs="Arial"/>
          <w:sz w:val="24"/>
          <w:szCs w:val="24"/>
        </w:rPr>
        <w:t xml:space="preserve"> </w:t>
      </w:r>
      <w:r>
        <w:rPr>
          <w:rFonts w:ascii="Arial" w:hAnsi="Arial" w:cs="Arial"/>
          <w:sz w:val="24"/>
          <w:szCs w:val="24"/>
        </w:rPr>
        <w:t>&amp;</w:t>
      </w:r>
      <w:r>
        <w:rPr>
          <w:rFonts w:hint="eastAsia" w:ascii="Arial" w:hAnsi="Arial" w:cs="Arial"/>
          <w:sz w:val="24"/>
          <w:szCs w:val="24"/>
        </w:rPr>
        <w:t xml:space="preserve"> </w:t>
      </w:r>
      <w:r>
        <w:rPr>
          <w:rFonts w:ascii="Arial" w:hAnsi="Arial" w:cs="Arial"/>
          <w:sz w:val="24"/>
          <w:szCs w:val="24"/>
        </w:rPr>
        <w:t>Hampden Turner, 1998). British companies measure the success of cooperative relationships by completing projects, and do not place much emphasis on informal interactions. However, Chinese culture places great emphasis on relationships, and stable interpersonal relationships are the foundation for commercial success in the Chinese market. Informal social activities in Chinese business activities are used to establish trust and strengthen cooperative relationships. Once British companies lack awareness of the importance of informal interaction, they may be seen as disrespecting cultural traditions. Therefore, British companies need to participate in local informal interactions and actively learn about local cultural customs. At the same time, companies can establish dedicated relationship management teams to ensure the establishment of long-term emotional bonds.</w:t>
      </w:r>
    </w:p>
    <w:p w14:paraId="250169A4">
      <w:pPr>
        <w:pStyle w:val="3"/>
        <w:spacing w:line="480" w:lineRule="auto"/>
        <w:jc w:val="both"/>
        <w:rPr>
          <w:rFonts w:cs="Arial"/>
          <w:sz w:val="24"/>
          <w:szCs w:val="24"/>
        </w:rPr>
      </w:pPr>
      <w:r>
        <w:rPr>
          <w:rFonts w:cs="Arial"/>
          <w:sz w:val="24"/>
          <w:szCs w:val="24"/>
        </w:rPr>
        <w:t>3.3 Conflicts in Management Methods</w:t>
      </w:r>
    </w:p>
    <w:p w14:paraId="423E89A7">
      <w:pPr>
        <w:spacing w:line="480" w:lineRule="auto"/>
        <w:jc w:val="both"/>
        <w:rPr>
          <w:rFonts w:ascii="Arial" w:hAnsi="Arial" w:cs="Arial"/>
          <w:sz w:val="24"/>
          <w:szCs w:val="24"/>
        </w:rPr>
      </w:pPr>
      <w:r>
        <w:rPr>
          <w:rFonts w:ascii="Arial" w:hAnsi="Arial" w:cs="Arial"/>
          <w:sz w:val="24"/>
          <w:szCs w:val="24"/>
        </w:rPr>
        <w:t>The management style of British companies is characterized by flatness, with a focus on equal distribution of power and employee autonomy (Hofstede, 2010). Flattening is the foundation for improving communication efficiency and decision-making flexibility in low power distance cultures. However, in China, the culture of high</w:t>
      </w:r>
      <w:r>
        <w:rPr>
          <w:rFonts w:hint="eastAsia" w:ascii="Arial" w:hAnsi="Arial" w:cs="Arial"/>
          <w:sz w:val="24"/>
          <w:szCs w:val="24"/>
          <w:lang w:val="en-US"/>
        </w:rPr>
        <w:t>-</w:t>
      </w:r>
      <w:r>
        <w:rPr>
          <w:rFonts w:ascii="Arial" w:hAnsi="Arial" w:cs="Arial"/>
          <w:sz w:val="24"/>
          <w:szCs w:val="24"/>
        </w:rPr>
        <w:t>power distance emphasizes a hierarchical system and authority. Chinese employees value clear leadership instructions. British companies need to demonstrate strong leadership in important decisions, otherwise they may be perceived by employees as unprofessional. Cultural misalignment can lead to a decrease in the influence of the company within the local team and a decrease in employee morale. British companies may need to balance their internal flat structure with external high</w:t>
      </w:r>
      <w:r>
        <w:rPr>
          <w:rFonts w:hint="eastAsia" w:ascii="Arial" w:hAnsi="Arial" w:cs="Arial"/>
          <w:sz w:val="24"/>
          <w:szCs w:val="24"/>
          <w:lang w:val="en-US"/>
        </w:rPr>
        <w:t>-</w:t>
      </w:r>
      <w:r>
        <w:rPr>
          <w:rFonts w:ascii="Arial" w:hAnsi="Arial" w:cs="Arial"/>
          <w:sz w:val="24"/>
          <w:szCs w:val="24"/>
        </w:rPr>
        <w:t>power distance demands.</w:t>
      </w:r>
    </w:p>
    <w:p w14:paraId="743393AC">
      <w:pPr>
        <w:pStyle w:val="3"/>
        <w:spacing w:line="480" w:lineRule="auto"/>
        <w:jc w:val="both"/>
        <w:rPr>
          <w:rFonts w:cs="Arial"/>
          <w:sz w:val="24"/>
          <w:szCs w:val="24"/>
        </w:rPr>
      </w:pPr>
      <w:r>
        <w:rPr>
          <w:rFonts w:cs="Arial"/>
          <w:sz w:val="24"/>
          <w:szCs w:val="24"/>
        </w:rPr>
        <w:t>3.4 Deviation of Marketing Strategy</w:t>
      </w:r>
    </w:p>
    <w:p w14:paraId="79B51CAD">
      <w:pPr>
        <w:spacing w:line="480" w:lineRule="auto"/>
        <w:jc w:val="both"/>
        <w:rPr>
          <w:rFonts w:ascii="Arial" w:hAnsi="Arial" w:cs="Arial"/>
          <w:sz w:val="24"/>
          <w:szCs w:val="24"/>
        </w:rPr>
      </w:pPr>
      <w:r>
        <w:rPr>
          <w:rFonts w:ascii="Arial" w:hAnsi="Arial" w:cs="Arial"/>
          <w:sz w:val="24"/>
          <w:szCs w:val="24"/>
        </w:rPr>
        <w:t>The individualistic values of British companies in their marketing strategies, such as emphasizing individual expression and the importance of independence and freedom, are a reflection of the British culture's emphasis on personal achievement (Hofstede, 2010). But in China's collectivist culture, consumers value family values and group interests more. The individualistic cultural characteristics of enterprises in marketing activities may not necessarily resonate emotionally with the target audience. Therefore, in order to enhance brand appeal, British clothing retail companies need to focus on themes such as family, group, and social harmony in their marketing strategies</w:t>
      </w:r>
      <w:r>
        <w:rPr>
          <w:rFonts w:ascii="Arial" w:hAnsi="Arial" w:cs="Arial"/>
          <w:sz w:val="24"/>
          <w:szCs w:val="24"/>
          <w:lang w:val="en-US"/>
        </w:rPr>
        <w:t xml:space="preserve"> (</w:t>
      </w:r>
      <w:r>
        <w:rPr>
          <w:rFonts w:ascii="Arial" w:hAnsi="Arial" w:eastAsia="宋体" w:cs="Arial"/>
          <w:color w:val="222222"/>
          <w:sz w:val="24"/>
          <w:szCs w:val="24"/>
          <w:shd w:val="clear" w:color="auto" w:fill="FFFFFF"/>
        </w:rPr>
        <w:t>Griffin</w:t>
      </w:r>
      <w:r>
        <w:rPr>
          <w:rFonts w:hint="eastAsia" w:ascii="Arial" w:hAnsi="Arial" w:eastAsia="宋体" w:cs="Arial"/>
          <w:color w:val="222222"/>
          <w:sz w:val="24"/>
          <w:szCs w:val="24"/>
          <w:shd w:val="clear" w:color="auto" w:fill="FFFFFF"/>
        </w:rPr>
        <w:t xml:space="preserve"> </w:t>
      </w:r>
      <w:r>
        <w:rPr>
          <w:rFonts w:ascii="Arial" w:hAnsi="Arial" w:eastAsia="宋体" w:cs="Arial"/>
          <w:color w:val="222222"/>
          <w:sz w:val="24"/>
          <w:szCs w:val="24"/>
          <w:shd w:val="clear" w:color="auto" w:fill="FFFFFF"/>
        </w:rPr>
        <w:t>&amp; Pustay, 2020).</w:t>
      </w:r>
    </w:p>
    <w:p w14:paraId="341A07F8">
      <w:pPr>
        <w:pStyle w:val="2"/>
        <w:rPr>
          <w:rFonts w:hint="default" w:ascii="Arial" w:hAnsi="Arial" w:cs="Arial"/>
          <w:b/>
          <w:bCs/>
          <w:sz w:val="28"/>
          <w:szCs w:val="28"/>
        </w:rPr>
      </w:pPr>
      <w:bookmarkStart w:id="4" w:name="_Toc31694"/>
      <w:r>
        <w:rPr>
          <w:rFonts w:hint="default" w:ascii="Arial" w:hAnsi="Arial" w:cs="Arial"/>
          <w:b/>
          <w:bCs/>
          <w:sz w:val="28"/>
          <w:szCs w:val="28"/>
        </w:rPr>
        <w:t>4.0 – Recommendations</w:t>
      </w:r>
      <w:bookmarkEnd w:id="4"/>
    </w:p>
    <w:p w14:paraId="65B076F4"/>
    <w:p w14:paraId="3DD061E1">
      <w:pPr>
        <w:spacing w:line="480" w:lineRule="auto"/>
        <w:jc w:val="both"/>
        <w:rPr>
          <w:rFonts w:ascii="Arial" w:hAnsi="Arial" w:cs="Arial"/>
          <w:sz w:val="24"/>
          <w:szCs w:val="24"/>
        </w:rPr>
      </w:pPr>
      <w:r>
        <w:rPr>
          <w:rFonts w:ascii="Arial" w:hAnsi="Arial" w:cs="Arial"/>
          <w:sz w:val="24"/>
          <w:szCs w:val="24"/>
        </w:rPr>
        <w:t>The following elaborates on the implementation methods from the aspects of communication methods, relationship building, management style, marketing strategies, and contract flexibility.</w:t>
      </w:r>
    </w:p>
    <w:p w14:paraId="7E47DC83">
      <w:pPr>
        <w:pStyle w:val="3"/>
        <w:spacing w:line="480" w:lineRule="auto"/>
        <w:jc w:val="both"/>
        <w:rPr>
          <w:rFonts w:cs="Arial"/>
          <w:sz w:val="24"/>
          <w:szCs w:val="24"/>
        </w:rPr>
      </w:pPr>
      <w:r>
        <w:rPr>
          <w:rFonts w:cs="Arial"/>
          <w:sz w:val="24"/>
          <w:szCs w:val="24"/>
        </w:rPr>
        <w:t>4.1 Adjustment of Communication Methods</w:t>
      </w:r>
    </w:p>
    <w:p w14:paraId="25E37D63">
      <w:pPr>
        <w:spacing w:line="480" w:lineRule="auto"/>
        <w:jc w:val="both"/>
        <w:rPr>
          <w:rFonts w:ascii="Arial" w:hAnsi="Arial" w:cs="Arial"/>
          <w:sz w:val="24"/>
          <w:szCs w:val="24"/>
        </w:rPr>
      </w:pPr>
      <w:r>
        <w:rPr>
          <w:rFonts w:ascii="Arial" w:hAnsi="Arial" w:cs="Arial"/>
          <w:sz w:val="24"/>
          <w:szCs w:val="24"/>
        </w:rPr>
        <w:t>Hall (1976) believed that in high context cultures, implicit information and nonverbal signals are the core of communication, while in low context cultures, explicit communication is achieved through language and written expression.</w:t>
      </w:r>
    </w:p>
    <w:p w14:paraId="234DF2BE">
      <w:pPr>
        <w:numPr>
          <w:ilvl w:val="0"/>
          <w:numId w:val="5"/>
        </w:numPr>
        <w:spacing w:line="480" w:lineRule="auto"/>
        <w:jc w:val="both"/>
        <w:rPr>
          <w:rFonts w:ascii="Arial" w:hAnsi="Arial" w:cs="Arial"/>
          <w:sz w:val="24"/>
          <w:szCs w:val="24"/>
        </w:rPr>
      </w:pPr>
      <w:r>
        <w:rPr>
          <w:rFonts w:ascii="Arial" w:hAnsi="Arial" w:cs="Arial"/>
          <w:b/>
          <w:bCs/>
          <w:sz w:val="24"/>
          <w:szCs w:val="24"/>
        </w:rPr>
        <w:t>Cultural sensitivity training</w:t>
      </w:r>
      <w:r>
        <w:rPr>
          <w:rFonts w:ascii="Arial" w:hAnsi="Arial" w:cs="Arial"/>
          <w:b/>
          <w:bCs/>
          <w:sz w:val="24"/>
          <w:szCs w:val="24"/>
          <w:lang w:val="en-US"/>
        </w:rPr>
        <w:t>.</w:t>
      </w:r>
      <w:r>
        <w:rPr>
          <w:rFonts w:ascii="Arial" w:hAnsi="Arial" w:cs="Arial"/>
          <w:sz w:val="24"/>
          <w:szCs w:val="24"/>
        </w:rPr>
        <w:t xml:space="preserve"> Cultural adaptation training can help employees identify nonverbal signals in high context cultures, such as intonation, facial expressions, and background information, which can alleviate cooperation barriers caused by communication misunderstandings (Moon, Choi, B.K</w:t>
      </w:r>
      <w:r>
        <w:rPr>
          <w:rFonts w:hint="eastAsia" w:ascii="Arial" w:hAnsi="Arial" w:cs="Arial"/>
          <w:sz w:val="24"/>
          <w:szCs w:val="24"/>
        </w:rPr>
        <w:t xml:space="preserve"> </w:t>
      </w:r>
      <w:r>
        <w:rPr>
          <w:rFonts w:ascii="Arial" w:hAnsi="Arial" w:cs="Arial"/>
          <w:sz w:val="24"/>
          <w:szCs w:val="24"/>
          <w:lang w:val="en-US"/>
        </w:rPr>
        <w:t>&amp;</w:t>
      </w:r>
      <w:r>
        <w:rPr>
          <w:rFonts w:hint="eastAsia" w:ascii="Arial" w:hAnsi="Arial" w:cs="Arial"/>
          <w:sz w:val="24"/>
          <w:szCs w:val="24"/>
          <w:lang w:val="en-US"/>
        </w:rPr>
        <w:t xml:space="preserve"> </w:t>
      </w:r>
      <w:r>
        <w:rPr>
          <w:rFonts w:ascii="Arial" w:hAnsi="Arial" w:cs="Arial"/>
          <w:sz w:val="24"/>
          <w:szCs w:val="24"/>
        </w:rPr>
        <w:t>Jung, 2019)</w:t>
      </w:r>
      <w:r>
        <w:rPr>
          <w:rFonts w:ascii="Arial" w:hAnsi="Arial" w:cs="Arial"/>
          <w:sz w:val="24"/>
          <w:szCs w:val="24"/>
          <w:lang w:val="en-US"/>
        </w:rPr>
        <w:t>.</w:t>
      </w:r>
    </w:p>
    <w:p w14:paraId="00662A36">
      <w:pPr>
        <w:numPr>
          <w:ilvl w:val="0"/>
          <w:numId w:val="5"/>
        </w:numPr>
        <w:spacing w:line="480" w:lineRule="auto"/>
        <w:jc w:val="both"/>
        <w:rPr>
          <w:rFonts w:ascii="Arial" w:hAnsi="Arial" w:cs="Arial"/>
          <w:sz w:val="24"/>
          <w:szCs w:val="24"/>
        </w:rPr>
      </w:pPr>
      <w:r>
        <w:rPr>
          <w:rFonts w:ascii="Arial" w:hAnsi="Arial" w:cs="Arial"/>
          <w:b/>
          <w:bCs/>
          <w:sz w:val="24"/>
          <w:szCs w:val="24"/>
        </w:rPr>
        <w:t>Multi</w:t>
      </w:r>
      <w:r>
        <w:rPr>
          <w:rFonts w:hint="eastAsia" w:ascii="Arial" w:hAnsi="Arial" w:cs="Arial"/>
          <w:b/>
          <w:bCs/>
          <w:sz w:val="24"/>
          <w:szCs w:val="24"/>
          <w:lang w:val="en-US"/>
        </w:rPr>
        <w:t>-</w:t>
      </w:r>
      <w:r>
        <w:rPr>
          <w:rFonts w:ascii="Arial" w:hAnsi="Arial" w:cs="Arial"/>
          <w:b/>
          <w:bCs/>
          <w:sz w:val="24"/>
          <w:szCs w:val="24"/>
        </w:rPr>
        <w:t>level communication mechanism</w:t>
      </w:r>
      <w:r>
        <w:rPr>
          <w:rFonts w:ascii="Arial" w:hAnsi="Arial" w:cs="Arial"/>
          <w:b/>
          <w:bCs/>
          <w:sz w:val="24"/>
          <w:szCs w:val="24"/>
          <w:lang w:val="en-US"/>
        </w:rPr>
        <w:t>.</w:t>
      </w:r>
      <w:r>
        <w:rPr>
          <w:rFonts w:hint="eastAsia" w:ascii="Arial" w:hAnsi="Arial" w:cs="Arial"/>
          <w:b/>
          <w:bCs/>
          <w:sz w:val="24"/>
          <w:szCs w:val="24"/>
          <w:lang w:val="en-US"/>
        </w:rPr>
        <w:t xml:space="preserve"> </w:t>
      </w:r>
      <w:r>
        <w:rPr>
          <w:rFonts w:ascii="Arial" w:hAnsi="Arial" w:cs="Arial"/>
          <w:sz w:val="24"/>
          <w:szCs w:val="24"/>
        </w:rPr>
        <w:t>Adding informal communication channels beyond formal contracts and meetings can include regular internal symposiums, partner networking events, etc., to enhance bilateral trust and understanding (Trompenaars</w:t>
      </w:r>
      <w:r>
        <w:rPr>
          <w:rFonts w:hint="eastAsia" w:ascii="Arial" w:hAnsi="Arial" w:cs="Arial"/>
          <w:sz w:val="24"/>
          <w:szCs w:val="24"/>
        </w:rPr>
        <w:t xml:space="preserve"> </w:t>
      </w:r>
      <w:r>
        <w:rPr>
          <w:rFonts w:ascii="Arial" w:hAnsi="Arial" w:cs="Arial"/>
          <w:sz w:val="24"/>
          <w:szCs w:val="24"/>
        </w:rPr>
        <w:t>&amp;</w:t>
      </w:r>
      <w:r>
        <w:rPr>
          <w:rFonts w:hint="eastAsia" w:ascii="Arial" w:hAnsi="Arial" w:cs="Arial"/>
          <w:sz w:val="24"/>
          <w:szCs w:val="24"/>
        </w:rPr>
        <w:t xml:space="preserve"> </w:t>
      </w:r>
      <w:r>
        <w:rPr>
          <w:rFonts w:ascii="Arial" w:hAnsi="Arial" w:cs="Arial"/>
          <w:sz w:val="24"/>
          <w:szCs w:val="24"/>
        </w:rPr>
        <w:t>Hampden Turner, 1998).</w:t>
      </w:r>
    </w:p>
    <w:p w14:paraId="6A6DFC28">
      <w:pPr>
        <w:pStyle w:val="3"/>
        <w:spacing w:line="480" w:lineRule="auto"/>
        <w:jc w:val="both"/>
        <w:rPr>
          <w:rFonts w:cs="Arial"/>
          <w:sz w:val="24"/>
          <w:szCs w:val="24"/>
        </w:rPr>
      </w:pPr>
      <w:r>
        <w:rPr>
          <w:rFonts w:cs="Arial"/>
          <w:sz w:val="24"/>
          <w:szCs w:val="24"/>
        </w:rPr>
        <w:t>4.2 Strategies for Relationship Building</w:t>
      </w:r>
    </w:p>
    <w:p w14:paraId="186F809F">
      <w:pPr>
        <w:spacing w:line="480" w:lineRule="auto"/>
        <w:jc w:val="both"/>
        <w:rPr>
          <w:rFonts w:ascii="Arial" w:hAnsi="Arial" w:cs="Arial"/>
          <w:sz w:val="24"/>
          <w:szCs w:val="24"/>
        </w:rPr>
      </w:pPr>
      <w:r>
        <w:rPr>
          <w:rFonts w:ascii="Arial" w:hAnsi="Arial" w:cs="Arial"/>
          <w:sz w:val="24"/>
          <w:szCs w:val="24"/>
        </w:rPr>
        <w:t>Trompenaars</w:t>
      </w:r>
      <w:r>
        <w:rPr>
          <w:rFonts w:hint="eastAsia" w:ascii="Arial" w:hAnsi="Arial" w:cs="Arial"/>
          <w:sz w:val="24"/>
          <w:szCs w:val="24"/>
        </w:rPr>
        <w:t xml:space="preserve"> </w:t>
      </w:r>
      <w:r>
        <w:rPr>
          <w:rFonts w:ascii="Arial" w:hAnsi="Arial" w:cs="Arial"/>
          <w:sz w:val="24"/>
          <w:szCs w:val="24"/>
        </w:rPr>
        <w:t>&amp;</w:t>
      </w:r>
      <w:r>
        <w:rPr>
          <w:rFonts w:hint="eastAsia" w:ascii="Arial" w:hAnsi="Arial" w:cs="Arial"/>
          <w:sz w:val="24"/>
          <w:szCs w:val="24"/>
        </w:rPr>
        <w:t xml:space="preserve"> </w:t>
      </w:r>
      <w:r>
        <w:rPr>
          <w:rFonts w:ascii="Arial" w:hAnsi="Arial" w:cs="Arial"/>
          <w:sz w:val="24"/>
          <w:szCs w:val="24"/>
        </w:rPr>
        <w:t>Hampden Turner's dimensions of universalism and particularism, as well as Hofstede's dimensions of collectivism and individualism, argue that in high context cultures and collectivist societies, relationships (guanxi) are key to business cooperation.</w:t>
      </w:r>
    </w:p>
    <w:p w14:paraId="08A61FD1">
      <w:pPr>
        <w:numPr>
          <w:ilvl w:val="0"/>
          <w:numId w:val="5"/>
        </w:numPr>
        <w:spacing w:line="480" w:lineRule="auto"/>
        <w:jc w:val="both"/>
        <w:rPr>
          <w:rFonts w:ascii="Arial" w:hAnsi="Arial" w:cs="Arial"/>
          <w:sz w:val="24"/>
          <w:szCs w:val="24"/>
        </w:rPr>
      </w:pPr>
      <w:r>
        <w:rPr>
          <w:rFonts w:ascii="Arial" w:hAnsi="Arial" w:cs="Arial"/>
          <w:b/>
          <w:bCs/>
          <w:sz w:val="24"/>
          <w:szCs w:val="24"/>
        </w:rPr>
        <w:t>Informal social activities</w:t>
      </w:r>
      <w:r>
        <w:rPr>
          <w:rFonts w:hint="eastAsia" w:ascii="Arial" w:hAnsi="Arial" w:cs="Arial"/>
          <w:b/>
          <w:bCs/>
          <w:sz w:val="24"/>
          <w:szCs w:val="24"/>
          <w:lang w:val="en-US"/>
        </w:rPr>
        <w:t xml:space="preserve">: </w:t>
      </w:r>
      <w:r>
        <w:rPr>
          <w:rFonts w:ascii="Arial" w:hAnsi="Arial" w:cs="Arial"/>
          <w:sz w:val="24"/>
          <w:szCs w:val="24"/>
        </w:rPr>
        <w:t>Informal interaction can establish long-term trust and cooperative relationships (Hofstede, 2010). Enterprises can hold business banquets, holiday celebrations, and other events to build closer relationships with local partners. For example, giving gifts or participating in traditional celebration activities during the Spring Festival to show respect for local culture.</w:t>
      </w:r>
    </w:p>
    <w:p w14:paraId="681F5669">
      <w:pPr>
        <w:numPr>
          <w:ilvl w:val="0"/>
          <w:numId w:val="5"/>
        </w:numPr>
        <w:spacing w:line="480" w:lineRule="auto"/>
        <w:jc w:val="both"/>
        <w:rPr>
          <w:rFonts w:ascii="Arial" w:hAnsi="Arial" w:cs="Arial"/>
          <w:sz w:val="24"/>
          <w:szCs w:val="24"/>
        </w:rPr>
      </w:pPr>
      <w:r>
        <w:rPr>
          <w:rFonts w:ascii="Arial" w:hAnsi="Arial" w:cs="Arial"/>
          <w:b/>
          <w:bCs/>
          <w:sz w:val="24"/>
          <w:szCs w:val="24"/>
        </w:rPr>
        <w:t>Localized team building</w:t>
      </w:r>
      <w:r>
        <w:rPr>
          <w:rFonts w:hint="eastAsia" w:ascii="Arial" w:hAnsi="Arial" w:cs="Arial"/>
          <w:b/>
          <w:bCs/>
          <w:sz w:val="24"/>
          <w:szCs w:val="24"/>
          <w:lang w:val="en-US"/>
        </w:rPr>
        <w:t xml:space="preserve">: </w:t>
      </w:r>
      <w:r>
        <w:rPr>
          <w:rFonts w:ascii="Arial" w:hAnsi="Arial" w:cs="Arial"/>
          <w:sz w:val="24"/>
          <w:szCs w:val="24"/>
        </w:rPr>
        <w:t>Hire local managers familiar with the target market culture to address cultural challenges. This can increase the sensitivity of enterprises to cultural details and enhance the trust foundation with local partners (Meyer, 2014).</w:t>
      </w:r>
    </w:p>
    <w:p w14:paraId="1542F0E9">
      <w:pPr>
        <w:numPr>
          <w:ilvl w:val="0"/>
          <w:numId w:val="5"/>
        </w:numPr>
        <w:spacing w:line="480" w:lineRule="auto"/>
        <w:jc w:val="both"/>
        <w:rPr>
          <w:rFonts w:ascii="Arial" w:hAnsi="Arial" w:cs="Arial"/>
          <w:sz w:val="24"/>
          <w:szCs w:val="24"/>
        </w:rPr>
      </w:pPr>
      <w:r>
        <w:rPr>
          <w:rFonts w:ascii="Arial" w:hAnsi="Arial" w:cs="Arial"/>
          <w:b/>
          <w:bCs/>
          <w:sz w:val="24"/>
          <w:szCs w:val="24"/>
        </w:rPr>
        <w:t>Institutionalize relationship management</w:t>
      </w:r>
      <w:r>
        <w:rPr>
          <w:rFonts w:hint="eastAsia" w:ascii="Arial" w:hAnsi="Arial" w:cs="Arial"/>
          <w:b/>
          <w:bCs/>
          <w:sz w:val="24"/>
          <w:szCs w:val="24"/>
          <w:lang w:val="en-US"/>
        </w:rPr>
        <w:t xml:space="preserve">: </w:t>
      </w:r>
      <w:r>
        <w:rPr>
          <w:rFonts w:ascii="Arial" w:hAnsi="Arial" w:cs="Arial"/>
          <w:sz w:val="24"/>
          <w:szCs w:val="24"/>
        </w:rPr>
        <w:t>Establish a dedicated relationship management team responsible for maintaining long-term relationships with suppliers, customers, and other stakeholders (Ng, Van Dyne</w:t>
      </w:r>
      <w:r>
        <w:rPr>
          <w:rFonts w:ascii="Arial" w:hAnsi="Arial" w:cs="Arial"/>
          <w:sz w:val="24"/>
          <w:szCs w:val="24"/>
          <w:lang w:val="en-US"/>
        </w:rPr>
        <w:t xml:space="preserve"> &amp;</w:t>
      </w:r>
      <w:r>
        <w:rPr>
          <w:rFonts w:ascii="Arial" w:hAnsi="Arial" w:cs="Arial"/>
          <w:sz w:val="24"/>
          <w:szCs w:val="24"/>
        </w:rPr>
        <w:t xml:space="preserve"> Ang, 2019).</w:t>
      </w:r>
    </w:p>
    <w:p w14:paraId="4420CA4D">
      <w:pPr>
        <w:pStyle w:val="3"/>
        <w:spacing w:line="480" w:lineRule="auto"/>
        <w:jc w:val="both"/>
        <w:rPr>
          <w:rFonts w:cs="Arial"/>
          <w:sz w:val="24"/>
          <w:szCs w:val="24"/>
        </w:rPr>
      </w:pPr>
      <w:r>
        <w:rPr>
          <w:rFonts w:cs="Arial"/>
          <w:sz w:val="24"/>
          <w:szCs w:val="24"/>
        </w:rPr>
        <w:t>4.3 Adjustment of Management Style</w:t>
      </w:r>
    </w:p>
    <w:p w14:paraId="38FDB388">
      <w:pPr>
        <w:spacing w:line="480" w:lineRule="auto"/>
        <w:jc w:val="both"/>
        <w:rPr>
          <w:rFonts w:ascii="Arial" w:hAnsi="Arial" w:cs="Arial"/>
          <w:sz w:val="24"/>
          <w:szCs w:val="24"/>
        </w:rPr>
      </w:pPr>
      <w:r>
        <w:rPr>
          <w:rFonts w:ascii="Arial" w:hAnsi="Arial" w:cs="Arial"/>
          <w:sz w:val="24"/>
          <w:szCs w:val="24"/>
        </w:rPr>
        <w:t>Hofstede's (2010) dimension of power distance suggests that high power distance cultures tend towards hierarchical management styles, while low power distance cultures tend towards flatter structures and employee autonomy.</w:t>
      </w:r>
    </w:p>
    <w:p w14:paraId="77DD2DC9">
      <w:pPr>
        <w:numPr>
          <w:ilvl w:val="0"/>
          <w:numId w:val="5"/>
        </w:numPr>
        <w:spacing w:line="480" w:lineRule="auto"/>
        <w:jc w:val="both"/>
        <w:rPr>
          <w:rFonts w:ascii="Arial" w:hAnsi="Arial" w:cs="Arial"/>
          <w:sz w:val="24"/>
          <w:szCs w:val="24"/>
        </w:rPr>
      </w:pPr>
      <w:r>
        <w:rPr>
          <w:rFonts w:ascii="Arial" w:hAnsi="Arial" w:cs="Arial"/>
          <w:b/>
          <w:bCs/>
          <w:sz w:val="24"/>
          <w:szCs w:val="24"/>
        </w:rPr>
        <w:t>Strengthen the authority of the leadership</w:t>
      </w:r>
      <w:r>
        <w:rPr>
          <w:rFonts w:hint="eastAsia" w:ascii="Arial" w:hAnsi="Arial" w:cs="Arial"/>
          <w:b/>
          <w:bCs/>
          <w:sz w:val="24"/>
          <w:szCs w:val="24"/>
          <w:lang w:val="en-US"/>
        </w:rPr>
        <w:t xml:space="preserve">: </w:t>
      </w:r>
      <w:r>
        <w:rPr>
          <w:rFonts w:ascii="Arial" w:hAnsi="Arial" w:cs="Arial"/>
          <w:sz w:val="24"/>
          <w:szCs w:val="24"/>
        </w:rPr>
        <w:t>In a culture of high</w:t>
      </w:r>
      <w:r>
        <w:rPr>
          <w:rFonts w:hint="eastAsia" w:ascii="Arial" w:hAnsi="Arial" w:cs="Arial"/>
          <w:sz w:val="24"/>
          <w:szCs w:val="24"/>
          <w:lang w:val="en-US"/>
        </w:rPr>
        <w:t>-</w:t>
      </w:r>
      <w:r>
        <w:rPr>
          <w:rFonts w:ascii="Arial" w:hAnsi="Arial" w:cs="Arial"/>
          <w:sz w:val="24"/>
          <w:szCs w:val="24"/>
        </w:rPr>
        <w:t>power distance, companies can execute decisions with clear leadership roles (Hofstede, 2010). British companies can utilize authoritative managers as local leaders to meet the expectations of local teams.</w:t>
      </w:r>
    </w:p>
    <w:p w14:paraId="7B327FDC">
      <w:pPr>
        <w:numPr>
          <w:ilvl w:val="0"/>
          <w:numId w:val="5"/>
        </w:numPr>
        <w:spacing w:line="480" w:lineRule="auto"/>
        <w:jc w:val="both"/>
        <w:rPr>
          <w:rFonts w:ascii="Arial" w:hAnsi="Arial" w:cs="Arial"/>
          <w:sz w:val="24"/>
          <w:szCs w:val="24"/>
        </w:rPr>
      </w:pPr>
      <w:r>
        <w:rPr>
          <w:rFonts w:ascii="Arial" w:hAnsi="Arial" w:cs="Arial"/>
          <w:b/>
          <w:bCs/>
          <w:sz w:val="24"/>
          <w:szCs w:val="24"/>
        </w:rPr>
        <w:t>Dual track management mode</w:t>
      </w:r>
      <w:r>
        <w:rPr>
          <w:rFonts w:hint="eastAsia" w:ascii="Arial" w:hAnsi="Arial" w:cs="Arial"/>
          <w:b/>
          <w:bCs/>
          <w:sz w:val="24"/>
          <w:szCs w:val="24"/>
          <w:lang w:val="en-US"/>
        </w:rPr>
        <w:t xml:space="preserve">: </w:t>
      </w:r>
      <w:r>
        <w:rPr>
          <w:rFonts w:ascii="Arial" w:hAnsi="Arial" w:cs="Arial"/>
          <w:sz w:val="24"/>
          <w:szCs w:val="24"/>
        </w:rPr>
        <w:t>Retaining the internal flat management model while showcasing more centralized leadership authority to enhance partners' trust in the enterprise (Meyer, 2014).</w:t>
      </w:r>
    </w:p>
    <w:p w14:paraId="5B602743">
      <w:pPr>
        <w:numPr>
          <w:ilvl w:val="0"/>
          <w:numId w:val="5"/>
        </w:numPr>
        <w:spacing w:line="480" w:lineRule="auto"/>
        <w:jc w:val="both"/>
        <w:rPr>
          <w:rFonts w:ascii="Arial" w:hAnsi="Arial" w:cs="Arial"/>
          <w:sz w:val="24"/>
          <w:szCs w:val="24"/>
        </w:rPr>
      </w:pPr>
      <w:r>
        <w:rPr>
          <w:rFonts w:ascii="Arial" w:hAnsi="Arial" w:cs="Arial"/>
          <w:b/>
          <w:bCs/>
          <w:sz w:val="24"/>
          <w:szCs w:val="24"/>
        </w:rPr>
        <w:t>Clear work instructions</w:t>
      </w:r>
      <w:r>
        <w:rPr>
          <w:rFonts w:hint="eastAsia" w:ascii="Arial" w:hAnsi="Arial" w:cs="Arial"/>
          <w:b/>
          <w:bCs/>
          <w:sz w:val="24"/>
          <w:szCs w:val="24"/>
          <w:lang w:val="en-US"/>
        </w:rPr>
        <w:t xml:space="preserve">: </w:t>
      </w:r>
      <w:r>
        <w:rPr>
          <w:rFonts w:ascii="Arial" w:hAnsi="Arial" w:cs="Arial"/>
          <w:sz w:val="24"/>
          <w:szCs w:val="24"/>
        </w:rPr>
        <w:t>Provide specific and clear task objectives to help local teams better execute tasks and avoid communication confusion caused by cultural differences (Trompenaars</w:t>
      </w:r>
      <w:r>
        <w:rPr>
          <w:rFonts w:hint="eastAsia" w:ascii="Arial" w:hAnsi="Arial" w:cs="Arial"/>
          <w:sz w:val="24"/>
          <w:szCs w:val="24"/>
        </w:rPr>
        <w:t xml:space="preserve"> </w:t>
      </w:r>
      <w:r>
        <w:rPr>
          <w:rFonts w:ascii="Arial" w:hAnsi="Arial" w:cs="Arial"/>
          <w:sz w:val="24"/>
          <w:szCs w:val="24"/>
        </w:rPr>
        <w:t>&amp;</w:t>
      </w:r>
      <w:r>
        <w:rPr>
          <w:rFonts w:hint="eastAsia" w:ascii="Arial" w:hAnsi="Arial" w:cs="Arial"/>
          <w:sz w:val="24"/>
          <w:szCs w:val="24"/>
        </w:rPr>
        <w:t xml:space="preserve"> </w:t>
      </w:r>
      <w:r>
        <w:rPr>
          <w:rFonts w:ascii="Arial" w:hAnsi="Arial" w:cs="Arial"/>
          <w:sz w:val="24"/>
          <w:szCs w:val="24"/>
        </w:rPr>
        <w:t>Hampden Turner, 1998).</w:t>
      </w:r>
    </w:p>
    <w:p w14:paraId="12CF176D">
      <w:pPr>
        <w:pStyle w:val="3"/>
        <w:spacing w:line="480" w:lineRule="auto"/>
        <w:jc w:val="both"/>
        <w:rPr>
          <w:rFonts w:cs="Arial"/>
          <w:sz w:val="24"/>
          <w:szCs w:val="24"/>
        </w:rPr>
      </w:pPr>
      <w:r>
        <w:rPr>
          <w:rFonts w:cs="Arial"/>
          <w:sz w:val="24"/>
          <w:szCs w:val="24"/>
        </w:rPr>
        <w:t>4.4 Localization of Marketing Strategies</w:t>
      </w:r>
    </w:p>
    <w:p w14:paraId="2DC25B29">
      <w:pPr>
        <w:spacing w:line="480" w:lineRule="auto"/>
        <w:jc w:val="both"/>
        <w:rPr>
          <w:rFonts w:ascii="Arial" w:hAnsi="Arial" w:cs="Arial"/>
          <w:sz w:val="24"/>
          <w:szCs w:val="24"/>
        </w:rPr>
      </w:pPr>
      <w:r>
        <w:rPr>
          <w:rFonts w:ascii="Arial" w:hAnsi="Arial" w:cs="Arial"/>
          <w:sz w:val="24"/>
          <w:szCs w:val="24"/>
        </w:rPr>
        <w:t>The embodiment of family and group values Consumers in collectivist cultures tend to focus on family and group interests (Hofstede, 2010). Enterprises attach great importance to themes such as family values and social harmony in their advertising campaigns, such as storytelling advertisements that depict scenes of family reunion or teamwork.</w:t>
      </w:r>
    </w:p>
    <w:p w14:paraId="142FEDF8">
      <w:pPr>
        <w:numPr>
          <w:ilvl w:val="0"/>
          <w:numId w:val="5"/>
        </w:numPr>
        <w:spacing w:line="480" w:lineRule="auto"/>
        <w:jc w:val="both"/>
        <w:rPr>
          <w:rFonts w:ascii="Arial" w:hAnsi="Arial" w:cs="Arial"/>
          <w:sz w:val="24"/>
          <w:szCs w:val="24"/>
        </w:rPr>
      </w:pPr>
      <w:r>
        <w:rPr>
          <w:rFonts w:ascii="Arial" w:hAnsi="Arial" w:cs="Arial"/>
          <w:b/>
          <w:bCs/>
          <w:sz w:val="24"/>
          <w:szCs w:val="24"/>
        </w:rPr>
        <w:t>Incorporate local cultural elements</w:t>
      </w:r>
      <w:r>
        <w:rPr>
          <w:rFonts w:ascii="Arial" w:hAnsi="Arial" w:cs="Arial"/>
          <w:b/>
          <w:bCs/>
          <w:sz w:val="24"/>
          <w:szCs w:val="24"/>
          <w:lang w:val="en-US"/>
        </w:rPr>
        <w:t>.</w:t>
      </w:r>
      <w:r>
        <w:rPr>
          <w:rFonts w:ascii="Arial" w:hAnsi="Arial" w:cs="Arial"/>
          <w:sz w:val="24"/>
          <w:szCs w:val="24"/>
        </w:rPr>
        <w:t xml:space="preserve"> Incorporating traditional cultural symbols such as festivals and artistic elements into the brand image to enhance emotional resonance between the brand and local consumers (Meyer, 2014).</w:t>
      </w:r>
    </w:p>
    <w:p w14:paraId="0DC8EDCE">
      <w:pPr>
        <w:numPr>
          <w:ilvl w:val="0"/>
          <w:numId w:val="5"/>
        </w:numPr>
        <w:spacing w:line="480" w:lineRule="auto"/>
        <w:jc w:val="both"/>
        <w:rPr>
          <w:rFonts w:ascii="Arial" w:hAnsi="Arial" w:cs="Arial"/>
          <w:sz w:val="24"/>
          <w:szCs w:val="24"/>
        </w:rPr>
      </w:pPr>
      <w:r>
        <w:rPr>
          <w:rFonts w:ascii="Arial" w:hAnsi="Arial" w:cs="Arial"/>
          <w:b/>
          <w:bCs/>
          <w:sz w:val="24"/>
          <w:szCs w:val="24"/>
        </w:rPr>
        <w:t>Localized market research</w:t>
      </w:r>
      <w:r>
        <w:rPr>
          <w:rFonts w:ascii="Arial" w:hAnsi="Arial" w:cs="Arial"/>
          <w:b/>
          <w:bCs/>
          <w:sz w:val="24"/>
          <w:szCs w:val="24"/>
          <w:lang w:val="en-US"/>
        </w:rPr>
        <w:t>.</w:t>
      </w:r>
      <w:r>
        <w:rPr>
          <w:rFonts w:hint="eastAsia" w:ascii="Arial" w:hAnsi="Arial" w:cs="Arial"/>
          <w:b/>
          <w:bCs/>
          <w:sz w:val="24"/>
          <w:szCs w:val="24"/>
          <w:lang w:val="en-US"/>
        </w:rPr>
        <w:t xml:space="preserve"> </w:t>
      </w:r>
      <w:r>
        <w:rPr>
          <w:rFonts w:ascii="Arial" w:hAnsi="Arial" w:cs="Arial"/>
          <w:sz w:val="24"/>
          <w:szCs w:val="24"/>
        </w:rPr>
        <w:t>Collaborate with local marketing teams to gain a deeper understanding of consumer behaviour and preferences, ensuring that advertising language, imagery, and communication channels conform to cultural norms (Trompenaars</w:t>
      </w:r>
      <w:r>
        <w:rPr>
          <w:rFonts w:hint="eastAsia" w:ascii="Arial" w:hAnsi="Arial" w:cs="Arial"/>
          <w:sz w:val="24"/>
          <w:szCs w:val="24"/>
        </w:rPr>
        <w:t xml:space="preserve"> </w:t>
      </w:r>
      <w:r>
        <w:rPr>
          <w:rFonts w:ascii="Arial" w:hAnsi="Arial" w:cs="Arial"/>
          <w:sz w:val="24"/>
          <w:szCs w:val="24"/>
        </w:rPr>
        <w:t>&amp;</w:t>
      </w:r>
      <w:r>
        <w:rPr>
          <w:rFonts w:hint="eastAsia" w:ascii="Arial" w:hAnsi="Arial" w:cs="Arial"/>
          <w:sz w:val="24"/>
          <w:szCs w:val="24"/>
        </w:rPr>
        <w:t xml:space="preserve"> </w:t>
      </w:r>
      <w:r>
        <w:rPr>
          <w:rFonts w:ascii="Arial" w:hAnsi="Arial" w:cs="Arial"/>
          <w:sz w:val="24"/>
          <w:szCs w:val="24"/>
        </w:rPr>
        <w:t>Hampden Turner, 1998).</w:t>
      </w:r>
    </w:p>
    <w:p w14:paraId="2773627C">
      <w:pPr>
        <w:spacing w:line="480" w:lineRule="auto"/>
        <w:jc w:val="both"/>
        <w:rPr>
          <w:rFonts w:ascii="Arial" w:hAnsi="Arial" w:cs="Arial"/>
          <w:sz w:val="24"/>
          <w:szCs w:val="24"/>
        </w:rPr>
      </w:pPr>
    </w:p>
    <w:p w14:paraId="6153BE06">
      <w:pPr>
        <w:spacing w:line="480" w:lineRule="auto"/>
        <w:jc w:val="both"/>
        <w:rPr>
          <w:rFonts w:ascii="Arial" w:hAnsi="Arial" w:cs="Arial"/>
          <w:sz w:val="24"/>
          <w:szCs w:val="24"/>
        </w:rPr>
      </w:pPr>
    </w:p>
    <w:p w14:paraId="7057BFD7">
      <w:pPr>
        <w:pBdr>
          <w:bottom w:val="single" w:color="auto" w:sz="4" w:space="1"/>
        </w:pBdr>
        <w:spacing w:line="480" w:lineRule="auto"/>
        <w:ind w:firstLine="482" w:firstLineChars="200"/>
        <w:jc w:val="both"/>
        <w:rPr>
          <w:rFonts w:ascii="Arial" w:hAnsi="Arial" w:cs="Arial"/>
          <w:b/>
          <w:bCs/>
          <w:sz w:val="24"/>
          <w:szCs w:val="24"/>
        </w:rPr>
      </w:pPr>
    </w:p>
    <w:p w14:paraId="71678A4C">
      <w:pPr>
        <w:pBdr>
          <w:bottom w:val="single" w:color="auto" w:sz="4" w:space="1"/>
        </w:pBdr>
        <w:spacing w:line="480" w:lineRule="auto"/>
        <w:jc w:val="both"/>
        <w:outlineLvl w:val="0"/>
        <w:rPr>
          <w:rFonts w:ascii="Arial" w:hAnsi="Arial" w:cs="Arial"/>
          <w:b/>
          <w:bCs/>
          <w:color w:val="4874CB" w:themeColor="accent1"/>
          <w:sz w:val="28"/>
          <w:szCs w:val="28"/>
          <w14:textFill>
            <w14:solidFill>
              <w14:schemeClr w14:val="accent1"/>
            </w14:solidFill>
          </w14:textFill>
        </w:rPr>
      </w:pPr>
      <w:bookmarkStart w:id="5" w:name="_Toc28793"/>
      <w:r>
        <w:rPr>
          <w:rFonts w:ascii="Arial" w:hAnsi="Arial" w:cs="Arial"/>
          <w:b/>
          <w:bCs/>
          <w:color w:val="4874CB" w:themeColor="accent1"/>
          <w:sz w:val="28"/>
          <w:szCs w:val="28"/>
          <w14:textFill>
            <w14:solidFill>
              <w14:schemeClr w14:val="accent1"/>
            </w14:solidFill>
          </w14:textFill>
        </w:rPr>
        <w:t>References</w:t>
      </w:r>
      <w:bookmarkEnd w:id="5"/>
    </w:p>
    <w:p w14:paraId="2C3174BB">
      <w:pPr>
        <w:spacing w:line="480" w:lineRule="auto"/>
        <w:jc w:val="both"/>
        <w:rPr>
          <w:rFonts w:ascii="Arial" w:hAnsi="Arial" w:cs="Arial"/>
          <w:sz w:val="24"/>
          <w:szCs w:val="24"/>
        </w:rPr>
      </w:pPr>
      <w:r>
        <w:rPr>
          <w:rFonts w:ascii="Arial" w:hAnsi="Arial" w:cs="Arial"/>
          <w:sz w:val="24"/>
          <w:szCs w:val="24"/>
        </w:rPr>
        <w:t xml:space="preserve">Adanlawo, E. F., Reddy, M. M., &amp; Rugbeer, H. (2021). Intercultural business communication: The implications of language barriers. Psychology and Education Journal, 58(5), pp. 6281-6290. Available at: </w:t>
      </w:r>
      <w:r>
        <w:fldChar w:fldCharType="begin"/>
      </w:r>
      <w:r>
        <w:instrText xml:space="preserve"> HYPERLINK "https://www.researchgate.net/publication/359820269" \t "_new" </w:instrText>
      </w:r>
      <w:r>
        <w:fldChar w:fldCharType="separate"/>
      </w:r>
      <w:r>
        <w:rPr>
          <w:rFonts w:ascii="Arial" w:hAnsi="Arial" w:cs="Arial"/>
          <w:sz w:val="24"/>
          <w:szCs w:val="24"/>
        </w:rPr>
        <w:t>https://www.researchgate.net/publication/359820269</w:t>
      </w:r>
      <w:r>
        <w:rPr>
          <w:rFonts w:ascii="Arial" w:hAnsi="Arial" w:cs="Arial"/>
          <w:sz w:val="24"/>
          <w:szCs w:val="24"/>
        </w:rPr>
        <w:fldChar w:fldCharType="end"/>
      </w:r>
      <w:r>
        <w:rPr>
          <w:rFonts w:ascii="Arial" w:hAnsi="Arial" w:cs="Arial"/>
          <w:sz w:val="24"/>
          <w:szCs w:val="24"/>
        </w:rPr>
        <w:t>.</w:t>
      </w:r>
    </w:p>
    <w:p w14:paraId="0057EBCD">
      <w:pPr>
        <w:spacing w:line="480" w:lineRule="auto"/>
        <w:jc w:val="both"/>
        <w:rPr>
          <w:rFonts w:ascii="Arial" w:hAnsi="Arial" w:cs="Arial"/>
          <w:sz w:val="24"/>
          <w:szCs w:val="24"/>
        </w:rPr>
      </w:pPr>
      <w:r>
        <w:rPr>
          <w:rFonts w:ascii="Arial" w:hAnsi="Arial" w:cs="Arial"/>
          <w:sz w:val="24"/>
          <w:szCs w:val="24"/>
        </w:rPr>
        <w:t xml:space="preserve">Barros, R., &amp; Idrizi, A. (2020). Managing Communication Across Cultures: A qualitative study of leaders' way of communicating with their culturally diverse teams. Available at: </w:t>
      </w:r>
      <w:r>
        <w:fldChar w:fldCharType="begin"/>
      </w:r>
      <w:r>
        <w:instrText xml:space="preserve"> HYPERLINK "https://www.diva-portal.org/smash/record.jsf?pid=diva2:1436087" \t "_new" </w:instrText>
      </w:r>
      <w:r>
        <w:fldChar w:fldCharType="separate"/>
      </w:r>
      <w:r>
        <w:rPr>
          <w:rFonts w:ascii="Arial" w:hAnsi="Arial" w:cs="Arial"/>
          <w:sz w:val="24"/>
          <w:szCs w:val="24"/>
        </w:rPr>
        <w:t>https://www.diva-portal.org/smash/record.jsf?pid=diva2:1436087</w:t>
      </w:r>
      <w:r>
        <w:rPr>
          <w:rFonts w:ascii="Arial" w:hAnsi="Arial" w:cs="Arial"/>
          <w:sz w:val="24"/>
          <w:szCs w:val="24"/>
        </w:rPr>
        <w:fldChar w:fldCharType="end"/>
      </w:r>
      <w:r>
        <w:rPr>
          <w:rFonts w:ascii="Arial" w:hAnsi="Arial" w:cs="Arial"/>
          <w:sz w:val="24"/>
          <w:szCs w:val="24"/>
        </w:rPr>
        <w:t>.</w:t>
      </w:r>
    </w:p>
    <w:p w14:paraId="47FDBDFC">
      <w:pPr>
        <w:spacing w:line="480" w:lineRule="auto"/>
        <w:jc w:val="both"/>
        <w:rPr>
          <w:rFonts w:ascii="Arial" w:hAnsi="Arial" w:cs="Arial"/>
          <w:sz w:val="24"/>
          <w:szCs w:val="24"/>
        </w:rPr>
      </w:pPr>
      <w:r>
        <w:rPr>
          <w:rFonts w:ascii="Arial" w:hAnsi="Arial" w:cs="Arial"/>
          <w:sz w:val="24"/>
          <w:szCs w:val="24"/>
        </w:rPr>
        <w:t xml:space="preserve">Chen, M. (2023). Comparison of High and Low Context Differences between China and the West. Frontiers in Humanities and Social Sciences, 3(8). Available at: </w:t>
      </w:r>
      <w:r>
        <w:fldChar w:fldCharType="begin"/>
      </w:r>
      <w:r>
        <w:instrText xml:space="preserve"> HYPERLINK "https://pdfs.semanticscholar.org/a2d7/9415bdc7781102b40db908c14e26e6a8c84d.pdf" \t "_new" </w:instrText>
      </w:r>
      <w:r>
        <w:fldChar w:fldCharType="separate"/>
      </w:r>
      <w:r>
        <w:rPr>
          <w:rFonts w:ascii="Arial" w:hAnsi="Arial" w:cs="Arial"/>
          <w:sz w:val="24"/>
          <w:szCs w:val="24"/>
        </w:rPr>
        <w:t>https://pdfs.semanticscholar.org/a2d7/9415bdc7781102b40db908c14e26e6a8c84d.pdf</w:t>
      </w:r>
      <w:r>
        <w:rPr>
          <w:rFonts w:ascii="Arial" w:hAnsi="Arial" w:cs="Arial"/>
          <w:sz w:val="24"/>
          <w:szCs w:val="24"/>
        </w:rPr>
        <w:fldChar w:fldCharType="end"/>
      </w:r>
      <w:r>
        <w:rPr>
          <w:rFonts w:ascii="Arial" w:hAnsi="Arial" w:cs="Arial"/>
          <w:sz w:val="24"/>
          <w:szCs w:val="24"/>
        </w:rPr>
        <w:t>.</w:t>
      </w:r>
    </w:p>
    <w:p w14:paraId="6C6E5452">
      <w:pPr>
        <w:spacing w:line="480" w:lineRule="auto"/>
        <w:jc w:val="both"/>
        <w:rPr>
          <w:rFonts w:ascii="Arial" w:hAnsi="Arial" w:cs="Arial"/>
          <w:sz w:val="24"/>
          <w:szCs w:val="24"/>
        </w:rPr>
      </w:pPr>
      <w:r>
        <w:rPr>
          <w:rFonts w:ascii="Arial" w:hAnsi="Arial" w:cs="Arial"/>
          <w:sz w:val="24"/>
          <w:szCs w:val="24"/>
        </w:rPr>
        <w:t>Dinçer, M. A. M., Yıldırım, M., &amp; Dil, E. (2024). As an emerging market Turkish culture’s quest to be positioned on Meyer’s cultural map. Review of International Business and Strategy, 34(1), pp. 126-151. doi: 10.1108/ribs-03-2023-0023.</w:t>
      </w:r>
    </w:p>
    <w:p w14:paraId="5FA5CBF7">
      <w:pPr>
        <w:spacing w:line="480" w:lineRule="auto"/>
        <w:jc w:val="both"/>
        <w:rPr>
          <w:rFonts w:ascii="Arial" w:hAnsi="Arial" w:cs="Arial"/>
          <w:sz w:val="24"/>
          <w:szCs w:val="24"/>
        </w:rPr>
      </w:pPr>
      <w:r>
        <w:rPr>
          <w:rFonts w:ascii="Arial" w:hAnsi="Arial" w:cs="Arial"/>
          <w:sz w:val="24"/>
          <w:szCs w:val="24"/>
        </w:rPr>
        <w:t>Dobrucalı, B. (2020). The role of Guanxi on international business-to-business relationships: a systematic review and future directions. Journal of Business &amp; Industrial Marketing, 35(7), 1125-1140.https://www.emerald.com/insight/content/doi/10.1108/jbim-01-2019-0055/full/html</w:t>
      </w:r>
    </w:p>
    <w:p w14:paraId="768EBE6F">
      <w:pPr>
        <w:spacing w:line="480" w:lineRule="auto"/>
        <w:jc w:val="both"/>
        <w:rPr>
          <w:rFonts w:ascii="Arial" w:hAnsi="Arial" w:cs="Arial"/>
          <w:sz w:val="24"/>
          <w:szCs w:val="24"/>
        </w:rPr>
      </w:pPr>
      <w:r>
        <w:rPr>
          <w:rFonts w:ascii="Arial" w:hAnsi="Arial" w:cs="Arial"/>
          <w:sz w:val="24"/>
          <w:szCs w:val="24"/>
        </w:rPr>
        <w:t xml:space="preserve">Fu, S. J. (2021). Communication Strategies for Chinese Documentaries from High-Context to Low-Context Culture: A Comparative Study of 'Wild China' of BBC and CCTV Version. Journal of Literature and Art Studies, 11(1), pp. 33-39. Available at: </w:t>
      </w:r>
      <w:r>
        <w:fldChar w:fldCharType="begin"/>
      </w:r>
      <w:r>
        <w:instrText xml:space="preserve"> HYPERLINK "https://papers.ssrn.com/sol3/papers.cfm?abstract_id=3938779" \t "_new" </w:instrText>
      </w:r>
      <w:r>
        <w:fldChar w:fldCharType="separate"/>
      </w:r>
      <w:r>
        <w:rPr>
          <w:rFonts w:ascii="Arial" w:hAnsi="Arial" w:cs="Arial"/>
          <w:sz w:val="24"/>
          <w:szCs w:val="24"/>
        </w:rPr>
        <w:t>https://papers.ssrn.com/sol3/papers.cfm?abstract_id=3938779</w:t>
      </w:r>
      <w:r>
        <w:rPr>
          <w:rFonts w:ascii="Arial" w:hAnsi="Arial" w:cs="Arial"/>
          <w:sz w:val="24"/>
          <w:szCs w:val="24"/>
        </w:rPr>
        <w:fldChar w:fldCharType="end"/>
      </w:r>
      <w:r>
        <w:rPr>
          <w:rFonts w:ascii="Arial" w:hAnsi="Arial" w:cs="Arial"/>
          <w:sz w:val="24"/>
          <w:szCs w:val="24"/>
        </w:rPr>
        <w:t>.</w:t>
      </w:r>
    </w:p>
    <w:p w14:paraId="5D2CA441">
      <w:pPr>
        <w:spacing w:line="480" w:lineRule="auto"/>
        <w:jc w:val="both"/>
        <w:rPr>
          <w:rFonts w:ascii="Arial" w:hAnsi="Arial" w:cs="Arial"/>
          <w:sz w:val="24"/>
          <w:szCs w:val="24"/>
        </w:rPr>
      </w:pPr>
      <w:r>
        <w:rPr>
          <w:rFonts w:ascii="Arial" w:hAnsi="Arial" w:cs="Arial"/>
          <w:sz w:val="24"/>
          <w:szCs w:val="24"/>
        </w:rPr>
        <w:t xml:space="preserve">Gao, Y. (2024). Differences Between Chinese and Western Educational Models Based on the High-Low Context Culture Theory. Journal of Education, Humanities and Social Sciences, 32, pp. 119-123. Available at: </w:t>
      </w:r>
      <w:r>
        <w:fldChar w:fldCharType="begin"/>
      </w:r>
      <w:r>
        <w:instrText xml:space="preserve"> HYPERLINK "https://drpress.org/ojs/index.php/EHSS/article/view/20943" \t "_new" </w:instrText>
      </w:r>
      <w:r>
        <w:fldChar w:fldCharType="separate"/>
      </w:r>
      <w:r>
        <w:rPr>
          <w:rFonts w:ascii="Arial" w:hAnsi="Arial" w:cs="Arial"/>
          <w:sz w:val="24"/>
          <w:szCs w:val="24"/>
        </w:rPr>
        <w:t>https://drpress.org/ojs/index.php/EHSS/article/view/20943</w:t>
      </w:r>
      <w:r>
        <w:rPr>
          <w:rFonts w:ascii="Arial" w:hAnsi="Arial" w:cs="Arial"/>
          <w:sz w:val="24"/>
          <w:szCs w:val="24"/>
        </w:rPr>
        <w:fldChar w:fldCharType="end"/>
      </w:r>
      <w:r>
        <w:rPr>
          <w:rFonts w:ascii="Arial" w:hAnsi="Arial" w:cs="Arial"/>
          <w:sz w:val="24"/>
          <w:szCs w:val="24"/>
        </w:rPr>
        <w:t>.</w:t>
      </w:r>
    </w:p>
    <w:p w14:paraId="14A63C3D">
      <w:pPr>
        <w:spacing w:line="480" w:lineRule="auto"/>
        <w:jc w:val="both"/>
        <w:rPr>
          <w:rFonts w:ascii="Arial" w:hAnsi="Arial" w:cs="Arial"/>
          <w:sz w:val="24"/>
          <w:szCs w:val="24"/>
        </w:rPr>
      </w:pPr>
      <w:r>
        <w:rPr>
          <w:rFonts w:ascii="Arial" w:hAnsi="Arial" w:cs="Arial"/>
          <w:sz w:val="24"/>
          <w:szCs w:val="24"/>
        </w:rPr>
        <w:t xml:space="preserve">Griffin, R. W., &amp; Pustay, M. W. (2020). International business: a managerial perspective. Pearson. Available at: </w:t>
      </w:r>
      <w:r>
        <w:fldChar w:fldCharType="begin"/>
      </w:r>
      <w:r>
        <w:instrText xml:space="preserve"> HYPERLINK "https://thuvienso.hoasen.edu.vn/handle/123456789/13225" \t "_new" </w:instrText>
      </w:r>
      <w:r>
        <w:fldChar w:fldCharType="separate"/>
      </w:r>
      <w:r>
        <w:rPr>
          <w:rFonts w:ascii="Arial" w:hAnsi="Arial" w:cs="Arial"/>
          <w:sz w:val="24"/>
          <w:szCs w:val="24"/>
        </w:rPr>
        <w:t>https://thuvienso.hoasen.edu.vn/handle/123456789/13225</w:t>
      </w:r>
      <w:r>
        <w:rPr>
          <w:rFonts w:ascii="Arial" w:hAnsi="Arial" w:cs="Arial"/>
          <w:sz w:val="24"/>
          <w:szCs w:val="24"/>
        </w:rPr>
        <w:fldChar w:fldCharType="end"/>
      </w:r>
      <w:r>
        <w:rPr>
          <w:rFonts w:ascii="Arial" w:hAnsi="Arial" w:cs="Arial"/>
          <w:sz w:val="24"/>
          <w:szCs w:val="24"/>
        </w:rPr>
        <w:t>.</w:t>
      </w:r>
    </w:p>
    <w:p w14:paraId="4861B5D8">
      <w:pPr>
        <w:spacing w:line="480" w:lineRule="auto"/>
        <w:jc w:val="both"/>
        <w:rPr>
          <w:rFonts w:ascii="Arial" w:hAnsi="Arial" w:cs="Arial"/>
          <w:sz w:val="24"/>
          <w:szCs w:val="24"/>
        </w:rPr>
      </w:pPr>
      <w:r>
        <w:rPr>
          <w:rFonts w:ascii="Arial" w:hAnsi="Arial" w:cs="Arial"/>
          <w:sz w:val="24"/>
          <w:szCs w:val="24"/>
        </w:rPr>
        <w:t xml:space="preserve">Guan, X. (2024). Bridging Cultures: A Comprehensive Analysis of Cross-Cultural Communication. Available at: </w:t>
      </w:r>
      <w:r>
        <w:fldChar w:fldCharType="begin"/>
      </w:r>
      <w:r>
        <w:instrText xml:space="preserve"> HYPERLINK "https://books.google.com" \t "_new" </w:instrText>
      </w:r>
      <w:r>
        <w:fldChar w:fldCharType="separate"/>
      </w:r>
      <w:r>
        <w:rPr>
          <w:rFonts w:ascii="Arial" w:hAnsi="Arial" w:cs="Arial"/>
          <w:sz w:val="24"/>
          <w:szCs w:val="24"/>
        </w:rPr>
        <w:t>https://books.google.com</w:t>
      </w:r>
      <w:r>
        <w:rPr>
          <w:rFonts w:ascii="Arial" w:hAnsi="Arial" w:cs="Arial"/>
          <w:sz w:val="24"/>
          <w:szCs w:val="24"/>
        </w:rPr>
        <w:fldChar w:fldCharType="end"/>
      </w:r>
      <w:r>
        <w:rPr>
          <w:rFonts w:ascii="Arial" w:hAnsi="Arial" w:cs="Arial"/>
          <w:sz w:val="24"/>
          <w:szCs w:val="24"/>
        </w:rPr>
        <w:t>.</w:t>
      </w:r>
    </w:p>
    <w:p w14:paraId="6789F675">
      <w:pPr>
        <w:spacing w:line="480" w:lineRule="auto"/>
        <w:jc w:val="both"/>
        <w:rPr>
          <w:rFonts w:ascii="Arial" w:hAnsi="Arial" w:cs="Arial"/>
          <w:sz w:val="24"/>
          <w:szCs w:val="24"/>
        </w:rPr>
      </w:pPr>
      <w:r>
        <w:rPr>
          <w:rFonts w:ascii="Arial" w:hAnsi="Arial" w:cs="Arial"/>
          <w:sz w:val="24"/>
          <w:szCs w:val="24"/>
        </w:rPr>
        <w:t>Hofstede, G. (2010). Cultures and Organizations: Software of the Mind. McGraw-Hill.</w:t>
      </w:r>
    </w:p>
    <w:p w14:paraId="32C0E249">
      <w:pPr>
        <w:spacing w:line="480" w:lineRule="auto"/>
        <w:jc w:val="both"/>
        <w:rPr>
          <w:rFonts w:ascii="Arial" w:hAnsi="Arial" w:cs="Arial"/>
          <w:sz w:val="24"/>
          <w:szCs w:val="24"/>
        </w:rPr>
      </w:pPr>
      <w:r>
        <w:rPr>
          <w:rFonts w:ascii="Arial" w:hAnsi="Arial" w:cs="Arial"/>
          <w:sz w:val="24"/>
          <w:szCs w:val="24"/>
        </w:rPr>
        <w:t xml:space="preserve">Kosse, N. J. A. (2022). Cultural differences experienced by the Dutch working in the United Kingdom. (Master's thesis, University of Twente). Available at: </w:t>
      </w:r>
      <w:r>
        <w:fldChar w:fldCharType="begin"/>
      </w:r>
      <w:r>
        <w:instrText xml:space="preserve"> HYPERLINK "https://essay.utwente.nl/93903/" \t "_new" </w:instrText>
      </w:r>
      <w:r>
        <w:fldChar w:fldCharType="separate"/>
      </w:r>
      <w:r>
        <w:rPr>
          <w:rFonts w:ascii="Arial" w:hAnsi="Arial" w:cs="Arial"/>
          <w:sz w:val="24"/>
          <w:szCs w:val="24"/>
        </w:rPr>
        <w:t>https://essay.utwente.nl/93903/</w:t>
      </w:r>
      <w:r>
        <w:rPr>
          <w:rFonts w:ascii="Arial" w:hAnsi="Arial" w:cs="Arial"/>
          <w:sz w:val="24"/>
          <w:szCs w:val="24"/>
        </w:rPr>
        <w:fldChar w:fldCharType="end"/>
      </w:r>
      <w:r>
        <w:rPr>
          <w:rFonts w:ascii="Arial" w:hAnsi="Arial" w:cs="Arial"/>
          <w:sz w:val="24"/>
          <w:szCs w:val="24"/>
        </w:rPr>
        <w:t>.</w:t>
      </w:r>
    </w:p>
    <w:p w14:paraId="2CB5E70F">
      <w:pPr>
        <w:spacing w:line="480" w:lineRule="auto"/>
        <w:jc w:val="both"/>
        <w:rPr>
          <w:rFonts w:ascii="Arial" w:hAnsi="Arial" w:cs="Arial"/>
          <w:sz w:val="24"/>
          <w:szCs w:val="24"/>
        </w:rPr>
      </w:pPr>
      <w:r>
        <w:rPr>
          <w:rFonts w:ascii="Arial" w:hAnsi="Arial" w:cs="Arial"/>
          <w:sz w:val="24"/>
          <w:szCs w:val="24"/>
        </w:rPr>
        <w:t>Levitt, S. R. (2022). Intercultural competence in international teamwork: Understanding high-and low-context communication styles. Communication and Media in Asia Pacific, 5(1), pp. 1-13. doi: 10.14456/cmap.2022.1.</w:t>
      </w:r>
    </w:p>
    <w:p w14:paraId="596DEA70">
      <w:pPr>
        <w:spacing w:line="480" w:lineRule="auto"/>
        <w:jc w:val="both"/>
        <w:rPr>
          <w:rFonts w:ascii="Arial" w:hAnsi="Arial" w:cs="Arial"/>
          <w:sz w:val="24"/>
          <w:szCs w:val="24"/>
        </w:rPr>
      </w:pPr>
      <w:r>
        <w:rPr>
          <w:rFonts w:ascii="Arial" w:hAnsi="Arial" w:cs="Arial"/>
          <w:sz w:val="24"/>
          <w:szCs w:val="24"/>
        </w:rPr>
        <w:t>Li, S., Haney, M. H., Lee, G., Kang, M., &amp; Ko, C. (2020). The effect of task conflict on outsourcers’ long-term orientation toward suppliers: The moderating role of formal control and Chinese guanxi. Journal of Business &amp; Industrial Marketing, 35(2), 260-269.https://www.emerald.com/insight/content/doi/10.1108/jbim-03-2018-0098/full/html</w:t>
      </w:r>
    </w:p>
    <w:p w14:paraId="68C7A92B">
      <w:pPr>
        <w:spacing w:line="480" w:lineRule="auto"/>
        <w:jc w:val="both"/>
        <w:rPr>
          <w:rFonts w:ascii="Arial" w:hAnsi="Arial" w:cs="Arial"/>
          <w:sz w:val="24"/>
          <w:szCs w:val="24"/>
        </w:rPr>
      </w:pPr>
      <w:r>
        <w:rPr>
          <w:rFonts w:ascii="Arial" w:hAnsi="Arial" w:cs="Arial"/>
          <w:sz w:val="24"/>
          <w:szCs w:val="24"/>
        </w:rPr>
        <w:t>Meyer, E. (2014). The Culture Map: Breaking Through the Invisible Boundaries of Global Business. Public Affairs.</w:t>
      </w:r>
    </w:p>
    <w:p w14:paraId="4EB1D8B2">
      <w:pPr>
        <w:spacing w:line="480" w:lineRule="auto"/>
        <w:jc w:val="both"/>
        <w:rPr>
          <w:rFonts w:ascii="Arial" w:hAnsi="Arial" w:cs="Arial"/>
          <w:sz w:val="24"/>
          <w:szCs w:val="24"/>
        </w:rPr>
      </w:pPr>
      <w:r>
        <w:rPr>
          <w:rFonts w:ascii="Arial" w:hAnsi="Arial" w:cs="Arial"/>
          <w:sz w:val="24"/>
          <w:szCs w:val="24"/>
        </w:rPr>
        <w:t>Moon, H.K., Choi, B.K., and Jung, J.S. (2019). Previous international experience, cross-cultural training, and expatriates' cross-cultural adjustment: Effects of cultural intelligence and goal orientation. Human Resource Development Quarterly, 23(3), pp. 285-330. doi: 10.1002/hrdq.21131.</w:t>
      </w:r>
    </w:p>
    <w:p w14:paraId="17D30B18">
      <w:pPr>
        <w:spacing w:line="480" w:lineRule="auto"/>
        <w:jc w:val="both"/>
        <w:rPr>
          <w:rFonts w:ascii="Arial" w:hAnsi="Arial" w:cs="Arial"/>
          <w:sz w:val="24"/>
          <w:szCs w:val="24"/>
        </w:rPr>
      </w:pPr>
      <w:r>
        <w:rPr>
          <w:rFonts w:ascii="Arial" w:hAnsi="Arial" w:cs="Arial"/>
          <w:sz w:val="24"/>
          <w:szCs w:val="24"/>
        </w:rPr>
        <w:t>Ng, K.Y., Van Dyne, L., and Ang, S. (2019). From experience to experiential learning: Cultural intelligence as a learning capability for global leader development. Academy of Management Learning &amp; Education, 8(4), pp. 511-526. doi: 10.5465/amle.2009.47785470.</w:t>
      </w:r>
    </w:p>
    <w:p w14:paraId="165D56D0">
      <w:pPr>
        <w:spacing w:line="480" w:lineRule="auto"/>
        <w:jc w:val="both"/>
        <w:rPr>
          <w:rFonts w:ascii="Arial" w:hAnsi="Arial" w:cs="Arial"/>
          <w:sz w:val="24"/>
          <w:szCs w:val="24"/>
        </w:rPr>
      </w:pPr>
      <w:r>
        <w:rPr>
          <w:rFonts w:ascii="Arial" w:hAnsi="Arial" w:cs="Arial"/>
          <w:sz w:val="24"/>
          <w:szCs w:val="24"/>
        </w:rPr>
        <w:t>Piskulova, N. (2023). Business Cultures in International Business. In World Economy and International Business: Theories, Trends, and Challenges (pp. 813-830). Cham: Springer International Publishing. doi: 10.1007/978-3-031-20328-2_42.</w:t>
      </w:r>
    </w:p>
    <w:p w14:paraId="15D81ACB">
      <w:pPr>
        <w:spacing w:line="480" w:lineRule="auto"/>
        <w:jc w:val="both"/>
        <w:rPr>
          <w:rFonts w:ascii="Arial" w:hAnsi="Arial" w:cs="Arial"/>
          <w:sz w:val="24"/>
          <w:szCs w:val="24"/>
        </w:rPr>
      </w:pPr>
      <w:r>
        <w:rPr>
          <w:rFonts w:ascii="Arial" w:hAnsi="Arial" w:cs="Arial"/>
          <w:sz w:val="24"/>
          <w:szCs w:val="24"/>
        </w:rPr>
        <w:t>Qi, J. C., &amp; Ling, L. K. (2020). A Review on Western and Chinese Organization Culture: Similarities and Differences. Inti Journal. Available at: https://www.inti.edu.my/ijarticle.</w:t>
      </w:r>
    </w:p>
    <w:p w14:paraId="1E889E30">
      <w:pPr>
        <w:spacing w:line="480" w:lineRule="auto"/>
        <w:jc w:val="both"/>
        <w:rPr>
          <w:rFonts w:ascii="Arial" w:hAnsi="Arial" w:cs="Arial"/>
          <w:sz w:val="24"/>
          <w:szCs w:val="24"/>
        </w:rPr>
      </w:pPr>
      <w:r>
        <w:rPr>
          <w:rFonts w:ascii="Arial" w:hAnsi="Arial" w:cs="Arial"/>
          <w:sz w:val="24"/>
          <w:szCs w:val="24"/>
        </w:rPr>
        <w:t xml:space="preserve">Reis, F. J., Nijs, J., Parker, R., Sharma, S., &amp; Wideman, T. H. (2022). Culture and musculoskeletal pain: strategies, challenges, and future directions to develop culturally sensitive physical therapy care. Brazilian Journal of Physical Therapy, 26(5), pp. 100442. Available at: </w:t>
      </w:r>
      <w:r>
        <w:fldChar w:fldCharType="begin"/>
      </w:r>
      <w:r>
        <w:instrText xml:space="preserve"> HYPERLINK "https://www.sciencedirect.com/science/article/abs/pii/S1413355522000508" \t "_new" </w:instrText>
      </w:r>
      <w:r>
        <w:fldChar w:fldCharType="separate"/>
      </w:r>
      <w:r>
        <w:rPr>
          <w:rFonts w:ascii="Arial" w:hAnsi="Arial" w:cs="Arial"/>
          <w:sz w:val="24"/>
          <w:szCs w:val="24"/>
        </w:rPr>
        <w:t>https://www.sciencedirect.com/science/article/abs/pii/S1413355522000508</w:t>
      </w:r>
      <w:r>
        <w:rPr>
          <w:rFonts w:ascii="Arial" w:hAnsi="Arial" w:cs="Arial"/>
          <w:sz w:val="24"/>
          <w:szCs w:val="24"/>
        </w:rPr>
        <w:fldChar w:fldCharType="end"/>
      </w:r>
      <w:r>
        <w:rPr>
          <w:rFonts w:ascii="Arial" w:hAnsi="Arial" w:cs="Arial"/>
          <w:sz w:val="24"/>
          <w:szCs w:val="24"/>
        </w:rPr>
        <w:t>.</w:t>
      </w:r>
    </w:p>
    <w:p w14:paraId="7A295301">
      <w:pPr>
        <w:spacing w:line="480" w:lineRule="auto"/>
        <w:jc w:val="both"/>
        <w:rPr>
          <w:rFonts w:ascii="Arial" w:hAnsi="Arial" w:cs="Arial"/>
          <w:sz w:val="24"/>
          <w:szCs w:val="24"/>
        </w:rPr>
      </w:pPr>
      <w:r>
        <w:rPr>
          <w:rFonts w:ascii="Arial" w:hAnsi="Arial" w:cs="Arial"/>
          <w:sz w:val="24"/>
          <w:szCs w:val="24"/>
        </w:rPr>
        <w:t xml:space="preserve">Sachdeva, R. (2020). Leading and Managing Cross-Cultural Teams: How Leadership Styles Differ Across Cultures. In Cross-Cultural Exposure and Connections (pp. 151-187). Apple Academic Press. Available at: </w:t>
      </w:r>
      <w:r>
        <w:fldChar w:fldCharType="begin"/>
      </w:r>
      <w:r>
        <w:instrText xml:space="preserve"> HYPERLINK "https://www.taylorfrancis.com/chapters/edit/10.1201/9780429275968-6" \t "_new" </w:instrText>
      </w:r>
      <w:r>
        <w:fldChar w:fldCharType="separate"/>
      </w:r>
      <w:r>
        <w:rPr>
          <w:rFonts w:ascii="Arial" w:hAnsi="Arial" w:cs="Arial"/>
          <w:sz w:val="24"/>
          <w:szCs w:val="24"/>
        </w:rPr>
        <w:t>https://www.taylorfrancis.com/chapters/edit/10.1201/9780429275968-6</w:t>
      </w:r>
      <w:r>
        <w:rPr>
          <w:rFonts w:ascii="Arial" w:hAnsi="Arial" w:cs="Arial"/>
          <w:sz w:val="24"/>
          <w:szCs w:val="24"/>
        </w:rPr>
        <w:fldChar w:fldCharType="end"/>
      </w:r>
      <w:r>
        <w:rPr>
          <w:rFonts w:ascii="Arial" w:hAnsi="Arial" w:cs="Arial"/>
          <w:sz w:val="24"/>
          <w:szCs w:val="24"/>
        </w:rPr>
        <w:t>.</w:t>
      </w:r>
    </w:p>
    <w:p w14:paraId="1E6236B7">
      <w:pPr>
        <w:spacing w:line="480" w:lineRule="auto"/>
        <w:jc w:val="both"/>
        <w:rPr>
          <w:rFonts w:ascii="Arial" w:hAnsi="Arial" w:cs="Arial"/>
          <w:sz w:val="24"/>
          <w:szCs w:val="24"/>
        </w:rPr>
      </w:pPr>
      <w:r>
        <w:rPr>
          <w:rFonts w:ascii="Arial" w:hAnsi="Arial" w:cs="Arial"/>
          <w:sz w:val="24"/>
          <w:szCs w:val="24"/>
        </w:rPr>
        <w:t>Su, S., Costanzo, L. A., Lange, K., Ghobadian, A., Hitt, M. A., &amp; Ireland, R. D. (2023). How does Guanxi shape entrepreneurial behaviour? The case of family businesses in China. British Journal of Management, 34(4), 1895-1919.https://onlinelibrary.wiley.com/doi/abs/10.1111/1467-8551.12684</w:t>
      </w:r>
    </w:p>
    <w:p w14:paraId="38D9CCF1">
      <w:pPr>
        <w:spacing w:line="480" w:lineRule="auto"/>
        <w:jc w:val="both"/>
        <w:rPr>
          <w:rFonts w:ascii="Arial" w:hAnsi="Arial" w:cs="Arial"/>
          <w:sz w:val="24"/>
          <w:szCs w:val="24"/>
        </w:rPr>
      </w:pPr>
      <w:r>
        <w:rPr>
          <w:rFonts w:ascii="Arial" w:hAnsi="Arial" w:cs="Arial"/>
          <w:sz w:val="24"/>
          <w:szCs w:val="24"/>
        </w:rPr>
        <w:t xml:space="preserve">Szkudlarek, B., Osland, J. S., Nardon, L., &amp; Zander, L. (2020). Communication and culture in international business–Moving the field forward. Journal of World Business, 55(6), pp. 101126. Available at: </w:t>
      </w:r>
      <w:r>
        <w:fldChar w:fldCharType="begin"/>
      </w:r>
      <w:r>
        <w:instrText xml:space="preserve"> HYPERLINK "https://www.sciencedirect.com/science/article/pii/S1090951620300547" \t "_new" </w:instrText>
      </w:r>
      <w:r>
        <w:fldChar w:fldCharType="separate"/>
      </w:r>
      <w:r>
        <w:rPr>
          <w:rFonts w:ascii="Arial" w:hAnsi="Arial" w:cs="Arial"/>
          <w:sz w:val="24"/>
          <w:szCs w:val="24"/>
        </w:rPr>
        <w:t>https://www.sciencedirect.com/science/article/pii/S1090951620300547</w:t>
      </w:r>
      <w:r>
        <w:rPr>
          <w:rFonts w:ascii="Arial" w:hAnsi="Arial" w:cs="Arial"/>
          <w:sz w:val="24"/>
          <w:szCs w:val="24"/>
        </w:rPr>
        <w:fldChar w:fldCharType="end"/>
      </w:r>
      <w:r>
        <w:rPr>
          <w:rFonts w:ascii="Arial" w:hAnsi="Arial" w:cs="Arial"/>
          <w:sz w:val="24"/>
          <w:szCs w:val="24"/>
        </w:rPr>
        <w:t>.</w:t>
      </w:r>
    </w:p>
    <w:p w14:paraId="169817D0">
      <w:pPr>
        <w:spacing w:line="480" w:lineRule="auto"/>
        <w:jc w:val="both"/>
        <w:rPr>
          <w:rFonts w:ascii="Arial" w:hAnsi="Arial" w:cs="Arial"/>
          <w:sz w:val="24"/>
          <w:szCs w:val="24"/>
        </w:rPr>
      </w:pPr>
      <w:r>
        <w:rPr>
          <w:rFonts w:ascii="Arial" w:hAnsi="Arial" w:cs="Arial"/>
          <w:sz w:val="24"/>
          <w:szCs w:val="24"/>
        </w:rPr>
        <w:t>Tao, X., &amp; Li, S. (2020). The developing influence of Chinese culture on finance: A literature review and case-study illustration. Research in International Business and Finance, 54, pp. 101302. doi: 10.1016/j.ribaf.2020.101302.</w:t>
      </w:r>
    </w:p>
    <w:p w14:paraId="63D64D5E">
      <w:pPr>
        <w:spacing w:line="480" w:lineRule="auto"/>
        <w:jc w:val="both"/>
        <w:rPr>
          <w:rFonts w:ascii="Arial" w:hAnsi="Arial" w:cs="Arial"/>
          <w:sz w:val="24"/>
          <w:szCs w:val="24"/>
        </w:rPr>
      </w:pPr>
      <w:r>
        <w:rPr>
          <w:rFonts w:ascii="Arial" w:hAnsi="Arial" w:cs="Arial"/>
          <w:sz w:val="24"/>
          <w:szCs w:val="24"/>
        </w:rPr>
        <w:t>Trompenaars, F., &amp; Hampden-Turner, C. (1998). Riding the Waves of Culture. McGraw-Hill.</w:t>
      </w:r>
    </w:p>
    <w:p w14:paraId="2F6301F1">
      <w:pPr>
        <w:spacing w:line="480" w:lineRule="auto"/>
        <w:jc w:val="both"/>
        <w:rPr>
          <w:rFonts w:ascii="Arial" w:hAnsi="Arial" w:cs="Arial"/>
          <w:sz w:val="24"/>
          <w:szCs w:val="24"/>
        </w:rPr>
      </w:pPr>
      <w:r>
        <w:rPr>
          <w:rFonts w:ascii="Arial" w:hAnsi="Arial" w:cs="Arial"/>
          <w:sz w:val="24"/>
          <w:szCs w:val="24"/>
        </w:rPr>
        <w:t>Walter, C., &amp; Matar, Z. (2024). Work and Culture: The Relevance of Interculturality in Daily Work Based on the Global Study. In International Professionals for the DACH Region: Finding, Retaining, and Developing in a Future Work Environment (pp. 5-31). Wiesbaden: Springer Fachmedien Wiesbaden. doi: 10.1007/978-3-658-45248-3_2.</w:t>
      </w:r>
    </w:p>
    <w:p w14:paraId="044E3885">
      <w:pPr>
        <w:spacing w:line="480" w:lineRule="auto"/>
        <w:jc w:val="both"/>
        <w:rPr>
          <w:rFonts w:ascii="Arial" w:hAnsi="Arial" w:cs="Arial"/>
          <w:sz w:val="24"/>
          <w:szCs w:val="24"/>
        </w:rPr>
      </w:pPr>
      <w:r>
        <w:rPr>
          <w:rFonts w:ascii="Arial" w:hAnsi="Arial" w:cs="Arial"/>
          <w:sz w:val="24"/>
          <w:szCs w:val="24"/>
        </w:rPr>
        <w:t>Wang, L., Dang, Y., Xiao, S., &amp; Xu, X. A. (2024). How much does interpersonal guanxi matter to business performance? The mediating role of relationship learning in an emerging market context. International Journal of Emerging Markets, 19(10), 2946-2965.https://www.emerald.com/insight/content/doi/10.1108/ijoem-01-2022-0175/full/html</w:t>
      </w:r>
    </w:p>
    <w:p w14:paraId="47DB021C">
      <w:pPr>
        <w:spacing w:line="480" w:lineRule="auto"/>
        <w:jc w:val="both"/>
        <w:rPr>
          <w:rFonts w:ascii="Arial" w:hAnsi="Arial" w:cs="Arial"/>
          <w:sz w:val="24"/>
          <w:szCs w:val="24"/>
        </w:rPr>
      </w:pPr>
      <w:r>
        <w:rPr>
          <w:rFonts w:ascii="Arial" w:hAnsi="Arial" w:cs="Arial"/>
          <w:sz w:val="24"/>
          <w:szCs w:val="24"/>
        </w:rPr>
        <w:t>Yang, B., Zhao, D., &amp; Liu, L. (2021, October). An analysis of Hall’s theory of cultural identity and its application in flipped class. In 2nd International Conference on Language, Communication and Culture Studies (ICLCCS 2021) (pp. 177-184). Atlantis Press. doi: 10.2991/assehr.k.211021.025.</w:t>
      </w:r>
    </w:p>
    <w:p w14:paraId="37ECC410">
      <w:pPr>
        <w:spacing w:line="480" w:lineRule="auto"/>
        <w:jc w:val="both"/>
        <w:rPr>
          <w:rFonts w:ascii="Arial" w:hAnsi="Arial" w:cs="Arial"/>
          <w:sz w:val="24"/>
          <w:szCs w:val="24"/>
        </w:rPr>
      </w:pPr>
      <w:r>
        <w:rPr>
          <w:rFonts w:ascii="Arial" w:hAnsi="Arial" w:cs="Arial"/>
          <w:sz w:val="24"/>
          <w:szCs w:val="24"/>
        </w:rPr>
        <w:t>Zhang, L., &amp; Huang, Z. (2023). Cross-cultural team management: High and low context theories revisited. International Journal of Cultural Studies, 26(2), pp. 142-160. doi: 10.1177/13678779221130345.</w:t>
      </w:r>
    </w:p>
    <w:p w14:paraId="112A7621">
      <w:pPr>
        <w:spacing w:line="480" w:lineRule="auto"/>
        <w:jc w:val="both"/>
        <w:rPr>
          <w:rFonts w:ascii="Arial" w:hAnsi="Arial" w:cs="Arial"/>
          <w:sz w:val="24"/>
          <w:szCs w:val="24"/>
        </w:rPr>
      </w:pPr>
      <w:r>
        <w:rPr>
          <w:rFonts w:ascii="Arial" w:hAnsi="Arial" w:cs="Arial"/>
          <w:sz w:val="24"/>
          <w:szCs w:val="24"/>
        </w:rPr>
        <w:t>Zhou, J., &amp; Wang, H. (2021). Bridging the gap: High-context vs. low-context communication in international partnerships. Global Business Review, 23(1), pp. 67-85. doi: 10.1177/0972150921998983.</w:t>
      </w:r>
    </w:p>
    <w:p w14:paraId="1B4679C4">
      <w:pPr>
        <w:spacing w:line="480" w:lineRule="auto"/>
        <w:jc w:val="both"/>
        <w:rPr>
          <w:rFonts w:hint="default" w:ascii="Arial" w:hAnsi="Arial" w:cs="Arial"/>
          <w:sz w:val="24"/>
          <w:szCs w:val="24"/>
        </w:rPr>
      </w:pPr>
      <w:r>
        <w:rPr>
          <w:rFonts w:hint="default" w:ascii="Arial" w:hAnsi="Arial" w:cs="Arial"/>
          <w:sz w:val="24"/>
          <w:szCs w:val="24"/>
        </w:rPr>
        <w:t>Wu, C., Yama, H. and Zakaria, N. (2023). How do Japanese and Chinese view each other? Understanding the meaning of low‐context culture in intercultural communication. Global Networks, 24(1). doi:https://doi.org/10.1111/glob.12440.</w:t>
      </w:r>
    </w:p>
    <w:p w14:paraId="60EC111C">
      <w:pPr>
        <w:spacing w:line="480" w:lineRule="auto"/>
        <w:jc w:val="both"/>
        <w:rPr>
          <w:rFonts w:ascii="Arial" w:hAnsi="Arial" w:cs="Arial"/>
          <w:sz w:val="24"/>
          <w:szCs w:val="24"/>
        </w:rPr>
      </w:pPr>
    </w:p>
    <w:p w14:paraId="25027B13">
      <w:pPr>
        <w:spacing w:line="480" w:lineRule="auto"/>
        <w:ind w:firstLine="480" w:firstLineChars="200"/>
        <w:jc w:val="both"/>
        <w:rPr>
          <w:rFonts w:ascii="Arial" w:hAnsi="Arial" w:cs="Arial"/>
          <w:sz w:val="24"/>
          <w:szCs w:val="24"/>
        </w:rPr>
      </w:pPr>
    </w:p>
    <w:sectPr>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0E75934"/>
    <w:multiLevelType w:val="singleLevel"/>
    <w:tmpl w:val="90E75934"/>
    <w:lvl w:ilvl="0" w:tentative="0">
      <w:start w:val="1"/>
      <w:numFmt w:val="decimal"/>
      <w:lvlText w:val="%1."/>
      <w:lvlJc w:val="left"/>
      <w:pPr>
        <w:tabs>
          <w:tab w:val="left" w:pos="312"/>
        </w:tabs>
      </w:pPr>
    </w:lvl>
  </w:abstractNum>
  <w:abstractNum w:abstractNumId="1">
    <w:nsid w:val="B258E4FD"/>
    <w:multiLevelType w:val="singleLevel"/>
    <w:tmpl w:val="B258E4FD"/>
    <w:lvl w:ilvl="0" w:tentative="0">
      <w:start w:val="1"/>
      <w:numFmt w:val="bullet"/>
      <w:lvlText w:val=""/>
      <w:lvlJc w:val="left"/>
      <w:pPr>
        <w:ind w:left="420" w:hanging="420"/>
      </w:pPr>
      <w:rPr>
        <w:rFonts w:hint="default" w:ascii="Wingdings" w:hAnsi="Wingdings"/>
      </w:rPr>
    </w:lvl>
  </w:abstractNum>
  <w:abstractNum w:abstractNumId="2">
    <w:nsid w:val="DDE8EF66"/>
    <w:multiLevelType w:val="singleLevel"/>
    <w:tmpl w:val="DDE8EF66"/>
    <w:lvl w:ilvl="0" w:tentative="0">
      <w:start w:val="1"/>
      <w:numFmt w:val="bullet"/>
      <w:lvlText w:val=""/>
      <w:lvlJc w:val="left"/>
      <w:pPr>
        <w:ind w:left="420" w:hanging="420"/>
      </w:pPr>
      <w:rPr>
        <w:rFonts w:hint="default" w:ascii="Wingdings" w:hAnsi="Wingdings"/>
      </w:rPr>
    </w:lvl>
  </w:abstractNum>
  <w:abstractNum w:abstractNumId="3">
    <w:nsid w:val="3F7A47AE"/>
    <w:multiLevelType w:val="singleLevel"/>
    <w:tmpl w:val="3F7A47AE"/>
    <w:lvl w:ilvl="0" w:tentative="0">
      <w:start w:val="1"/>
      <w:numFmt w:val="bullet"/>
      <w:lvlText w:val=""/>
      <w:lvlJc w:val="left"/>
      <w:pPr>
        <w:ind w:left="420" w:hanging="420"/>
      </w:pPr>
      <w:rPr>
        <w:rFonts w:hint="default" w:ascii="Wingdings" w:hAnsi="Wingdings"/>
      </w:rPr>
    </w:lvl>
  </w:abstractNum>
  <w:abstractNum w:abstractNumId="4">
    <w:nsid w:val="4FC89DEA"/>
    <w:multiLevelType w:val="singleLevel"/>
    <w:tmpl w:val="4FC89DEA"/>
    <w:lvl w:ilvl="0" w:tentative="0">
      <w:start w:val="1"/>
      <w:numFmt w:val="bullet"/>
      <w:lvlText w:val=""/>
      <w:lvlJc w:val="left"/>
      <w:pPr>
        <w:ind w:left="420" w:hanging="420"/>
      </w:pPr>
      <w:rPr>
        <w:rFonts w:hint="default" w:ascii="Wingdings" w:hAnsi="Wingdings"/>
      </w:r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zZmZjEyOWExNGNkYzQzMWE4YzMxZDEyYjlkNjdhNjIifQ=="/>
  </w:docVars>
  <w:rsids>
    <w:rsidRoot w:val="56354C62"/>
    <w:rsid w:val="008B4753"/>
    <w:rsid w:val="00907625"/>
    <w:rsid w:val="009E02BD"/>
    <w:rsid w:val="009F0D1E"/>
    <w:rsid w:val="00BA6638"/>
    <w:rsid w:val="00C3470E"/>
    <w:rsid w:val="00F57367"/>
    <w:rsid w:val="08C75D98"/>
    <w:rsid w:val="0B664DAE"/>
    <w:rsid w:val="0C3C4586"/>
    <w:rsid w:val="0F744406"/>
    <w:rsid w:val="1804334F"/>
    <w:rsid w:val="1B105738"/>
    <w:rsid w:val="21A0691D"/>
    <w:rsid w:val="273A3C95"/>
    <w:rsid w:val="2B8C4B6D"/>
    <w:rsid w:val="32801B67"/>
    <w:rsid w:val="3EAA48DB"/>
    <w:rsid w:val="43700F2E"/>
    <w:rsid w:val="449F6E65"/>
    <w:rsid w:val="44A17C37"/>
    <w:rsid w:val="47C15175"/>
    <w:rsid w:val="49461A96"/>
    <w:rsid w:val="56354C62"/>
    <w:rsid w:val="5E9640DD"/>
    <w:rsid w:val="711D1E42"/>
    <w:rsid w:val="726C367A"/>
    <w:rsid w:val="7FC653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name="toc 1"/>
    <w:lsdException w:qFormat="1" w:uiPriority="39" w:name="toc 2"/>
    <w:lsdException w:qFormat="1" w:uiPriority="39"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qFormat/>
    <w:uiPriority w:val="9"/>
    <w:pPr>
      <w:keepNext/>
      <w:keepLines/>
      <w:spacing w:before="240" w:after="0"/>
      <w:outlineLvl w:val="0"/>
    </w:pPr>
    <w:rPr>
      <w:rFonts w:asciiTheme="majorHAnsi" w:hAnsiTheme="majorHAnsi" w:eastAsiaTheme="majorEastAsia" w:cstheme="majorBidi"/>
      <w:color w:val="2E54A1" w:themeColor="accent1" w:themeShade="BF"/>
      <w:sz w:val="32"/>
      <w:szCs w:val="32"/>
    </w:rPr>
  </w:style>
  <w:style w:type="paragraph" w:styleId="3">
    <w:name w:val="heading 2"/>
    <w:basedOn w:val="1"/>
    <w:next w:val="1"/>
    <w:unhideWhenUsed/>
    <w:qFormat/>
    <w:uiPriority w:val="9"/>
    <w:pPr>
      <w:keepNext/>
      <w:keepLines/>
      <w:spacing w:before="260" w:after="260" w:line="413" w:lineRule="auto"/>
      <w:outlineLvl w:val="1"/>
    </w:pPr>
    <w:rPr>
      <w:rFonts w:ascii="Arial" w:hAnsi="Arial" w:eastAsia="黑体"/>
      <w:b/>
      <w:sz w:val="32"/>
    </w:rPr>
  </w:style>
  <w:style w:type="paragraph" w:styleId="4">
    <w:name w:val="heading 3"/>
    <w:basedOn w:val="1"/>
    <w:next w:val="1"/>
    <w:unhideWhenUsed/>
    <w:qFormat/>
    <w:uiPriority w:val="0"/>
    <w:pPr>
      <w:spacing w:beforeAutospacing="1" w:after="0" w:afterAutospacing="1"/>
      <w:outlineLvl w:val="2"/>
    </w:pPr>
    <w:rPr>
      <w:rFonts w:hint="eastAsia" w:ascii="宋体" w:hAnsi="宋体" w:eastAsia="宋体" w:cs="Times New Roman"/>
      <w:b/>
      <w:bCs/>
      <w:sz w:val="27"/>
      <w:szCs w:val="27"/>
      <w:lang w:val="en-US"/>
    </w:rPr>
  </w:style>
  <w:style w:type="character" w:default="1" w:styleId="12">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semiHidden/>
    <w:unhideWhenUsed/>
    <w:qFormat/>
    <w:uiPriority w:val="39"/>
    <w:pPr>
      <w:ind w:left="840" w:leftChars="400"/>
    </w:pPr>
  </w:style>
  <w:style w:type="paragraph" w:styleId="6">
    <w:name w:val="footer"/>
    <w:basedOn w:val="1"/>
    <w:link w:val="18"/>
    <w:qFormat/>
    <w:uiPriority w:val="0"/>
    <w:pPr>
      <w:tabs>
        <w:tab w:val="center" w:pos="4153"/>
        <w:tab w:val="right" w:pos="8306"/>
      </w:tabs>
      <w:snapToGrid w:val="0"/>
      <w:spacing w:line="240" w:lineRule="auto"/>
    </w:pPr>
    <w:rPr>
      <w:sz w:val="18"/>
      <w:szCs w:val="18"/>
    </w:rPr>
  </w:style>
  <w:style w:type="paragraph" w:styleId="7">
    <w:name w:val="header"/>
    <w:basedOn w:val="1"/>
    <w:link w:val="17"/>
    <w:qFormat/>
    <w:uiPriority w:val="0"/>
    <w:pPr>
      <w:tabs>
        <w:tab w:val="center" w:pos="4153"/>
        <w:tab w:val="right" w:pos="8306"/>
      </w:tabs>
      <w:snapToGrid w:val="0"/>
      <w:spacing w:line="240" w:lineRule="auto"/>
      <w:jc w:val="center"/>
    </w:pPr>
    <w:rPr>
      <w:sz w:val="18"/>
      <w:szCs w:val="18"/>
    </w:rPr>
  </w:style>
  <w:style w:type="paragraph" w:styleId="8">
    <w:name w:val="toc 1"/>
    <w:basedOn w:val="1"/>
    <w:next w:val="1"/>
    <w:semiHidden/>
    <w:unhideWhenUsed/>
    <w:qFormat/>
    <w:uiPriority w:val="39"/>
  </w:style>
  <w:style w:type="paragraph" w:styleId="9">
    <w:name w:val="toc 2"/>
    <w:basedOn w:val="1"/>
    <w:next w:val="1"/>
    <w:semiHidden/>
    <w:unhideWhenUsed/>
    <w:qFormat/>
    <w:uiPriority w:val="39"/>
    <w:pPr>
      <w:ind w:left="420" w:leftChars="200"/>
    </w:pPr>
  </w:style>
  <w:style w:type="paragraph" w:styleId="10">
    <w:name w:val="Normal (Web)"/>
    <w:basedOn w:val="1"/>
    <w:qFormat/>
    <w:uiPriority w:val="0"/>
    <w:pPr>
      <w:spacing w:beforeAutospacing="1" w:after="0" w:afterAutospacing="1"/>
    </w:pPr>
    <w:rPr>
      <w:rFonts w:cs="Times New Roman"/>
      <w:sz w:val="24"/>
      <w:lang w:val="en-US"/>
    </w:rPr>
  </w:style>
  <w:style w:type="character" w:styleId="13">
    <w:name w:val="Emphasis"/>
    <w:basedOn w:val="12"/>
    <w:qFormat/>
    <w:uiPriority w:val="0"/>
    <w:rPr>
      <w:i/>
    </w:rPr>
  </w:style>
  <w:style w:type="character" w:styleId="14">
    <w:name w:val="Hyperlink"/>
    <w:basedOn w:val="12"/>
    <w:qFormat/>
    <w:uiPriority w:val="0"/>
    <w:rPr>
      <w:color w:val="0000FF"/>
      <w:u w:val="single"/>
    </w:rPr>
  </w:style>
  <w:style w:type="paragraph" w:styleId="15">
    <w:name w:val="No Spacing"/>
    <w:qFormat/>
    <w:uiPriority w:val="1"/>
    <w:rPr>
      <w:rFonts w:asciiTheme="minorHAnsi" w:hAnsiTheme="minorHAnsi" w:eastAsiaTheme="minorEastAsia" w:cstheme="minorBidi"/>
      <w:sz w:val="22"/>
      <w:szCs w:val="22"/>
      <w:lang w:val="en-US" w:eastAsia="en-US" w:bidi="ar-SA"/>
    </w:rPr>
  </w:style>
  <w:style w:type="paragraph" w:customStyle="1" w:styleId="16">
    <w:name w:val="WPSOffice手动目录 1"/>
    <w:qFormat/>
    <w:uiPriority w:val="0"/>
    <w:rPr>
      <w:rFonts w:asciiTheme="minorHAnsi" w:hAnsiTheme="minorHAnsi" w:eastAsiaTheme="minorEastAsia" w:cstheme="minorBidi"/>
      <w:lang w:val="en-US" w:eastAsia="zh-CN" w:bidi="ar-SA"/>
    </w:rPr>
  </w:style>
  <w:style w:type="character" w:customStyle="1" w:styleId="17">
    <w:name w:val="页眉 字符"/>
    <w:basedOn w:val="12"/>
    <w:link w:val="7"/>
    <w:qFormat/>
    <w:uiPriority w:val="0"/>
    <w:rPr>
      <w:rFonts w:asciiTheme="minorHAnsi" w:hAnsiTheme="minorHAnsi" w:eastAsiaTheme="minorEastAsia" w:cstheme="minorBidi"/>
      <w:sz w:val="18"/>
      <w:szCs w:val="18"/>
      <w:lang w:val="en-GB"/>
    </w:rPr>
  </w:style>
  <w:style w:type="character" w:customStyle="1" w:styleId="18">
    <w:name w:val="页脚 字符"/>
    <w:basedOn w:val="12"/>
    <w:link w:val="6"/>
    <w:qFormat/>
    <w:uiPriority w:val="0"/>
    <w:rPr>
      <w:rFonts w:asciiTheme="minorHAnsi" w:hAnsiTheme="minorHAnsi" w:eastAsiaTheme="minorEastAsia" w:cstheme="minorBidi"/>
      <w:sz w:val="18"/>
      <w:szCs w:val="18"/>
      <w:lang w:val="en-GB"/>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22</Pages>
  <Words>3880</Words>
  <Characters>25560</Characters>
  <Lines>641</Lines>
  <Paragraphs>189</Paragraphs>
  <TotalTime>1</TotalTime>
  <ScaleCrop>false</ScaleCrop>
  <LinksUpToDate>false</LinksUpToDate>
  <CharactersWithSpaces>29297</CharactersWithSpaces>
  <Application>WPS Office_12.1.0.18372_F1E327BC-269C-435d-A152-05C5408002CA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2024-11-16T17:36:00Z</dcterms:created>
  <dc:creator>XXX</dc:creator>
  <cp:lastModifiedBy>7</cp:lastModifiedBy>
  <dcterms:modified xsi:type="dcterms:W3CDTF">2024-12-05T18:18:46Z</dcterms:modified>
  <dc:subject>Module code: BMBM6021</dc:subject>
  <dc:title>Assessment Title: IBC Strategies </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2052-12.1.0.18372</vt:lpwstr>
  </property>
  <property fmtid="{D5CDD505-2E9C-101B-9397-08002B2CF9AE}" pid="3" name="ICV">
    <vt:lpwstr>B30A7AD8CE4245F9ABEFAA4BA06393A2_13</vt:lpwstr>
  </property>
</Properties>
</file>