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291A52" w14:textId="18DBF91B" w:rsidR="00601901" w:rsidRDefault="00601901" w:rsidP="00601901">
      <w:pPr>
        <w:pStyle w:val="Title"/>
        <w:jc w:val="center"/>
        <w:rPr>
          <w:rFonts w:ascii="Times New Roman" w:hAnsi="Times New Roman" w:cs="Times New Roman"/>
          <w:sz w:val="36"/>
          <w:szCs w:val="36"/>
        </w:rPr>
      </w:pPr>
      <w:r>
        <w:rPr>
          <w:rFonts w:ascii="Times New Roman" w:hAnsi="Times New Roman" w:cs="Times New Roman"/>
          <w:sz w:val="36"/>
          <w:szCs w:val="36"/>
        </w:rPr>
        <w:t xml:space="preserve">Jack Brown </w:t>
      </w:r>
    </w:p>
    <w:p w14:paraId="1FB39EF4" w14:textId="08A515C5" w:rsidR="00601901" w:rsidRPr="00601901" w:rsidRDefault="00601901" w:rsidP="00601901">
      <w:pPr>
        <w:jc w:val="center"/>
        <w:rPr>
          <w:rFonts w:ascii="Times New Roman" w:hAnsi="Times New Roman" w:cs="Times New Roman"/>
          <w:sz w:val="32"/>
          <w:szCs w:val="32"/>
        </w:rPr>
      </w:pPr>
      <w:r w:rsidRPr="00601901">
        <w:rPr>
          <w:rFonts w:ascii="Times New Roman" w:hAnsi="Times New Roman" w:cs="Times New Roman"/>
          <w:sz w:val="32"/>
          <w:szCs w:val="32"/>
        </w:rPr>
        <w:t xml:space="preserve">Humanities – Essay </w:t>
      </w:r>
    </w:p>
    <w:p w14:paraId="72DC7698" w14:textId="77777777" w:rsidR="00601901" w:rsidRDefault="00601901" w:rsidP="00601901">
      <w:pPr>
        <w:pStyle w:val="Title"/>
        <w:jc w:val="center"/>
        <w:rPr>
          <w:rFonts w:ascii="Times New Roman" w:hAnsi="Times New Roman" w:cs="Times New Roman"/>
          <w:sz w:val="36"/>
          <w:szCs w:val="36"/>
        </w:rPr>
      </w:pPr>
    </w:p>
    <w:p w14:paraId="3F8A1843" w14:textId="77777777" w:rsidR="00601901" w:rsidRDefault="00601901" w:rsidP="00601901">
      <w:pPr>
        <w:pStyle w:val="Title"/>
        <w:jc w:val="center"/>
        <w:rPr>
          <w:rFonts w:ascii="Times New Roman" w:hAnsi="Times New Roman" w:cs="Times New Roman"/>
          <w:sz w:val="36"/>
          <w:szCs w:val="36"/>
        </w:rPr>
      </w:pPr>
    </w:p>
    <w:p w14:paraId="68C6AC25" w14:textId="0EBE8F3F" w:rsidR="00601901" w:rsidRPr="00601901" w:rsidRDefault="00601901" w:rsidP="00601901">
      <w:pPr>
        <w:pStyle w:val="Title"/>
        <w:jc w:val="center"/>
        <w:rPr>
          <w:rFonts w:ascii="Times New Roman" w:hAnsi="Times New Roman" w:cs="Times New Roman"/>
          <w:sz w:val="36"/>
          <w:szCs w:val="36"/>
        </w:rPr>
      </w:pPr>
      <w:r w:rsidRPr="00601901">
        <w:rPr>
          <w:rFonts w:ascii="Times New Roman" w:hAnsi="Times New Roman" w:cs="Times New Roman"/>
          <w:sz w:val="36"/>
          <w:szCs w:val="36"/>
        </w:rPr>
        <w:t>Llyn Cerrig Bach: What Does Archaeological Evidence Reveal About Celtic Water Ritual Practice?</w:t>
      </w:r>
    </w:p>
    <w:p w14:paraId="1779E4AB" w14:textId="77777777" w:rsidR="00756884" w:rsidRDefault="00756884" w:rsidP="00601901">
      <w:pPr>
        <w:jc w:val="center"/>
      </w:pPr>
    </w:p>
    <w:p w14:paraId="1A187760" w14:textId="77777777" w:rsidR="00601901" w:rsidRDefault="00601901" w:rsidP="00601901"/>
    <w:p w14:paraId="51CC7E45" w14:textId="77777777" w:rsidR="00601901" w:rsidRDefault="00601901" w:rsidP="00601901"/>
    <w:p w14:paraId="356C2BFD" w14:textId="4BB624D4" w:rsidR="00601901" w:rsidRPr="00601901" w:rsidRDefault="00601901" w:rsidP="00601901">
      <w:pPr>
        <w:pStyle w:val="NormalWeb"/>
        <w:rPr>
          <w:b/>
          <w:bCs/>
          <w:sz w:val="28"/>
          <w:szCs w:val="28"/>
        </w:rPr>
      </w:pPr>
      <w:r w:rsidRPr="00601901">
        <w:rPr>
          <w:b/>
          <w:bCs/>
          <w:sz w:val="28"/>
          <w:szCs w:val="28"/>
        </w:rPr>
        <w:t xml:space="preserve">Introduction </w:t>
      </w:r>
    </w:p>
    <w:p w14:paraId="3D6772C0" w14:textId="7542BF80" w:rsidR="00601901" w:rsidRDefault="00601901" w:rsidP="00601901">
      <w:pPr>
        <w:pStyle w:val="NormalWeb"/>
      </w:pPr>
      <w:r>
        <w:t xml:space="preserve">This paper will build on the previous scoping project based on the following question: What does archaeological evidence from Llyn Cerrig Bach tell us about Celtic water-based </w:t>
      </w:r>
      <w:r>
        <w:t>rituals? I</w:t>
      </w:r>
      <w:r>
        <w:t xml:space="preserve"> am arguing that the assemblage from Llyn Cerrig Bach can be best explained as being the result of intentional, repetitive votive deposit in a body of water rather than accidently lost, casually disposed of, or intentionally deposited in a location where it could be retrieved at a future date. The archaeological significance of the site lies in demonstrating how social and religious practices were enacted using patterns of </w:t>
      </w:r>
      <w:r>
        <w:t>behaviour</w:t>
      </w:r>
      <w:r>
        <w:t xml:space="preserve"> such as selecting objects to include in the deposit, modifying the selected objects before inclusion in the deposit, and choosing the liminal environment in which the deposit would </w:t>
      </w:r>
      <w:r>
        <w:t>occur. Although</w:t>
      </w:r>
      <w:r>
        <w:t xml:space="preserve"> interpretations should remain disciplined and follow the appropriate methods, the concept of “ritual” is a category developed from observing material patterns. As such, this paper also examines the limitations of inferences regarding possible explanations for the observed material patterns, and whether other possible explanations can be supported by the available evidence.</w:t>
      </w:r>
    </w:p>
    <w:p w14:paraId="60600473" w14:textId="77777777" w:rsidR="00601901" w:rsidRPr="00601901" w:rsidRDefault="00601901" w:rsidP="00601901">
      <w:pPr>
        <w:pStyle w:val="NormalWeb"/>
        <w:rPr>
          <w:b/>
          <w:bCs/>
        </w:rPr>
      </w:pPr>
      <w:r w:rsidRPr="00601901">
        <w:rPr>
          <w:b/>
          <w:bCs/>
        </w:rPr>
        <w:t>SITE AND RECOVERY CONTEXT</w:t>
      </w:r>
    </w:p>
    <w:p w14:paraId="5D5EE33D" w14:textId="78F036F6" w:rsidR="00601901" w:rsidRDefault="00601901" w:rsidP="00601901">
      <w:pPr>
        <w:pStyle w:val="NormalWeb"/>
      </w:pPr>
      <w:r>
        <w:t xml:space="preserve">The archaeological importance of Llyn Cerrig Bach (Anglesey) arose due to recovery of the assemblage during mid-20th century peat cutting and war-related infrastructure projects. Fox’s (1946) initial assessment of the assemblage provided the foundation for subsequent re-evaluations and assessments of the assemblage, focusing on typology, metallurgy, and depositional interpretation (Macdonald, 2007). The historical circumstances surrounding the recovery of the assemblage create a potential conflict between the need to understand the site-specific provenience and the loss of detail that may arise from the disturbances caused by the recovery activities. However, the assemblage-level signal what types of artifacts were present, their state of preservation, and the consistent association of the artifacts with a watery locale remains robust and sufficient for supporting interpretative </w:t>
      </w:r>
      <w:r>
        <w:t>arguments. Therefore</w:t>
      </w:r>
      <w:r>
        <w:t xml:space="preserve">, archaeologists treating Llyn Cerrig Bach as a case where inference is primarily based on contextual coherence at the landscape and assemblage scales rather than detailed spatial patterning at finer scales is consistent with many </w:t>
      </w:r>
      <w:r>
        <w:t>wetlands</w:t>
      </w:r>
      <w:r>
        <w:t xml:space="preserve"> finds. Wetland environments frequently preserve both metal artifacts and organic residues; however, the conditions under which wetland finds are recovered often complicate efforts to reconstruct the spatial relationships among the artifacts (Bradley, 2017).</w:t>
      </w:r>
    </w:p>
    <w:p w14:paraId="1C408DA7" w14:textId="2AFDF04C" w:rsidR="00601901" w:rsidRPr="00601901" w:rsidRDefault="00601901" w:rsidP="00601901">
      <w:pPr>
        <w:pStyle w:val="NormalWeb"/>
        <w:rPr>
          <w:b/>
          <w:bCs/>
        </w:rPr>
      </w:pPr>
      <w:r w:rsidRPr="00601901">
        <w:rPr>
          <w:b/>
          <w:bCs/>
        </w:rPr>
        <w:lastRenderedPageBreak/>
        <w:t>HOW ARCHAEOLOGY INFERS RITUAL</w:t>
      </w:r>
    </w:p>
    <w:p w14:paraId="7387081F" w14:textId="77777777" w:rsidR="00601901" w:rsidRDefault="00601901" w:rsidP="00601901">
      <w:pPr>
        <w:pStyle w:val="NormalWeb"/>
      </w:pPr>
      <w:r>
        <w:t>Since "ritual" is not a phenomenon that can be directly observed, archaeologists typically infer its presence based on indirect indicators of ritual activity, particularly through observation of structured deposition, the purposeful placement of artifacts in specific locations, often with some form of patterning that appears to deviate from normal discarding practices. A key aspect of understanding ritual activity in watery environments is Bradley's (2017) landscape approach to offerings. High-value offerings in watery environments appear to have been a culturally meaningful practice across much of later prehistory, suggesting that water was a culturally meaningful boundary or medium.</w:t>
      </w:r>
    </w:p>
    <w:p w14:paraId="704884A0" w14:textId="77777777" w:rsidR="00601901" w:rsidRPr="00601901" w:rsidRDefault="00601901" w:rsidP="00601901">
      <w:pPr>
        <w:pStyle w:val="NormalWeb"/>
        <w:rPr>
          <w:b/>
          <w:bCs/>
        </w:rPr>
      </w:pPr>
      <w:r w:rsidRPr="00601901">
        <w:rPr>
          <w:b/>
          <w:bCs/>
        </w:rPr>
        <w:t>ASSEMBLAGE COMPOSITION: WHAT WAS DEPOSITED AND WHAT THIS IMPLIES</w:t>
      </w:r>
    </w:p>
    <w:p w14:paraId="2914D321" w14:textId="3D3F2826" w:rsidR="00601901" w:rsidRDefault="00601901" w:rsidP="00601901">
      <w:pPr>
        <w:pStyle w:val="NormalWeb"/>
      </w:pPr>
      <w:r>
        <w:t xml:space="preserve">The composition of the Llyn </w:t>
      </w:r>
      <w:proofErr w:type="spellStart"/>
      <w:r>
        <w:t>Cerrig</w:t>
      </w:r>
      <w:proofErr w:type="spellEnd"/>
      <w:r>
        <w:t xml:space="preserve"> Bach assemblage is unique in terms of its size and type of artifacts, often characterized as a large group of Iron Age metal artifacts with a heavy concentration of military and high-status equipment (Fox, 1946; Macdonald, 2007). The precise details of the </w:t>
      </w:r>
      <w:r>
        <w:t>catalogues</w:t>
      </w:r>
      <w:r>
        <w:t xml:space="preserve"> vary depending on the publication, but the interpretative summaries of the assemblage consistently emphasize the following categories:</w:t>
      </w:r>
    </w:p>
    <w:p w14:paraId="1EF46D23" w14:textId="77777777" w:rsidR="00601901" w:rsidRDefault="00601901" w:rsidP="00601901">
      <w:pPr>
        <w:pStyle w:val="NormalWeb"/>
      </w:pPr>
      <w:r>
        <w:t>Martial and weapons-related gear (e.g., components of swords, spearheads, shield fittings)</w:t>
      </w:r>
    </w:p>
    <w:p w14:paraId="220B8A85" w14:textId="77777777" w:rsidR="00601901" w:rsidRDefault="00601901" w:rsidP="00601901">
      <w:pPr>
        <w:pStyle w:val="NormalWeb"/>
      </w:pPr>
      <w:r>
        <w:t>Elements related to horse and vehicle fittings, and thus to mobility, display, and elite identity</w:t>
      </w:r>
    </w:p>
    <w:p w14:paraId="2FCDC9A3" w14:textId="77777777" w:rsidR="00601901" w:rsidRDefault="00601901" w:rsidP="00601901">
      <w:pPr>
        <w:pStyle w:val="NormalWeb"/>
      </w:pPr>
      <w:r>
        <w:t>Utilitarian tools and objects, including those related to craft and production</w:t>
      </w:r>
    </w:p>
    <w:p w14:paraId="04BD4A56" w14:textId="77777777" w:rsidR="00601901" w:rsidRDefault="00601901" w:rsidP="00601901">
      <w:pPr>
        <w:pStyle w:val="NormalWeb"/>
      </w:pPr>
      <w:r>
        <w:t>Chains, interpreted as restraints, and thus implying themes of coercion, captivity, and social control within the same depositional horizon</w:t>
      </w:r>
    </w:p>
    <w:p w14:paraId="6CD969BB" w14:textId="325131BE" w:rsidR="00601901" w:rsidRDefault="00601901" w:rsidP="00601901">
      <w:pPr>
        <w:pStyle w:val="NormalWeb"/>
      </w:pPr>
      <w:r>
        <w:t xml:space="preserve">The significance of the composition of the assemblage lies in its lack of resemblance to typical domestic refuse. Typically, domestic assemblages contain a diverse array of low-status items, food waste, and everyday debris. Rather, the Llyn </w:t>
      </w:r>
      <w:proofErr w:type="spellStart"/>
      <w:r>
        <w:t>Cerrig</w:t>
      </w:r>
      <w:proofErr w:type="spellEnd"/>
      <w:r>
        <w:t xml:space="preserve"> Bach profile is more </w:t>
      </w:r>
      <w:r w:rsidR="00DC678E">
        <w:t>like</w:t>
      </w:r>
      <w:r>
        <w:t xml:space="preserve"> "public" materials — artifacts that reflect warfare, prestige, and community authority. The selection pattern exhibited by the Llyn </w:t>
      </w:r>
      <w:proofErr w:type="spellStart"/>
      <w:r>
        <w:t>Cerrig</w:t>
      </w:r>
      <w:proofErr w:type="spellEnd"/>
      <w:r>
        <w:t xml:space="preserve"> Bach assemblage is consistent with votive practice, since offerings are socially meaningful, specifically because they are expensive, or symbolically powerful (Bradley, 2017).</w:t>
      </w:r>
    </w:p>
    <w:p w14:paraId="4E8ECB64" w14:textId="6FEE0350" w:rsidR="00601901" w:rsidRPr="00DC678E" w:rsidRDefault="00601901" w:rsidP="00601901">
      <w:pPr>
        <w:pStyle w:val="NormalWeb"/>
        <w:rPr>
          <w:b/>
          <w:bCs/>
        </w:rPr>
      </w:pPr>
      <w:r w:rsidRPr="00DC678E">
        <w:rPr>
          <w:b/>
          <w:bCs/>
        </w:rPr>
        <w:t xml:space="preserve">Intentional Damage and "Dying" of Objects </w:t>
      </w:r>
    </w:p>
    <w:p w14:paraId="257A5E16" w14:textId="1902043C" w:rsidR="00601901" w:rsidRDefault="00601901" w:rsidP="00601901">
      <w:pPr>
        <w:pStyle w:val="NormalWeb"/>
      </w:pPr>
      <w:r>
        <w:t>One of the strongest pieces of supporting evidence for ritual use is the fact that many of the artifacts deposited at the site had been intentionally damaged before being placed there. Many researchers have noted this in their work on Iron Age sites (Macdonald, 2007; Fox, 1946). When researchers find that an artifact was damaged prior to its deposition, they typically conclude that the artifact has been "killed". This means that the artifact has been taken out of circulation and transformed into a worthy gift to either a deity or to the powers associated with a particular place (Bradley, 2017</w:t>
      </w:r>
      <w:proofErr w:type="gramStart"/>
      <w:r>
        <w:t>).This</w:t>
      </w:r>
      <w:proofErr w:type="gramEnd"/>
      <w:r>
        <w:t xml:space="preserve"> is significant because it refutes the idea of a "practical hoard." While people will certainly stash their valuables for safekeeping, the valuables of a practical hoard would generally remain in good condition since the owner intended to retrieve them at a future date. Moreover, if someone was going to hide valuables for safekeeping, the owner would probably try to preserve those valuables so that he/she/they </w:t>
      </w:r>
      <w:r>
        <w:lastRenderedPageBreak/>
        <w:t>could recover them when needed. Therefore, systematic decommissioning (intentional damage) renders the practical hoard explanation economically unfeasible. Furthermore, the likelihood of accidental loss is reduced with repeated intentional damage of valuable artifacts in a location that consistently receives similar types of material.</w:t>
      </w:r>
    </w:p>
    <w:p w14:paraId="62784563" w14:textId="77777777" w:rsidR="00601901" w:rsidRDefault="00601901" w:rsidP="00601901">
      <w:pPr>
        <w:pStyle w:val="NormalWeb"/>
      </w:pPr>
      <w:r>
        <w:t xml:space="preserve">It is also worth noting that weapon depositions have a long comparative history in later prehistoric Europe. In many instances, damaged weapons have appeared in wetlands as part of post-conflict or commemorative rituals — whether the weapons represented trophies for victorious warriors, offerings for protection, or acts of closure after violent encounters (Bradley, 2017). The combination of martial equipment and intentional damage present at Llyn </w:t>
      </w:r>
      <w:proofErr w:type="spellStart"/>
      <w:r>
        <w:t>Cerrig</w:t>
      </w:r>
      <w:proofErr w:type="spellEnd"/>
      <w:r>
        <w:t xml:space="preserve"> Bach falls well within that larger comparative pattern.</w:t>
      </w:r>
    </w:p>
    <w:p w14:paraId="3B0AC72C" w14:textId="77777777" w:rsidR="00601901" w:rsidRPr="00DC678E" w:rsidRDefault="00601901" w:rsidP="00601901">
      <w:pPr>
        <w:pStyle w:val="NormalWeb"/>
        <w:rPr>
          <w:b/>
          <w:bCs/>
        </w:rPr>
      </w:pPr>
      <w:r w:rsidRPr="00DC678E">
        <w:rPr>
          <w:b/>
          <w:bCs/>
        </w:rPr>
        <w:t>Why the Water? Transitional Landscapes and Sacred Practices</w:t>
      </w:r>
    </w:p>
    <w:p w14:paraId="2787C584" w14:textId="77777777" w:rsidR="00601901" w:rsidRDefault="00601901" w:rsidP="00601901">
      <w:pPr>
        <w:pStyle w:val="NormalWeb"/>
      </w:pPr>
      <w:r>
        <w:t>Water is not simply the natural environment in which the artifacts were found. Rather, the water itself is an essential aspect of the depositional context. Wetlands, lakes, rivers, and bogs have all served as depositional sites throughout Iron Age Europe (Bradley, 2017). From an archaeological perspective, water serves as a transitional medium. It demarcates physical transitions (e.g., territorial boundaries, the boundary between life and death, the boundary between humanity and the divine), and it offers a physically viable method of removing artifacts from circulation while simultaneously designating a specific location as particularly special.</w:t>
      </w:r>
    </w:p>
    <w:p w14:paraId="1EB12D53" w14:textId="77777777" w:rsidR="00601901" w:rsidRDefault="00601901" w:rsidP="00601901">
      <w:pPr>
        <w:pStyle w:val="NormalWeb"/>
      </w:pPr>
      <w:r>
        <w:t>For the site of Llyn Cerrig Bach, the aquatic depositional context adds additional support to the votive interpretation in two primary ways:</w:t>
      </w:r>
    </w:p>
    <w:p w14:paraId="0E2490DD" w14:textId="77777777" w:rsidR="00601901" w:rsidRDefault="00601901" w:rsidP="00601901">
      <w:pPr>
        <w:pStyle w:val="NormalWeb"/>
      </w:pPr>
      <w:r>
        <w:t>Repeated Deposits and Creating Sacred Geography: Repeatedly depositing valuable items in a wetland creates a lasting sacred geography. As such, the location becomes a repository of collective memory and authority.</w:t>
      </w:r>
    </w:p>
    <w:p w14:paraId="2BD61B3E" w14:textId="77777777" w:rsidR="00601901" w:rsidRDefault="00601901" w:rsidP="00601901">
      <w:pPr>
        <w:pStyle w:val="NormalWeb"/>
      </w:pPr>
      <w:r>
        <w:t>Loss Control: The water ensures that the object(s) are given away in a manner that is both physically demonstrable (the objects leave human hands and enter a non-human domain) and archaeologically detectable (since we can see the artifacts in the sediment).</w:t>
      </w:r>
    </w:p>
    <w:p w14:paraId="4FDFF2C3" w14:textId="77777777" w:rsidR="00601901" w:rsidRDefault="00601901" w:rsidP="00601901">
      <w:pPr>
        <w:pStyle w:val="NormalWeb"/>
      </w:pPr>
      <w:r>
        <w:t>This is consistent with the larger body of research regarding the nature of Celtic religious practices as being rooted in a materialized relationship to landscape and place, as opposed to a primarily textual or institutionalized basis.</w:t>
      </w:r>
    </w:p>
    <w:p w14:paraId="5D71097D" w14:textId="77777777" w:rsidR="00601901" w:rsidRDefault="00601901" w:rsidP="00601901">
      <w:pPr>
        <w:pStyle w:val="NormalWeb"/>
      </w:pPr>
      <w:r w:rsidRPr="00DC678E">
        <w:rPr>
          <w:b/>
          <w:bCs/>
        </w:rPr>
        <w:t>What Was the Ritual About?</w:t>
      </w:r>
      <w:r>
        <w:t xml:space="preserve"> Interpreting Function, But Avoiding Overreach</w:t>
      </w:r>
    </w:p>
    <w:p w14:paraId="5485FAC4" w14:textId="77777777" w:rsidR="00601901" w:rsidRDefault="00601901" w:rsidP="00601901">
      <w:pPr>
        <w:pStyle w:val="NormalWeb"/>
      </w:pPr>
      <w:r>
        <w:t>Archaeology can more reliably identify that offerings were made, than it can reliably determine why the offerings were made. However, the assemblage lends credence to multiple plausible (and potentially interrelated) functions.</w:t>
      </w:r>
    </w:p>
    <w:p w14:paraId="0E2DADAD" w14:textId="00896D36" w:rsidR="00601901" w:rsidRDefault="00601901" w:rsidP="00601901">
      <w:pPr>
        <w:pStyle w:val="NormalWeb"/>
      </w:pPr>
      <w:r w:rsidRPr="00DC678E">
        <w:rPr>
          <w:b/>
          <w:bCs/>
        </w:rPr>
        <w:t xml:space="preserve">Conflict, Commemoration, and Political </w:t>
      </w:r>
      <w:proofErr w:type="gramStart"/>
      <w:r w:rsidR="00DC678E" w:rsidRPr="00DC678E">
        <w:rPr>
          <w:b/>
          <w:bCs/>
        </w:rPr>
        <w:t>Order</w:t>
      </w:r>
      <w:r w:rsidR="00DC678E">
        <w:t xml:space="preserve"> :</w:t>
      </w:r>
      <w:r>
        <w:t>Given</w:t>
      </w:r>
      <w:proofErr w:type="gramEnd"/>
      <w:r>
        <w:t xml:space="preserve"> the prominent martial component to the assemblage, it is reasonable to suggest that some of the deposits relate to conflict. Specifically, this could </w:t>
      </w:r>
      <w:r w:rsidR="00DC678E">
        <w:t>include</w:t>
      </w:r>
      <w:r>
        <w:t xml:space="preserve"> offerings for victory; dedicating captured arms; or rites to restore balance after violence. This is consistent with the observed pattern of dedicating martial equipment in liminal landscapes as part of resolving social conflict.</w:t>
      </w:r>
    </w:p>
    <w:p w14:paraId="21185B18" w14:textId="0616DB58" w:rsidR="00601901" w:rsidRDefault="00601901" w:rsidP="00601901">
      <w:pPr>
        <w:pStyle w:val="NormalWeb"/>
      </w:pPr>
      <w:r w:rsidRPr="00DC678E">
        <w:rPr>
          <w:b/>
          <w:bCs/>
        </w:rPr>
        <w:lastRenderedPageBreak/>
        <w:t xml:space="preserve">Elite Display and Conspicuous </w:t>
      </w:r>
      <w:r w:rsidR="00DC678E" w:rsidRPr="00DC678E">
        <w:rPr>
          <w:b/>
          <w:bCs/>
        </w:rPr>
        <w:t>Sacrifice</w:t>
      </w:r>
      <w:r w:rsidR="00DC678E">
        <w:t>: Offering</w:t>
      </w:r>
      <w:r>
        <w:t xml:space="preserve"> valuable items can serve as a public demonstration of wealth and legitimacy. By making sacrifices of valuables, donors can publicly demonstrate their authority and link the collective identity of the community to the sacred space. These are not two distinct processes. Rather, demonstrating authority through ritual demonstrates the role of ritual in the political economy of prestige.</w:t>
      </w:r>
    </w:p>
    <w:p w14:paraId="3AA71B88" w14:textId="53E1B53F" w:rsidR="00601901" w:rsidRDefault="00601901" w:rsidP="00601901">
      <w:pPr>
        <w:pStyle w:val="NormalWeb"/>
      </w:pPr>
      <w:r w:rsidRPr="00DC678E">
        <w:rPr>
          <w:b/>
          <w:bCs/>
        </w:rPr>
        <w:t xml:space="preserve">Appeasement, Petition, and </w:t>
      </w:r>
      <w:r w:rsidR="00DC678E" w:rsidRPr="00DC678E">
        <w:rPr>
          <w:b/>
          <w:bCs/>
        </w:rPr>
        <w:t>Protection</w:t>
      </w:r>
      <w:r w:rsidR="00DC678E">
        <w:t>: Many</w:t>
      </w:r>
      <w:r>
        <w:t xml:space="preserve"> researchers view the offering of items in wetlands as a form of petition for fertility, health, safety during travel, and protection. The presence of vehicle and horse fixtures in the assemblage may be particularly relevant to this issue: movement and risk (travel, raiding, seasonal migration) may be symbolically negotiated through the offering of artifacts.</w:t>
      </w:r>
    </w:p>
    <w:p w14:paraId="37D7FD49" w14:textId="77777777" w:rsidR="00601901" w:rsidRDefault="00601901" w:rsidP="00601901">
      <w:pPr>
        <w:pStyle w:val="NormalWeb"/>
      </w:pPr>
      <w:r>
        <w:t>It is also important to note that these are not mutually exclusive explanations. A single site can serve multiple purposes over time. What may begin as a site used specifically for post-conflict or commemorative deposits may evolve over time into a general sanctuary for community rituals.</w:t>
      </w:r>
    </w:p>
    <w:p w14:paraId="55BF770F" w14:textId="34946E55" w:rsidR="00601901" w:rsidRDefault="00601901" w:rsidP="00601901">
      <w:pPr>
        <w:pStyle w:val="NormalWeb"/>
      </w:pPr>
      <w:r w:rsidRPr="00DC678E">
        <w:rPr>
          <w:b/>
          <w:bCs/>
        </w:rPr>
        <w:t xml:space="preserve">Multivalence of </w:t>
      </w:r>
      <w:r w:rsidR="00DC678E" w:rsidRPr="00DC678E">
        <w:rPr>
          <w:b/>
          <w:bCs/>
        </w:rPr>
        <w:t>Ritual</w:t>
      </w:r>
      <w:r w:rsidR="00DC678E">
        <w:t>: Ritual</w:t>
      </w:r>
      <w:r>
        <w:t xml:space="preserve"> is a highly multivalent </w:t>
      </w:r>
      <w:r w:rsidR="00DC678E">
        <w:t>term,</w:t>
      </w:r>
      <w:r>
        <w:t xml:space="preserve"> and the archaeological signatures of rituals do not indicate a specific theology, deity, or set of doctrines (Macdonald, 2007).</w:t>
      </w:r>
    </w:p>
    <w:p w14:paraId="24AD2A3B" w14:textId="06B5E8E4" w:rsidR="00601901" w:rsidRDefault="00601901" w:rsidP="00601901">
      <w:pPr>
        <w:pStyle w:val="NormalWeb"/>
      </w:pPr>
      <w:r w:rsidRPr="00DC678E">
        <w:rPr>
          <w:b/>
          <w:bCs/>
        </w:rPr>
        <w:t xml:space="preserve">Limited Textual </w:t>
      </w:r>
      <w:r w:rsidR="00DC678E" w:rsidRPr="00DC678E">
        <w:rPr>
          <w:b/>
          <w:bCs/>
        </w:rPr>
        <w:t>Corroboration: Greco</w:t>
      </w:r>
      <w:r>
        <w:t>-Roman texts that describe the "Celts" are external to the archaeological record, and they are also biased; consequently, archaeologists working in this area should maintain their own interpretive authority (Bradley, 2017).</w:t>
      </w:r>
    </w:p>
    <w:p w14:paraId="2239CF02" w14:textId="77777777" w:rsidR="00601901" w:rsidRDefault="00601901" w:rsidP="00601901">
      <w:pPr>
        <w:pStyle w:val="NormalWeb"/>
      </w:pPr>
      <w:r>
        <w:t>Therefore, the appropriate claim is not that Llyn Cerrig Bach "proves" specific beliefs, but rather that it represents strong evidence for ritualized practices that allowed communities to negotiate power, violence, identity, and sacred geography (Macdonald, 2007).</w:t>
      </w:r>
    </w:p>
    <w:p w14:paraId="1EC754B3" w14:textId="77777777" w:rsidR="00601901" w:rsidRPr="00DC678E" w:rsidRDefault="00601901" w:rsidP="00601901">
      <w:pPr>
        <w:pStyle w:val="NormalWeb"/>
        <w:rPr>
          <w:b/>
          <w:bCs/>
        </w:rPr>
      </w:pPr>
      <w:r w:rsidRPr="00DC678E">
        <w:rPr>
          <w:b/>
          <w:bCs/>
        </w:rPr>
        <w:t>Conclusion</w:t>
      </w:r>
    </w:p>
    <w:p w14:paraId="600909C1" w14:textId="77777777" w:rsidR="00601901" w:rsidRDefault="00601901" w:rsidP="00601901">
      <w:pPr>
        <w:pStyle w:val="NormalWeb"/>
      </w:pPr>
      <w:r>
        <w:t>Llyn Cerrig Bach illustrates archaeology's capacity to document and interpret material expressions of Celtic religious belief. Selective representation of high status and martial artifacts, repetitive evidence of purposeful damage and selective placement in a liminal wetland environment all combine to create a strong argument for intentional votive deposit (Bradley, 2017; Fox, 1946; Macdonald, 2007). Alternative explanations such as accidental loss, everyday disposal, or practical hoarding represent much weaker alternatives than the cumulative signature of selectivity, treatment and context demonstrate.</w:t>
      </w:r>
    </w:p>
    <w:p w14:paraId="55C809D4" w14:textId="77777777" w:rsidR="00601901" w:rsidRDefault="00601901" w:rsidP="00601901">
      <w:pPr>
        <w:pStyle w:val="NormalWeb"/>
      </w:pPr>
      <w:r>
        <w:t>Moreover, Llyn Cerrig Bach illustrates that religion in the Iron Age was not separate from social life. Deposits were at once ritual offerings, political statements and acts of collective memory making. Therefore, archaeological evidence does not simply 'fill gaps' in the historical record created by limited written documentation; it creates an independent and empirically grounded approach to documenting how Celtic communities used the landscape, objects and repetition to manifest the sacred.</w:t>
      </w:r>
    </w:p>
    <w:p w14:paraId="7D0371EA" w14:textId="61E40C22" w:rsidR="00601901" w:rsidRPr="00DC678E" w:rsidRDefault="00601901" w:rsidP="00601901">
      <w:pPr>
        <w:pStyle w:val="NormalWeb"/>
        <w:rPr>
          <w:b/>
          <w:bCs/>
          <w:sz w:val="28"/>
          <w:szCs w:val="28"/>
        </w:rPr>
      </w:pPr>
      <w:r w:rsidRPr="00DC678E">
        <w:rPr>
          <w:b/>
          <w:bCs/>
          <w:sz w:val="28"/>
          <w:szCs w:val="28"/>
        </w:rPr>
        <w:t xml:space="preserve"> References</w:t>
      </w:r>
    </w:p>
    <w:p w14:paraId="08361F90" w14:textId="77777777" w:rsidR="00601901" w:rsidRDefault="00601901" w:rsidP="00601901">
      <w:pPr>
        <w:pStyle w:val="NormalWeb"/>
      </w:pPr>
      <w:proofErr w:type="spellStart"/>
      <w:r>
        <w:t>Aldhouse</w:t>
      </w:r>
      <w:proofErr w:type="spellEnd"/>
      <w:r>
        <w:t xml:space="preserve">-Green, M., &amp; </w:t>
      </w:r>
      <w:proofErr w:type="spellStart"/>
      <w:r>
        <w:t>Aldhouse</w:t>
      </w:r>
      <w:proofErr w:type="spellEnd"/>
      <w:r>
        <w:t>-Green, S. (2005). The Quest for the Shaman: Shapeshifters, Sorcerer's and Spirit Healers in Ancient Europe. London: Thames &amp; Hudson.</w:t>
      </w:r>
    </w:p>
    <w:p w14:paraId="1F658D0A" w14:textId="77777777" w:rsidR="00601901" w:rsidRDefault="00601901" w:rsidP="00601901">
      <w:pPr>
        <w:pStyle w:val="NormalWeb"/>
      </w:pPr>
      <w:r>
        <w:lastRenderedPageBreak/>
        <w:t>Bradley, R. (2017). A geography of offerings: Deposits of valuables in the landscapes of ancient Europe. Oxford: Oxbow Books.</w:t>
      </w:r>
    </w:p>
    <w:p w14:paraId="15E0752E" w14:textId="77777777" w:rsidR="00601901" w:rsidRDefault="00601901" w:rsidP="00601901">
      <w:pPr>
        <w:pStyle w:val="NormalWeb"/>
      </w:pPr>
      <w:r>
        <w:t>Fox, C. (1946). A find of the early iron age from Llyn Cerrig Bach, Anglesey: Final report. Cardiff: National Museum of Wales.</w:t>
      </w:r>
    </w:p>
    <w:p w14:paraId="5EFC1032" w14:textId="49B9E937" w:rsidR="00601901" w:rsidRDefault="00601901" w:rsidP="00601901">
      <w:pPr>
        <w:pStyle w:val="NormalWeb"/>
      </w:pPr>
      <w:r>
        <w:t xml:space="preserve">Garrow, D. &amp; Gosden, C. (2012). Technologies of </w:t>
      </w:r>
      <w:r>
        <w:t>enchantment?</w:t>
      </w:r>
      <w:r>
        <w:t xml:space="preserve"> Exploring </w:t>
      </w:r>
      <w:proofErr w:type="spellStart"/>
      <w:r>
        <w:t>celtic</w:t>
      </w:r>
      <w:proofErr w:type="spellEnd"/>
      <w:r>
        <w:t xml:space="preserve"> art: 400 BC to AD 100. Oxford: Oxford University Press.</w:t>
      </w:r>
    </w:p>
    <w:p w14:paraId="070627A2" w14:textId="77777777" w:rsidR="00601901" w:rsidRDefault="00601901" w:rsidP="00601901">
      <w:pPr>
        <w:pStyle w:val="NormalWeb"/>
      </w:pPr>
      <w:r>
        <w:t xml:space="preserve">Green, M. (1997). Humans as ritual victims in the later prehistory of western </w:t>
      </w:r>
      <w:proofErr w:type="spellStart"/>
      <w:r>
        <w:t>europe</w:t>
      </w:r>
      <w:proofErr w:type="spellEnd"/>
      <w:r>
        <w:t>. Oxford Journal of Archaeology, 17(2), pp. 169–189.</w:t>
      </w:r>
    </w:p>
    <w:p w14:paraId="122B20AF" w14:textId="77777777" w:rsidR="00601901" w:rsidRDefault="00601901" w:rsidP="00601901">
      <w:pPr>
        <w:pStyle w:val="NormalWeb"/>
      </w:pPr>
      <w:r>
        <w:t xml:space="preserve">Macdonald, P. (2007). Llyn Cerrig Bach: A study of the copper alloy artefacts from the insular la </w:t>
      </w:r>
      <w:proofErr w:type="spellStart"/>
      <w:r>
        <w:t>tene</w:t>
      </w:r>
      <w:proofErr w:type="spellEnd"/>
      <w:r>
        <w:t xml:space="preserve"> assemblage. Cardiff: University of Wales Press.</w:t>
      </w:r>
    </w:p>
    <w:p w14:paraId="1B91A135" w14:textId="77777777" w:rsidR="00601901" w:rsidRDefault="00601901" w:rsidP="00601901">
      <w:pPr>
        <w:pStyle w:val="NormalWeb"/>
      </w:pPr>
      <w:r>
        <w:t xml:space="preserve">Ross, A. (1986). Ritual and the druids. In R. Megaw &amp; V. Megaw (Ed.), Celtic art: From its beginnings to the book of </w:t>
      </w:r>
      <w:proofErr w:type="spellStart"/>
      <w:r>
        <w:t>kells</w:t>
      </w:r>
      <w:proofErr w:type="spellEnd"/>
      <w:r>
        <w:t xml:space="preserve"> (pp. 132–145). London: Thames &amp; Hudson.</w:t>
      </w:r>
    </w:p>
    <w:p w14:paraId="17459FFC" w14:textId="77777777" w:rsidR="00601901" w:rsidRDefault="00601901" w:rsidP="00601901"/>
    <w:sectPr w:rsidR="006019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0DB7F7" w14:textId="77777777" w:rsidR="007C5607" w:rsidRDefault="007C5607" w:rsidP="00DF19E5">
      <w:pPr>
        <w:spacing w:after="0" w:line="240" w:lineRule="auto"/>
      </w:pPr>
      <w:r>
        <w:separator/>
      </w:r>
    </w:p>
  </w:endnote>
  <w:endnote w:type="continuationSeparator" w:id="0">
    <w:p w14:paraId="32578366" w14:textId="77777777" w:rsidR="007C5607" w:rsidRDefault="007C5607" w:rsidP="00DF19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0F5510" w14:textId="77777777" w:rsidR="007C5607" w:rsidRDefault="007C5607" w:rsidP="00DF19E5">
      <w:pPr>
        <w:spacing w:after="0" w:line="240" w:lineRule="auto"/>
      </w:pPr>
      <w:r>
        <w:separator/>
      </w:r>
    </w:p>
  </w:footnote>
  <w:footnote w:type="continuationSeparator" w:id="0">
    <w:p w14:paraId="3C9334DD" w14:textId="77777777" w:rsidR="007C5607" w:rsidRDefault="007C5607" w:rsidP="00DF19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901"/>
    <w:rsid w:val="00601901"/>
    <w:rsid w:val="00746CBA"/>
    <w:rsid w:val="00756884"/>
    <w:rsid w:val="007C5607"/>
    <w:rsid w:val="00DC678E"/>
    <w:rsid w:val="00DF1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D9B2E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19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19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19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19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19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19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19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19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19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9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19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19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19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19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19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19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19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1901"/>
    <w:rPr>
      <w:rFonts w:eastAsiaTheme="majorEastAsia" w:cstheme="majorBidi"/>
      <w:color w:val="272727" w:themeColor="text1" w:themeTint="D8"/>
    </w:rPr>
  </w:style>
  <w:style w:type="paragraph" w:styleId="Title">
    <w:name w:val="Title"/>
    <w:basedOn w:val="Normal"/>
    <w:next w:val="Normal"/>
    <w:link w:val="TitleChar"/>
    <w:uiPriority w:val="10"/>
    <w:qFormat/>
    <w:rsid w:val="006019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19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19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19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1901"/>
    <w:pPr>
      <w:spacing w:before="160"/>
      <w:jc w:val="center"/>
    </w:pPr>
    <w:rPr>
      <w:i/>
      <w:iCs/>
      <w:color w:val="404040" w:themeColor="text1" w:themeTint="BF"/>
    </w:rPr>
  </w:style>
  <w:style w:type="character" w:customStyle="1" w:styleId="QuoteChar">
    <w:name w:val="Quote Char"/>
    <w:basedOn w:val="DefaultParagraphFont"/>
    <w:link w:val="Quote"/>
    <w:uiPriority w:val="29"/>
    <w:rsid w:val="00601901"/>
    <w:rPr>
      <w:i/>
      <w:iCs/>
      <w:color w:val="404040" w:themeColor="text1" w:themeTint="BF"/>
    </w:rPr>
  </w:style>
  <w:style w:type="paragraph" w:styleId="ListParagraph">
    <w:name w:val="List Paragraph"/>
    <w:basedOn w:val="Normal"/>
    <w:uiPriority w:val="34"/>
    <w:qFormat/>
    <w:rsid w:val="00601901"/>
    <w:pPr>
      <w:ind w:left="720"/>
      <w:contextualSpacing/>
    </w:pPr>
  </w:style>
  <w:style w:type="character" w:styleId="IntenseEmphasis">
    <w:name w:val="Intense Emphasis"/>
    <w:basedOn w:val="DefaultParagraphFont"/>
    <w:uiPriority w:val="21"/>
    <w:qFormat/>
    <w:rsid w:val="00601901"/>
    <w:rPr>
      <w:i/>
      <w:iCs/>
      <w:color w:val="0F4761" w:themeColor="accent1" w:themeShade="BF"/>
    </w:rPr>
  </w:style>
  <w:style w:type="paragraph" w:styleId="IntenseQuote">
    <w:name w:val="Intense Quote"/>
    <w:basedOn w:val="Normal"/>
    <w:next w:val="Normal"/>
    <w:link w:val="IntenseQuoteChar"/>
    <w:uiPriority w:val="30"/>
    <w:qFormat/>
    <w:rsid w:val="006019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1901"/>
    <w:rPr>
      <w:i/>
      <w:iCs/>
      <w:color w:val="0F4761" w:themeColor="accent1" w:themeShade="BF"/>
    </w:rPr>
  </w:style>
  <w:style w:type="character" w:styleId="IntenseReference">
    <w:name w:val="Intense Reference"/>
    <w:basedOn w:val="DefaultParagraphFont"/>
    <w:uiPriority w:val="32"/>
    <w:qFormat/>
    <w:rsid w:val="00601901"/>
    <w:rPr>
      <w:b/>
      <w:bCs/>
      <w:smallCaps/>
      <w:color w:val="0F4761" w:themeColor="accent1" w:themeShade="BF"/>
      <w:spacing w:val="5"/>
    </w:rPr>
  </w:style>
  <w:style w:type="paragraph" w:styleId="NormalWeb">
    <w:name w:val="Normal (Web)"/>
    <w:basedOn w:val="Normal"/>
    <w:uiPriority w:val="99"/>
    <w:semiHidden/>
    <w:unhideWhenUsed/>
    <w:rsid w:val="0060190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DF19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19E5"/>
  </w:style>
  <w:style w:type="paragraph" w:styleId="Footer">
    <w:name w:val="footer"/>
    <w:basedOn w:val="Normal"/>
    <w:link w:val="FooterChar"/>
    <w:uiPriority w:val="99"/>
    <w:unhideWhenUsed/>
    <w:rsid w:val="00DF19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19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1970</Words>
  <Characters>11230</Characters>
  <Application>Microsoft Office Word</Application>
  <DocSecurity>0</DocSecurity>
  <Lines>93</Lines>
  <Paragraphs>26</Paragraphs>
  <ScaleCrop>false</ScaleCrop>
  <Company/>
  <LinksUpToDate>false</LinksUpToDate>
  <CharactersWithSpaces>13174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2025-12-13T16:04:00Z</dcterms:created>
  <dcterms:modified xsi:type="dcterms:W3CDTF">2025-12-13T16:04:00Z</dcterms:modified>
</cp:coreProperties>
</file>