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A83A2" w14:textId="4900C9A4" w:rsidR="77DE9952" w:rsidRPr="009F4B71" w:rsidRDefault="77DE9952" w:rsidP="77DE9952">
      <w:pPr>
        <w:spacing w:line="360" w:lineRule="auto"/>
        <w:rPr>
          <w:rFonts w:ascii="Times New Roman" w:eastAsia="Arial" w:hAnsi="Times New Roman" w:cs="Times New Roman"/>
          <w:b/>
          <w:bCs/>
          <w:sz w:val="24"/>
          <w:szCs w:val="24"/>
        </w:rPr>
      </w:pPr>
    </w:p>
    <w:p w14:paraId="596749D4" w14:textId="2942B41F" w:rsidR="77DE9952" w:rsidRPr="009F4B71" w:rsidRDefault="77DE9952" w:rsidP="77DE9952">
      <w:pPr>
        <w:spacing w:line="360" w:lineRule="auto"/>
        <w:rPr>
          <w:rFonts w:ascii="Times New Roman" w:eastAsia="Arial" w:hAnsi="Times New Roman" w:cs="Times New Roman"/>
          <w:b/>
          <w:bCs/>
          <w:sz w:val="24"/>
          <w:szCs w:val="24"/>
        </w:rPr>
      </w:pPr>
    </w:p>
    <w:p w14:paraId="0FF89A10" w14:textId="03A868B4" w:rsidR="77DE9952" w:rsidRPr="009F4B71" w:rsidRDefault="77DE9952" w:rsidP="77DE9952">
      <w:pPr>
        <w:spacing w:line="360" w:lineRule="auto"/>
        <w:rPr>
          <w:rFonts w:ascii="Times New Roman" w:eastAsia="Arial" w:hAnsi="Times New Roman" w:cs="Times New Roman"/>
          <w:b/>
          <w:bCs/>
          <w:sz w:val="24"/>
          <w:szCs w:val="24"/>
        </w:rPr>
      </w:pPr>
    </w:p>
    <w:p w14:paraId="54CA7693" w14:textId="7614BDD6" w:rsidR="00716577" w:rsidRPr="009F4B71" w:rsidRDefault="77DE9952" w:rsidP="77DE9952">
      <w:pPr>
        <w:spacing w:line="360" w:lineRule="auto"/>
        <w:jc w:val="center"/>
        <w:rPr>
          <w:rFonts w:ascii="Times New Roman" w:eastAsia="Arial" w:hAnsi="Times New Roman" w:cs="Times New Roman"/>
          <w:sz w:val="24"/>
          <w:szCs w:val="24"/>
        </w:rPr>
      </w:pPr>
      <w:r w:rsidRPr="009F4B71">
        <w:rPr>
          <w:rFonts w:ascii="Times New Roman" w:eastAsia="Arial" w:hAnsi="Times New Roman" w:cs="Times New Roman"/>
          <w:sz w:val="24"/>
          <w:szCs w:val="24"/>
        </w:rPr>
        <w:t>Public Law</w:t>
      </w:r>
    </w:p>
    <w:p w14:paraId="2610FAB3" w14:textId="69EA83EE" w:rsidR="00716577" w:rsidRPr="009F4B71" w:rsidRDefault="77DE9952" w:rsidP="009F4B71">
      <w:pPr>
        <w:spacing w:line="360" w:lineRule="auto"/>
        <w:jc w:val="center"/>
        <w:rPr>
          <w:rFonts w:ascii="Times New Roman" w:eastAsia="Arial" w:hAnsi="Times New Roman" w:cs="Times New Roman"/>
          <w:sz w:val="24"/>
          <w:szCs w:val="24"/>
        </w:rPr>
      </w:pPr>
      <w:r w:rsidRPr="009F4B71">
        <w:rPr>
          <w:rFonts w:ascii="Times New Roman" w:eastAsia="Arial" w:hAnsi="Times New Roman" w:cs="Times New Roman"/>
          <w:sz w:val="24"/>
          <w:szCs w:val="24"/>
        </w:rPr>
        <w:t>Student name</w:t>
      </w:r>
      <w:r w:rsidR="00AD7566">
        <w:rPr>
          <w:rFonts w:ascii="Times New Roman" w:eastAsia="Arial" w:hAnsi="Times New Roman" w:cs="Times New Roman"/>
          <w:sz w:val="24"/>
          <w:szCs w:val="24"/>
        </w:rPr>
        <w:t xml:space="preserve">: Monika Pawelec </w:t>
      </w:r>
    </w:p>
    <w:p w14:paraId="3E9BA6F9" w14:textId="2A206910" w:rsidR="00716577" w:rsidRPr="009F4B71" w:rsidRDefault="77DE9952" w:rsidP="00AD7566">
      <w:pPr>
        <w:spacing w:line="360" w:lineRule="auto"/>
        <w:jc w:val="center"/>
        <w:rPr>
          <w:rFonts w:ascii="Times New Roman" w:eastAsia="Arial" w:hAnsi="Times New Roman" w:cs="Times New Roman"/>
          <w:sz w:val="24"/>
          <w:szCs w:val="24"/>
        </w:rPr>
      </w:pPr>
      <w:r w:rsidRPr="009F4B71">
        <w:rPr>
          <w:rFonts w:ascii="Times New Roman" w:eastAsia="Arial" w:hAnsi="Times New Roman" w:cs="Times New Roman"/>
          <w:sz w:val="24"/>
          <w:szCs w:val="24"/>
        </w:rPr>
        <w:t xml:space="preserve">Student </w:t>
      </w:r>
      <w:r w:rsidR="00AD7566">
        <w:rPr>
          <w:rFonts w:ascii="Times New Roman" w:eastAsia="Arial" w:hAnsi="Times New Roman" w:cs="Times New Roman"/>
          <w:sz w:val="24"/>
          <w:szCs w:val="24"/>
        </w:rPr>
        <w:t>Number: 2217113</w:t>
      </w:r>
    </w:p>
    <w:p w14:paraId="32252D07" w14:textId="3B9B247C" w:rsidR="00716577" w:rsidRPr="009F4B71" w:rsidRDefault="77DE9952" w:rsidP="009F4B71">
      <w:pPr>
        <w:spacing w:line="360" w:lineRule="auto"/>
        <w:jc w:val="center"/>
        <w:rPr>
          <w:rFonts w:ascii="Times New Roman" w:eastAsia="Arial" w:hAnsi="Times New Roman" w:cs="Times New Roman"/>
          <w:sz w:val="24"/>
          <w:szCs w:val="24"/>
        </w:rPr>
      </w:pPr>
      <w:r w:rsidRPr="009F4B71">
        <w:rPr>
          <w:rFonts w:ascii="Times New Roman" w:eastAsia="Arial" w:hAnsi="Times New Roman" w:cs="Times New Roman"/>
          <w:sz w:val="24"/>
          <w:szCs w:val="24"/>
        </w:rPr>
        <w:t>Submission date</w:t>
      </w:r>
      <w:r w:rsidR="00AD7566">
        <w:rPr>
          <w:rFonts w:ascii="Times New Roman" w:eastAsia="Arial" w:hAnsi="Times New Roman" w:cs="Times New Roman"/>
          <w:sz w:val="24"/>
          <w:szCs w:val="24"/>
        </w:rPr>
        <w:t xml:space="preserve">: </w:t>
      </w:r>
      <w:r w:rsidR="001172B3">
        <w:rPr>
          <w:rFonts w:ascii="Times New Roman" w:eastAsia="Arial" w:hAnsi="Times New Roman" w:cs="Times New Roman"/>
          <w:sz w:val="24"/>
          <w:szCs w:val="24"/>
        </w:rPr>
        <w:t>10/03/2023</w:t>
      </w:r>
    </w:p>
    <w:p w14:paraId="3128B70B" w14:textId="13C698E4" w:rsidR="00716577" w:rsidRPr="009F4B71" w:rsidRDefault="00A75B6D" w:rsidP="77DE9952">
      <w:pPr>
        <w:spacing w:line="360" w:lineRule="auto"/>
        <w:rPr>
          <w:rFonts w:ascii="Times New Roman" w:eastAsia="Arial" w:hAnsi="Times New Roman" w:cs="Times New Roman"/>
          <w:sz w:val="24"/>
          <w:szCs w:val="24"/>
        </w:rPr>
      </w:pPr>
      <w:r w:rsidRPr="009F4B71">
        <w:rPr>
          <w:rFonts w:ascii="Times New Roman" w:eastAsia="Arial" w:hAnsi="Times New Roman" w:cs="Times New Roman"/>
          <w:sz w:val="24"/>
          <w:szCs w:val="24"/>
        </w:rPr>
        <w:br w:type="page"/>
      </w:r>
    </w:p>
    <w:p w14:paraId="6EDF0A1C" w14:textId="74442B14" w:rsidR="009F4B71" w:rsidRPr="009F4B71" w:rsidRDefault="009F4B71" w:rsidP="009F4B71">
      <w:pPr>
        <w:pStyle w:val="Heading1"/>
        <w:spacing w:before="120" w:line="240" w:lineRule="auto"/>
        <w:rPr>
          <w:rFonts w:ascii="Times New Roman" w:eastAsia="Arial" w:hAnsi="Times New Roman" w:cs="Times New Roman"/>
          <w:b/>
          <w:bCs/>
          <w:color w:val="auto"/>
          <w:sz w:val="24"/>
          <w:szCs w:val="24"/>
        </w:rPr>
      </w:pPr>
      <w:r w:rsidRPr="009F4B71">
        <w:rPr>
          <w:rFonts w:ascii="Times New Roman" w:eastAsia="Arial" w:hAnsi="Times New Roman" w:cs="Times New Roman"/>
          <w:b/>
          <w:bCs/>
          <w:color w:val="auto"/>
          <w:sz w:val="24"/>
          <w:szCs w:val="24"/>
        </w:rPr>
        <w:t>Bill of Rights and its potential impacts</w:t>
      </w:r>
    </w:p>
    <w:p w14:paraId="70CE4F6D" w14:textId="6FDF9188" w:rsidR="2FE1B662"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The United Kingdom government has suggested a new piece of legislation, namely the Bill of Rights Bill, which aims to replace the Human Rights Act of 1998 (HRA). This plan has drawn criticism because some contend it could harm the system of law and people's capacity to uphold their civil rights (Wheatland, 2021). The HRA presently gives people legal security for their humanitarian rights by incorporating the 1950 European Convention on Human Rights (ECHR) into UK legislation. The Bill of Rights Bill, which aims to supersede the HRA, could have an impact on how the ECHR is incorporated into UK legislation. The proposed law may also have an effect on the European Union (Withdrawal) Act 2018 and the European Communities Act 1872 (Blakeley, 2021).</w:t>
      </w:r>
    </w:p>
    <w:p w14:paraId="7C576F86" w14:textId="7D558A7A" w:rsidR="2FE1B662"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The Human Rights Act of 1998 is a piece of planned UK law that would be repealed and replaced, possibly affecting the preservation of individual human rights (Wheatland, 2021). In the UK, the Human Rights Act of 1998 (HRA) became operative in 2000. It integrates the European Convention on Human Rights (ECHR) into British law, which upholds a number of basic liberties and civil rights, including the liberty of life, the right to speak one's mind, and the avoidance of violence and other cruel treatment. The HRA mandates that public authorities uphold these rights and allows people to assert their rights through UK courts and tribunals. The Act has been implemented to contest government decisions and actions, and it has had a major influence on how UK law has developed and how human rights are protected (Bates, 2020). Although the main objectives of the Bill of Rights Bill are unknown, it has been suggested that they may include restricting how the European Convention on Human Rights (ECHR) is implemented in UK law and imposing new restrictions on the scope of people's safeguards against prejudice (Blakeley, 2021). The Bill of Rights Bill's supporters contend that it will strengthen legal safeguards for human rights and bring more clarity and certainty to how human rights legislation is applied in the UK (Wheatland, 2021). However, opponents contend that it could weaken the upholding of individual human rights and have a negative effect on the rule of law, especially in light of the UK's decision to leave the European Union (Blakeley, 2021).</w:t>
      </w:r>
    </w:p>
    <w:p w14:paraId="10C180B2" w14:textId="113B2721" w:rsidR="76A6DA2F"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The reasons behind the creation of the Bill of Rights Bill are complex and multifaceted. The desire of some lawmakers and officials to give the UK judicial system more independence is a major motivator, especially in light of the nation's impending departure from the European Union and the potential effects on the implementation of the European Convention on Human Rights (ECHR) (Blakeley, 2021). The Rights and Freedoms Bill, according to the authority, will establish a new system for the defence of humanitarian rights in the UK or may do so in a way that is more in line with domestic law norms and ideals than the ECHR (Wheatland, 2021).</w:t>
      </w:r>
    </w:p>
    <w:p w14:paraId="30193F27" w14:textId="0FAD5F47" w:rsidR="76A6DA2F"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The desire to address public concerns about the alleged abuse of human rights legislation, especially in connection to issues like immigration and national defense, is another possible justification for the Bill of Rights Bill (Blakeley, 2021). Some politicians and commentators have argued that the HRA and ECHR have enabled individuals to abuse the human rights system for their own purposes, at the expense of wider public interests. However, critics of the Bill of Rights Bill argue that it may undermine the protection of individual human rights and damage the rule of law in the UK (Wheatland, 2021). The full reasons behind the creation of the Bill of Rights Bill remain a subject of debate and discussion. However, the specific changes that the Bill will make are not yet clear, and the government has not yet published a draft version of the Bill (Blakeley, 2021).</w:t>
      </w:r>
    </w:p>
    <w:p w14:paraId="6F93322F" w14:textId="55CD0201" w:rsidR="76A6DA2F"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Limiting the scope of the European Convention on Human Rights' (ECHR) applicability in UK legislation is one possible change that the Bill of Rights Bill could bring about. Some commentators have suggested that the Bill may seek to establish a new UK Bill of Rights that reflects the UK's domestic legal traditions and values, rather than being tied to the ECHR (Wheatland, 2021). This could result in the removal of certain rights and protections that are currently guaranteed by the ECHR.</w:t>
      </w:r>
    </w:p>
    <w:p w14:paraId="657034AA" w14:textId="4FFAE9ED" w:rsidR="76A6DA2F" w:rsidRPr="009F4B71" w:rsidRDefault="77DE995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Another potential change is that the Bill of Rights Bill may introduce new restrictions on the scope of human rights protections in the UK. For example, the government has previously proposed reforms to the Human Rights Act that would limit the ability of individuals to bring cases against public authorities and introduce new requirements for the courts to consider the government's national security and immigration priorities (Blakeley, 2021). However, until the government publishes a draft version of the Bill, it is difficult to predict the exact changes that it will make to the existing legal framework for human rights protections in the UK.</w:t>
      </w:r>
    </w:p>
    <w:p w14:paraId="3A76113E" w14:textId="259D28D0" w:rsidR="76A6DA2F" w:rsidRPr="009F4B71" w:rsidRDefault="77DE995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It is likely that some aspects of the European Convention on Human Rights (ECHR) may be retained, depending on the final form of the Bill. The government has stated that the UK remains committed to the principles of the ECHR, but that it is seeking to establish a new framework for human rights protections that better reflects the UK's domestic legal traditions and values (Wheatland, 2021). The government has also indicated that it intends to respect the UK's international human rights obligations, which may include the retention of certain ECHR provisions in UK law.</w:t>
      </w:r>
    </w:p>
    <w:p w14:paraId="43686DB4" w14:textId="0EFB1F60" w:rsidR="76A6DA2F"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The proposed changes to human rights protections in the UK under the Bill of Rights Bill have been met with both support and opposition. Some argue that the changes could bring about certain advantages, while others argue that they could result in significant disadvantages. The Bill of Rights Bill may offer greater clarity and assurance regarding the scope of human rights safeguards in the UK, which is one possible benefit. This could help address complaints about the present legal system, which is frequently regarded as being complicated and challenging to comprehend (Blakeley, 2021). The Bill of Rights Bill may also help allay worries about the European Court of Human Rights' (ECtHR) place in UK legislation, which is another possible benefit. By applying an interpretation of the ECHR that is at odds with UK law and principles, some detractors contend that the ECtHR has overstepped its bounds. The UK's sovereignty over its own legal system may be reaffirmed with the aid of the Bill of Rights Bill (Wheatland, 2021).</w:t>
      </w:r>
    </w:p>
    <w:p w14:paraId="44D45BE9" w14:textId="7F367B01" w:rsidR="76A6DA2F" w:rsidRPr="009F4B71" w:rsidRDefault="2FE1B66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 xml:space="preserve">The modifications suggested by the Bill of Rights Amendment, however, may also have drawbacks. One major worry is that the bill may weaken human rights safeguards in the UK, especially if it aims to curtail the ECHR's application or impose new limitations on people's ability to file lawsuits against public agencies (Blakeley, 2021). Another worry is that the Bill of Rights Act might diminish the UK's standing as a pioneer in the defence of human rights around the world. The UK has traditionally been viewed as </w:t>
      </w:r>
      <w:bookmarkStart w:id="0" w:name="_Int_uFfBvNvh"/>
      <w:r w:rsidRPr="009F4B71">
        <w:rPr>
          <w:rFonts w:ascii="Times New Roman" w:hAnsi="Times New Roman" w:cs="Times New Roman"/>
          <w:sz w:val="24"/>
          <w:szCs w:val="24"/>
        </w:rPr>
        <w:t>a strong supporter</w:t>
      </w:r>
      <w:bookmarkEnd w:id="0"/>
      <w:r w:rsidRPr="009F4B71">
        <w:rPr>
          <w:rFonts w:ascii="Times New Roman" w:hAnsi="Times New Roman" w:cs="Times New Roman"/>
          <w:sz w:val="24"/>
          <w:szCs w:val="24"/>
        </w:rPr>
        <w:t xml:space="preserve"> of international human rights norms, and any perceived weakening of its domestic human rights framework could undermine this reputation (Wheatland, 2021).</w:t>
      </w:r>
    </w:p>
    <w:p w14:paraId="5CC6D6A1" w14:textId="5DFD4D0A" w:rsidR="76A6DA2F" w:rsidRPr="009F4B71" w:rsidRDefault="77DE995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There have been various alternative proposals for human rights reform in the UK that differ from the government's Bill of Rights Bill. For example, some have suggested the adoption of a written constitution that explicitly sets out the rights and freedoms of individuals and provides for greater checks and balances on government power (Goudkamp, 2020). Others have called for the strengthening of existing human rights protections under the Human Rights Act, rather than their repeal and replacement. This could include reforms to improve the accessibility of the Act, and measures to ensure that public authorities are held to account for human rights violations (Jones, 2021).</w:t>
      </w:r>
    </w:p>
    <w:p w14:paraId="32DE8D54" w14:textId="74A079B0" w:rsidR="76A6DA2F" w:rsidRPr="009F4B71" w:rsidRDefault="77DE9952" w:rsidP="009F4B71">
      <w:pPr>
        <w:pStyle w:val="NoSpacing"/>
        <w:spacing w:line="360" w:lineRule="auto"/>
        <w:ind w:firstLine="720"/>
        <w:jc w:val="both"/>
        <w:rPr>
          <w:rFonts w:ascii="Times New Roman" w:hAnsi="Times New Roman" w:cs="Times New Roman"/>
          <w:sz w:val="24"/>
          <w:szCs w:val="24"/>
        </w:rPr>
      </w:pPr>
      <w:r w:rsidRPr="009F4B71">
        <w:rPr>
          <w:rFonts w:ascii="Times New Roman" w:hAnsi="Times New Roman" w:cs="Times New Roman"/>
          <w:sz w:val="24"/>
          <w:szCs w:val="24"/>
        </w:rPr>
        <w:t>In conclusion, the suggested Bill of Rights Bill by the UK government would significantly alter how the nation protects human rights. Although the bill's goals and objectives are still up for discussion, it is obvious that it has both benefits and drawbacks. The suggested adjustments might increase certainty and clarification regarding the extent of human rights safeguards in the UK and help allay concerns regarding the ECtHR's function. There are worries that the measure might weaken UK protections for human rights and harm the nation's standing as a worldwide champion in the area. The outcome of these discussions and the ultimate shape of any human rights reforms in the UK are still up in the air.</w:t>
      </w:r>
    </w:p>
    <w:p w14:paraId="23F54DA0" w14:textId="2D31CE1F" w:rsidR="76A6DA2F" w:rsidRPr="009F4B71" w:rsidRDefault="76A6DA2F" w:rsidP="77DE9952">
      <w:pPr>
        <w:spacing w:line="360" w:lineRule="auto"/>
        <w:rPr>
          <w:rFonts w:ascii="Times New Roman" w:eastAsia="Arial" w:hAnsi="Times New Roman" w:cs="Times New Roman"/>
          <w:sz w:val="24"/>
          <w:szCs w:val="24"/>
        </w:rPr>
      </w:pPr>
      <w:r w:rsidRPr="009F4B71">
        <w:rPr>
          <w:rFonts w:ascii="Times New Roman" w:eastAsia="Arial" w:hAnsi="Times New Roman" w:cs="Times New Roman"/>
          <w:sz w:val="24"/>
          <w:szCs w:val="24"/>
        </w:rPr>
        <w:br w:type="page"/>
      </w:r>
    </w:p>
    <w:p w14:paraId="14B33310" w14:textId="5CC13FE6" w:rsidR="76A6DA2F" w:rsidRPr="009F4B71" w:rsidRDefault="77DE9952" w:rsidP="009F4B71">
      <w:pPr>
        <w:pStyle w:val="Heading1"/>
        <w:spacing w:before="120" w:line="240" w:lineRule="auto"/>
        <w:rPr>
          <w:rFonts w:ascii="Times New Roman" w:eastAsia="Arial" w:hAnsi="Times New Roman" w:cs="Times New Roman"/>
          <w:b/>
          <w:bCs/>
          <w:color w:val="auto"/>
          <w:sz w:val="24"/>
          <w:szCs w:val="24"/>
        </w:rPr>
      </w:pPr>
      <w:bookmarkStart w:id="1" w:name="_Toc1789799859"/>
      <w:r w:rsidRPr="009F4B71">
        <w:rPr>
          <w:rFonts w:ascii="Times New Roman" w:eastAsia="Arial" w:hAnsi="Times New Roman" w:cs="Times New Roman"/>
          <w:b/>
          <w:bCs/>
          <w:color w:val="auto"/>
          <w:sz w:val="24"/>
          <w:szCs w:val="24"/>
        </w:rPr>
        <w:t>References</w:t>
      </w:r>
      <w:bookmarkEnd w:id="1"/>
      <w:r w:rsidRPr="009F4B71">
        <w:rPr>
          <w:rFonts w:ascii="Times New Roman" w:eastAsia="Arial" w:hAnsi="Times New Roman" w:cs="Times New Roman"/>
          <w:b/>
          <w:bCs/>
          <w:color w:val="auto"/>
          <w:sz w:val="24"/>
          <w:szCs w:val="24"/>
        </w:rPr>
        <w:t xml:space="preserve"> </w:t>
      </w:r>
    </w:p>
    <w:p w14:paraId="0CD2B3D2"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Bates, E. (2020). The Human Rights Act: What is it and why does it matter? Liberty. Retrieved from </w:t>
      </w:r>
      <w:hyperlink r:id="rId6">
        <w:r w:rsidRPr="009F4B71">
          <w:rPr>
            <w:rStyle w:val="Hyperlink"/>
            <w:rFonts w:ascii="Times New Roman" w:eastAsia="Arial" w:hAnsi="Times New Roman" w:cs="Times New Roman"/>
            <w:color w:val="auto"/>
            <w:sz w:val="24"/>
            <w:szCs w:val="24"/>
          </w:rPr>
          <w:t>https://www.libertyhumanrights.org.uk/human-rights/what-are-human-rights/human-rights-act-1998/</w:t>
        </w:r>
      </w:hyperlink>
      <w:r w:rsidRPr="009F4B71">
        <w:rPr>
          <w:rFonts w:ascii="Times New Roman" w:hAnsi="Times New Roman" w:cs="Times New Roman"/>
          <w:sz w:val="24"/>
          <w:szCs w:val="24"/>
        </w:rPr>
        <w:t xml:space="preserve"> </w:t>
      </w:r>
    </w:p>
    <w:p w14:paraId="0A49376A"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Bill of Rights Commission. (2008). A UK Bill of Rights? The Choice Before Us. Retrieved from </w:t>
      </w:r>
      <w:hyperlink r:id="rId7">
        <w:r w:rsidRPr="009F4B71">
          <w:rPr>
            <w:rStyle w:val="Hyperlink"/>
            <w:rFonts w:ascii="Times New Roman" w:eastAsia="Arial" w:hAnsi="Times New Roman" w:cs="Times New Roman"/>
            <w:color w:val="auto"/>
            <w:sz w:val="24"/>
            <w:szCs w:val="24"/>
          </w:rPr>
          <w:t>https://webarchive.nationalarchives.gov.uk/20100407010852/http:/www.justice.gov.uk/docs/uk-bill-rights-report.pdf</w:t>
        </w:r>
      </w:hyperlink>
      <w:r w:rsidRPr="009F4B71">
        <w:rPr>
          <w:rFonts w:ascii="Times New Roman" w:hAnsi="Times New Roman" w:cs="Times New Roman"/>
          <w:sz w:val="24"/>
          <w:szCs w:val="24"/>
        </w:rPr>
        <w:t xml:space="preserve"> </w:t>
      </w:r>
    </w:p>
    <w:p w14:paraId="35DF92DC"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Blakeley, G. (2021). The Bill of Rights Bill: What is happening and what could it mean? UK Human Rights Blog. Retrieved from </w:t>
      </w:r>
      <w:hyperlink r:id="rId8">
        <w:r w:rsidRPr="009F4B71">
          <w:rPr>
            <w:rStyle w:val="Hyperlink"/>
            <w:rFonts w:ascii="Times New Roman" w:eastAsia="Arial" w:hAnsi="Times New Roman" w:cs="Times New Roman"/>
            <w:color w:val="auto"/>
            <w:sz w:val="24"/>
            <w:szCs w:val="24"/>
          </w:rPr>
          <w:t>https://ukhumanrightsblog.com/2021/09/29/the-bill-of-rights-bill-whats-happening-and-what-could-it-mean/</w:t>
        </w:r>
      </w:hyperlink>
      <w:r w:rsidRPr="009F4B71">
        <w:rPr>
          <w:rFonts w:ascii="Times New Roman" w:hAnsi="Times New Roman" w:cs="Times New Roman"/>
          <w:sz w:val="24"/>
          <w:szCs w:val="24"/>
          <w:lang w:val="en-US"/>
        </w:rPr>
        <w:t xml:space="preserve"> </w:t>
      </w:r>
    </w:p>
    <w:p w14:paraId="5D11C1FC"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European Communities Act 1972, c. 68 (UK). (1972). Retrieved from </w:t>
      </w:r>
      <w:hyperlink r:id="rId9">
        <w:r w:rsidRPr="009F4B71">
          <w:rPr>
            <w:rStyle w:val="Hyperlink"/>
            <w:rFonts w:ascii="Times New Roman" w:eastAsia="Arial" w:hAnsi="Times New Roman" w:cs="Times New Roman"/>
            <w:color w:val="auto"/>
            <w:sz w:val="24"/>
            <w:szCs w:val="24"/>
          </w:rPr>
          <w:t>http://www.legislation.gov.uk/ukpga/1972/68/contents</w:t>
        </w:r>
      </w:hyperlink>
      <w:r w:rsidRPr="009F4B71">
        <w:rPr>
          <w:rFonts w:ascii="Times New Roman" w:hAnsi="Times New Roman" w:cs="Times New Roman"/>
          <w:sz w:val="24"/>
          <w:szCs w:val="24"/>
        </w:rPr>
        <w:t xml:space="preserve"> </w:t>
      </w:r>
    </w:p>
    <w:p w14:paraId="0D4BC601"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European Convention on Human Rights, 213 U.N.T.S. 221, E.T.S. No. 5 (1950). Retrieved from </w:t>
      </w:r>
      <w:hyperlink r:id="rId10">
        <w:r w:rsidRPr="009F4B71">
          <w:rPr>
            <w:rStyle w:val="Hyperlink"/>
            <w:rFonts w:ascii="Times New Roman" w:eastAsia="Arial" w:hAnsi="Times New Roman" w:cs="Times New Roman"/>
            <w:color w:val="auto"/>
            <w:sz w:val="24"/>
            <w:szCs w:val="24"/>
          </w:rPr>
          <w:t>https://www.echr.coe.int/Documents/Convention_ENG.pdf</w:t>
        </w:r>
      </w:hyperlink>
      <w:r w:rsidRPr="009F4B71">
        <w:rPr>
          <w:rFonts w:ascii="Times New Roman" w:hAnsi="Times New Roman" w:cs="Times New Roman"/>
          <w:sz w:val="24"/>
          <w:szCs w:val="24"/>
        </w:rPr>
        <w:t xml:space="preserve"> </w:t>
      </w:r>
    </w:p>
    <w:p w14:paraId="2EF7C598"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European Union (Withdrawal) Act 2018, c. 16 (UK). (2018). Retrieved from </w:t>
      </w:r>
      <w:hyperlink r:id="rId11">
        <w:r w:rsidRPr="009F4B71">
          <w:rPr>
            <w:rStyle w:val="Hyperlink"/>
            <w:rFonts w:ascii="Times New Roman" w:eastAsia="Arial" w:hAnsi="Times New Roman" w:cs="Times New Roman"/>
            <w:color w:val="auto"/>
            <w:sz w:val="24"/>
            <w:szCs w:val="24"/>
          </w:rPr>
          <w:t>http://www.legislation.gov.uk/ukpga/2018/16/contents/enacted</w:t>
        </w:r>
      </w:hyperlink>
      <w:r w:rsidRPr="009F4B71">
        <w:rPr>
          <w:rFonts w:ascii="Times New Roman" w:hAnsi="Times New Roman" w:cs="Times New Roman"/>
          <w:sz w:val="24"/>
          <w:szCs w:val="24"/>
        </w:rPr>
        <w:t xml:space="preserve"> </w:t>
      </w:r>
    </w:p>
    <w:p w14:paraId="726418A8"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Goudkamp, J. (2020). The UK’s Bill of Rights: An Alternative Proposal. Oxford Human Rights Hub. Retrieved from </w:t>
      </w:r>
      <w:hyperlink r:id="rId12">
        <w:r w:rsidRPr="009F4B71">
          <w:rPr>
            <w:rStyle w:val="Hyperlink"/>
            <w:rFonts w:ascii="Times New Roman" w:eastAsia="Arial" w:hAnsi="Times New Roman" w:cs="Times New Roman"/>
            <w:color w:val="auto"/>
            <w:sz w:val="24"/>
            <w:szCs w:val="24"/>
          </w:rPr>
          <w:t>https://ohrh.law.ox.ac.uk/the-uks-bill-of-rights-an-alternative-proposal/</w:t>
        </w:r>
      </w:hyperlink>
      <w:r w:rsidRPr="009F4B71">
        <w:rPr>
          <w:rFonts w:ascii="Times New Roman" w:hAnsi="Times New Roman" w:cs="Times New Roman"/>
          <w:sz w:val="24"/>
          <w:szCs w:val="24"/>
        </w:rPr>
        <w:t xml:space="preserve"> </w:t>
      </w:r>
    </w:p>
    <w:p w14:paraId="0512C6F7"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Human Rights Act 1998, c. 42 (UK). (1998). Retrieved from </w:t>
      </w:r>
      <w:hyperlink r:id="rId13">
        <w:r w:rsidRPr="009F4B71">
          <w:rPr>
            <w:rStyle w:val="Hyperlink"/>
            <w:rFonts w:ascii="Times New Roman" w:eastAsia="Arial" w:hAnsi="Times New Roman" w:cs="Times New Roman"/>
            <w:color w:val="auto"/>
            <w:sz w:val="24"/>
            <w:szCs w:val="24"/>
          </w:rPr>
          <w:t>http://www.legislation.gov.uk/ukpga/1998/42/contents</w:t>
        </w:r>
      </w:hyperlink>
      <w:r w:rsidRPr="009F4B71">
        <w:rPr>
          <w:rFonts w:ascii="Times New Roman" w:hAnsi="Times New Roman" w:cs="Times New Roman"/>
          <w:sz w:val="24"/>
          <w:szCs w:val="24"/>
        </w:rPr>
        <w:t xml:space="preserve"> </w:t>
      </w:r>
    </w:p>
    <w:p w14:paraId="3C67B4CB"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Jones, R. (2021). A reform of the Human Rights Act could help level up the UK. The Guardian. Retrieved from </w:t>
      </w:r>
      <w:hyperlink r:id="rId14">
        <w:r w:rsidRPr="009F4B71">
          <w:rPr>
            <w:rStyle w:val="Hyperlink"/>
            <w:rFonts w:ascii="Times New Roman" w:eastAsia="Arial" w:hAnsi="Times New Roman" w:cs="Times New Roman"/>
            <w:color w:val="auto"/>
            <w:sz w:val="24"/>
            <w:szCs w:val="24"/>
          </w:rPr>
          <w:t>https://www.theguardian.com/commentisfree/2021/sep/23/reform-human-rights-act-uk-government-rights</w:t>
        </w:r>
      </w:hyperlink>
      <w:r w:rsidRPr="009F4B71">
        <w:rPr>
          <w:rFonts w:ascii="Times New Roman" w:hAnsi="Times New Roman" w:cs="Times New Roman"/>
          <w:sz w:val="24"/>
          <w:szCs w:val="24"/>
          <w:lang w:val="en-US"/>
        </w:rPr>
        <w:t xml:space="preserve"> </w:t>
      </w:r>
    </w:p>
    <w:p w14:paraId="718F9906" w14:textId="77777777" w:rsidR="009F4B71" w:rsidRPr="009F4B71" w:rsidRDefault="009F4B71" w:rsidP="009F4B71">
      <w:pPr>
        <w:pStyle w:val="NoSpacing"/>
        <w:spacing w:line="360" w:lineRule="auto"/>
        <w:ind w:left="720" w:hanging="720"/>
        <w:rPr>
          <w:rFonts w:ascii="Times New Roman" w:hAnsi="Times New Roman" w:cs="Times New Roman"/>
          <w:sz w:val="24"/>
          <w:szCs w:val="24"/>
          <w:lang w:val="en-US"/>
        </w:rPr>
      </w:pPr>
      <w:r w:rsidRPr="009F4B71">
        <w:rPr>
          <w:rFonts w:ascii="Times New Roman" w:hAnsi="Times New Roman" w:cs="Times New Roman"/>
          <w:sz w:val="24"/>
          <w:szCs w:val="24"/>
        </w:rPr>
        <w:t xml:space="preserve">Wheatland, J. (2021). The UK’s Bill of Rights Bill: Legal Protections or Political Maneuvers? Carnegie Europe. Retrieved from </w:t>
      </w:r>
      <w:hyperlink r:id="rId15">
        <w:r w:rsidRPr="009F4B71">
          <w:rPr>
            <w:rStyle w:val="Hyperlink"/>
            <w:rFonts w:ascii="Times New Roman" w:eastAsia="Arial" w:hAnsi="Times New Roman" w:cs="Times New Roman"/>
            <w:color w:val="auto"/>
            <w:sz w:val="24"/>
            <w:szCs w:val="24"/>
          </w:rPr>
          <w:t>https://carnegieeurope.eu/2021/09/21/uk-s-bill-of-rights-bill-legal-protections-or-political-maneuvers-pub-85359</w:t>
        </w:r>
      </w:hyperlink>
    </w:p>
    <w:sectPr w:rsidR="009F4B71" w:rsidRPr="009F4B71">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3E191" w14:textId="77777777" w:rsidR="008707C6" w:rsidRDefault="008707C6" w:rsidP="009F4B71">
      <w:pPr>
        <w:spacing w:after="0" w:line="240" w:lineRule="auto"/>
      </w:pPr>
      <w:r>
        <w:separator/>
      </w:r>
    </w:p>
  </w:endnote>
  <w:endnote w:type="continuationSeparator" w:id="0">
    <w:p w14:paraId="27B0738B" w14:textId="77777777" w:rsidR="008707C6" w:rsidRDefault="008707C6" w:rsidP="009F4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289350"/>
      <w:docPartObj>
        <w:docPartGallery w:val="Page Numbers (Bottom of Page)"/>
        <w:docPartUnique/>
      </w:docPartObj>
    </w:sdtPr>
    <w:sdtEndPr>
      <w:rPr>
        <w:rFonts w:ascii="Arial" w:hAnsi="Arial" w:cs="Arial"/>
        <w:noProof/>
        <w:sz w:val="24"/>
        <w:szCs w:val="24"/>
      </w:rPr>
    </w:sdtEndPr>
    <w:sdtContent>
      <w:p w14:paraId="0C5868C5" w14:textId="4EA4D6CB" w:rsidR="009F4B71" w:rsidRPr="009F4B71" w:rsidRDefault="009F4B71">
        <w:pPr>
          <w:pStyle w:val="Footer"/>
          <w:jc w:val="center"/>
          <w:rPr>
            <w:rFonts w:ascii="Arial" w:hAnsi="Arial" w:cs="Arial"/>
            <w:sz w:val="24"/>
            <w:szCs w:val="24"/>
          </w:rPr>
        </w:pPr>
        <w:r w:rsidRPr="009F4B71">
          <w:rPr>
            <w:rFonts w:ascii="Arial" w:hAnsi="Arial" w:cs="Arial"/>
            <w:sz w:val="24"/>
            <w:szCs w:val="24"/>
          </w:rPr>
          <w:fldChar w:fldCharType="begin"/>
        </w:r>
        <w:r w:rsidRPr="009F4B71">
          <w:rPr>
            <w:rFonts w:ascii="Arial" w:hAnsi="Arial" w:cs="Arial"/>
            <w:sz w:val="24"/>
            <w:szCs w:val="24"/>
          </w:rPr>
          <w:instrText xml:space="preserve"> PAGE   \* MERGEFORMAT </w:instrText>
        </w:r>
        <w:r w:rsidRPr="009F4B71">
          <w:rPr>
            <w:rFonts w:ascii="Arial" w:hAnsi="Arial" w:cs="Arial"/>
            <w:sz w:val="24"/>
            <w:szCs w:val="24"/>
          </w:rPr>
          <w:fldChar w:fldCharType="separate"/>
        </w:r>
        <w:r w:rsidRPr="009F4B71">
          <w:rPr>
            <w:rFonts w:ascii="Arial" w:hAnsi="Arial" w:cs="Arial"/>
            <w:noProof/>
            <w:sz w:val="24"/>
            <w:szCs w:val="24"/>
          </w:rPr>
          <w:t>2</w:t>
        </w:r>
        <w:r w:rsidRPr="009F4B71">
          <w:rPr>
            <w:rFonts w:ascii="Arial" w:hAnsi="Arial" w:cs="Arial"/>
            <w:noProof/>
            <w:sz w:val="24"/>
            <w:szCs w:val="24"/>
          </w:rPr>
          <w:fldChar w:fldCharType="end"/>
        </w:r>
      </w:p>
    </w:sdtContent>
  </w:sdt>
  <w:p w14:paraId="52773C41" w14:textId="77777777" w:rsidR="009F4B71" w:rsidRDefault="009F4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92B88" w14:textId="77777777" w:rsidR="008707C6" w:rsidRDefault="008707C6" w:rsidP="009F4B71">
      <w:pPr>
        <w:spacing w:after="0" w:line="240" w:lineRule="auto"/>
      </w:pPr>
      <w:r>
        <w:separator/>
      </w:r>
    </w:p>
  </w:footnote>
  <w:footnote w:type="continuationSeparator" w:id="0">
    <w:p w14:paraId="09BE1FB0" w14:textId="77777777" w:rsidR="008707C6" w:rsidRDefault="008707C6" w:rsidP="009F4B7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35Mb8YyaJw6c2" int2:id="3nujnhzV">
      <int2:state int2:value="Rejected" int2:type="AugLoop_Text_Critique"/>
    </int2:textHash>
    <int2:textHash int2:hashCode="9sdQkf5kJ9PDJG" int2:id="7O9B6arO">
      <int2:state int2:value="Rejected" int2:type="AugLoop_Text_Critique"/>
    </int2:textHash>
    <int2:bookmark int2:bookmarkName="_Int_uFfBvNvh" int2:invalidationBookmarkName="" int2:hashCode="n8PNy2gitwCRfX" int2:id="kF4ab509">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A7528D"/>
    <w:rsid w:val="001172B3"/>
    <w:rsid w:val="00716577"/>
    <w:rsid w:val="008707C6"/>
    <w:rsid w:val="008A45C9"/>
    <w:rsid w:val="009F4B71"/>
    <w:rsid w:val="00AD7566"/>
    <w:rsid w:val="2FE1B662"/>
    <w:rsid w:val="76A6DA2F"/>
    <w:rsid w:val="77DE9952"/>
    <w:rsid w:val="7CA752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7528D"/>
  <w15:chartTrackingRefBased/>
  <w15:docId w15:val="{3F937467-D652-48A8-B383-04358C130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6A6DA2F"/>
    <w:rPr>
      <w:lang w:val="en-GB"/>
    </w:rPr>
  </w:style>
  <w:style w:type="paragraph" w:styleId="Heading1">
    <w:name w:val="heading 1"/>
    <w:basedOn w:val="Normal"/>
    <w:next w:val="Normal"/>
    <w:link w:val="Heading1Char"/>
    <w:uiPriority w:val="9"/>
    <w:qFormat/>
    <w:rsid w:val="76A6DA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6A6DA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6A6DA2F"/>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6A6DA2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6A6DA2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6A6DA2F"/>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6A6DA2F"/>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6A6DA2F"/>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6A6DA2F"/>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6A6DA2F"/>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6A6DA2F"/>
    <w:rPr>
      <w:rFonts w:eastAsiaTheme="minorEastAsia"/>
      <w:color w:val="5A5A5A"/>
    </w:rPr>
  </w:style>
  <w:style w:type="paragraph" w:styleId="Quote">
    <w:name w:val="Quote"/>
    <w:basedOn w:val="Normal"/>
    <w:next w:val="Normal"/>
    <w:link w:val="QuoteChar"/>
    <w:uiPriority w:val="29"/>
    <w:qFormat/>
    <w:rsid w:val="76A6DA2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6A6DA2F"/>
    <w:pPr>
      <w:spacing w:before="360" w:after="360"/>
      <w:ind w:left="864" w:right="864"/>
      <w:jc w:val="center"/>
    </w:pPr>
    <w:rPr>
      <w:i/>
      <w:iCs/>
      <w:color w:val="4472C4" w:themeColor="accent1"/>
    </w:rPr>
  </w:style>
  <w:style w:type="paragraph" w:styleId="ListParagraph">
    <w:name w:val="List Paragraph"/>
    <w:basedOn w:val="Normal"/>
    <w:uiPriority w:val="34"/>
    <w:qFormat/>
    <w:rsid w:val="76A6DA2F"/>
    <w:pPr>
      <w:ind w:left="720"/>
      <w:contextualSpacing/>
    </w:pPr>
  </w:style>
  <w:style w:type="character" w:customStyle="1" w:styleId="Heading1Char">
    <w:name w:val="Heading 1 Char"/>
    <w:basedOn w:val="DefaultParagraphFont"/>
    <w:link w:val="Heading1"/>
    <w:uiPriority w:val="9"/>
    <w:rsid w:val="76A6DA2F"/>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6A6DA2F"/>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6A6DA2F"/>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6A6DA2F"/>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6A6DA2F"/>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6A6DA2F"/>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6A6DA2F"/>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6A6DA2F"/>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6A6DA2F"/>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6A6DA2F"/>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6A6DA2F"/>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6A6DA2F"/>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6A6DA2F"/>
    <w:rPr>
      <w:i/>
      <w:iCs/>
      <w:noProof w:val="0"/>
      <w:color w:val="4472C4" w:themeColor="accent1"/>
      <w:lang w:val="en-GB"/>
    </w:rPr>
  </w:style>
  <w:style w:type="paragraph" w:styleId="TOC1">
    <w:name w:val="toc 1"/>
    <w:basedOn w:val="Normal"/>
    <w:next w:val="Normal"/>
    <w:uiPriority w:val="39"/>
    <w:unhideWhenUsed/>
    <w:rsid w:val="76A6DA2F"/>
    <w:pPr>
      <w:spacing w:after="100"/>
    </w:pPr>
  </w:style>
  <w:style w:type="paragraph" w:styleId="TOC2">
    <w:name w:val="toc 2"/>
    <w:basedOn w:val="Normal"/>
    <w:next w:val="Normal"/>
    <w:uiPriority w:val="39"/>
    <w:unhideWhenUsed/>
    <w:rsid w:val="76A6DA2F"/>
    <w:pPr>
      <w:spacing w:after="100"/>
      <w:ind w:left="220"/>
    </w:pPr>
  </w:style>
  <w:style w:type="paragraph" w:styleId="TOC3">
    <w:name w:val="toc 3"/>
    <w:basedOn w:val="Normal"/>
    <w:next w:val="Normal"/>
    <w:uiPriority w:val="39"/>
    <w:unhideWhenUsed/>
    <w:rsid w:val="76A6DA2F"/>
    <w:pPr>
      <w:spacing w:after="100"/>
      <w:ind w:left="440"/>
    </w:pPr>
  </w:style>
  <w:style w:type="paragraph" w:styleId="TOC4">
    <w:name w:val="toc 4"/>
    <w:basedOn w:val="Normal"/>
    <w:next w:val="Normal"/>
    <w:uiPriority w:val="39"/>
    <w:unhideWhenUsed/>
    <w:rsid w:val="76A6DA2F"/>
    <w:pPr>
      <w:spacing w:after="100"/>
      <w:ind w:left="660"/>
    </w:pPr>
  </w:style>
  <w:style w:type="paragraph" w:styleId="TOC5">
    <w:name w:val="toc 5"/>
    <w:basedOn w:val="Normal"/>
    <w:next w:val="Normal"/>
    <w:uiPriority w:val="39"/>
    <w:unhideWhenUsed/>
    <w:rsid w:val="76A6DA2F"/>
    <w:pPr>
      <w:spacing w:after="100"/>
      <w:ind w:left="880"/>
    </w:pPr>
  </w:style>
  <w:style w:type="paragraph" w:styleId="TOC6">
    <w:name w:val="toc 6"/>
    <w:basedOn w:val="Normal"/>
    <w:next w:val="Normal"/>
    <w:uiPriority w:val="39"/>
    <w:unhideWhenUsed/>
    <w:rsid w:val="76A6DA2F"/>
    <w:pPr>
      <w:spacing w:after="100"/>
      <w:ind w:left="1100"/>
    </w:pPr>
  </w:style>
  <w:style w:type="paragraph" w:styleId="TOC7">
    <w:name w:val="toc 7"/>
    <w:basedOn w:val="Normal"/>
    <w:next w:val="Normal"/>
    <w:uiPriority w:val="39"/>
    <w:unhideWhenUsed/>
    <w:rsid w:val="76A6DA2F"/>
    <w:pPr>
      <w:spacing w:after="100"/>
      <w:ind w:left="1320"/>
    </w:pPr>
  </w:style>
  <w:style w:type="paragraph" w:styleId="TOC8">
    <w:name w:val="toc 8"/>
    <w:basedOn w:val="Normal"/>
    <w:next w:val="Normal"/>
    <w:uiPriority w:val="39"/>
    <w:unhideWhenUsed/>
    <w:rsid w:val="76A6DA2F"/>
    <w:pPr>
      <w:spacing w:after="100"/>
      <w:ind w:left="1540"/>
    </w:pPr>
  </w:style>
  <w:style w:type="paragraph" w:styleId="TOC9">
    <w:name w:val="toc 9"/>
    <w:basedOn w:val="Normal"/>
    <w:next w:val="Normal"/>
    <w:uiPriority w:val="39"/>
    <w:unhideWhenUsed/>
    <w:rsid w:val="76A6DA2F"/>
    <w:pPr>
      <w:spacing w:after="100"/>
      <w:ind w:left="1760"/>
    </w:pPr>
  </w:style>
  <w:style w:type="paragraph" w:styleId="EndnoteText">
    <w:name w:val="endnote text"/>
    <w:basedOn w:val="Normal"/>
    <w:link w:val="EndnoteTextChar"/>
    <w:uiPriority w:val="99"/>
    <w:semiHidden/>
    <w:unhideWhenUsed/>
    <w:rsid w:val="76A6DA2F"/>
    <w:pPr>
      <w:spacing w:after="0"/>
    </w:pPr>
    <w:rPr>
      <w:sz w:val="20"/>
      <w:szCs w:val="20"/>
    </w:rPr>
  </w:style>
  <w:style w:type="character" w:customStyle="1" w:styleId="EndnoteTextChar">
    <w:name w:val="Endnote Text Char"/>
    <w:basedOn w:val="DefaultParagraphFont"/>
    <w:link w:val="EndnoteText"/>
    <w:uiPriority w:val="99"/>
    <w:semiHidden/>
    <w:rsid w:val="76A6DA2F"/>
    <w:rPr>
      <w:noProof w:val="0"/>
      <w:sz w:val="20"/>
      <w:szCs w:val="20"/>
      <w:lang w:val="en-GB"/>
    </w:rPr>
  </w:style>
  <w:style w:type="paragraph" w:styleId="Footer">
    <w:name w:val="footer"/>
    <w:basedOn w:val="Normal"/>
    <w:link w:val="FooterChar"/>
    <w:uiPriority w:val="99"/>
    <w:unhideWhenUsed/>
    <w:rsid w:val="76A6DA2F"/>
    <w:pPr>
      <w:tabs>
        <w:tab w:val="center" w:pos="4680"/>
        <w:tab w:val="right" w:pos="9360"/>
      </w:tabs>
      <w:spacing w:after="0"/>
    </w:pPr>
  </w:style>
  <w:style w:type="character" w:customStyle="1" w:styleId="FooterChar">
    <w:name w:val="Footer Char"/>
    <w:basedOn w:val="DefaultParagraphFont"/>
    <w:link w:val="Footer"/>
    <w:uiPriority w:val="99"/>
    <w:rsid w:val="76A6DA2F"/>
    <w:rPr>
      <w:noProof w:val="0"/>
      <w:lang w:val="en-GB"/>
    </w:rPr>
  </w:style>
  <w:style w:type="paragraph" w:styleId="FootnoteText">
    <w:name w:val="footnote text"/>
    <w:basedOn w:val="Normal"/>
    <w:link w:val="FootnoteTextChar"/>
    <w:uiPriority w:val="99"/>
    <w:semiHidden/>
    <w:unhideWhenUsed/>
    <w:rsid w:val="76A6DA2F"/>
    <w:pPr>
      <w:spacing w:after="0"/>
    </w:pPr>
    <w:rPr>
      <w:sz w:val="20"/>
      <w:szCs w:val="20"/>
    </w:rPr>
  </w:style>
  <w:style w:type="character" w:customStyle="1" w:styleId="FootnoteTextChar">
    <w:name w:val="Footnote Text Char"/>
    <w:basedOn w:val="DefaultParagraphFont"/>
    <w:link w:val="FootnoteText"/>
    <w:uiPriority w:val="99"/>
    <w:semiHidden/>
    <w:rsid w:val="76A6DA2F"/>
    <w:rPr>
      <w:noProof w:val="0"/>
      <w:sz w:val="20"/>
      <w:szCs w:val="20"/>
      <w:lang w:val="en-GB"/>
    </w:rPr>
  </w:style>
  <w:style w:type="paragraph" w:styleId="Header">
    <w:name w:val="header"/>
    <w:basedOn w:val="Normal"/>
    <w:link w:val="HeaderChar"/>
    <w:uiPriority w:val="99"/>
    <w:unhideWhenUsed/>
    <w:rsid w:val="76A6DA2F"/>
    <w:pPr>
      <w:tabs>
        <w:tab w:val="center" w:pos="4680"/>
        <w:tab w:val="right" w:pos="9360"/>
      </w:tabs>
      <w:spacing w:after="0"/>
    </w:pPr>
  </w:style>
  <w:style w:type="character" w:customStyle="1" w:styleId="HeaderChar">
    <w:name w:val="Header Char"/>
    <w:basedOn w:val="DefaultParagraphFont"/>
    <w:link w:val="Header"/>
    <w:uiPriority w:val="99"/>
    <w:rsid w:val="76A6DA2F"/>
    <w:rPr>
      <w:noProof w:val="0"/>
      <w:lang w:val="en-GB"/>
    </w:rPr>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rsid w:val="009F4B71"/>
    <w:pPr>
      <w:spacing w:after="0" w:line="240" w:lineRule="auto"/>
    </w:pPr>
    <w:rPr>
      <w:lang w:val="en-GB"/>
    </w:rPr>
  </w:style>
  <w:style w:type="character" w:styleId="UnresolvedMention">
    <w:name w:val="Unresolved Mention"/>
    <w:basedOn w:val="DefaultParagraphFont"/>
    <w:uiPriority w:val="99"/>
    <w:semiHidden/>
    <w:unhideWhenUsed/>
    <w:rsid w:val="00AD75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umanrightsblog.com/2021/09/29/the-bill-of-rights-bill-whats-happening-and-what-could-it-mean/" TargetMode="External" /><Relationship Id="rId13" Type="http://schemas.openxmlformats.org/officeDocument/2006/relationships/hyperlink" Target="http://www.legislation.gov.uk/ukpga/1998/42/contents"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ebarchive.nationalarchives.gov.uk/20100407010852/http:/www.justice.gov.uk/docs/uk-bill-rights-report.pdf" TargetMode="External" /><Relationship Id="rId12" Type="http://schemas.openxmlformats.org/officeDocument/2006/relationships/hyperlink" Target="https://ohrh.law.ox.ac.uk/the-uks-bill-of-rights-an-alternative-proposal/"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footer" Target="footer1.xml" /><Relationship Id="rId1" Type="http://schemas.openxmlformats.org/officeDocument/2006/relationships/styles" Target="styles.xml" /><Relationship Id="rId6" Type="http://schemas.openxmlformats.org/officeDocument/2006/relationships/hyperlink" Target="https://www.libertyhumanrights.org.uk/human-rights/what-are-human-rights/human-rights-act-1998/" TargetMode="External" /><Relationship Id="rId11" Type="http://schemas.openxmlformats.org/officeDocument/2006/relationships/hyperlink" Target="http://www.legislation.gov.uk/ukpga/2018/16/contents/enacted" TargetMode="External" /><Relationship Id="rId5" Type="http://schemas.openxmlformats.org/officeDocument/2006/relationships/endnotes" Target="endnotes.xml" /><Relationship Id="rId15" Type="http://schemas.openxmlformats.org/officeDocument/2006/relationships/hyperlink" Target="https://carnegieeurope.eu/2021/09/21/uk-s-bill-of-rights-bill-legal-protections-or-political-maneuvers-pub-85359" TargetMode="External" /><Relationship Id="rId10" Type="http://schemas.openxmlformats.org/officeDocument/2006/relationships/hyperlink" Target="https://www.echr.coe.int/Documents/Convention_ENG.pdf" TargetMode="External" /><Relationship Id="rId19" Type="http://schemas.microsoft.com/office/2020/10/relationships/intelligence" Target="intelligence2.xml" /><Relationship Id="rId4" Type="http://schemas.openxmlformats.org/officeDocument/2006/relationships/footnotes" Target="footnotes.xml" /><Relationship Id="rId9" Type="http://schemas.openxmlformats.org/officeDocument/2006/relationships/hyperlink" Target="http://www.legislation.gov.uk/ukpga/1972/68/contents" TargetMode="External" /><Relationship Id="rId14" Type="http://schemas.openxmlformats.org/officeDocument/2006/relationships/hyperlink" Target="https://www.theguardian.com/commentisfree/2021/sep/23/reform-human-rights-act-uk-government-righ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1731</Words>
  <Characters>9869</Characters>
  <Application>Microsoft Office Word</Application>
  <DocSecurity>0</DocSecurity>
  <Lines>82</Lines>
  <Paragraphs>23</Paragraphs>
  <ScaleCrop>false</ScaleCrop>
  <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Monika Pawelec</cp:lastModifiedBy>
  <cp:revision>2</cp:revision>
  <dcterms:created xsi:type="dcterms:W3CDTF">2023-03-10T19:42:00Z</dcterms:created>
  <dcterms:modified xsi:type="dcterms:W3CDTF">2023-03-10T19:42:00Z</dcterms:modified>
</cp:coreProperties>
</file>